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7E9C">
      <w:pPr>
        <w:spacing w:before="156" w:beforeLines="50" w:line="360" w:lineRule="auto"/>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南宁市政府采购</w:t>
      </w:r>
    </w:p>
    <w:p w14:paraId="602B3F26">
      <w:pPr>
        <w:spacing w:beforeLines="50" w:line="360" w:lineRule="auto"/>
        <w:jc w:val="center"/>
        <w:rPr>
          <w:rFonts w:ascii="宋体"/>
          <w:color w:val="auto"/>
          <w:sz w:val="52"/>
          <w:szCs w:val="52"/>
          <w:highlight w:val="none"/>
        </w:rPr>
      </w:pPr>
      <w:r>
        <w:rPr>
          <w:rFonts w:hint="eastAsia" w:ascii="宋体" w:hAnsi="宋体"/>
          <w:color w:val="auto"/>
          <w:sz w:val="52"/>
          <w:szCs w:val="52"/>
          <w:highlight w:val="none"/>
        </w:rPr>
        <w:t>竞争性磋商文件（</w:t>
      </w:r>
      <w:r>
        <w:rPr>
          <w:rFonts w:hint="eastAsia" w:ascii="宋体" w:hAnsi="宋体"/>
          <w:color w:val="auto"/>
          <w:sz w:val="52"/>
          <w:szCs w:val="52"/>
          <w:highlight w:val="none"/>
          <w:lang w:val="en-US" w:eastAsia="zh-CN"/>
        </w:rPr>
        <w:t>工程</w:t>
      </w:r>
      <w:r>
        <w:rPr>
          <w:rFonts w:hint="eastAsia" w:ascii="宋体" w:hAnsi="宋体"/>
          <w:color w:val="auto"/>
          <w:sz w:val="52"/>
          <w:szCs w:val="52"/>
          <w:highlight w:val="none"/>
        </w:rPr>
        <w:t>类）</w:t>
      </w:r>
    </w:p>
    <w:p w14:paraId="41E1AB6D">
      <w:pPr>
        <w:spacing w:beforeLines="50" w:line="360" w:lineRule="auto"/>
        <w:jc w:val="center"/>
        <w:rPr>
          <w:rFonts w:ascii="宋体"/>
          <w:color w:val="auto"/>
          <w:sz w:val="36"/>
          <w:szCs w:val="36"/>
          <w:highlight w:val="none"/>
        </w:rPr>
      </w:pPr>
    </w:p>
    <w:p w14:paraId="1FA44DAF">
      <w:pPr>
        <w:snapToGrid w:val="0"/>
        <w:spacing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14:paraId="5349583D">
      <w:pPr>
        <w:spacing w:beforeLines="100" w:afterLines="50" w:line="360" w:lineRule="auto"/>
        <w:jc w:val="center"/>
        <w:rPr>
          <w:rFonts w:ascii="宋体"/>
          <w:color w:val="auto"/>
          <w:szCs w:val="21"/>
          <w:highlight w:val="none"/>
        </w:rPr>
      </w:pPr>
      <w:r>
        <w:rPr>
          <w:rFonts w:hint="eastAsia" w:ascii="宋体" w:hAnsi="宋体"/>
          <w:color w:val="auto"/>
          <w:szCs w:val="21"/>
          <w:highlight w:val="none"/>
        </w:rPr>
        <w:t>（全流程电子化评标）</w:t>
      </w:r>
    </w:p>
    <w:p w14:paraId="4AD8DC89">
      <w:pPr>
        <w:spacing w:before="156" w:beforeLines="50" w:line="360" w:lineRule="auto"/>
        <w:jc w:val="center"/>
        <w:rPr>
          <w:rFonts w:hint="eastAsia" w:ascii="宋体" w:hAnsi="宋体" w:eastAsia="宋体" w:cs="宋体"/>
          <w:color w:val="auto"/>
          <w:sz w:val="36"/>
          <w:szCs w:val="36"/>
          <w:highlight w:val="none"/>
        </w:rPr>
      </w:pPr>
    </w:p>
    <w:p w14:paraId="77CE5905">
      <w:pPr>
        <w:spacing w:line="360" w:lineRule="auto"/>
        <w:jc w:val="both"/>
        <w:rPr>
          <w:rFonts w:hint="eastAsia" w:ascii="宋体" w:hAnsi="宋体" w:eastAsia="宋体" w:cs="宋体"/>
          <w:b/>
          <w:color w:val="auto"/>
          <w:sz w:val="32"/>
          <w:szCs w:val="32"/>
          <w:highlight w:val="none"/>
        </w:rPr>
      </w:pPr>
    </w:p>
    <w:p w14:paraId="2DFC32F5">
      <w:pPr>
        <w:pStyle w:val="25"/>
        <w:rPr>
          <w:rFonts w:hint="eastAsia"/>
          <w:color w:val="auto"/>
          <w:highlight w:val="none"/>
        </w:rPr>
      </w:pPr>
    </w:p>
    <w:p w14:paraId="5F96EBB1">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隆安县丁当镇保湾村农田水利设施项目（驮湾屯、农怀屯）</w:t>
      </w:r>
    </w:p>
    <w:p w14:paraId="6CC22862">
      <w:pPr>
        <w:spacing w:line="360" w:lineRule="auto"/>
        <w:ind w:firstLine="1285" w:firstLineChars="400"/>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项目编号：NNZC2026-C2-230056-JHGC</w:t>
      </w:r>
      <w:r>
        <w:rPr>
          <w:rFonts w:hint="eastAsia" w:ascii="仿宋" w:hAnsi="仿宋" w:eastAsia="仿宋" w:cs="仿宋"/>
          <w:b/>
          <w:color w:val="auto"/>
          <w:sz w:val="32"/>
          <w:szCs w:val="32"/>
          <w:highlight w:val="none"/>
          <w:lang w:eastAsia="zh-CN"/>
        </w:rPr>
        <w:t xml:space="preserve">      </w:t>
      </w:r>
    </w:p>
    <w:p w14:paraId="1C7C6B1B">
      <w:pPr>
        <w:spacing w:line="360" w:lineRule="auto"/>
        <w:ind w:firstLine="1285" w:firstLineChars="400"/>
        <w:rPr>
          <w:rFonts w:hint="eastAsia" w:ascii="仿宋" w:hAnsi="仿宋" w:eastAsia="仿宋" w:cs="仿宋"/>
          <w:b/>
          <w:color w:val="auto"/>
          <w:sz w:val="32"/>
          <w:szCs w:val="32"/>
          <w:highlight w:val="none"/>
          <w:u w:val="single"/>
          <w:lang w:val="en-US" w:eastAsia="zh-CN"/>
        </w:rPr>
      </w:pPr>
      <w:r>
        <w:rPr>
          <w:rFonts w:hint="eastAsia" w:ascii="仿宋" w:hAnsi="仿宋" w:eastAsia="仿宋" w:cs="仿宋"/>
          <w:b/>
          <w:color w:val="auto"/>
          <w:sz w:val="32"/>
          <w:szCs w:val="32"/>
          <w:highlight w:val="none"/>
        </w:rPr>
        <w:t>项目所属区划：</w:t>
      </w:r>
      <w:r>
        <w:rPr>
          <w:rFonts w:hint="eastAsia" w:ascii="仿宋" w:hAnsi="仿宋" w:eastAsia="仿宋" w:cs="仿宋"/>
          <w:b/>
          <w:color w:val="auto"/>
          <w:sz w:val="32"/>
          <w:szCs w:val="32"/>
          <w:highlight w:val="none"/>
          <w:u w:val="single"/>
        </w:rPr>
        <w:t>南宁市</w:t>
      </w:r>
      <w:r>
        <w:rPr>
          <w:rFonts w:hint="eastAsia" w:ascii="仿宋" w:hAnsi="仿宋" w:eastAsia="仿宋" w:cs="仿宋"/>
          <w:b/>
          <w:color w:val="auto"/>
          <w:sz w:val="32"/>
          <w:szCs w:val="32"/>
          <w:highlight w:val="none"/>
          <w:u w:val="single"/>
          <w:lang w:val="en-US" w:eastAsia="zh-CN"/>
        </w:rPr>
        <w:t>隆安县</w:t>
      </w:r>
    </w:p>
    <w:p w14:paraId="1CEFC482">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采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 xml:space="preserve">购 </w:t>
      </w:r>
      <w:r>
        <w:rPr>
          <w:rFonts w:hint="eastAsia" w:ascii="仿宋" w:hAnsi="仿宋" w:eastAsia="仿宋" w:cs="仿宋"/>
          <w:b/>
          <w:color w:val="auto"/>
          <w:sz w:val="32"/>
          <w:szCs w:val="32"/>
          <w:highlight w:val="none"/>
          <w:lang w:val="en-US" w:eastAsia="zh-CN"/>
        </w:rPr>
        <w:t xml:space="preserve">  </w:t>
      </w:r>
      <w:r>
        <w:rPr>
          <w:rFonts w:hint="eastAsia" w:ascii="仿宋" w:hAnsi="仿宋" w:eastAsia="仿宋" w:cs="仿宋"/>
          <w:b/>
          <w:color w:val="auto"/>
          <w:sz w:val="32"/>
          <w:szCs w:val="32"/>
          <w:highlight w:val="none"/>
        </w:rPr>
        <w:t>人：</w:t>
      </w:r>
      <w:r>
        <w:rPr>
          <w:rFonts w:hint="eastAsia" w:ascii="仿宋" w:hAnsi="仿宋" w:eastAsia="仿宋" w:cs="仿宋"/>
          <w:b/>
          <w:color w:val="auto"/>
          <w:sz w:val="32"/>
          <w:szCs w:val="32"/>
          <w:highlight w:val="none"/>
          <w:lang w:eastAsia="zh-CN"/>
        </w:rPr>
        <w:t>隆安县丁当镇人民政府</w:t>
      </w:r>
    </w:p>
    <w:p w14:paraId="0C4CEEDC">
      <w:pPr>
        <w:spacing w:line="360" w:lineRule="auto"/>
        <w:ind w:firstLine="1285" w:firstLineChars="4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广西佳鸿工程技术有限公司</w:t>
      </w:r>
    </w:p>
    <w:p w14:paraId="4DBCA763">
      <w:pPr>
        <w:outlineLvl w:val="9"/>
        <w:rPr>
          <w:rFonts w:hint="eastAsia"/>
          <w:color w:val="auto"/>
          <w:highlight w:val="none"/>
          <w:lang w:val="en-US" w:eastAsia="zh-CN"/>
        </w:rPr>
      </w:pPr>
    </w:p>
    <w:p w14:paraId="6BEDC787">
      <w:pPr>
        <w:pStyle w:val="32"/>
        <w:rPr>
          <w:rFonts w:hint="eastAsia"/>
          <w:color w:val="auto"/>
          <w:highlight w:val="none"/>
          <w:lang w:val="en-US" w:eastAsia="zh-CN"/>
        </w:rPr>
      </w:pPr>
    </w:p>
    <w:p w14:paraId="532DA9CD">
      <w:pPr>
        <w:spacing w:line="360" w:lineRule="auto"/>
        <w:jc w:val="center"/>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eastAsia="zh-CN"/>
        </w:rPr>
        <w:t>202</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年</w:t>
      </w:r>
      <w:r>
        <w:rPr>
          <w:rFonts w:hint="eastAsia" w:ascii="仿宋" w:hAnsi="仿宋" w:eastAsia="仿宋" w:cs="仿宋"/>
          <w:b/>
          <w:color w:val="auto"/>
          <w:sz w:val="32"/>
          <w:szCs w:val="32"/>
          <w:highlight w:val="none"/>
          <w:lang w:val="en-US" w:eastAsia="zh-CN"/>
        </w:rPr>
        <w:t>6</w:t>
      </w:r>
      <w:r>
        <w:rPr>
          <w:rFonts w:hint="eastAsia" w:ascii="仿宋" w:hAnsi="仿宋" w:eastAsia="仿宋" w:cs="仿宋"/>
          <w:b/>
          <w:color w:val="auto"/>
          <w:sz w:val="32"/>
          <w:szCs w:val="32"/>
          <w:highlight w:val="none"/>
          <w:lang w:eastAsia="zh-CN"/>
        </w:rPr>
        <w:t>月</w:t>
      </w:r>
      <w:r>
        <w:rPr>
          <w:rFonts w:hint="eastAsia" w:ascii="仿宋_GB2312" w:hAnsi="宋体" w:eastAsia="仿宋_GB2312"/>
          <w:b/>
          <w:color w:val="auto"/>
          <w:sz w:val="32"/>
          <w:szCs w:val="32"/>
          <w:highlight w:val="none"/>
          <w:lang w:val="en-US" w:eastAsia="zh-CN"/>
        </w:rPr>
        <w:t>24</w:t>
      </w:r>
      <w:r>
        <w:rPr>
          <w:rFonts w:hint="eastAsia" w:ascii="仿宋_GB2312" w:hAnsi="宋体" w:eastAsia="仿宋_GB2312"/>
          <w:b/>
          <w:color w:val="auto"/>
          <w:sz w:val="32"/>
          <w:szCs w:val="32"/>
          <w:highlight w:val="none"/>
        </w:rPr>
        <w:t>日</w:t>
      </w:r>
    </w:p>
    <w:p w14:paraId="737C1986">
      <w:pPr>
        <w:pStyle w:val="25"/>
        <w:rPr>
          <w:rFonts w:hint="eastAsia" w:ascii="仿宋" w:hAnsi="仿宋" w:eastAsia="仿宋" w:cs="仿宋"/>
          <w:b/>
          <w:color w:val="auto"/>
          <w:sz w:val="32"/>
          <w:szCs w:val="32"/>
          <w:highlight w:val="none"/>
          <w:lang w:val="en-US" w:eastAsia="zh-CN"/>
        </w:rPr>
      </w:pPr>
    </w:p>
    <w:p w14:paraId="48C14525">
      <w:pPr>
        <w:rPr>
          <w:rFonts w:hint="default"/>
          <w:color w:val="auto"/>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0E797E71">
      <w:pPr>
        <w:spacing w:line="360" w:lineRule="auto"/>
        <w:jc w:val="center"/>
        <w:outlineLvl w:val="9"/>
        <w:rPr>
          <w:rFonts w:hint="eastAsia" w:ascii="宋体" w:hAnsi="宋体" w:eastAsia="宋体" w:cs="宋体"/>
          <w:b w:val="0"/>
          <w:color w:val="auto"/>
          <w:sz w:val="48"/>
          <w:szCs w:val="48"/>
          <w:highlight w:val="none"/>
        </w:rPr>
      </w:pPr>
      <w:bookmarkStart w:id="0" w:name="_Toc15289"/>
      <w:bookmarkStart w:id="1" w:name="_Toc21342"/>
      <w:bookmarkStart w:id="2" w:name="_Toc22635"/>
      <w:r>
        <w:rPr>
          <w:rFonts w:hint="eastAsia" w:ascii="宋体" w:hAnsi="宋体" w:eastAsia="宋体" w:cs="宋体"/>
          <w:b/>
          <w:bCs/>
          <w:color w:val="auto"/>
          <w:sz w:val="48"/>
          <w:szCs w:val="48"/>
          <w:highlight w:val="none"/>
        </w:rPr>
        <w:t>目   录</w:t>
      </w:r>
      <w:bookmarkEnd w:id="0"/>
      <w:bookmarkEnd w:id="1"/>
      <w:bookmarkEnd w:id="2"/>
    </w:p>
    <w:p w14:paraId="535623F5">
      <w:pPr>
        <w:pStyle w:val="22"/>
        <w:tabs>
          <w:tab w:val="right" w:leader="dot" w:pos="9746"/>
        </w:tabs>
        <w:rPr>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"1-3" \h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_Toc32342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_Toc32342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4"/>
          <w:highlight w:val="none"/>
        </w:rPr>
        <w:fldChar w:fldCharType="end"/>
      </w:r>
    </w:p>
    <w:p w14:paraId="5F509596">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_Toc3078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 xml:space="preserve">第二章 </w:t>
      </w:r>
      <w:r>
        <w:rPr>
          <w:rFonts w:hint="eastAsia" w:ascii="宋体" w:hAnsi="宋体" w:eastAsia="宋体" w:cs="宋体"/>
          <w:bCs/>
          <w:color w:val="auto"/>
          <w:highlight w:val="none"/>
          <w:lang w:val="en-US" w:eastAsia="zh-CN"/>
        </w:rPr>
        <w:t>采购需求</w:t>
      </w:r>
      <w:r>
        <w:rPr>
          <w:color w:val="auto"/>
          <w:highlight w:val="none"/>
        </w:rPr>
        <w:tab/>
      </w:r>
      <w:r>
        <w:rPr>
          <w:color w:val="auto"/>
          <w:highlight w:val="none"/>
        </w:rPr>
        <w:fldChar w:fldCharType="begin"/>
      </w:r>
      <w:r>
        <w:rPr>
          <w:color w:val="auto"/>
          <w:highlight w:val="none"/>
        </w:rPr>
        <w:instrText xml:space="preserve"> PAGEREF _Toc3078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4"/>
          <w:highlight w:val="none"/>
        </w:rPr>
        <w:fldChar w:fldCharType="end"/>
      </w:r>
    </w:p>
    <w:p w14:paraId="5EE7BCF9">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_Toc12766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第三章 供应商须知</w:t>
      </w:r>
      <w:r>
        <w:rPr>
          <w:color w:val="auto"/>
          <w:highlight w:val="none"/>
        </w:rPr>
        <w:tab/>
      </w:r>
      <w:r>
        <w:rPr>
          <w:color w:val="auto"/>
          <w:highlight w:val="none"/>
        </w:rPr>
        <w:fldChar w:fldCharType="begin"/>
      </w:r>
      <w:r>
        <w:rPr>
          <w:color w:val="auto"/>
          <w:highlight w:val="none"/>
        </w:rPr>
        <w:instrText xml:space="preserve"> PAGEREF _Toc12766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030D725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_Toc3531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_Toc3531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szCs w:val="24"/>
          <w:highlight w:val="none"/>
        </w:rPr>
        <w:fldChar w:fldCharType="end"/>
      </w:r>
    </w:p>
    <w:p w14:paraId="1DCA9483">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_Toc8980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第二节 供应商须知正文</w:t>
      </w:r>
      <w:r>
        <w:rPr>
          <w:color w:val="auto"/>
          <w:highlight w:val="none"/>
        </w:rPr>
        <w:tab/>
      </w:r>
      <w:r>
        <w:rPr>
          <w:color w:val="auto"/>
          <w:highlight w:val="none"/>
        </w:rPr>
        <w:fldChar w:fldCharType="begin"/>
      </w:r>
      <w:r>
        <w:rPr>
          <w:color w:val="auto"/>
          <w:highlight w:val="none"/>
        </w:rPr>
        <w:instrText xml:space="preserve"> PAGEREF _Toc8980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65D7E8D9">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_Toc29628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_Toc29628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szCs w:val="24"/>
          <w:highlight w:val="none"/>
        </w:rPr>
        <w:fldChar w:fldCharType="end"/>
      </w:r>
    </w:p>
    <w:p w14:paraId="2F15AC93">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_Toc27949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_Toc27949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szCs w:val="24"/>
          <w:highlight w:val="none"/>
        </w:rPr>
        <w:fldChar w:fldCharType="end"/>
      </w:r>
    </w:p>
    <w:p w14:paraId="596AA661">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_Toc10192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_Toc10192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szCs w:val="24"/>
          <w:highlight w:val="none"/>
        </w:rPr>
        <w:fldChar w:fldCharType="end"/>
      </w:r>
    </w:p>
    <w:p w14:paraId="4CF107F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_Toc1908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四、评审及磋商</w:t>
      </w:r>
      <w:r>
        <w:rPr>
          <w:color w:val="auto"/>
          <w:highlight w:val="none"/>
        </w:rPr>
        <w:tab/>
      </w:r>
      <w:r>
        <w:rPr>
          <w:color w:val="auto"/>
          <w:highlight w:val="none"/>
        </w:rPr>
        <w:fldChar w:fldCharType="begin"/>
      </w:r>
      <w:r>
        <w:rPr>
          <w:color w:val="auto"/>
          <w:highlight w:val="none"/>
        </w:rPr>
        <w:instrText xml:space="preserve"> PAGEREF _Toc1908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szCs w:val="24"/>
          <w:highlight w:val="none"/>
        </w:rPr>
        <w:fldChar w:fldCharType="end"/>
      </w:r>
    </w:p>
    <w:p w14:paraId="22BD1EF8">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_Toc27792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_Toc27792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szCs w:val="24"/>
          <w:highlight w:val="none"/>
        </w:rPr>
        <w:fldChar w:fldCharType="end"/>
      </w:r>
    </w:p>
    <w:p w14:paraId="00F5C7F4">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_Toc22802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_Toc22802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5B47846E">
      <w:pPr>
        <w:pStyle w:val="15"/>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_Toc2111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color w:val="auto"/>
          <w:highlight w:val="none"/>
        </w:rPr>
        <w:tab/>
      </w:r>
      <w:r>
        <w:rPr>
          <w:color w:val="auto"/>
          <w:highlight w:val="none"/>
        </w:rPr>
        <w:fldChar w:fldCharType="begin"/>
      </w:r>
      <w:r>
        <w:rPr>
          <w:color w:val="auto"/>
          <w:highlight w:val="none"/>
        </w:rPr>
        <w:instrText xml:space="preserve"> PAGEREF _Toc2111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4"/>
          <w:highlight w:val="none"/>
        </w:rPr>
        <w:fldChar w:fldCharType="end"/>
      </w:r>
    </w:p>
    <w:p w14:paraId="25FD167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_Toc1038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第四章  评审程序、评审方法和评审标准</w:t>
      </w:r>
      <w:r>
        <w:rPr>
          <w:color w:val="auto"/>
          <w:highlight w:val="none"/>
        </w:rPr>
        <w:tab/>
      </w:r>
      <w:r>
        <w:rPr>
          <w:color w:val="auto"/>
          <w:highlight w:val="none"/>
        </w:rPr>
        <w:fldChar w:fldCharType="begin"/>
      </w:r>
      <w:r>
        <w:rPr>
          <w:color w:val="auto"/>
          <w:highlight w:val="none"/>
        </w:rPr>
        <w:instrText xml:space="preserve"> PAGEREF _Toc1038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54CBCB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_Toc32333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_Toc32333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szCs w:val="24"/>
          <w:highlight w:val="none"/>
        </w:rPr>
        <w:fldChar w:fldCharType="end"/>
      </w:r>
    </w:p>
    <w:p w14:paraId="3A6DA9D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_Toc27005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_Toc27005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04C18C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_Toc29016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_Toc29016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szCs w:val="24"/>
          <w:highlight w:val="none"/>
        </w:rPr>
        <w:fldChar w:fldCharType="end"/>
      </w:r>
    </w:p>
    <w:p w14:paraId="684F2282">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_Toc14324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_Toc14324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szCs w:val="24"/>
          <w:highlight w:val="none"/>
        </w:rPr>
        <w:fldChar w:fldCharType="end"/>
      </w:r>
    </w:p>
    <w:p w14:paraId="4E877E8E">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_Toc23115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第一节 封面格式</w:t>
      </w:r>
      <w:r>
        <w:rPr>
          <w:color w:val="auto"/>
          <w:highlight w:val="none"/>
        </w:rPr>
        <w:tab/>
      </w:r>
      <w:r>
        <w:rPr>
          <w:color w:val="auto"/>
          <w:highlight w:val="none"/>
        </w:rPr>
        <w:fldChar w:fldCharType="begin"/>
      </w:r>
      <w:r>
        <w:rPr>
          <w:color w:val="auto"/>
          <w:highlight w:val="none"/>
        </w:rPr>
        <w:instrText xml:space="preserve"> PAGEREF _Toc23115 \h </w:instrText>
      </w:r>
      <w:r>
        <w:rPr>
          <w:color w:val="auto"/>
          <w:highlight w:val="none"/>
        </w:rPr>
        <w:fldChar w:fldCharType="separate"/>
      </w:r>
      <w:r>
        <w:rPr>
          <w:color w:val="auto"/>
          <w:highlight w:val="none"/>
        </w:rPr>
        <w:t>41</w:t>
      </w:r>
      <w:r>
        <w:rPr>
          <w:color w:val="auto"/>
          <w:highlight w:val="none"/>
        </w:rPr>
        <w:fldChar w:fldCharType="end"/>
      </w:r>
      <w:r>
        <w:rPr>
          <w:rFonts w:hint="eastAsia" w:ascii="宋体" w:hAnsi="宋体" w:eastAsia="宋体" w:cs="宋体"/>
          <w:color w:val="auto"/>
          <w:szCs w:val="24"/>
          <w:highlight w:val="none"/>
        </w:rPr>
        <w:fldChar w:fldCharType="end"/>
      </w:r>
    </w:p>
    <w:p w14:paraId="5B55EA9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_Toc7860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_Toc7860 \h </w:instrText>
      </w:r>
      <w:r>
        <w:rPr>
          <w:color w:val="auto"/>
          <w:highlight w:val="none"/>
        </w:rPr>
        <w:fldChar w:fldCharType="separate"/>
      </w:r>
      <w:r>
        <w:rPr>
          <w:color w:val="auto"/>
          <w:highlight w:val="none"/>
        </w:rPr>
        <w:t>42</w:t>
      </w:r>
      <w:r>
        <w:rPr>
          <w:color w:val="auto"/>
          <w:highlight w:val="none"/>
        </w:rPr>
        <w:fldChar w:fldCharType="end"/>
      </w:r>
      <w:r>
        <w:rPr>
          <w:rFonts w:hint="eastAsia" w:ascii="宋体" w:hAnsi="宋体" w:eastAsia="宋体" w:cs="宋体"/>
          <w:color w:val="auto"/>
          <w:szCs w:val="24"/>
          <w:highlight w:val="none"/>
        </w:rPr>
        <w:fldChar w:fldCharType="end"/>
      </w:r>
    </w:p>
    <w:p w14:paraId="4C2EEFB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_Toc25946 </w:instrText>
      </w:r>
      <w:r>
        <w:rPr>
          <w:rFonts w:hint="eastAsia" w:ascii="宋体" w:hAnsi="宋体" w:eastAsia="宋体" w:cs="宋体"/>
          <w:color w:val="auto"/>
          <w:szCs w:val="24"/>
          <w:highlight w:val="none"/>
        </w:rPr>
        <w:fldChar w:fldCharType="separate"/>
      </w:r>
      <w:r>
        <w:rPr>
          <w:rFonts w:hint="eastAsia" w:ascii="宋体" w:hAnsi="宋体" w:eastAsia="宋体" w:cs="宋体"/>
          <w:bCs w:val="0"/>
          <w:color w:val="auto"/>
          <w:highlight w:val="none"/>
        </w:rPr>
        <w:t>第</w:t>
      </w:r>
      <w:r>
        <w:rPr>
          <w:rFonts w:hint="eastAsia" w:ascii="宋体" w:hAnsi="宋体" w:eastAsia="宋体" w:cs="宋体"/>
          <w:bCs w:val="0"/>
          <w:color w:val="auto"/>
          <w:highlight w:val="none"/>
          <w:lang w:eastAsia="zh-CN"/>
        </w:rPr>
        <w:t>三</w:t>
      </w:r>
      <w:r>
        <w:rPr>
          <w:rFonts w:hint="eastAsia" w:ascii="宋体" w:hAnsi="宋体" w:eastAsia="宋体" w:cs="宋体"/>
          <w:bCs w:val="0"/>
          <w:color w:val="auto"/>
          <w:highlight w:val="none"/>
        </w:rPr>
        <w:t xml:space="preserve">节 </w:t>
      </w:r>
      <w:r>
        <w:rPr>
          <w:rFonts w:hint="eastAsia" w:ascii="宋体" w:hAnsi="宋体" w:eastAsia="宋体" w:cs="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_Toc25946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szCs w:val="24"/>
          <w:highlight w:val="none"/>
        </w:rPr>
        <w:fldChar w:fldCharType="end"/>
      </w:r>
    </w:p>
    <w:p w14:paraId="22E1C8D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_Toc21302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第四节 报价文件格式</w:t>
      </w:r>
      <w:r>
        <w:rPr>
          <w:color w:val="auto"/>
          <w:highlight w:val="none"/>
        </w:rPr>
        <w:tab/>
      </w:r>
      <w:r>
        <w:rPr>
          <w:color w:val="auto"/>
          <w:highlight w:val="none"/>
        </w:rPr>
        <w:fldChar w:fldCharType="begin"/>
      </w:r>
      <w:r>
        <w:rPr>
          <w:color w:val="auto"/>
          <w:highlight w:val="none"/>
        </w:rPr>
        <w:instrText xml:space="preserve"> PAGEREF _Toc21302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szCs w:val="24"/>
          <w:highlight w:val="none"/>
        </w:rPr>
        <w:fldChar w:fldCharType="end"/>
      </w:r>
    </w:p>
    <w:p w14:paraId="6F339199">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_Toc3047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lang w:val="en-US" w:eastAsia="zh-CN"/>
        </w:rPr>
        <w:t>第五节 其他文书、文件格式</w:t>
      </w:r>
      <w:r>
        <w:rPr>
          <w:color w:val="auto"/>
          <w:highlight w:val="none"/>
        </w:rPr>
        <w:tab/>
      </w:r>
      <w:r>
        <w:rPr>
          <w:color w:val="auto"/>
          <w:highlight w:val="none"/>
        </w:rPr>
        <w:fldChar w:fldCharType="begin"/>
      </w:r>
      <w:r>
        <w:rPr>
          <w:color w:val="auto"/>
          <w:highlight w:val="none"/>
        </w:rPr>
        <w:instrText xml:space="preserve"> PAGEREF _Toc3047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24"/>
          <w:highlight w:val="none"/>
        </w:rPr>
        <w:fldChar w:fldCharType="end"/>
      </w:r>
    </w:p>
    <w:p w14:paraId="391706E8">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_Toc17398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第六章  合同文本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szCs w:val="24"/>
          <w:highlight w:val="none"/>
        </w:rPr>
        <w:fldChar w:fldCharType="end"/>
      </w:r>
    </w:p>
    <w:p w14:paraId="23A9DD9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_Toc31385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第一节 合同协议书</w:t>
      </w:r>
      <w:r>
        <w:rPr>
          <w:color w:val="auto"/>
          <w:highlight w:val="none"/>
        </w:rPr>
        <w:tab/>
      </w:r>
      <w:r>
        <w:rPr>
          <w:color w:val="auto"/>
          <w:highlight w:val="none"/>
        </w:rPr>
        <w:fldChar w:fldCharType="begin"/>
      </w:r>
      <w:r>
        <w:rPr>
          <w:color w:val="auto"/>
          <w:highlight w:val="none"/>
        </w:rPr>
        <w:instrText xml:space="preserve"> PAGEREF _Toc31385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24"/>
          <w:highlight w:val="none"/>
        </w:rPr>
        <w:fldChar w:fldCharType="end"/>
      </w:r>
    </w:p>
    <w:p w14:paraId="68B7B852">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_Toc27308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第二节 中标通知书</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82</w:t>
      </w:r>
      <w:r>
        <w:rPr>
          <w:color w:val="auto"/>
          <w:highlight w:val="none"/>
        </w:rPr>
        <w:fldChar w:fldCharType="end"/>
      </w:r>
      <w:r>
        <w:rPr>
          <w:rFonts w:hint="eastAsia" w:ascii="宋体" w:hAnsi="宋体" w:eastAsia="宋体" w:cs="宋体"/>
          <w:color w:val="auto"/>
          <w:szCs w:val="24"/>
          <w:highlight w:val="none"/>
        </w:rPr>
        <w:fldChar w:fldCharType="end"/>
      </w:r>
    </w:p>
    <w:p w14:paraId="19CCA934">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_Toc3376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第三节 通用合同条款</w:t>
      </w:r>
      <w:r>
        <w:rPr>
          <w:color w:val="auto"/>
          <w:highlight w:val="none"/>
        </w:rPr>
        <w:tab/>
      </w:r>
      <w:r>
        <w:rPr>
          <w:color w:val="auto"/>
          <w:highlight w:val="none"/>
        </w:rPr>
        <w:fldChar w:fldCharType="begin"/>
      </w:r>
      <w:r>
        <w:rPr>
          <w:color w:val="auto"/>
          <w:highlight w:val="none"/>
        </w:rPr>
        <w:instrText xml:space="preserve"> PAGEREF _Toc3376 \h </w:instrText>
      </w:r>
      <w:r>
        <w:rPr>
          <w:color w:val="auto"/>
          <w:highlight w:val="none"/>
        </w:rPr>
        <w:fldChar w:fldCharType="separate"/>
      </w:r>
      <w:r>
        <w:rPr>
          <w:color w:val="auto"/>
          <w:highlight w:val="none"/>
        </w:rPr>
        <w:t>83</w:t>
      </w:r>
      <w:r>
        <w:rPr>
          <w:color w:val="auto"/>
          <w:highlight w:val="none"/>
        </w:rPr>
        <w:fldChar w:fldCharType="end"/>
      </w:r>
      <w:r>
        <w:rPr>
          <w:rFonts w:hint="eastAsia" w:ascii="宋体" w:hAnsi="宋体" w:eastAsia="宋体" w:cs="宋体"/>
          <w:color w:val="auto"/>
          <w:szCs w:val="24"/>
          <w:highlight w:val="none"/>
        </w:rPr>
        <w:fldChar w:fldCharType="end"/>
      </w:r>
    </w:p>
    <w:p w14:paraId="7579FDCA">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_Toc26919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第四节 专用合同条款</w:t>
      </w:r>
      <w:r>
        <w:rPr>
          <w:color w:val="auto"/>
          <w:highlight w:val="none"/>
        </w:rPr>
        <w:tab/>
      </w:r>
      <w:r>
        <w:rPr>
          <w:color w:val="auto"/>
          <w:highlight w:val="none"/>
        </w:rPr>
        <w:fldChar w:fldCharType="begin"/>
      </w:r>
      <w:r>
        <w:rPr>
          <w:color w:val="auto"/>
          <w:highlight w:val="none"/>
        </w:rPr>
        <w:instrText xml:space="preserve"> PAGEREF _Toc26919 \h </w:instrText>
      </w:r>
      <w:r>
        <w:rPr>
          <w:color w:val="auto"/>
          <w:highlight w:val="none"/>
        </w:rPr>
        <w:fldChar w:fldCharType="separate"/>
      </w:r>
      <w:r>
        <w:rPr>
          <w:color w:val="auto"/>
          <w:highlight w:val="none"/>
        </w:rPr>
        <w:t>133</w:t>
      </w:r>
      <w:r>
        <w:rPr>
          <w:color w:val="auto"/>
          <w:highlight w:val="none"/>
        </w:rPr>
        <w:fldChar w:fldCharType="end"/>
      </w:r>
      <w:r>
        <w:rPr>
          <w:rFonts w:hint="eastAsia" w:ascii="宋体" w:hAnsi="宋体" w:eastAsia="宋体" w:cs="宋体"/>
          <w:color w:val="auto"/>
          <w:szCs w:val="24"/>
          <w:highlight w:val="none"/>
        </w:rPr>
        <w:fldChar w:fldCharType="end"/>
      </w:r>
    </w:p>
    <w:p w14:paraId="5434CB20">
      <w:pPr>
        <w:pStyle w:val="25"/>
        <w:tabs>
          <w:tab w:val="right" w:leader="dot" w:pos="9746"/>
          <w:tab w:val="clear" w:pos="829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_Toc6814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kern w:val="44"/>
          <w:szCs w:val="44"/>
          <w:highlight w:val="none"/>
          <w:lang w:val="en-US" w:eastAsia="zh-CN" w:bidi="ar-SA"/>
        </w:rPr>
        <w:t>第五节 合同附件格式</w:t>
      </w:r>
      <w:r>
        <w:rPr>
          <w:color w:val="auto"/>
          <w:highlight w:val="none"/>
        </w:rPr>
        <w:tab/>
      </w:r>
      <w:r>
        <w:rPr>
          <w:color w:val="auto"/>
          <w:highlight w:val="none"/>
        </w:rPr>
        <w:fldChar w:fldCharType="begin"/>
      </w:r>
      <w:r>
        <w:rPr>
          <w:color w:val="auto"/>
          <w:highlight w:val="none"/>
        </w:rPr>
        <w:instrText xml:space="preserve"> PAGEREF _Toc6814 \h </w:instrText>
      </w:r>
      <w:r>
        <w:rPr>
          <w:color w:val="auto"/>
          <w:highlight w:val="none"/>
        </w:rPr>
        <w:fldChar w:fldCharType="separate"/>
      </w:r>
      <w:r>
        <w:rPr>
          <w:color w:val="auto"/>
          <w:highlight w:val="none"/>
        </w:rPr>
        <w:t>149</w:t>
      </w:r>
      <w:r>
        <w:rPr>
          <w:color w:val="auto"/>
          <w:highlight w:val="none"/>
        </w:rPr>
        <w:fldChar w:fldCharType="end"/>
      </w:r>
      <w:r>
        <w:rPr>
          <w:rFonts w:hint="eastAsia" w:ascii="宋体" w:hAnsi="宋体" w:eastAsia="宋体" w:cs="宋体"/>
          <w:color w:val="auto"/>
          <w:szCs w:val="24"/>
          <w:highlight w:val="none"/>
        </w:rPr>
        <w:fldChar w:fldCharType="end"/>
      </w:r>
    </w:p>
    <w:p w14:paraId="494F16FF">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_Toc32429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r>
        <w:rPr>
          <w:color w:val="auto"/>
          <w:highlight w:val="none"/>
        </w:rPr>
        <w:tab/>
      </w:r>
      <w:r>
        <w:rPr>
          <w:color w:val="auto"/>
          <w:highlight w:val="none"/>
        </w:rPr>
        <w:fldChar w:fldCharType="begin"/>
      </w:r>
      <w:r>
        <w:rPr>
          <w:color w:val="auto"/>
          <w:highlight w:val="none"/>
        </w:rPr>
        <w:instrText xml:space="preserve"> PAGEREF _Toc32429 \h </w:instrText>
      </w:r>
      <w:r>
        <w:rPr>
          <w:color w:val="auto"/>
          <w:highlight w:val="none"/>
        </w:rPr>
        <w:fldChar w:fldCharType="separate"/>
      </w:r>
      <w:r>
        <w:rPr>
          <w:color w:val="auto"/>
          <w:highlight w:val="none"/>
        </w:rPr>
        <w:t>158</w:t>
      </w:r>
      <w:r>
        <w:rPr>
          <w:color w:val="auto"/>
          <w:highlight w:val="none"/>
        </w:rPr>
        <w:fldChar w:fldCharType="end"/>
      </w:r>
      <w:r>
        <w:rPr>
          <w:rFonts w:hint="eastAsia" w:ascii="宋体" w:hAnsi="宋体" w:eastAsia="宋体" w:cs="宋体"/>
          <w:color w:val="auto"/>
          <w:szCs w:val="24"/>
          <w:highlight w:val="none"/>
        </w:rPr>
        <w:fldChar w:fldCharType="end"/>
      </w:r>
    </w:p>
    <w:p w14:paraId="05F36ED1">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_Toc11576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r>
        <w:rPr>
          <w:color w:val="auto"/>
          <w:highlight w:val="none"/>
        </w:rPr>
        <w:tab/>
      </w:r>
      <w:r>
        <w:rPr>
          <w:color w:val="auto"/>
          <w:highlight w:val="none"/>
        </w:rPr>
        <w:fldChar w:fldCharType="begin"/>
      </w:r>
      <w:r>
        <w:rPr>
          <w:color w:val="auto"/>
          <w:highlight w:val="none"/>
        </w:rPr>
        <w:instrText xml:space="preserve"> PAGEREF _Toc11576 \h </w:instrText>
      </w:r>
      <w:r>
        <w:rPr>
          <w:color w:val="auto"/>
          <w:highlight w:val="none"/>
        </w:rPr>
        <w:fldChar w:fldCharType="separate"/>
      </w:r>
      <w:r>
        <w:rPr>
          <w:color w:val="auto"/>
          <w:highlight w:val="none"/>
        </w:rPr>
        <w:t>159</w:t>
      </w:r>
      <w:r>
        <w:rPr>
          <w:color w:val="auto"/>
          <w:highlight w:val="none"/>
        </w:rPr>
        <w:fldChar w:fldCharType="end"/>
      </w:r>
      <w:r>
        <w:rPr>
          <w:rFonts w:hint="eastAsia" w:ascii="宋体" w:hAnsi="宋体" w:eastAsia="宋体" w:cs="宋体"/>
          <w:color w:val="auto"/>
          <w:szCs w:val="24"/>
          <w:highlight w:val="none"/>
        </w:rPr>
        <w:fldChar w:fldCharType="end"/>
      </w:r>
    </w:p>
    <w:p w14:paraId="66DF9BAE">
      <w:pPr>
        <w:pStyle w:val="22"/>
        <w:tabs>
          <w:tab w:val="right" w:leader="dot" w:pos="9746"/>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_Toc25695 </w:instrText>
      </w:r>
      <w:r>
        <w:rPr>
          <w:rFonts w:hint="eastAsia" w:ascii="宋体" w:hAnsi="宋体" w:eastAsia="宋体" w:cs="宋体"/>
          <w:color w:val="auto"/>
          <w:szCs w:val="24"/>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val="en-US" w:eastAsia="zh-CN"/>
        </w:rPr>
        <w:t>九</w:t>
      </w:r>
      <w:r>
        <w:rPr>
          <w:rFonts w:hint="eastAsia" w:ascii="宋体" w:hAnsi="宋体" w:eastAsia="宋体" w:cs="宋体"/>
          <w:bCs/>
          <w:color w:val="auto"/>
          <w:highlight w:val="none"/>
        </w:rPr>
        <w:t>章 质疑、投诉材料格式</w:t>
      </w:r>
      <w:r>
        <w:rPr>
          <w:color w:val="auto"/>
          <w:highlight w:val="none"/>
        </w:rPr>
        <w:tab/>
      </w:r>
      <w:r>
        <w:rPr>
          <w:color w:val="auto"/>
          <w:highlight w:val="none"/>
        </w:rPr>
        <w:fldChar w:fldCharType="begin"/>
      </w:r>
      <w:r>
        <w:rPr>
          <w:color w:val="auto"/>
          <w:highlight w:val="none"/>
        </w:rPr>
        <w:instrText xml:space="preserve"> PAGEREF _Toc25695 \h </w:instrText>
      </w:r>
      <w:r>
        <w:rPr>
          <w:color w:val="auto"/>
          <w:highlight w:val="none"/>
        </w:rPr>
        <w:fldChar w:fldCharType="separate"/>
      </w:r>
      <w:r>
        <w:rPr>
          <w:color w:val="auto"/>
          <w:highlight w:val="none"/>
        </w:rPr>
        <w:t>160</w:t>
      </w:r>
      <w:r>
        <w:rPr>
          <w:color w:val="auto"/>
          <w:highlight w:val="none"/>
        </w:rPr>
        <w:fldChar w:fldCharType="end"/>
      </w:r>
      <w:r>
        <w:rPr>
          <w:rFonts w:hint="eastAsia" w:ascii="宋体" w:hAnsi="宋体" w:eastAsia="宋体" w:cs="宋体"/>
          <w:color w:val="auto"/>
          <w:szCs w:val="24"/>
          <w:highlight w:val="none"/>
        </w:rPr>
        <w:fldChar w:fldCharType="end"/>
      </w:r>
    </w:p>
    <w:p w14:paraId="5622212F">
      <w:pPr>
        <w:pStyle w:val="22"/>
        <w:keepNext w:val="0"/>
        <w:keepLines w:val="0"/>
        <w:pageBreakBefore w:val="0"/>
        <w:widowControl w:val="0"/>
        <w:tabs>
          <w:tab w:val="right" w:leader="dot" w:pos="8306"/>
        </w:tabs>
        <w:kinsoku/>
        <w:wordWrap/>
        <w:overflowPunct/>
        <w:topLinePunct w:val="0"/>
        <w:autoSpaceDE/>
        <w:autoSpaceDN/>
        <w:bidi w:val="0"/>
        <w:adjustRightInd/>
        <w:snapToGrid/>
        <w:spacing w:line="48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Cs w:val="24"/>
          <w:highlight w:val="none"/>
        </w:rPr>
        <w:fldChar w:fldCharType="end"/>
      </w:r>
    </w:p>
    <w:p w14:paraId="3105C2D4">
      <w:pPr>
        <w:spacing w:line="360" w:lineRule="auto"/>
        <w:rPr>
          <w:rFonts w:hint="eastAsia" w:ascii="宋体" w:hAnsi="宋体" w:eastAsia="宋体" w:cs="宋体"/>
          <w:b/>
          <w:color w:val="auto"/>
          <w:sz w:val="32"/>
          <w:szCs w:val="32"/>
          <w:highlight w:val="none"/>
        </w:rPr>
        <w:sectPr>
          <w:pgSz w:w="11906" w:h="16838"/>
          <w:pgMar w:top="1440" w:right="1080" w:bottom="1440" w:left="1080" w:header="851" w:footer="992" w:gutter="0"/>
          <w:pgBorders w:offsetFrom="page">
            <w:top w:val="none" w:sz="0" w:space="0"/>
            <w:left w:val="none" w:sz="0" w:space="0"/>
            <w:bottom w:val="none" w:sz="0" w:space="0"/>
            <w:right w:val="none" w:sz="0" w:space="0"/>
          </w:pgBorders>
          <w:pgNumType w:start="0"/>
          <w:cols w:space="720" w:num="1"/>
          <w:titlePg/>
          <w:docGrid w:type="lines" w:linePitch="312" w:charSpace="0"/>
        </w:sectPr>
      </w:pPr>
    </w:p>
    <w:p w14:paraId="63CC745C">
      <w:pPr>
        <w:pStyle w:val="2"/>
        <w:spacing w:line="360" w:lineRule="auto"/>
        <w:jc w:val="center"/>
        <w:rPr>
          <w:rFonts w:hint="eastAsia" w:ascii="宋体" w:hAnsi="宋体" w:eastAsia="宋体" w:cs="宋体"/>
          <w:color w:val="auto"/>
          <w:highlight w:val="none"/>
          <w:lang w:eastAsia="zh-CN"/>
        </w:rPr>
      </w:pPr>
      <w:bookmarkStart w:id="3" w:name="_Toc21181"/>
      <w:bookmarkStart w:id="4" w:name="_Toc1000"/>
      <w:bookmarkStart w:id="5" w:name="_Toc2884"/>
      <w:bookmarkStart w:id="6" w:name="_Toc23020"/>
      <w:bookmarkStart w:id="7" w:name="_Toc32342"/>
      <w:bookmarkStart w:id="8" w:name="_Toc16535"/>
      <w:bookmarkStart w:id="9" w:name="_Toc11033"/>
      <w:r>
        <w:rPr>
          <w:rFonts w:hint="eastAsia" w:ascii="宋体" w:hAnsi="宋体" w:eastAsia="宋体" w:cs="宋体"/>
          <w:color w:val="auto"/>
          <w:highlight w:val="none"/>
        </w:rPr>
        <w:t>第一章 竞争性磋商公告</w:t>
      </w:r>
      <w:bookmarkEnd w:id="3"/>
      <w:bookmarkEnd w:id="4"/>
      <w:bookmarkEnd w:id="5"/>
      <w:bookmarkEnd w:id="6"/>
      <w:bookmarkEnd w:id="7"/>
      <w:bookmarkEnd w:id="8"/>
      <w:bookmarkEnd w:id="9"/>
      <w:bookmarkStart w:id="10" w:name="_Toc35393798"/>
      <w:bookmarkStart w:id="11" w:name="_Toc28359089"/>
      <w:bookmarkStart w:id="12" w:name="_Toc28359012"/>
      <w:bookmarkStart w:id="13" w:name="_Toc44229878"/>
      <w:bookmarkStart w:id="14" w:name="_Toc35393629"/>
      <w:bookmarkStart w:id="15" w:name="_Toc28359004"/>
      <w:bookmarkStart w:id="16" w:name="_Toc35393792"/>
      <w:bookmarkStart w:id="17" w:name="_Toc28359081"/>
      <w:bookmarkStart w:id="18" w:name="_Toc35393623"/>
    </w:p>
    <w:p w14:paraId="1424BBFC">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EE0537B">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u w:val="single"/>
          <w:lang w:eastAsia="zh-CN"/>
        </w:rPr>
        <w:t>隆安县丁当镇保湾村农田水利设施项目（驮湾屯、农怀屯）</w:t>
      </w:r>
      <w:r>
        <w:rPr>
          <w:rFonts w:hint="eastAsia" w:ascii="宋体" w:hAnsi="宋体" w:eastAsia="宋体" w:cs="宋体"/>
          <w:color w:val="auto"/>
          <w:szCs w:val="21"/>
          <w:highlight w:val="none"/>
        </w:rPr>
        <w:t>项目的潜在供应商应在</w:t>
      </w:r>
      <w:r>
        <w:rPr>
          <w:rFonts w:hint="eastAsia" w:ascii="宋体" w:hAnsi="宋体" w:eastAsia="宋体" w:cs="宋体"/>
          <w:color w:val="auto"/>
          <w:szCs w:val="21"/>
          <w:highlight w:val="none"/>
          <w:lang w:eastAsia="zh-CN"/>
        </w:rPr>
        <w:t>广西政府采购云平台（https://www.gcy.zfcg.gxzf.gov.cn/）</w:t>
      </w:r>
      <w:r>
        <w:rPr>
          <w:rFonts w:hint="eastAsia" w:ascii="宋体" w:hAnsi="宋体" w:eastAsia="宋体" w:cs="宋体"/>
          <w:snapToGrid w:val="0"/>
          <w:color w:val="auto"/>
          <w:highlight w:val="none"/>
        </w:rPr>
        <w:t>获取（下载）</w:t>
      </w:r>
      <w:r>
        <w:rPr>
          <w:rFonts w:hint="eastAsia" w:ascii="宋体" w:hAnsi="宋体" w:eastAsia="宋体" w:cs="宋体"/>
          <w:color w:val="auto"/>
          <w:szCs w:val="21"/>
          <w:highlight w:val="none"/>
        </w:rPr>
        <w:t>竞争性磋商文件，并于</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bCs/>
          <w:color w:val="auto"/>
          <w:szCs w:val="21"/>
          <w:highlight w:val="none"/>
        </w:rPr>
        <w:t>（北京时间）前提交响应文件</w:t>
      </w:r>
      <w:r>
        <w:rPr>
          <w:rFonts w:hint="eastAsia" w:ascii="宋体" w:hAnsi="宋体" w:eastAsia="宋体" w:cs="宋体"/>
          <w:color w:val="auto"/>
          <w:szCs w:val="21"/>
          <w:highlight w:val="none"/>
        </w:rPr>
        <w:t>。</w:t>
      </w:r>
    </w:p>
    <w:p w14:paraId="6D1FDE74">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10"/>
      <w:bookmarkEnd w:id="11"/>
      <w:bookmarkEnd w:id="12"/>
      <w:bookmarkEnd w:id="13"/>
      <w:bookmarkEnd w:id="14"/>
    </w:p>
    <w:p w14:paraId="4E0FDF4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1.项目编号：NNZC2026-C2-230056-JHGC</w:t>
      </w:r>
      <w:r>
        <w:rPr>
          <w:rFonts w:hint="eastAsia" w:ascii="宋体" w:hAnsi="宋体" w:cs="宋体"/>
          <w:color w:val="auto"/>
          <w:szCs w:val="21"/>
          <w:highlight w:val="none"/>
          <w:lang w:eastAsia="zh-CN"/>
        </w:rPr>
        <w:t xml:space="preserve">      </w:t>
      </w:r>
    </w:p>
    <w:p w14:paraId="260EB89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color w:val="auto"/>
          <w:highlight w:val="none"/>
          <w:lang w:eastAsia="zh-CN"/>
        </w:rPr>
      </w:pPr>
      <w:r>
        <w:rPr>
          <w:rFonts w:hint="eastAsia" w:ascii="宋体" w:hAnsi="宋体" w:eastAsia="宋体" w:cs="宋体"/>
          <w:color w:val="auto"/>
          <w:szCs w:val="21"/>
          <w:highlight w:val="none"/>
        </w:rPr>
        <w:t>2.项目名称：</w:t>
      </w:r>
      <w:r>
        <w:rPr>
          <w:rFonts w:hint="eastAsia" w:ascii="宋体" w:hAnsi="宋体" w:cs="宋体"/>
          <w:color w:val="auto"/>
          <w:spacing w:val="-4"/>
          <w:szCs w:val="21"/>
          <w:highlight w:val="none"/>
          <w:lang w:eastAsia="zh-CN"/>
        </w:rPr>
        <w:t>隆安县丁当镇保湾村农田水利设施项目（驮湾屯、农怀屯）</w:t>
      </w:r>
    </w:p>
    <w:p w14:paraId="1F7AA781">
      <w:pPr>
        <w:keepNext w:val="0"/>
        <w:keepLines w:val="0"/>
        <w:pageBreakBefore w:val="0"/>
        <w:tabs>
          <w:tab w:val="left" w:pos="6358"/>
        </w:tabs>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3.采购方式：竞争性磋商</w:t>
      </w:r>
    </w:p>
    <w:p w14:paraId="004738B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4.预算金额：</w:t>
      </w:r>
      <w:r>
        <w:rPr>
          <w:rFonts w:hint="eastAsia" w:ascii="宋体" w:hAnsi="宋体" w:cs="宋体"/>
          <w:b w:val="0"/>
          <w:bCs w:val="0"/>
          <w:color w:val="auto"/>
          <w:szCs w:val="21"/>
          <w:highlight w:val="none"/>
          <w:lang w:val="en-US" w:eastAsia="zh-CN"/>
        </w:rPr>
        <w:t>798191.35</w:t>
      </w:r>
      <w:r>
        <w:rPr>
          <w:rFonts w:hint="eastAsia" w:ascii="宋体" w:hAnsi="宋体" w:eastAsia="宋体" w:cs="宋体"/>
          <w:b w:val="0"/>
          <w:bCs w:val="0"/>
          <w:color w:val="auto"/>
          <w:szCs w:val="21"/>
          <w:highlight w:val="none"/>
          <w:lang w:val="en-US" w:eastAsia="zh-CN"/>
        </w:rPr>
        <w:t>元</w:t>
      </w:r>
    </w:p>
    <w:p w14:paraId="3AC9325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5.</w:t>
      </w:r>
      <w:r>
        <w:rPr>
          <w:rFonts w:hint="eastAsia" w:ascii="宋体" w:hAnsi="宋体" w:eastAsia="宋体" w:cs="Times New Roman"/>
          <w:b w:val="0"/>
          <w:bCs w:val="0"/>
          <w:color w:val="auto"/>
          <w:sz w:val="21"/>
          <w:szCs w:val="21"/>
          <w:highlight w:val="none"/>
        </w:rPr>
        <w:t>最高限价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lang w:eastAsia="zh-CN"/>
        </w:rPr>
        <w:t>招标控制价</w:t>
      </w:r>
      <w:r>
        <w:rPr>
          <w:rFonts w:hint="eastAsia" w:ascii="宋体" w:hAnsi="宋体" w:eastAsia="宋体" w:cs="Times New Roman"/>
          <w:b w:val="0"/>
          <w:bCs w:val="0"/>
          <w:color w:val="auto"/>
          <w:sz w:val="21"/>
          <w:szCs w:val="21"/>
          <w:highlight w:val="none"/>
          <w:lang w:eastAsia="zh-CN"/>
        </w:rPr>
        <w:t>）</w:t>
      </w:r>
      <w:r>
        <w:rPr>
          <w:rFonts w:hint="eastAsia" w:ascii="宋体" w:hAnsi="宋体" w:eastAsia="宋体" w:cs="宋体"/>
          <w:b w:val="0"/>
          <w:bCs w:val="0"/>
          <w:color w:val="auto"/>
          <w:szCs w:val="21"/>
          <w:highlight w:val="none"/>
        </w:rPr>
        <w:t>：</w:t>
      </w:r>
      <w:r>
        <w:rPr>
          <w:rFonts w:hint="eastAsia" w:ascii="宋体" w:hAnsi="宋体" w:cs="宋体"/>
          <w:b w:val="0"/>
          <w:bCs w:val="0"/>
          <w:color w:val="auto"/>
          <w:szCs w:val="21"/>
          <w:highlight w:val="none"/>
          <w:lang w:eastAsia="zh-CN"/>
        </w:rPr>
        <w:t>798191.35</w:t>
      </w:r>
      <w:r>
        <w:rPr>
          <w:rFonts w:hint="eastAsia" w:ascii="宋体" w:hAnsi="宋体" w:eastAsia="宋体" w:cs="宋体"/>
          <w:b w:val="0"/>
          <w:bCs w:val="0"/>
          <w:color w:val="auto"/>
          <w:szCs w:val="21"/>
          <w:highlight w:val="none"/>
          <w:lang w:val="en-US" w:eastAsia="zh-CN"/>
        </w:rPr>
        <w:t>元</w:t>
      </w:r>
    </w:p>
    <w:p w14:paraId="41081C7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6.采购需求：</w:t>
      </w:r>
      <w:r>
        <w:rPr>
          <w:rFonts w:hint="eastAsia" w:ascii="宋体" w:hAnsi="宋体" w:cs="宋体"/>
          <w:color w:val="auto"/>
          <w:szCs w:val="21"/>
          <w:highlight w:val="none"/>
          <w:lang w:eastAsia="zh-CN"/>
        </w:rPr>
        <w:t>隆安县丁当镇保湾村农田水利设施项目（驮湾屯、农怀屯）</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具体内容详见施工图纸及工程量清单所包含的内容</w:t>
      </w:r>
      <w:r>
        <w:rPr>
          <w:rFonts w:hint="eastAsia" w:ascii="宋体" w:hAnsi="宋体" w:eastAsia="宋体" w:cs="宋体"/>
          <w:color w:val="auto"/>
          <w:szCs w:val="21"/>
          <w:highlight w:val="none"/>
        </w:rPr>
        <w:t>。</w:t>
      </w:r>
    </w:p>
    <w:p w14:paraId="72B6C7E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w:t>
      </w:r>
      <w:r>
        <w:rPr>
          <w:rFonts w:hint="eastAsia" w:ascii="宋体" w:hAnsi="宋体" w:cs="宋体"/>
          <w:color w:val="auto"/>
          <w:sz w:val="21"/>
          <w:szCs w:val="21"/>
          <w:highlight w:val="none"/>
        </w:rPr>
        <w:t>合同履</w:t>
      </w:r>
      <w:r>
        <w:rPr>
          <w:rFonts w:hint="eastAsia" w:ascii="宋体" w:hAnsi="宋体" w:eastAsia="宋体" w:cs="宋体"/>
          <w:color w:val="auto"/>
          <w:sz w:val="21"/>
          <w:szCs w:val="21"/>
          <w:highlight w:val="none"/>
        </w:rPr>
        <w:t>行期限（工期）</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90日历天。</w:t>
      </w:r>
    </w:p>
    <w:p w14:paraId="7A82DD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8.本项目是否接受联合体：□是，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5FD5507A">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bookmarkStart w:id="19" w:name="_Toc28359013"/>
      <w:bookmarkStart w:id="20" w:name="_Toc35393799"/>
      <w:bookmarkStart w:id="21" w:name="_Toc44229879"/>
      <w:bookmarkStart w:id="22" w:name="_Toc28359090"/>
      <w:bookmarkStart w:id="23" w:name="_Toc35393630"/>
      <w:r>
        <w:rPr>
          <w:rFonts w:hint="eastAsia" w:ascii="宋体" w:hAnsi="宋体" w:eastAsia="宋体" w:cs="宋体"/>
          <w:b/>
          <w:color w:val="auto"/>
          <w:kern w:val="44"/>
          <w:sz w:val="24"/>
          <w:highlight w:val="none"/>
        </w:rPr>
        <w:t>二、供应商的资格条件</w:t>
      </w:r>
      <w:bookmarkEnd w:id="19"/>
      <w:bookmarkEnd w:id="20"/>
      <w:bookmarkEnd w:id="21"/>
      <w:bookmarkEnd w:id="22"/>
      <w:bookmarkEnd w:id="23"/>
    </w:p>
    <w:p w14:paraId="10F178A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1.满足《中华人民共和国政府采购法》第二十二条规定；</w:t>
      </w:r>
    </w:p>
    <w:p w14:paraId="0E1B1D7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ascii="宋体" w:hAnsi="宋体" w:eastAsia="宋体" w:cs="Times New Roman"/>
          <w:b/>
          <w:bCs/>
          <w:color w:val="auto"/>
          <w:szCs w:val="21"/>
          <w:highlight w:val="none"/>
        </w:rPr>
      </w:pPr>
      <w:r>
        <w:rPr>
          <w:rFonts w:hint="eastAsia" w:ascii="宋体" w:hAnsi="宋体" w:eastAsia="宋体" w:cs="宋体"/>
          <w:color w:val="auto"/>
          <w:spacing w:val="0"/>
          <w:w w:val="100"/>
          <w:position w:val="0"/>
          <w:sz w:val="21"/>
          <w:szCs w:val="21"/>
          <w:highlight w:val="none"/>
        </w:rPr>
        <w:t>2.落实政府采购政策需满足的资格要求</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cs="Times New Roman"/>
          <w:color w:val="auto"/>
          <w:szCs w:val="21"/>
          <w:highlight w:val="none"/>
          <w:lang w:eastAsia="zh-CN"/>
        </w:rPr>
        <w:t>☑</w:t>
      </w:r>
      <w:r>
        <w:rPr>
          <w:rFonts w:hint="eastAsia" w:ascii="宋体" w:hAnsi="宋体" w:eastAsia="宋体" w:cs="Times New Roman"/>
          <w:b/>
          <w:bCs/>
          <w:color w:val="auto"/>
          <w:szCs w:val="21"/>
          <w:highlight w:val="none"/>
        </w:rPr>
        <w:t>专门面向</w:t>
      </w:r>
      <w:r>
        <w:rPr>
          <w:rFonts w:hint="eastAsia" w:ascii="宋体" w:hAnsi="宋体" w:cs="Times New Roman"/>
          <w:b/>
          <w:bCs/>
          <w:color w:val="auto"/>
          <w:szCs w:val="21"/>
          <w:highlight w:val="none"/>
          <w:lang w:val="en-US" w:eastAsia="zh-CN"/>
        </w:rPr>
        <w:t>中小</w:t>
      </w:r>
      <w:r>
        <w:rPr>
          <w:rFonts w:hint="eastAsia" w:ascii="宋体" w:hAnsi="宋体" w:eastAsia="宋体" w:cs="Times New Roman"/>
          <w:b/>
          <w:bCs/>
          <w:color w:val="auto"/>
          <w:szCs w:val="21"/>
          <w:highlight w:val="none"/>
        </w:rPr>
        <w:t>企业采购的项目（供应商应为</w:t>
      </w:r>
      <w:r>
        <w:rPr>
          <w:rFonts w:hint="eastAsia" w:ascii="宋体" w:hAnsi="宋体" w:eastAsia="宋体" w:cs="Times New Roman"/>
          <w:b/>
          <w:bCs/>
          <w:color w:val="auto"/>
          <w:szCs w:val="21"/>
          <w:highlight w:val="none"/>
          <w:lang w:val="en-US" w:eastAsia="zh-CN"/>
        </w:rPr>
        <w:t>中</w:t>
      </w:r>
      <w:r>
        <w:rPr>
          <w:rFonts w:hint="eastAsia" w:ascii="宋体" w:hAnsi="宋体" w:cs="Times New Roman"/>
          <w:b/>
          <w:bCs/>
          <w:color w:val="auto"/>
          <w:szCs w:val="21"/>
          <w:highlight w:val="none"/>
          <w:lang w:val="en-US" w:eastAsia="zh-CN"/>
        </w:rPr>
        <w:t>小微</w:t>
      </w:r>
      <w:r>
        <w:rPr>
          <w:rFonts w:hint="eastAsia" w:ascii="宋体" w:hAnsi="宋体" w:eastAsia="宋体" w:cs="Times New Roman"/>
          <w:b/>
          <w:bCs/>
          <w:color w:val="auto"/>
          <w:szCs w:val="21"/>
          <w:highlight w:val="none"/>
        </w:rPr>
        <w:t>企业、监狱企业、残疾人福利性单位)</w:t>
      </w:r>
    </w:p>
    <w:p w14:paraId="2F0081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pacing w:val="0"/>
          <w:w w:val="100"/>
          <w:position w:val="0"/>
          <w:sz w:val="21"/>
          <w:szCs w:val="21"/>
          <w:highlight w:val="none"/>
          <w:u w:val="none"/>
          <w:lang w:eastAsia="zh-CN"/>
        </w:rPr>
      </w:pPr>
      <w:r>
        <w:rPr>
          <w:rFonts w:hint="eastAsia" w:ascii="宋体" w:hAnsi="宋体" w:eastAsia="宋体" w:cs="宋体"/>
          <w:color w:val="auto"/>
          <w:spacing w:val="0"/>
          <w:w w:val="100"/>
          <w:position w:val="0"/>
          <w:sz w:val="21"/>
          <w:szCs w:val="21"/>
          <w:highlight w:val="none"/>
        </w:rPr>
        <w:t>3.本项目的特定资格要求</w:t>
      </w:r>
      <w:r>
        <w:rPr>
          <w:rFonts w:hint="eastAsia" w:ascii="宋体" w:hAnsi="宋体" w:eastAsia="宋体" w:cs="宋体"/>
          <w:color w:val="auto"/>
          <w:spacing w:val="0"/>
          <w:w w:val="100"/>
          <w:position w:val="0"/>
          <w:sz w:val="21"/>
          <w:szCs w:val="21"/>
          <w:highlight w:val="none"/>
          <w:u w:val="none"/>
          <w:lang w:eastAsia="zh-CN"/>
        </w:rPr>
        <w:t>：</w:t>
      </w:r>
    </w:p>
    <w:p w14:paraId="67FA7EB5">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p>
    <w:p w14:paraId="7FB0DCBF">
      <w:pPr>
        <w:keepNext w:val="0"/>
        <w:keepLines w:val="0"/>
        <w:pageBreakBefore w:val="0"/>
        <w:kinsoku/>
        <w:wordWrap/>
        <w:overflowPunct/>
        <w:topLinePunct w:val="0"/>
        <w:autoSpaceDE/>
        <w:autoSpaceDN/>
        <w:bidi w:val="0"/>
        <w:adjustRightInd/>
        <w:spacing w:line="44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（2）拟派项目经理须具备</w:t>
      </w:r>
      <w:r>
        <w:rPr>
          <w:rFonts w:hint="eastAsia" w:ascii="宋体" w:hAnsi="宋体" w:cs="宋体"/>
          <w:color w:val="auto"/>
          <w:szCs w:val="21"/>
          <w:highlight w:val="none"/>
          <w:lang w:eastAsia="zh-CN"/>
        </w:rPr>
        <w:t>水利水电工程专业贰级以上</w:t>
      </w:r>
      <w:r>
        <w:rPr>
          <w:rFonts w:hint="eastAsia" w:ascii="宋体" w:hAnsi="宋体" w:eastAsia="宋体" w:cs="宋体"/>
          <w:color w:val="auto"/>
          <w:szCs w:val="21"/>
          <w:highlight w:val="none"/>
        </w:rPr>
        <w:t>（含贰级）注册建造师执业资格，具备有效的安全生产考核合格证书（B类）。本项目不接受有在建、已中标未开工或其他项目中标候选人第一名的建造师作为项目经理。</w:t>
      </w:r>
    </w:p>
    <w:p w14:paraId="2A9847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
          <w:bCs/>
          <w:color w:val="auto"/>
          <w:spacing w:val="0"/>
          <w:w w:val="100"/>
          <w:position w:val="0"/>
          <w:sz w:val="21"/>
          <w:szCs w:val="21"/>
          <w:highlight w:val="none"/>
          <w:u w:val="none"/>
          <w:lang w:val="en-US" w:eastAsia="zh-CN"/>
        </w:rPr>
      </w:pPr>
      <w:r>
        <w:rPr>
          <w:rFonts w:hint="eastAsia" w:ascii="宋体" w:hAnsi="宋体" w:eastAsia="宋体" w:cs="宋体"/>
          <w:color w:val="auto"/>
          <w:spacing w:val="0"/>
          <w:w w:val="100"/>
          <w:position w:val="0"/>
          <w:sz w:val="21"/>
          <w:szCs w:val="21"/>
          <w:highlight w:val="none"/>
          <w:u w:val="none"/>
        </w:rPr>
        <w:t>4</w:t>
      </w:r>
      <w:r>
        <w:rPr>
          <w:rFonts w:hint="eastAsia" w:ascii="宋体" w:hAnsi="宋体" w:eastAsia="宋体" w:cs="宋体"/>
          <w:color w:val="auto"/>
          <w:spacing w:val="0"/>
          <w:w w:val="100"/>
          <w:position w:val="0"/>
          <w:sz w:val="21"/>
          <w:szCs w:val="21"/>
          <w:highlight w:val="none"/>
          <w:u w:val="none"/>
          <w:lang w:eastAsia="zh-CN"/>
        </w:rPr>
        <w:t>.</w:t>
      </w:r>
      <w:r>
        <w:rPr>
          <w:rFonts w:hint="eastAsia" w:ascii="宋体" w:hAnsi="宋体" w:eastAsia="宋体" w:cs="宋体"/>
          <w:color w:val="auto"/>
          <w:spacing w:val="0"/>
          <w:w w:val="100"/>
          <w:position w:val="0"/>
          <w:sz w:val="21"/>
          <w:szCs w:val="21"/>
          <w:highlight w:val="none"/>
          <w:u w:val="none"/>
        </w:rPr>
        <w:t>本项目的特定条件</w:t>
      </w:r>
      <w:r>
        <w:rPr>
          <w:rFonts w:hint="eastAsia" w:ascii="宋体" w:hAnsi="宋体" w:eastAsia="宋体" w:cs="宋体"/>
          <w:b w:val="0"/>
          <w:bCs w:val="0"/>
          <w:color w:val="auto"/>
          <w:spacing w:val="0"/>
          <w:w w:val="100"/>
          <w:position w:val="0"/>
          <w:sz w:val="21"/>
          <w:szCs w:val="21"/>
          <w:highlight w:val="none"/>
          <w:u w:val="none"/>
          <w:lang w:eastAsia="zh-CN"/>
        </w:rPr>
        <w:t>：</w:t>
      </w:r>
      <w:r>
        <w:rPr>
          <w:rFonts w:hint="eastAsia" w:ascii="宋体" w:hAnsi="宋体" w:eastAsia="宋体" w:cs="宋体"/>
          <w:b w:val="0"/>
          <w:bCs w:val="0"/>
          <w:color w:val="auto"/>
          <w:spacing w:val="0"/>
          <w:w w:val="100"/>
          <w:position w:val="0"/>
          <w:sz w:val="21"/>
          <w:szCs w:val="21"/>
          <w:highlight w:val="none"/>
          <w:lang w:eastAsia="zh-CN"/>
        </w:rPr>
        <w:t>无</w:t>
      </w:r>
      <w:r>
        <w:rPr>
          <w:rFonts w:hint="eastAsia" w:ascii="宋体" w:hAnsi="宋体" w:eastAsia="宋体" w:cs="宋体"/>
          <w:b w:val="0"/>
          <w:bCs w:val="0"/>
          <w:color w:val="auto"/>
          <w:spacing w:val="0"/>
          <w:w w:val="100"/>
          <w:position w:val="0"/>
          <w:sz w:val="21"/>
          <w:szCs w:val="21"/>
          <w:highlight w:val="none"/>
          <w:u w:val="none"/>
          <w:lang w:eastAsia="zh-CN"/>
        </w:rPr>
        <w:t>。</w:t>
      </w:r>
    </w:p>
    <w:p w14:paraId="7CEC317B">
      <w:pPr>
        <w:keepNext w:val="0"/>
        <w:keepLines w:val="0"/>
        <w:pageBreakBefore w:val="0"/>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5</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9FC2D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0"/>
          <w:w w:val="100"/>
          <w:position w:val="0"/>
          <w:sz w:val="21"/>
          <w:szCs w:val="21"/>
          <w:highlight w:val="none"/>
        </w:rPr>
        <w:t>6</w:t>
      </w:r>
      <w:r>
        <w:rPr>
          <w:rFonts w:hint="eastAsia" w:ascii="宋体" w:hAnsi="宋体" w:eastAsia="宋体"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对在“信用中国”网站(www.creditchina.gov.cn) 、中国政府采购网(www.ccgp.gov.cn)被列入失信被执行人、重大税收违法</w:t>
      </w:r>
      <w:r>
        <w:rPr>
          <w:rFonts w:hint="eastAsia" w:ascii="宋体" w:hAnsi="宋体" w:eastAsia="宋体" w:cs="宋体"/>
          <w:color w:val="auto"/>
          <w:spacing w:val="0"/>
          <w:w w:val="100"/>
          <w:position w:val="0"/>
          <w:sz w:val="21"/>
          <w:szCs w:val="21"/>
          <w:highlight w:val="none"/>
          <w:lang w:eastAsia="zh-CN"/>
        </w:rPr>
        <w:t>失信主体</w:t>
      </w:r>
      <w:r>
        <w:rPr>
          <w:rFonts w:hint="eastAsia" w:ascii="宋体" w:hAnsi="宋体" w:eastAsia="宋体" w:cs="宋体"/>
          <w:color w:val="auto"/>
          <w:spacing w:val="0"/>
          <w:w w:val="100"/>
          <w:position w:val="0"/>
          <w:sz w:val="21"/>
          <w:szCs w:val="21"/>
          <w:highlight w:val="none"/>
        </w:rPr>
        <w:t>、政府采购严重违法失信行为记录名单及其他不符合《中华人民共和国政府采购法》第二十二条规定条件的供应商，不得参与政府采购活动。</w:t>
      </w:r>
    </w:p>
    <w:p w14:paraId="630163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15"/>
      <w:bookmarkEnd w:id="16"/>
      <w:bookmarkEnd w:id="17"/>
      <w:bookmarkEnd w:id="18"/>
    </w:p>
    <w:p w14:paraId="396E069D">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bookmarkStart w:id="24" w:name="_Toc28359082"/>
      <w:bookmarkStart w:id="25" w:name="_Toc35393624"/>
      <w:bookmarkStart w:id="26" w:name="_Toc28359005"/>
      <w:bookmarkStart w:id="27" w:name="_Toc35393793"/>
      <w:r>
        <w:rPr>
          <w:rFonts w:hint="eastAsia" w:ascii="宋体" w:hAnsi="宋体" w:eastAsia="宋体" w:cs="宋体"/>
          <w:color w:val="auto"/>
          <w:szCs w:val="21"/>
          <w:highlight w:val="none"/>
        </w:rPr>
        <w:t>时间：自公告发布之日起。</w:t>
      </w:r>
    </w:p>
    <w:p w14:paraId="22B359C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获取方式</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1"/>
          <w:highlight w:val="none"/>
        </w:rPr>
        <w:t>网上下载。本项目不发放纸质采购文件，</w:t>
      </w:r>
      <w:r>
        <w:rPr>
          <w:rFonts w:hint="eastAsia" w:ascii="宋体" w:hAnsi="宋体" w:eastAsia="宋体" w:cs="宋体"/>
          <w:color w:val="auto"/>
          <w:szCs w:val="21"/>
          <w:highlight w:val="none"/>
        </w:rPr>
        <w:t>供应商可自行在</w:t>
      </w:r>
      <w:r>
        <w:rPr>
          <w:rFonts w:hint="eastAsia" w:ascii="宋体" w:hAnsi="宋体"/>
          <w:color w:val="auto"/>
          <w:szCs w:val="21"/>
          <w:highlight w:val="none"/>
        </w:rPr>
        <w:t>广西政府采购云平台（https://www.gcy.zfcg.gxzf.gov.cn/）下载采购文件</w:t>
      </w:r>
      <w:r>
        <w:rPr>
          <w:rFonts w:hint="eastAsia" w:ascii="宋体" w:hAnsi="宋体" w:eastAsia="宋体" w:cs="宋体"/>
          <w:color w:val="auto"/>
          <w:szCs w:val="21"/>
          <w:highlight w:val="none"/>
        </w:rPr>
        <w:t>（操作路径：登录</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-项目采购-获取采购文件-找到本项目-点击“申请获取采购文件”），电子响应文件制作需要基于</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）获取的采购文件编制。</w:t>
      </w:r>
    </w:p>
    <w:p w14:paraId="7EC78B65">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0810F1EC">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24"/>
      <w:bookmarkEnd w:id="25"/>
      <w:bookmarkEnd w:id="26"/>
      <w:bookmarkEnd w:id="27"/>
      <w:r>
        <w:rPr>
          <w:rFonts w:hint="eastAsia" w:ascii="宋体" w:hAnsi="宋体" w:eastAsia="宋体" w:cs="宋体"/>
          <w:b/>
          <w:bCs/>
          <w:color w:val="auto"/>
          <w:sz w:val="24"/>
          <w:highlight w:val="none"/>
        </w:rPr>
        <w:t>响应文件提交</w:t>
      </w:r>
    </w:p>
    <w:p w14:paraId="2D16AEE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1.首次响应文件提交截止时间</w:t>
      </w:r>
      <w:r>
        <w:rPr>
          <w:rFonts w:hint="eastAsia" w:ascii="宋体" w:hAnsi="宋体" w:eastAsia="宋体" w:cs="宋体"/>
          <w:bCs/>
          <w:color w:val="auto"/>
          <w:szCs w:val="21"/>
          <w:highlight w:val="none"/>
        </w:rPr>
        <w:t>（北京时间）：</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w:t>
      </w:r>
    </w:p>
    <w:p w14:paraId="3CA49B4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2.首次响应文件提交地点：</w:t>
      </w:r>
    </w:p>
    <w:p w14:paraId="382395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（1）响应文件提交方式：本项目为南宁市全流程电子化项目，通过</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https://www.gcy.zfcg.gxzf.gov.cn/</w:t>
      </w:r>
      <w:r>
        <w:rPr>
          <w:rFonts w:hint="eastAsia" w:ascii="宋体" w:hAnsi="宋体" w:eastAsia="宋体" w:cs="宋体"/>
          <w:color w:val="auto"/>
          <w:szCs w:val="21"/>
          <w:highlight w:val="none"/>
        </w:rPr>
        <w:t>）实行在线电子响应，供应商应先安装“政采云电子交易客户端”（请自行前往</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进行下载），并按照本项目采购文件和</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eastAsia="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提交电子版响应文件时，请填写参加远程采购活动经办人联系方式，</w:t>
      </w:r>
      <w:r>
        <w:rPr>
          <w:rFonts w:hint="eastAsia" w:ascii="宋体" w:hAnsi="宋体" w:eastAsia="宋体" w:cs="宋体"/>
          <w:color w:val="auto"/>
          <w:szCs w:val="21"/>
          <w:highlight w:val="none"/>
        </w:rPr>
        <w:t>电子响应文件具体操作流程详见本公告附件。</w:t>
      </w:r>
    </w:p>
    <w:p w14:paraId="2D4AEA11">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）及响应文件的提交。完成CA数字证书办理预计7日左右，供应商只需办理其中一家CA数字证书及签章。</w:t>
      </w:r>
    </w:p>
    <w:p w14:paraId="0D2E82AA">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801F21E">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2EBA8F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3.CA证书在线解密：首次响应文件开启时，</w:t>
      </w:r>
      <w:r>
        <w:rPr>
          <w:rFonts w:hint="eastAsia" w:ascii="宋体" w:hAnsi="宋体" w:cs="宋体"/>
          <w:b/>
          <w:bCs/>
          <w:color w:val="auto"/>
          <w:kern w:val="0"/>
          <w:szCs w:val="21"/>
          <w:highlight w:val="none"/>
          <w:lang w:val="en-US" w:eastAsia="zh-CN"/>
        </w:rPr>
        <w:t>须</w:t>
      </w:r>
      <w:r>
        <w:rPr>
          <w:rFonts w:hint="eastAsia" w:ascii="宋体" w:hAnsi="宋体" w:eastAsia="宋体" w:cs="宋体"/>
          <w:b/>
          <w:bCs/>
          <w:color w:val="auto"/>
          <w:kern w:val="0"/>
          <w:szCs w:val="21"/>
          <w:highlight w:val="none"/>
          <w:lang w:eastAsia="zh-CN"/>
        </w:rPr>
        <w:t>要</w:t>
      </w:r>
      <w:r>
        <w:rPr>
          <w:rFonts w:hint="eastAsia" w:ascii="宋体" w:hAnsi="宋体" w:eastAsia="宋体" w:cs="宋体"/>
          <w:b/>
          <w:bCs/>
          <w:color w:val="auto"/>
          <w:kern w:val="0"/>
          <w:szCs w:val="21"/>
          <w:highlight w:val="none"/>
        </w:rPr>
        <w:t>供应商携带制作响应文件时用来加密的有效数字证书（CA认证）登录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电子开标大厅现场按规定时间对加密的响应文件进行解密，未能按要求进行解密的，由此产生的后果由</w:t>
      </w:r>
      <w:r>
        <w:rPr>
          <w:rFonts w:hint="eastAsia" w:ascii="宋体" w:hAnsi="宋体" w:cs="宋体"/>
          <w:color w:val="auto"/>
          <w:kern w:val="0"/>
          <w:szCs w:val="21"/>
          <w:highlight w:val="none"/>
          <w:lang w:val="en-US" w:eastAsia="zh-CN"/>
        </w:rPr>
        <w:t>供应商</w:t>
      </w:r>
      <w:r>
        <w:rPr>
          <w:rFonts w:hint="eastAsia" w:ascii="宋体" w:hAnsi="宋体" w:eastAsia="宋体" w:cs="宋体"/>
          <w:color w:val="auto"/>
          <w:kern w:val="0"/>
          <w:szCs w:val="21"/>
          <w:highlight w:val="none"/>
        </w:rPr>
        <w:t>自行承担。</w:t>
      </w:r>
    </w:p>
    <w:p w14:paraId="45ED89C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远程开标大厅参与本次磋商，否则后果自负。</w:t>
      </w:r>
    </w:p>
    <w:p w14:paraId="2C738F90">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C66C6C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eastAsia="zh-CN"/>
        </w:rPr>
        <w:t>20</w:t>
      </w:r>
      <w:r>
        <w:rPr>
          <w:rFonts w:hint="eastAsia" w:ascii="宋体" w:hAnsi="宋体" w:cs="宋体"/>
          <w:color w:val="auto"/>
          <w:szCs w:val="21"/>
          <w:highlight w:val="none"/>
          <w:u w:val="single"/>
          <w:lang w:val="en-US" w:eastAsia="zh-CN"/>
        </w:rPr>
        <w:t>26</w:t>
      </w:r>
      <w:r>
        <w:rPr>
          <w:rFonts w:hint="eastAsia" w:ascii="宋体" w:hAnsi="宋体" w:cs="宋体"/>
          <w:color w:val="auto"/>
          <w:szCs w:val="21"/>
          <w:highlight w:val="none"/>
          <w:u w:val="single"/>
          <w:lang w:eastAsia="zh-CN"/>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lang w:eastAsia="zh-CN"/>
        </w:rPr>
        <w:t>日</w:t>
      </w:r>
      <w:r>
        <w:rPr>
          <w:rFonts w:hint="eastAsia" w:ascii="宋体" w:hAnsi="宋体" w:cs="宋体"/>
          <w:color w:val="auto"/>
          <w:szCs w:val="21"/>
          <w:highlight w:val="none"/>
          <w:u w:val="single"/>
          <w:lang w:val="en-US" w:eastAsia="zh-CN"/>
        </w:rPr>
        <w:t>10时00分</w:t>
      </w:r>
      <w:r>
        <w:rPr>
          <w:rFonts w:hint="eastAsia" w:ascii="宋体" w:hAnsi="宋体" w:eastAsia="宋体" w:cs="宋体"/>
          <w:color w:val="auto"/>
          <w:szCs w:val="21"/>
          <w:highlight w:val="none"/>
        </w:rPr>
        <w:t>后</w:t>
      </w:r>
    </w:p>
    <w:p w14:paraId="6E5C41A1">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w:t>
      </w:r>
      <w:r>
        <w:rPr>
          <w:rFonts w:hint="eastAsia" w:ascii="宋体" w:hAnsi="宋体"/>
          <w:color w:val="auto"/>
          <w:szCs w:val="21"/>
          <w:highlight w:val="none"/>
          <w:u w:val="single"/>
        </w:rPr>
        <w:t>广西政府采购云平台远程开标大厅</w:t>
      </w:r>
    </w:p>
    <w:p w14:paraId="25AF39BF">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28" w:name="_Toc28359084"/>
      <w:bookmarkStart w:id="29" w:name="_Toc35393625"/>
      <w:bookmarkStart w:id="30" w:name="_Toc28359007"/>
      <w:bookmarkStart w:id="31" w:name="_Toc35393794"/>
      <w:r>
        <w:rPr>
          <w:rFonts w:hint="eastAsia" w:ascii="宋体" w:hAnsi="宋体" w:eastAsia="宋体" w:cs="宋体"/>
          <w:b/>
          <w:bCs/>
          <w:color w:val="auto"/>
          <w:sz w:val="24"/>
          <w:highlight w:val="none"/>
        </w:rPr>
        <w:t>六、公告期限</w:t>
      </w:r>
      <w:bookmarkEnd w:id="28"/>
      <w:bookmarkEnd w:id="29"/>
      <w:bookmarkEnd w:id="30"/>
      <w:bookmarkEnd w:id="31"/>
    </w:p>
    <w:p w14:paraId="5C551DD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个工作日。</w:t>
      </w:r>
    </w:p>
    <w:p w14:paraId="499BB078">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
          <w:bCs/>
          <w:color w:val="auto"/>
          <w:sz w:val="24"/>
          <w:highlight w:val="none"/>
        </w:rPr>
      </w:pPr>
      <w:bookmarkStart w:id="32" w:name="_Toc35393626"/>
      <w:bookmarkStart w:id="33" w:name="_Toc35393795"/>
      <w:r>
        <w:rPr>
          <w:rFonts w:hint="eastAsia" w:ascii="宋体" w:hAnsi="宋体" w:eastAsia="宋体" w:cs="宋体"/>
          <w:b/>
          <w:bCs/>
          <w:color w:val="auto"/>
          <w:sz w:val="24"/>
          <w:highlight w:val="none"/>
        </w:rPr>
        <w:t>七、其他补充事宜</w:t>
      </w:r>
      <w:bookmarkEnd w:id="32"/>
      <w:bookmarkEnd w:id="33"/>
    </w:p>
    <w:p w14:paraId="35E558C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1.磋商保证金：本项目不收取磋商保证金</w:t>
      </w:r>
    </w:p>
    <w:p w14:paraId="2B5E7554">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2.采购意向公开链接：</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6"/>
      </w:tblGrid>
      <w:tr w14:paraId="1D93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tcPr>
          <w:p w14:paraId="405834A6">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auto"/>
                <w:kern w:val="0"/>
                <w:szCs w:val="21"/>
                <w:highlight w:val="none"/>
                <w:vertAlign w:val="baseline"/>
              </w:rPr>
            </w:pPr>
            <w:r>
              <w:rPr>
                <w:rFonts w:hint="eastAsia" w:ascii="宋体" w:hAnsi="宋体" w:eastAsia="宋体" w:cs="宋体"/>
                <w:color w:val="auto"/>
                <w:kern w:val="0"/>
                <w:szCs w:val="21"/>
                <w:highlight w:val="none"/>
              </w:rPr>
              <w:t>http://www.ccgp-guangxi.gov.cn/site/detail?parentId=66485&amp;articleId=FxTZCoQVwhyLR92iYOHeAA==</w:t>
            </w:r>
          </w:p>
        </w:tc>
      </w:tr>
    </w:tbl>
    <w:p w14:paraId="5E5B688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bookmarkStart w:id="34" w:name="_Hlk37429585"/>
      <w:r>
        <w:rPr>
          <w:rFonts w:hint="eastAsia" w:ascii="宋体" w:hAnsi="宋体" w:eastAsia="宋体" w:cs="宋体"/>
          <w:color w:val="auto"/>
          <w:kern w:val="0"/>
          <w:szCs w:val="21"/>
          <w:highlight w:val="none"/>
        </w:rPr>
        <w:t>3.</w:t>
      </w:r>
      <w:bookmarkStart w:id="35" w:name="_Hlk37429595"/>
      <w:r>
        <w:rPr>
          <w:rFonts w:hint="eastAsia" w:ascii="宋体" w:hAnsi="宋体" w:eastAsia="宋体" w:cs="宋体"/>
          <w:color w:val="auto"/>
          <w:kern w:val="0"/>
          <w:szCs w:val="21"/>
          <w:highlight w:val="none"/>
        </w:rPr>
        <w:t>网上查询地址</w:t>
      </w:r>
    </w:p>
    <w:bookmarkEnd w:id="34"/>
    <w:bookmarkEnd w:id="35"/>
    <w:p w14:paraId="30F7B36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eastAsia="宋体" w:cs="宋体"/>
          <w:color w:val="auto"/>
          <w:kern w:val="0"/>
          <w:szCs w:val="21"/>
          <w:highlight w:val="none"/>
          <w:lang w:eastAsia="zh-CN"/>
        </w:rPr>
      </w:pPr>
      <w:bookmarkStart w:id="36" w:name="_Hlk37429674"/>
      <w:r>
        <w:rPr>
          <w:rFonts w:ascii="宋体" w:hAnsi="宋体"/>
          <w:color w:val="auto"/>
          <w:szCs w:val="21"/>
          <w:highlight w:val="none"/>
        </w:rPr>
        <w:t>http://www.ccgp.gov.cn/（中国政府采购网）、http://www.ccgp-guangxi.gov.cn/ (广西壮族自治区政府采购网)、http://ggzy.jgswj.gxzf.gov.cn/nnggzy/（全国公共资源交易平台（广西.南宁））、http://www.gxjhgczx.com/（广西佳鸿工程技术有限公司网）</w:t>
      </w:r>
      <w:r>
        <w:rPr>
          <w:rFonts w:hint="eastAsia" w:ascii="宋体" w:hAnsi="宋体" w:cs="宋体"/>
          <w:color w:val="auto"/>
          <w:kern w:val="0"/>
          <w:szCs w:val="21"/>
          <w:highlight w:val="none"/>
          <w:lang w:val="en-US" w:eastAsia="zh-CN"/>
        </w:rPr>
        <w:t>。</w:t>
      </w:r>
    </w:p>
    <w:p w14:paraId="1C608BA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本项目需要落实的政府采购政策</w:t>
      </w:r>
    </w:p>
    <w:bookmarkEnd w:id="36"/>
    <w:p w14:paraId="00B9286C">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461A05E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1C3A77F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160BA812">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E7A17B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政府采购支持监狱企业发展。</w:t>
      </w:r>
    </w:p>
    <w:p w14:paraId="2F43EBC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扶持不发达地区和少数民族地区政策。</w:t>
      </w:r>
    </w:p>
    <w:p w14:paraId="3706A585">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且应当在采购响应截止时间之前，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3E97D5B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6.若对项目采购电子交易系统操作有疑问，可登录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（https://www.gcy.zfcg.gxzf.gov.cn/），点击右侧咨询小采，获取采小蜜智能服务管家帮助，或拨打政采云服务热线</w:t>
      </w:r>
      <w:r>
        <w:rPr>
          <w:rFonts w:hint="eastAsia" w:ascii="宋体" w:hAnsi="宋体" w:eastAsia="宋体" w:cs="宋体"/>
          <w:color w:val="auto"/>
          <w:kern w:val="0"/>
          <w:szCs w:val="21"/>
          <w:highlight w:val="none"/>
          <w:lang w:val="en-US" w:eastAsia="zh-CN"/>
        </w:rPr>
        <w:t>95763</w:t>
      </w:r>
      <w:r>
        <w:rPr>
          <w:rFonts w:hint="eastAsia" w:ascii="宋体" w:hAnsi="宋体" w:eastAsia="宋体" w:cs="宋体"/>
          <w:color w:val="auto"/>
          <w:kern w:val="0"/>
          <w:szCs w:val="21"/>
          <w:highlight w:val="none"/>
        </w:rPr>
        <w:t xml:space="preserve">获取热线服务帮助。 </w:t>
      </w:r>
    </w:p>
    <w:p w14:paraId="33C97187">
      <w:pPr>
        <w:keepNext w:val="0"/>
        <w:keepLines w:val="0"/>
        <w:pageBreakBefore w:val="0"/>
        <w:kinsoku/>
        <w:wordWrap/>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491D587C">
      <w:pPr>
        <w:keepNext w:val="0"/>
        <w:keepLines w:val="0"/>
        <w:pageBreakBefore w:val="0"/>
        <w:kinsoku/>
        <w:wordWrap/>
        <w:overflowPunct/>
        <w:topLinePunct w:val="0"/>
        <w:autoSpaceDE/>
        <w:autoSpaceDN/>
        <w:bidi w:val="0"/>
        <w:adjustRightInd/>
        <w:spacing w:line="440" w:lineRule="exact"/>
        <w:ind w:firstLine="735" w:firstLineChars="350"/>
        <w:jc w:val="left"/>
        <w:textAlignment w:val="auto"/>
        <w:rPr>
          <w:rFonts w:hint="eastAsia" w:ascii="宋体" w:hAnsi="宋体" w:eastAsia="宋体" w:cs="宋体"/>
          <w:color w:val="auto"/>
          <w:szCs w:val="21"/>
          <w:highlight w:val="none"/>
        </w:rPr>
      </w:pPr>
      <w:bookmarkStart w:id="37" w:name="_Toc20817"/>
      <w:bookmarkStart w:id="38" w:name="_Toc24059"/>
      <w:bookmarkStart w:id="39" w:name="_Toc15775"/>
      <w:r>
        <w:rPr>
          <w:rFonts w:hint="eastAsia" w:ascii="宋体" w:hAnsi="宋体" w:eastAsia="宋体" w:cs="宋体"/>
          <w:color w:val="auto"/>
          <w:szCs w:val="21"/>
          <w:highlight w:val="none"/>
        </w:rPr>
        <w:t>1.采购人信息</w:t>
      </w:r>
    </w:p>
    <w:p w14:paraId="169CB51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隆安县丁当镇人民政府</w:t>
      </w:r>
    </w:p>
    <w:p w14:paraId="5A987086">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隆安县丁当镇朝阳街24号</w:t>
      </w:r>
    </w:p>
    <w:p w14:paraId="6BF92123">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cs="宋体"/>
          <w:color w:val="auto"/>
          <w:highlight w:val="none"/>
          <w:lang w:eastAsia="zh-CN"/>
        </w:rPr>
        <w:t>凌伟力</w:t>
      </w:r>
    </w:p>
    <w:p w14:paraId="2F8A1059">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0771-6692832</w:t>
      </w:r>
    </w:p>
    <w:p w14:paraId="298E8E38">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14:paraId="48CCF257">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广西佳鸿工程技术有限公司</w:t>
      </w:r>
    </w:p>
    <w:p w14:paraId="272FB857">
      <w:pPr>
        <w:keepNext w:val="0"/>
        <w:keepLines w:val="0"/>
        <w:pageBreakBefore w:val="0"/>
        <w:kinsoku/>
        <w:wordWrap/>
        <w:overflowPunct/>
        <w:topLinePunct w:val="0"/>
        <w:autoSpaceDE/>
        <w:autoSpaceDN/>
        <w:bidi w:val="0"/>
        <w:adjustRightInd/>
        <w:spacing w:line="440" w:lineRule="exact"/>
        <w:ind w:left="1457" w:leftChars="370" w:hanging="680" w:hangingChars="324"/>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lang w:eastAsia="zh-CN"/>
        </w:rPr>
        <w:t>南宁市隆安县那桐镇侨康路6号06栋整栋</w:t>
      </w:r>
    </w:p>
    <w:p w14:paraId="7CBCA16A">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马伏杰、黄春霞</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0771-6509080</w:t>
      </w:r>
    </w:p>
    <w:p w14:paraId="04A34BDD">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p>
    <w:p w14:paraId="6380CA2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eastAsia="zh-CN"/>
        </w:rPr>
        <w:t>马伏杰、黄春霞</w:t>
      </w:r>
    </w:p>
    <w:p w14:paraId="4EDCF36C">
      <w:pPr>
        <w:keepNext w:val="0"/>
        <w:keepLines w:val="0"/>
        <w:pageBreakBefore w:val="0"/>
        <w:kinsoku/>
        <w:wordWrap/>
        <w:overflowPunct/>
        <w:topLinePunct w:val="0"/>
        <w:autoSpaceDE/>
        <w:autoSpaceDN/>
        <w:bidi w:val="0"/>
        <w:adjustRightInd/>
        <w:spacing w:line="440" w:lineRule="exact"/>
        <w:ind w:left="1041" w:leftChars="371" w:hanging="262" w:hangingChars="125"/>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w:t>
      </w:r>
      <w:r>
        <w:rPr>
          <w:rFonts w:hint="eastAsia" w:ascii="宋体" w:hAnsi="宋体" w:cs="宋体"/>
          <w:color w:val="auto"/>
          <w:szCs w:val="21"/>
          <w:highlight w:val="none"/>
          <w:lang w:eastAsia="zh-CN"/>
        </w:rPr>
        <w:t>0771-6509080</w:t>
      </w:r>
    </w:p>
    <w:p w14:paraId="3BD0CEC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rPr>
      </w:pPr>
    </w:p>
    <w:p w14:paraId="6172131A">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附件：</w:t>
      </w:r>
    </w:p>
    <w:p w14:paraId="17F63228">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color w:val="auto"/>
          <w:szCs w:val="21"/>
          <w:highlight w:val="none"/>
        </w:rPr>
        <w:t>CA证书申请方式及操作指南下载地址（</w:t>
      </w:r>
      <w:r>
        <w:rPr>
          <w:rFonts w:hint="eastAsia" w:ascii="宋体" w:hAnsi="宋体"/>
          <w:color w:val="auto"/>
          <w:szCs w:val="21"/>
          <w:highlight w:val="none"/>
          <w:lang w:eastAsia="zh-CN"/>
        </w:rPr>
        <w:t>登录http</w:t>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“广西政采云西部</w:t>
      </w:r>
      <w:r>
        <w:rPr>
          <w:color w:val="auto"/>
          <w:highlight w:val="none"/>
        </w:rPr>
        <w:t>CA</w:t>
      </w:r>
      <w:r>
        <w:rPr>
          <w:rFonts w:hint="eastAsia"/>
          <w:color w:val="auto"/>
          <w:highlight w:val="none"/>
        </w:rPr>
        <w:t>办理方式”或“南宁市政采云</w:t>
      </w:r>
      <w:r>
        <w:rPr>
          <w:color w:val="auto"/>
          <w:highlight w:val="none"/>
        </w:rPr>
        <w:t>CA</w:t>
      </w:r>
      <w:r>
        <w:rPr>
          <w:rFonts w:hint="eastAsia"/>
          <w:color w:val="auto"/>
          <w:highlight w:val="none"/>
        </w:rPr>
        <w:t>证书办理操作指南”</w:t>
      </w:r>
      <w:r>
        <w:rPr>
          <w:rFonts w:hint="eastAsia" w:ascii="宋体" w:hAnsi="宋体"/>
          <w:color w:val="auto"/>
          <w:szCs w:val="21"/>
          <w:highlight w:val="none"/>
        </w:rPr>
        <w:t>）</w:t>
      </w:r>
    </w:p>
    <w:p w14:paraId="20DDE40C">
      <w:pPr>
        <w:pStyle w:val="10"/>
        <w:keepNext w:val="0"/>
        <w:keepLines w:val="0"/>
        <w:pageBreakBefore w:val="0"/>
        <w:kinsoku/>
        <w:wordWrap/>
        <w:overflowPunct/>
        <w:topLinePunct w:val="0"/>
        <w:autoSpaceDE/>
        <w:autoSpaceDN/>
        <w:bidi w:val="0"/>
        <w:adjustRightInd/>
        <w:spacing w:line="44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color w:val="auto"/>
          <w:szCs w:val="21"/>
          <w:highlight w:val="none"/>
        </w:rPr>
        <w:t>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Style w:val="31"/>
          <w:color w:val="auto"/>
          <w:highlight w:val="none"/>
        </w:rPr>
        <w:t>http://nncz.nanning.gov.cn/</w:t>
      </w:r>
      <w:r>
        <w:rPr>
          <w:color w:val="auto"/>
          <w:highlight w:val="none"/>
        </w:rPr>
        <w:fldChar w:fldCharType="end"/>
      </w:r>
      <w:r>
        <w:rPr>
          <w:rFonts w:hint="eastAsia"/>
          <w:color w:val="auto"/>
          <w:highlight w:val="none"/>
        </w:rPr>
        <w:t>（南宁市财政局官网）</w:t>
      </w:r>
      <w:r>
        <w:rPr>
          <w:rFonts w:hint="eastAsia"/>
          <w:color w:val="auto"/>
          <w:highlight w:val="none"/>
          <w:lang w:eastAsia="zh-CN"/>
        </w:rPr>
        <w:t>－</w:t>
      </w:r>
      <w:r>
        <w:rPr>
          <w:rFonts w:hint="eastAsia"/>
          <w:color w:val="auto"/>
          <w:highlight w:val="none"/>
        </w:rPr>
        <w:t>业务专题</w:t>
      </w:r>
      <w:r>
        <w:rPr>
          <w:rFonts w:hint="eastAsia"/>
          <w:color w:val="auto"/>
          <w:highlight w:val="none"/>
          <w:lang w:eastAsia="zh-CN"/>
        </w:rPr>
        <w:t>－</w:t>
      </w:r>
      <w:r>
        <w:rPr>
          <w:rFonts w:hint="eastAsia"/>
          <w:color w:val="auto"/>
          <w:highlight w:val="none"/>
        </w:rPr>
        <w:t>政府采购监督管理</w:t>
      </w:r>
      <w:r>
        <w:rPr>
          <w:rFonts w:hint="eastAsia"/>
          <w:color w:val="auto"/>
          <w:highlight w:val="none"/>
          <w:lang w:eastAsia="zh-CN"/>
        </w:rPr>
        <w:t>－</w:t>
      </w:r>
      <w:r>
        <w:rPr>
          <w:rFonts w:hint="eastAsia"/>
          <w:color w:val="auto"/>
          <w:highlight w:val="none"/>
        </w:rPr>
        <w:t>资料下载</w:t>
      </w:r>
      <w:r>
        <w:rPr>
          <w:rFonts w:hint="eastAsia"/>
          <w:color w:val="auto"/>
          <w:highlight w:val="none"/>
          <w:lang w:eastAsia="zh-CN"/>
        </w:rPr>
        <w:t>－</w:t>
      </w:r>
      <w:r>
        <w:rPr>
          <w:rFonts w:hint="eastAsia"/>
          <w:color w:val="auto"/>
          <w:highlight w:val="none"/>
        </w:rPr>
        <w:t>南宁市政府采购项目全流程电子化交易操作指南</w:t>
      </w:r>
      <w:r>
        <w:rPr>
          <w:rFonts w:hint="eastAsia" w:ascii="宋体" w:hAnsi="宋体"/>
          <w:color w:val="auto"/>
          <w:szCs w:val="21"/>
          <w:highlight w:val="none"/>
        </w:rPr>
        <w:t>）</w:t>
      </w:r>
    </w:p>
    <w:p w14:paraId="29C98499">
      <w:pPr>
        <w:pStyle w:val="10"/>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auto"/>
          <w:szCs w:val="21"/>
          <w:highlight w:val="none"/>
          <w:lang w:eastAsia="zh-CN"/>
        </w:rPr>
      </w:pPr>
    </w:p>
    <w:p w14:paraId="038E5AA7">
      <w:pPr>
        <w:pStyle w:val="10"/>
        <w:keepNext w:val="0"/>
        <w:keepLines w:val="0"/>
        <w:pageBreakBefore w:val="0"/>
        <w:kinsoku/>
        <w:wordWrap/>
        <w:overflowPunct/>
        <w:topLinePunct w:val="0"/>
        <w:autoSpaceDE/>
        <w:autoSpaceDN/>
        <w:bidi w:val="0"/>
        <w:adjustRightInd/>
        <w:spacing w:line="440" w:lineRule="exact"/>
        <w:ind w:firstLine="420" w:firstLineChars="200"/>
        <w:jc w:val="righ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广西佳鸿工程技术有限公司</w:t>
      </w:r>
    </w:p>
    <w:p w14:paraId="66D028D7">
      <w:pPr>
        <w:keepNext w:val="0"/>
        <w:keepLines w:val="0"/>
        <w:pageBreakBefore w:val="0"/>
        <w:kinsoku/>
        <w:wordWrap/>
        <w:overflowPunct/>
        <w:topLinePunct w:val="0"/>
        <w:autoSpaceDE/>
        <w:autoSpaceDN/>
        <w:bidi w:val="0"/>
        <w:adjustRightInd/>
        <w:spacing w:line="440" w:lineRule="exact"/>
        <w:ind w:firstLine="420" w:firstLineChars="200"/>
        <w:jc w:val="center"/>
        <w:textAlignment w:val="auto"/>
        <w:rPr>
          <w:rFonts w:hint="default" w:ascii="宋体" w:hAnsi="宋体" w:eastAsia="宋体" w:cs="宋体"/>
          <w:color w:val="auto"/>
          <w:szCs w:val="21"/>
          <w:highlight w:val="none"/>
          <w:lang w:val="en-US" w:eastAsia="zh-CN"/>
        </w:rPr>
        <w:sectPr>
          <w:footerReference r:id="rId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start="1"/>
          <w:cols w:space="720" w:num="1"/>
        </w:sect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24</w:t>
      </w:r>
      <w:bookmarkStart w:id="295" w:name="_GoBack"/>
      <w:bookmarkEnd w:id="295"/>
      <w:r>
        <w:rPr>
          <w:rFonts w:hint="eastAsia" w:ascii="宋体" w:hAnsi="宋体" w:cs="宋体"/>
          <w:color w:val="auto"/>
          <w:szCs w:val="21"/>
          <w:highlight w:val="none"/>
          <w:lang w:val="en-US" w:eastAsia="zh-CN"/>
        </w:rPr>
        <w:t>日</w:t>
      </w:r>
    </w:p>
    <w:p w14:paraId="27F5B4F1">
      <w:pPr>
        <w:pStyle w:val="2"/>
        <w:spacing w:line="360" w:lineRule="auto"/>
        <w:jc w:val="center"/>
        <w:rPr>
          <w:rFonts w:hint="eastAsia" w:ascii="宋体" w:hAnsi="宋体" w:eastAsia="宋体" w:cs="宋体"/>
          <w:b/>
          <w:bCs/>
          <w:color w:val="auto"/>
          <w:highlight w:val="none"/>
          <w:lang w:val="en-US" w:eastAsia="zh-CN"/>
        </w:rPr>
      </w:pPr>
      <w:bookmarkStart w:id="40" w:name="_Toc5115"/>
      <w:bookmarkStart w:id="41" w:name="_Toc7539"/>
      <w:bookmarkStart w:id="42" w:name="_Toc3078"/>
      <w:bookmarkStart w:id="43" w:name="_Toc10591"/>
      <w:r>
        <w:rPr>
          <w:rFonts w:hint="eastAsia" w:ascii="宋体" w:hAnsi="宋体" w:eastAsia="宋体" w:cs="宋体"/>
          <w:b/>
          <w:bCs/>
          <w:color w:val="auto"/>
          <w:highlight w:val="none"/>
        </w:rPr>
        <w:t xml:space="preserve">第二章 </w:t>
      </w:r>
      <w:r>
        <w:rPr>
          <w:rFonts w:hint="eastAsia" w:ascii="宋体" w:hAnsi="宋体" w:eastAsia="宋体" w:cs="宋体"/>
          <w:b/>
          <w:bCs/>
          <w:color w:val="auto"/>
          <w:highlight w:val="none"/>
          <w:lang w:val="en-US" w:eastAsia="zh-CN"/>
        </w:rPr>
        <w:t>采购需求</w:t>
      </w:r>
      <w:bookmarkEnd w:id="37"/>
      <w:bookmarkEnd w:id="38"/>
      <w:bookmarkEnd w:id="39"/>
      <w:bookmarkEnd w:id="40"/>
      <w:bookmarkEnd w:id="41"/>
      <w:bookmarkEnd w:id="42"/>
      <w:bookmarkEnd w:id="43"/>
    </w:p>
    <w:p w14:paraId="410177A4">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说明：</w:t>
      </w:r>
    </w:p>
    <w:p w14:paraId="508FB07D">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olor w:val="auto"/>
          <w:highlight w:val="none"/>
        </w:rPr>
        <w:t>1. 为落实政府采购政策需满足的要求</w:t>
      </w:r>
    </w:p>
    <w:p w14:paraId="6AC55BEF">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334E95D4">
      <w:pPr>
        <w:keepNext w:val="0"/>
        <w:keepLines w:val="0"/>
        <w:pageBreakBefore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ascii="宋体" w:hAnsi="宋体" w:cs="宋体"/>
          <w:b/>
          <w:b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21F30DF2">
      <w:pPr>
        <w:keepNext w:val="0"/>
        <w:keepLines w:val="0"/>
        <w:pageBreakBefore w:val="0"/>
        <w:kinsoku/>
        <w:wordWrap/>
        <w:overflowPunct/>
        <w:topLinePunct w:val="0"/>
        <w:autoSpaceDE/>
        <w:autoSpaceDN/>
        <w:bidi w:val="0"/>
        <w:adjustRightInd/>
        <w:snapToGrid/>
        <w:spacing w:line="400" w:lineRule="exact"/>
        <w:ind w:firstLine="413" w:firstLineChars="196"/>
        <w:textAlignment w:val="auto"/>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r>
        <w:rPr>
          <w:rFonts w:hint="eastAsia" w:ascii="宋体" w:hAnsi="宋体" w:cs="宋体"/>
          <w:b/>
          <w:color w:val="auto"/>
          <w:szCs w:val="21"/>
          <w:highlight w:val="none"/>
        </w:rPr>
        <w:t>本项目凡标注“▲”的条款或要求不响应或不满足的，其响应文件即作无效竞标处理。</w:t>
      </w:r>
    </w:p>
    <w:p w14:paraId="1CE7D5F5">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highlight w:val="none"/>
        </w:rPr>
      </w:pPr>
      <w:r>
        <w:rPr>
          <w:rFonts w:hint="eastAsia" w:ascii="宋体" w:hAnsi="宋体" w:cs="宋体"/>
          <w:color w:val="auto"/>
          <w:szCs w:val="21"/>
          <w:highlight w:val="none"/>
        </w:rPr>
        <w:t xml:space="preserve">3. </w:t>
      </w:r>
      <w:r>
        <w:rPr>
          <w:rFonts w:hint="eastAsia" w:ascii="宋体" w:hAnsi="宋体"/>
          <w:color w:val="auto"/>
          <w:highlight w:val="none"/>
        </w:rPr>
        <w:t>如投标人投标</w:t>
      </w:r>
      <w:r>
        <w:rPr>
          <w:rFonts w:ascii="宋体" w:hAnsi="宋体"/>
          <w:color w:val="auto"/>
          <w:highlight w:val="none"/>
        </w:rPr>
        <w:t>产品</w:t>
      </w:r>
      <w:r>
        <w:rPr>
          <w:rFonts w:hint="eastAsia" w:ascii="宋体" w:hAnsi="宋体"/>
          <w:color w:val="auto"/>
          <w:highlight w:val="none"/>
        </w:rPr>
        <w:t>存在</w:t>
      </w:r>
      <w:r>
        <w:rPr>
          <w:rFonts w:ascii="宋体" w:hAnsi="宋体"/>
          <w:color w:val="auto"/>
          <w:highlight w:val="none"/>
        </w:rPr>
        <w:t>侵犯</w:t>
      </w:r>
      <w:r>
        <w:rPr>
          <w:rFonts w:hint="eastAsia" w:ascii="宋体" w:hAnsi="宋体"/>
          <w:color w:val="auto"/>
          <w:highlight w:val="none"/>
        </w:rPr>
        <w:t>他人的知识产权或者专利成果行为的，应</w:t>
      </w:r>
      <w:r>
        <w:rPr>
          <w:rFonts w:ascii="宋体" w:hAnsi="宋体"/>
          <w:color w:val="auto"/>
          <w:highlight w:val="none"/>
        </w:rPr>
        <w:t>承担相应法律责任</w:t>
      </w:r>
      <w:r>
        <w:rPr>
          <w:rFonts w:hint="eastAsia" w:ascii="宋体" w:hAnsi="宋体"/>
          <w:color w:val="auto"/>
          <w:highlight w:val="none"/>
        </w:rPr>
        <w:t>。</w:t>
      </w:r>
    </w:p>
    <w:p w14:paraId="2AB8B6C0">
      <w:pPr>
        <w:outlineLvl w:val="9"/>
        <w:rPr>
          <w:rFonts w:hint="eastAsia" w:ascii="宋体" w:hAnsi="宋体"/>
          <w:color w:val="auto"/>
          <w:highlight w:val="none"/>
        </w:rPr>
      </w:pPr>
    </w:p>
    <w:p w14:paraId="214C7024">
      <w:pPr>
        <w:outlineLvl w:val="9"/>
        <w:rPr>
          <w:rFonts w:hint="eastAsia" w:ascii="宋体" w:hAnsi="宋体"/>
          <w:color w:val="auto"/>
          <w:highlight w:val="none"/>
        </w:rPr>
      </w:pPr>
    </w:p>
    <w:p w14:paraId="2621C038">
      <w:pPr>
        <w:outlineLvl w:val="9"/>
        <w:rPr>
          <w:rFonts w:hint="eastAsia" w:ascii="宋体" w:hAnsi="宋体"/>
          <w:color w:val="auto"/>
          <w:highlight w:val="none"/>
        </w:rPr>
      </w:pPr>
    </w:p>
    <w:p w14:paraId="56FD25F9">
      <w:pPr>
        <w:outlineLvl w:val="9"/>
        <w:rPr>
          <w:rFonts w:hint="eastAsia" w:ascii="宋体" w:hAnsi="宋体"/>
          <w:color w:val="auto"/>
          <w:highlight w:val="none"/>
        </w:rPr>
      </w:pPr>
    </w:p>
    <w:p w14:paraId="12178783">
      <w:pPr>
        <w:outlineLvl w:val="9"/>
        <w:rPr>
          <w:rFonts w:hint="eastAsia" w:ascii="宋体" w:hAnsi="宋体"/>
          <w:color w:val="auto"/>
          <w:highlight w:val="none"/>
        </w:rPr>
      </w:pPr>
    </w:p>
    <w:p w14:paraId="52399EE2">
      <w:pPr>
        <w:outlineLvl w:val="9"/>
        <w:rPr>
          <w:rFonts w:hint="eastAsia" w:ascii="宋体" w:hAnsi="宋体"/>
          <w:color w:val="auto"/>
          <w:highlight w:val="none"/>
        </w:rPr>
      </w:pPr>
    </w:p>
    <w:p w14:paraId="05B76DBE">
      <w:pPr>
        <w:outlineLvl w:val="9"/>
        <w:rPr>
          <w:rFonts w:hint="eastAsia" w:ascii="宋体" w:hAnsi="宋体"/>
          <w:color w:val="auto"/>
          <w:highlight w:val="none"/>
        </w:rPr>
      </w:pPr>
    </w:p>
    <w:p w14:paraId="5296EFAA">
      <w:pPr>
        <w:outlineLvl w:val="9"/>
        <w:rPr>
          <w:rFonts w:hint="eastAsia"/>
          <w:color w:val="auto"/>
          <w:highlight w:val="none"/>
        </w:rPr>
      </w:pPr>
    </w:p>
    <w:p w14:paraId="28B6E5D0">
      <w:pPr>
        <w:outlineLvl w:val="9"/>
        <w:rPr>
          <w:rFonts w:hint="eastAsia" w:ascii="宋体" w:hAnsi="宋体"/>
          <w:color w:val="auto"/>
          <w:highlight w:val="none"/>
        </w:rPr>
      </w:pPr>
    </w:p>
    <w:p w14:paraId="3E5232E2">
      <w:pPr>
        <w:outlineLvl w:val="9"/>
        <w:rPr>
          <w:rFonts w:hint="eastAsia" w:ascii="宋体" w:hAnsi="宋体"/>
          <w:color w:val="auto"/>
          <w:highlight w:val="none"/>
        </w:rPr>
      </w:pPr>
    </w:p>
    <w:p w14:paraId="280D4BE6">
      <w:pPr>
        <w:pStyle w:val="33"/>
        <w:rPr>
          <w:rFonts w:hint="eastAsia" w:ascii="宋体" w:hAnsi="宋体"/>
          <w:color w:val="auto"/>
          <w:highlight w:val="none"/>
        </w:rPr>
      </w:pPr>
    </w:p>
    <w:p w14:paraId="204BF880">
      <w:pPr>
        <w:pStyle w:val="33"/>
        <w:rPr>
          <w:rFonts w:hint="eastAsia" w:ascii="宋体" w:hAnsi="宋体"/>
          <w:color w:val="auto"/>
          <w:highlight w:val="none"/>
        </w:rPr>
      </w:pPr>
    </w:p>
    <w:p w14:paraId="5E8FFCD2">
      <w:pPr>
        <w:pStyle w:val="33"/>
        <w:rPr>
          <w:rFonts w:hint="eastAsia" w:ascii="宋体" w:hAnsi="宋体"/>
          <w:color w:val="auto"/>
          <w:highlight w:val="none"/>
        </w:rPr>
      </w:pPr>
    </w:p>
    <w:p w14:paraId="2EEFC841">
      <w:pPr>
        <w:outlineLvl w:val="9"/>
        <w:rPr>
          <w:rFonts w:hint="eastAsia" w:ascii="宋体" w:hAnsi="宋体"/>
          <w:color w:val="auto"/>
          <w:highlight w:val="none"/>
        </w:rPr>
      </w:pPr>
    </w:p>
    <w:p w14:paraId="672DEA6E">
      <w:pPr>
        <w:outlineLvl w:val="9"/>
        <w:rPr>
          <w:rFonts w:hint="eastAsia"/>
          <w:color w:val="auto"/>
          <w:highlight w:val="none"/>
        </w:rPr>
      </w:pPr>
    </w:p>
    <w:p w14:paraId="51A6C52D">
      <w:pPr>
        <w:outlineLvl w:val="9"/>
        <w:rPr>
          <w:rFonts w:hint="eastAsia"/>
          <w:color w:val="auto"/>
          <w:highlight w:val="none"/>
        </w:rPr>
      </w:pPr>
    </w:p>
    <w:p w14:paraId="79464E75">
      <w:pPr>
        <w:outlineLvl w:val="9"/>
        <w:rPr>
          <w:rFonts w:hint="eastAsia" w:ascii="宋体" w:hAnsi="宋体"/>
          <w:color w:val="auto"/>
          <w:highlight w:val="none"/>
        </w:rPr>
      </w:pPr>
    </w:p>
    <w:tbl>
      <w:tblPr>
        <w:tblStyle w:val="27"/>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990"/>
        <w:gridCol w:w="464"/>
        <w:gridCol w:w="436"/>
        <w:gridCol w:w="4500"/>
        <w:gridCol w:w="1380"/>
        <w:gridCol w:w="1163"/>
      </w:tblGrid>
      <w:tr w14:paraId="2779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41238B7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color w:val="auto"/>
                <w:sz w:val="32"/>
                <w:szCs w:val="32"/>
                <w:highlight w:val="none"/>
              </w:rPr>
            </w:pPr>
            <w:r>
              <w:rPr>
                <w:rFonts w:hint="eastAsia" w:ascii="宋体" w:hAnsi="宋体" w:cs="Arial"/>
                <w:b/>
                <w:color w:val="auto"/>
                <w:sz w:val="32"/>
                <w:szCs w:val="32"/>
                <w:highlight w:val="none"/>
              </w:rPr>
              <w:t>采购需求一览表</w:t>
            </w:r>
          </w:p>
        </w:tc>
      </w:tr>
      <w:tr w14:paraId="0392E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75B0B3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047BC5B">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序号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31A77C2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标的的名称</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3EB69315">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单位</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7DD100F8">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数量</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55CFF14C">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Cs w:val="21"/>
                <w:highlight w:val="none"/>
              </w:rPr>
            </w:pPr>
            <w:r>
              <w:rPr>
                <w:rFonts w:hint="eastAsia" w:ascii="宋体" w:hAnsi="宋体" w:eastAsia="宋体" w:cs="宋体"/>
                <w:color w:val="auto"/>
                <w:szCs w:val="21"/>
                <w:highlight w:val="none"/>
              </w:rPr>
              <w:t>工程概况及采购范围</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0E56F29">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b w:val="0"/>
                <w:bCs/>
                <w:color w:val="auto"/>
                <w:szCs w:val="21"/>
                <w:highlight w:val="none"/>
                <w:lang w:val="en-US" w:eastAsia="zh-CN"/>
              </w:rPr>
            </w:pPr>
            <w:r>
              <w:rPr>
                <w:rFonts w:hint="eastAsia" w:ascii="宋体" w:hAnsi="宋体"/>
                <w:b w:val="0"/>
                <w:bCs/>
                <w:color w:val="auto"/>
                <w:sz w:val="20"/>
                <w:szCs w:val="20"/>
                <w:highlight w:val="none"/>
                <w:lang w:val="en-US" w:eastAsia="zh-CN"/>
              </w:rPr>
              <w:t>预算金额（元）</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9B8F214">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val="0"/>
                <w:bCs/>
                <w:color w:val="auto"/>
                <w:szCs w:val="21"/>
                <w:highlight w:val="none"/>
              </w:rPr>
            </w:pPr>
            <w:r>
              <w:rPr>
                <w:rFonts w:hint="eastAsia" w:ascii="宋体" w:hAnsi="宋体"/>
                <w:b w:val="0"/>
                <w:bCs/>
                <w:color w:val="auto"/>
                <w:sz w:val="15"/>
                <w:szCs w:val="15"/>
                <w:highlight w:val="none"/>
              </w:rPr>
              <w:t>中小企业划分标准所属行业名称（行业名称及划分见本章附件2）</w:t>
            </w:r>
          </w:p>
        </w:tc>
      </w:tr>
      <w:tr w14:paraId="4267B4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03296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bCs/>
                <w:color w:val="auto"/>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397C635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1</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41CFB3B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 xml:space="preserve">隆安县丁当镇保湾村农田水利设施项目（驮湾屯、农怀屯） </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64495D3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b w:val="0"/>
                <w:bCs w:val="0"/>
                <w:color w:val="auto"/>
                <w:szCs w:val="21"/>
                <w:highlight w:val="none"/>
              </w:rPr>
            </w:pPr>
            <w:r>
              <w:rPr>
                <w:rFonts w:hint="eastAsia" w:ascii="宋体" w:hAnsi="宋体"/>
                <w:b w:val="0"/>
                <w:bCs w:val="0"/>
                <w:color w:val="auto"/>
                <w:szCs w:val="21"/>
                <w:highlight w:val="none"/>
              </w:rPr>
              <w:t>项</w:t>
            </w:r>
          </w:p>
        </w:tc>
        <w:tc>
          <w:tcPr>
            <w:tcW w:w="436" w:type="dxa"/>
            <w:tcBorders>
              <w:top w:val="single" w:color="auto" w:sz="4" w:space="0"/>
              <w:left w:val="single" w:color="auto" w:sz="4" w:space="0"/>
              <w:bottom w:val="single" w:color="auto" w:sz="4" w:space="0"/>
              <w:right w:val="single" w:color="auto" w:sz="4" w:space="0"/>
            </w:tcBorders>
            <w:noWrap w:val="0"/>
            <w:vAlign w:val="center"/>
          </w:tcPr>
          <w:p w14:paraId="0A4D883E">
            <w:pPr>
              <w:spacing w:line="480" w:lineRule="exac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4500" w:type="dxa"/>
            <w:tcBorders>
              <w:top w:val="single" w:color="auto" w:sz="4" w:space="0"/>
              <w:left w:val="single" w:color="auto" w:sz="4" w:space="0"/>
              <w:bottom w:val="single" w:color="auto" w:sz="4" w:space="0"/>
              <w:right w:val="single" w:color="auto" w:sz="4" w:space="0"/>
            </w:tcBorders>
            <w:noWrap w:val="0"/>
            <w:vAlign w:val="center"/>
          </w:tcPr>
          <w:p w14:paraId="7CE6CB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eastAsia="宋体" w:cs="宋体"/>
                <w:b/>
                <w:bCs/>
                <w:color w:val="auto"/>
                <w:szCs w:val="21"/>
                <w:highlight w:val="none"/>
              </w:rPr>
              <w:t>1.</w:t>
            </w:r>
            <w:r>
              <w:rPr>
                <w:rFonts w:hint="eastAsia"/>
                <w:b/>
                <w:bCs/>
                <w:color w:val="auto"/>
                <w:highlight w:val="none"/>
              </w:rPr>
              <w:t>工程概况</w:t>
            </w:r>
            <w:r>
              <w:rPr>
                <w:rFonts w:hint="eastAsia"/>
                <w:b/>
                <w:bCs/>
                <w:color w:val="auto"/>
                <w:highlight w:val="none"/>
                <w:lang w:eastAsia="zh-CN"/>
              </w:rPr>
              <w:t>及</w:t>
            </w:r>
            <w:r>
              <w:rPr>
                <w:rFonts w:hint="eastAsia" w:ascii="宋体" w:hAnsi="宋体" w:eastAsia="宋体" w:cs="宋体"/>
                <w:b/>
                <w:bCs/>
                <w:color w:val="auto"/>
                <w:szCs w:val="21"/>
                <w:highlight w:val="none"/>
                <w:lang w:val="en-US" w:eastAsia="zh-CN"/>
              </w:rPr>
              <w:t>采购</w:t>
            </w:r>
            <w:r>
              <w:rPr>
                <w:rFonts w:hint="eastAsia" w:ascii="宋体" w:hAnsi="宋体" w:eastAsia="宋体" w:cs="宋体"/>
                <w:b/>
                <w:bCs/>
                <w:color w:val="auto"/>
                <w:szCs w:val="21"/>
                <w:highlight w:val="none"/>
              </w:rPr>
              <w:t>范围</w:t>
            </w:r>
            <w:r>
              <w:rPr>
                <w:rFonts w:hint="eastAsia"/>
                <w:b/>
                <w:bCs/>
                <w:color w:val="auto"/>
                <w:highlight w:val="none"/>
              </w:rPr>
              <w:t>：</w:t>
            </w:r>
            <w:r>
              <w:rPr>
                <w:rFonts w:hint="eastAsia" w:ascii="宋体" w:hAnsi="宋体" w:eastAsia="宋体" w:cs="宋体"/>
                <w:b w:val="0"/>
                <w:bCs w:val="0"/>
                <w:color w:val="auto"/>
                <w:highlight w:val="none"/>
                <w:lang w:val="en-US" w:eastAsia="zh-CN"/>
              </w:rPr>
              <w:t xml:space="preserve"> </w:t>
            </w:r>
            <w:r>
              <w:rPr>
                <w:rFonts w:hint="eastAsia" w:ascii="宋体" w:hAnsi="宋体" w:cs="宋体"/>
                <w:b w:val="0"/>
                <w:bCs w:val="0"/>
                <w:color w:val="auto"/>
                <w:highlight w:val="none"/>
                <w:lang w:val="en-US" w:eastAsia="zh-CN"/>
              </w:rPr>
              <w:t>本项目改建排灌渠道7条长1.515km,采用现浇C20砼,过路涵6座,机械盖板3座,排灌缺口50个,渠道标志贴砖14块,项目标志碑1座,新建泵站1座,更换水泵1台,上水管2条32m,输水管2条1897m,输电线495m,电线杆9根,电压器1台,镇墩10个,闸阀2座,排气阀1座,排泥阀1座。</w:t>
            </w:r>
            <w:r>
              <w:rPr>
                <w:rFonts w:hint="eastAsia" w:ascii="宋体" w:hAnsi="宋体" w:eastAsia="宋体" w:cs="宋体"/>
                <w:b w:val="0"/>
                <w:bCs w:val="0"/>
                <w:color w:val="auto"/>
                <w:highlight w:val="none"/>
                <w:lang w:val="en-US" w:eastAsia="zh-CN"/>
              </w:rPr>
              <w:t>具体内容详见施工图纸及工程量清单所包含的内容。</w:t>
            </w:r>
          </w:p>
          <w:p w14:paraId="721475D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rPr>
              <w:t>建设地点：</w:t>
            </w:r>
            <w:r>
              <w:rPr>
                <w:rFonts w:hint="eastAsia" w:ascii="宋体" w:hAnsi="宋体"/>
                <w:color w:val="auto"/>
                <w:szCs w:val="21"/>
                <w:highlight w:val="none"/>
                <w:lang w:eastAsia="zh-CN"/>
              </w:rPr>
              <w:t>南宁市隆安县保湾村</w:t>
            </w:r>
            <w:r>
              <w:rPr>
                <w:rFonts w:hint="eastAsia" w:ascii="宋体" w:hAnsi="宋体" w:eastAsia="宋体" w:cs="宋体"/>
                <w:color w:val="auto"/>
                <w:szCs w:val="21"/>
                <w:highlight w:val="none"/>
                <w:lang w:val="en-US" w:eastAsia="zh-CN"/>
              </w:rPr>
              <w:t>。</w:t>
            </w:r>
          </w:p>
          <w:p w14:paraId="29F62F3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bCs/>
                <w:color w:val="auto"/>
                <w:szCs w:val="21"/>
                <w:highlight w:val="none"/>
                <w:lang w:eastAsia="zh-CN"/>
              </w:rPr>
            </w:pPr>
            <w:r>
              <w:rPr>
                <w:rFonts w:hint="eastAsia" w:ascii="宋体" w:hAnsi="宋体" w:eastAsia="宋体" w:cs="宋体"/>
                <w:b/>
                <w:bCs/>
                <w:color w:val="auto"/>
                <w:szCs w:val="21"/>
                <w:highlight w:val="none"/>
              </w:rPr>
              <w:t>3</w:t>
            </w:r>
            <w:r>
              <w:rPr>
                <w:rFonts w:hint="eastAsia" w:ascii="宋体" w:hAnsi="宋体" w:cs="宋体"/>
                <w:b/>
                <w:bCs/>
                <w:color w:val="auto"/>
                <w:szCs w:val="21"/>
                <w:highlight w:val="none"/>
                <w:lang w:eastAsia="zh-CN"/>
              </w:rPr>
              <w:t>.工程建设地点的现场条件：</w:t>
            </w:r>
          </w:p>
          <w:p w14:paraId="07188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（1）现场自然条件：满足施工要求。</w:t>
            </w:r>
          </w:p>
          <w:p w14:paraId="1B4582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（2）现场施工条件：符合施工要求。</w:t>
            </w:r>
          </w:p>
          <w:p w14:paraId="35745E0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Times New Roman"/>
                <w:b/>
                <w:bCs/>
                <w:color w:val="auto"/>
                <w:kern w:val="0"/>
                <w:szCs w:val="21"/>
                <w:highlight w:val="none"/>
              </w:rPr>
              <w:t>人员最低配备要求</w:t>
            </w:r>
          </w:p>
          <w:p w14:paraId="0DE93BD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拟投入本工程的人员必须是本单位的在岗人员，并持有相应的执业资格证书，对相关人员的具体条件要求如下：</w:t>
            </w:r>
          </w:p>
          <w:p w14:paraId="6CF6180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（1）项目经理：持有贰级或贰级以上建造师注册证书，专业是水利水电工程专业（以建造师注册证书中“专业类别”栏所填写的专业为准）；持有省级或省级以上水行政主管部门或其授权部门（机构）颁发的 B 类安全生产考核合格证书。项目经理不得在任何在建工程中担任任何管理职务。</w:t>
            </w:r>
          </w:p>
          <w:p w14:paraId="6375F9CB">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（2）技术负责人：持有中级及以上技术职称，专业是水利水电工程类专业（专业以技术职称证书所填写专业为准）。</w:t>
            </w:r>
          </w:p>
          <w:p w14:paraId="298BD237">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（3）质量管理员：持有省级或省级以上水行政主管部门或其授权部门（机构）颁发的质量检查员证书。</w:t>
            </w:r>
          </w:p>
          <w:p w14:paraId="6BF24836">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（4）安全管理员：持有省级或省级以上水行政主管部门或其授权部门（机构）颁发的 c 类安全生产考核合格证书。</w:t>
            </w:r>
          </w:p>
          <w:p w14:paraId="13F53171">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（5）施工员：须持有工程施工员岗位证书。</w:t>
            </w:r>
          </w:p>
          <w:p w14:paraId="55CDF6A0">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（6）材料员：须持有工程材料员岗位证书。</w:t>
            </w:r>
          </w:p>
          <w:p w14:paraId="24D5DC22">
            <w:pPr>
              <w:keepNext w:val="0"/>
              <w:keepLines w:val="0"/>
              <w:pageBreakBefore w:val="0"/>
              <w:widowControl/>
              <w:kinsoku/>
              <w:wordWrap/>
              <w:overflowPunct/>
              <w:topLinePunct w:val="0"/>
              <w:autoSpaceDE/>
              <w:autoSpaceDN/>
              <w:bidi w:val="0"/>
              <w:adjustRightInd/>
              <w:snapToGrid/>
              <w:spacing w:line="312" w:lineRule="auto"/>
              <w:ind w:firstLine="420" w:firstLineChars="200"/>
              <w:textAlignment w:val="auto"/>
              <w:rPr>
                <w:rFonts w:hint="eastAsia" w:ascii="宋体" w:hAnsi="宋体" w:cs="宋体"/>
                <w:b w:val="0"/>
                <w:bCs w:val="0"/>
                <w:color w:val="auto"/>
                <w:szCs w:val="21"/>
                <w:highlight w:val="none"/>
                <w:lang w:eastAsia="zh-CN"/>
              </w:rPr>
            </w:pPr>
            <w:r>
              <w:rPr>
                <w:rFonts w:hint="eastAsia" w:ascii="宋体" w:hAnsi="宋体"/>
                <w:color w:val="auto"/>
                <w:kern w:val="0"/>
                <w:szCs w:val="21"/>
                <w:highlight w:val="none"/>
                <w:lang w:val="en-US" w:eastAsia="zh-CN"/>
              </w:rPr>
              <w:t>上述（1）~（6）项人员应附相关证书的复印件，并提供上述人员[2025年12月至2026年05月]期间连续三个月依法缴纳社会保障资金的缴费凭证复印件。</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72C16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798191.35</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D96AA9B">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建筑业</w:t>
            </w:r>
          </w:p>
        </w:tc>
      </w:tr>
      <w:tr w14:paraId="24D4A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C023D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0164DB4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▲一、合同签订期：自成交通知书发出之日起25日内</w:t>
            </w:r>
            <w:r>
              <w:rPr>
                <w:rFonts w:hint="eastAsia" w:ascii="宋体" w:hAnsi="宋体" w:cs="Times New Roman"/>
                <w:color w:val="auto"/>
                <w:szCs w:val="21"/>
                <w:highlight w:val="none"/>
                <w:lang w:val="en-US" w:eastAsia="zh-CN"/>
              </w:rPr>
              <w:t>。</w:t>
            </w:r>
          </w:p>
          <w:p w14:paraId="23585F51">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w:t>
            </w:r>
            <w:r>
              <w:rPr>
                <w:rFonts w:hint="eastAsia" w:ascii="宋体" w:hAnsi="宋体" w:eastAsia="宋体" w:cs="宋体"/>
                <w:color w:val="auto"/>
                <w:szCs w:val="21"/>
                <w:highlight w:val="none"/>
              </w:rPr>
              <w:t>合同履行期限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工期</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90日历天。</w:t>
            </w:r>
          </w:p>
          <w:p w14:paraId="0B7576CE">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、开工时间：具体以采购人（监理）开工令为准。</w:t>
            </w:r>
          </w:p>
          <w:p w14:paraId="27147FF5">
            <w:pPr>
              <w:spacing w:line="360" w:lineRule="auto"/>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olor w:val="auto"/>
                <w:szCs w:val="21"/>
                <w:highlight w:val="none"/>
                <w:lang w:eastAsia="zh-CN"/>
              </w:rPr>
              <w:t>四</w:t>
            </w:r>
            <w:r>
              <w:rPr>
                <w:rFonts w:hint="eastAsia" w:ascii="宋体" w:hAnsi="宋体"/>
                <w:color w:val="auto"/>
                <w:szCs w:val="21"/>
                <w:highlight w:val="none"/>
              </w:rPr>
              <w:t>、工程质量要求：达到国家施工验收规范合格标准。</w:t>
            </w:r>
          </w:p>
          <w:p w14:paraId="4730FA6A">
            <w:pPr>
              <w:spacing w:line="360" w:lineRule="auto"/>
              <w:rPr>
                <w:rFonts w:hint="eastAsia" w:ascii="宋体" w:hAnsi="宋体"/>
                <w:color w:val="auto"/>
                <w:highlight w:val="none"/>
              </w:rPr>
            </w:pPr>
            <w:r>
              <w:rPr>
                <w:rFonts w:hint="eastAsia" w:ascii="宋体" w:hAnsi="宋体" w:eastAsia="宋体" w:cs="Times New Roman"/>
                <w:color w:val="auto"/>
                <w:szCs w:val="21"/>
                <w:highlight w:val="none"/>
              </w:rPr>
              <w:t>▲</w:t>
            </w:r>
            <w:r>
              <w:rPr>
                <w:rFonts w:hint="eastAsia" w:ascii="宋体" w:hAnsi="宋体"/>
                <w:color w:val="auto"/>
                <w:highlight w:val="none"/>
                <w:lang w:eastAsia="zh-CN"/>
              </w:rPr>
              <w:t>五</w:t>
            </w:r>
            <w:r>
              <w:rPr>
                <w:rFonts w:hint="eastAsia" w:ascii="宋体" w:hAnsi="宋体"/>
                <w:color w:val="auto"/>
                <w:highlight w:val="none"/>
              </w:rPr>
              <w:t>、售后服务</w:t>
            </w:r>
            <w:r>
              <w:rPr>
                <w:rFonts w:hint="eastAsia" w:ascii="宋体" w:hAnsi="宋体" w:eastAsia="宋体" w:cs="Times New Roman"/>
                <w:color w:val="auto"/>
                <w:szCs w:val="21"/>
                <w:highlight w:val="none"/>
                <w:lang w:val="en-US" w:eastAsia="zh-CN"/>
              </w:rPr>
              <w:t>要求</w:t>
            </w:r>
            <w:r>
              <w:rPr>
                <w:rFonts w:hint="eastAsia" w:ascii="宋体" w:hAnsi="宋体"/>
                <w:color w:val="auto"/>
                <w:highlight w:val="none"/>
              </w:rPr>
              <w:t>：</w:t>
            </w:r>
          </w:p>
          <w:p w14:paraId="6F084E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1.处理问题响应时间：接到采购人处理问题通知后2小时内到达采购人指定现场。</w:t>
            </w:r>
          </w:p>
          <w:p w14:paraId="407362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2.成交人如需更换项目管理人员，需向采购人书面申请，经采购人审批许可，替换的人员所具备的资质不得低于原人员的资质。</w:t>
            </w:r>
          </w:p>
          <w:p w14:paraId="6D3B17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highlight w:val="none"/>
              </w:rPr>
            </w:pPr>
            <w:r>
              <w:rPr>
                <w:rFonts w:hint="eastAsia" w:ascii="宋体" w:hAnsi="宋体" w:eastAsia="宋体" w:cs="宋体"/>
                <w:color w:val="auto"/>
                <w:szCs w:val="21"/>
                <w:highlight w:val="none"/>
                <w:lang w:val="en-US" w:eastAsia="zh-CN"/>
              </w:rPr>
              <w:t>3.如因成交人原因导致本项目竣工验收不合格的，成交人应整改至通过竣工验收为止且自行承担相应的费用，采购人不另行支付费用。</w:t>
            </w:r>
            <w:r>
              <w:rPr>
                <w:rFonts w:hint="eastAsia" w:ascii="宋体" w:hAnsi="宋体" w:eastAsia="宋体" w:cs="宋体"/>
                <w:b/>
                <w:bCs/>
                <w:color w:val="auto"/>
                <w:szCs w:val="21"/>
                <w:highlight w:val="none"/>
                <w:lang w:val="en-US" w:eastAsia="zh-CN"/>
              </w:rPr>
              <w:t>如因成交人拒绝整改或经采购人书面通知整改</w:t>
            </w:r>
            <w:r>
              <w:rPr>
                <w:rFonts w:hint="eastAsia" w:ascii="宋体" w:hAnsi="宋体" w:cs="宋体"/>
                <w:b/>
                <w:bCs/>
                <w:color w:val="auto"/>
                <w:szCs w:val="21"/>
                <w:highlight w:val="none"/>
                <w:lang w:val="en-US" w:eastAsia="zh-CN"/>
              </w:rPr>
              <w:t>两</w:t>
            </w:r>
            <w:r>
              <w:rPr>
                <w:rFonts w:hint="eastAsia" w:ascii="宋体" w:hAnsi="宋体" w:eastAsia="宋体" w:cs="宋体"/>
                <w:b/>
                <w:bCs/>
                <w:color w:val="auto"/>
                <w:szCs w:val="21"/>
                <w:highlight w:val="none"/>
                <w:lang w:val="en-US" w:eastAsia="zh-CN"/>
              </w:rPr>
              <w:t>次仍不合格的，</w:t>
            </w:r>
            <w:r>
              <w:rPr>
                <w:rFonts w:hint="eastAsia" w:ascii="宋体" w:hAnsi="宋体" w:eastAsia="宋体" w:cs="宋体"/>
                <w:color w:val="auto"/>
                <w:szCs w:val="21"/>
                <w:highlight w:val="none"/>
                <w:lang w:val="en-US" w:eastAsia="zh-CN"/>
              </w:rPr>
              <w:t>采购人不予支付合同款项并按合同扣罚违约金。</w:t>
            </w:r>
          </w:p>
          <w:p w14:paraId="05ABD8E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六</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付款方式</w:t>
            </w:r>
            <w:r>
              <w:rPr>
                <w:rFonts w:hint="eastAsia" w:ascii="宋体" w:hAnsi="宋体" w:eastAsia="宋体" w:cs="Times New Roman"/>
                <w:color w:val="auto"/>
                <w:szCs w:val="21"/>
                <w:highlight w:val="none"/>
              </w:rPr>
              <w:t>：</w:t>
            </w:r>
          </w:p>
          <w:p w14:paraId="67FB0E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承包人缴纳合同履约保证金并设备人员进场施工后，支付合同价30%的预付款，工程竣工验收合格后，可申请工程款累计至合同工程量价款的90%。</w:t>
            </w:r>
          </w:p>
          <w:p w14:paraId="68E9CA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工程竣工验收合格并结算评审后，以评审审定的工程造价（按合同固定单价结算）拨付至97%，留存工程结算评审造价的3%作为工程质量保证金</w:t>
            </w:r>
            <w:r>
              <w:rPr>
                <w:rFonts w:hint="eastAsia" w:ascii="宋体" w:hAnsi="宋体" w:eastAsia="宋体" w:cs="宋体"/>
                <w:color w:val="auto"/>
                <w:szCs w:val="21"/>
                <w:highlight w:val="none"/>
                <w:lang w:val="en-US" w:eastAsia="zh-CN"/>
              </w:rPr>
              <w:t>。</w:t>
            </w:r>
          </w:p>
          <w:p w14:paraId="1D2E2333">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七</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报价要求</w:t>
            </w:r>
            <w:r>
              <w:rPr>
                <w:rFonts w:hint="eastAsia" w:ascii="宋体" w:hAnsi="宋体" w:eastAsia="宋体" w:cs="Times New Roman"/>
                <w:color w:val="auto"/>
                <w:szCs w:val="21"/>
                <w:highlight w:val="none"/>
              </w:rPr>
              <w:t>：</w:t>
            </w:r>
          </w:p>
          <w:p w14:paraId="3E3E840F">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2" w:firstLineChars="200"/>
              <w:textAlignment w:val="auto"/>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本项目采用工程量清单报价方式。磋商报价不得高于</w:t>
            </w:r>
            <w:r>
              <w:rPr>
                <w:rFonts w:hint="eastAsia" w:ascii="宋体" w:hAnsi="宋体" w:cs="宋体"/>
                <w:b/>
                <w:bCs/>
                <w:color w:val="auto"/>
                <w:szCs w:val="21"/>
                <w:highlight w:val="none"/>
                <w:lang w:val="en-US" w:eastAsia="zh-CN"/>
              </w:rPr>
              <w:t>预算金额或</w:t>
            </w:r>
            <w:r>
              <w:rPr>
                <w:rFonts w:hint="eastAsia" w:ascii="宋体" w:hAnsi="宋体" w:cs="宋体"/>
                <w:b/>
                <w:bCs/>
                <w:color w:val="auto"/>
                <w:szCs w:val="21"/>
                <w:highlight w:val="none"/>
              </w:rPr>
              <w:t>最高限价，否则竞标无效；最后报价与首次报价相比有调整的，供应商提交的最后报价必须包含已标价的工程量清单（上传格式必须为PDF格式），供应商须提前做好相关准备并按时递交最终报价文件，否则报价无效</w:t>
            </w:r>
            <w:r>
              <w:rPr>
                <w:rFonts w:hint="eastAsia" w:ascii="宋体" w:hAnsi="宋体" w:eastAsia="宋体" w:cs="宋体"/>
                <w:b/>
                <w:bCs/>
                <w:color w:val="auto"/>
                <w:szCs w:val="21"/>
                <w:highlight w:val="none"/>
              </w:rPr>
              <w:t>。</w:t>
            </w:r>
          </w:p>
          <w:p w14:paraId="5FCB394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报价必须包含以下部分，包括：</w:t>
            </w:r>
          </w:p>
          <w:p w14:paraId="43F413B1">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①满足本项目全部采购需求，包含投标服务、货物、工程的成本、运输（含保险）、安装（如有）、调试、检验、技术服务、培训等所有费用。</w:t>
            </w:r>
          </w:p>
          <w:p w14:paraId="46E88CB5">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hint="default"/>
                <w:color w:val="auto"/>
                <w:highlight w:val="none"/>
                <w:lang w:val="en-US" w:eastAsia="zh-CN"/>
              </w:rPr>
            </w:pPr>
            <w:r>
              <w:rPr>
                <w:rFonts w:hint="eastAsia" w:ascii="宋体" w:hAnsi="宋体" w:eastAsia="宋体" w:cs="Times New Roman"/>
                <w:color w:val="auto"/>
                <w:szCs w:val="21"/>
                <w:highlight w:val="none"/>
              </w:rPr>
              <w:t>②必要的保险费和各项税金</w:t>
            </w:r>
            <w:r>
              <w:rPr>
                <w:rFonts w:hint="eastAsia" w:ascii="宋体" w:hAnsi="宋体" w:cs="宋体"/>
                <w:color w:val="auto"/>
                <w:szCs w:val="21"/>
                <w:highlight w:val="none"/>
                <w:lang w:bidi="ar"/>
              </w:rPr>
              <w:t>（成交供应商需为该工程购买工程一切险）</w:t>
            </w:r>
            <w:r>
              <w:rPr>
                <w:rFonts w:hint="eastAsia" w:ascii="宋体" w:hAnsi="宋体" w:eastAsia="宋体" w:cs="Times New Roman"/>
                <w:color w:val="auto"/>
                <w:szCs w:val="21"/>
                <w:highlight w:val="none"/>
              </w:rPr>
              <w:t>。</w:t>
            </w:r>
          </w:p>
        </w:tc>
      </w:tr>
      <w:tr w14:paraId="7B9E9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A2AB01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olor w:val="auto"/>
                <w:szCs w:val="21"/>
                <w:highlight w:val="none"/>
              </w:rPr>
            </w:pPr>
            <w:r>
              <w:rPr>
                <w:rFonts w:hint="eastAsia" w:ascii="宋体" w:hAnsi="宋体"/>
                <w:color w:val="auto"/>
                <w:szCs w:val="21"/>
                <w:highlight w:val="none"/>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B2DDF52">
            <w:pPr>
              <w:tabs>
                <w:tab w:val="left" w:pos="180"/>
                <w:tab w:val="left" w:pos="1620"/>
              </w:tabs>
              <w:spacing w:line="400" w:lineRule="exact"/>
              <w:rPr>
                <w:rFonts w:hint="eastAsia"/>
                <w:color w:val="auto"/>
                <w:szCs w:val="21"/>
                <w:highlight w:val="none"/>
              </w:rPr>
            </w:pPr>
            <w:r>
              <w:rPr>
                <w:rFonts w:hint="eastAsia"/>
                <w:color w:val="auto"/>
                <w:szCs w:val="21"/>
                <w:highlight w:val="none"/>
              </w:rPr>
              <w:t>一、与本项目有关的设计图纸、技术规范、文件等附件资料及其获取方式（如有）</w:t>
            </w:r>
          </w:p>
          <w:p w14:paraId="4C49678B">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文件或者资料名称：工程量清单、图纸</w:t>
            </w:r>
          </w:p>
          <w:p w14:paraId="2ED68FA4">
            <w:pPr>
              <w:tabs>
                <w:tab w:val="left" w:pos="180"/>
                <w:tab w:val="left" w:pos="1620"/>
              </w:tabs>
              <w:spacing w:line="400" w:lineRule="exact"/>
              <w:ind w:firstLine="420" w:firstLineChars="200"/>
              <w:rPr>
                <w:rFonts w:hint="eastAsia"/>
                <w:color w:val="auto"/>
                <w:szCs w:val="21"/>
                <w:highlight w:val="none"/>
              </w:rPr>
            </w:pPr>
            <w:r>
              <w:rPr>
                <w:rFonts w:hint="eastAsia"/>
                <w:color w:val="auto"/>
                <w:szCs w:val="21"/>
                <w:highlight w:val="none"/>
              </w:rPr>
              <w:t>公布渠道或者获取方式：</w:t>
            </w:r>
            <w:r>
              <w:rPr>
                <w:rFonts w:hint="eastAsia"/>
                <w:color w:val="auto"/>
                <w:szCs w:val="21"/>
                <w:highlight w:val="none"/>
                <w:lang w:eastAsia="zh-CN"/>
              </w:rPr>
              <w:t>“广西政府采购云平台”</w:t>
            </w:r>
            <w:r>
              <w:rPr>
                <w:rFonts w:hint="eastAsia"/>
                <w:color w:val="auto"/>
                <w:szCs w:val="21"/>
                <w:highlight w:val="none"/>
              </w:rPr>
              <w:t>下载</w:t>
            </w:r>
          </w:p>
          <w:p w14:paraId="07961C6F">
            <w:pPr>
              <w:widowControl/>
              <w:shd w:val="clear" w:color="auto" w:fill="FFFFFF"/>
              <w:spacing w:line="400" w:lineRule="exact"/>
              <w:rPr>
                <w:rFonts w:hint="eastAsia"/>
                <w:color w:val="auto"/>
                <w:szCs w:val="21"/>
                <w:highlight w:val="none"/>
              </w:rPr>
            </w:pPr>
            <w:r>
              <w:rPr>
                <w:rFonts w:hint="eastAsia"/>
                <w:color w:val="auto"/>
                <w:szCs w:val="21"/>
                <w:highlight w:val="none"/>
                <w:lang w:eastAsia="zh-CN"/>
              </w:rPr>
              <w:t>二</w:t>
            </w:r>
            <w:r>
              <w:rPr>
                <w:rFonts w:hint="eastAsia"/>
                <w:color w:val="auto"/>
                <w:szCs w:val="21"/>
                <w:highlight w:val="none"/>
              </w:rPr>
              <w:t>、其他</w:t>
            </w:r>
          </w:p>
          <w:p w14:paraId="095BA269">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1、是否进行演示：否</w:t>
            </w:r>
          </w:p>
          <w:p w14:paraId="53B0620C">
            <w:pPr>
              <w:widowControl/>
              <w:shd w:val="clear" w:color="auto" w:fill="FFFFFF"/>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2、是否要求提供样品：否</w:t>
            </w:r>
          </w:p>
          <w:p w14:paraId="40188F93">
            <w:pPr>
              <w:pStyle w:val="51"/>
              <w:numPr>
                <w:ilvl w:val="0"/>
                <w:numId w:val="0"/>
              </w:numPr>
              <w:ind w:left="0" w:leftChars="0" w:firstLine="420" w:firstLineChars="200"/>
              <w:rPr>
                <w:rFonts w:ascii="宋体" w:hAnsi="宋体"/>
                <w:color w:val="auto"/>
                <w:szCs w:val="21"/>
                <w:highlight w:val="none"/>
              </w:rPr>
            </w:pPr>
            <w:r>
              <w:rPr>
                <w:rFonts w:hint="eastAsia" w:ascii="宋体" w:hAnsi="宋体" w:cs="宋体"/>
                <w:color w:val="auto"/>
                <w:sz w:val="21"/>
                <w:szCs w:val="21"/>
                <w:highlight w:val="none"/>
              </w:rPr>
              <w:t>3、是否现场踏勘：否</w:t>
            </w:r>
          </w:p>
        </w:tc>
      </w:tr>
    </w:tbl>
    <w:p w14:paraId="3DABE903">
      <w:pPr>
        <w:spacing w:line="360" w:lineRule="auto"/>
        <w:rPr>
          <w:rFonts w:hint="eastAsia" w:ascii="宋体" w:hAnsi="宋体" w:eastAsia="宋体" w:cs="宋体"/>
          <w:color w:val="auto"/>
          <w:sz w:val="32"/>
          <w:szCs w:val="32"/>
          <w:highlight w:val="none"/>
        </w:rPr>
        <w:sectPr>
          <w:footerReference r:id="rId10" w:type="default"/>
          <w:pgSz w:w="11906" w:h="16838"/>
          <w:pgMar w:top="1440" w:right="1080" w:bottom="1440" w:left="1080" w:header="720" w:footer="720" w:gutter="0"/>
          <w:pgBorders w:offsetFrom="page">
            <w:top w:val="none" w:sz="0" w:space="0"/>
            <w:left w:val="none" w:sz="0" w:space="0"/>
            <w:bottom w:val="none" w:sz="0" w:space="0"/>
            <w:right w:val="none" w:sz="0" w:space="0"/>
          </w:pgBorders>
          <w:pgNumType w:fmt="decimal"/>
          <w:cols w:space="720" w:num="1"/>
          <w:docGrid w:type="lines" w:linePitch="331" w:charSpace="0"/>
        </w:sectPr>
      </w:pPr>
    </w:p>
    <w:p w14:paraId="34F2433D">
      <w:pPr>
        <w:spacing w:line="428" w:lineRule="exact"/>
        <w:rPr>
          <w:rFonts w:ascii="Arial Unicode MS" w:hAnsi="Arial Unicode MS" w:eastAsia="Times New Roman" w:cs="Arial Unicode MS"/>
          <w:color w:val="auto"/>
          <w:sz w:val="17"/>
          <w:szCs w:val="17"/>
          <w:highlight w:val="none"/>
        </w:rPr>
      </w:pPr>
      <w:bookmarkStart w:id="44" w:name="_Toc30087"/>
      <w:bookmarkStart w:id="45" w:name="_Toc23956"/>
      <w:bookmarkStart w:id="46" w:name="_Toc17962"/>
      <w:r>
        <w:rPr>
          <w:rFonts w:hint="eastAsia" w:ascii="微软雅黑" w:hAnsi="微软雅黑" w:eastAsia="微软雅黑" w:cs="微软雅黑"/>
          <w:color w:val="auto"/>
          <w:sz w:val="32"/>
          <w:szCs w:val="32"/>
          <w:highlight w:val="none"/>
        </w:rPr>
        <w:t>附件</w:t>
      </w:r>
      <w:r>
        <w:rPr>
          <w:rFonts w:ascii="微软雅黑" w:hAnsi="微软雅黑" w:eastAsia="微软雅黑" w:cs="微软雅黑"/>
          <w:color w:val="auto"/>
          <w:sz w:val="32"/>
          <w:szCs w:val="32"/>
          <w:highlight w:val="none"/>
        </w:rPr>
        <w:t>1</w:t>
      </w:r>
      <w:r>
        <w:rPr>
          <w:rFonts w:hint="eastAsia" w:ascii="微软雅黑" w:hAnsi="微软雅黑" w:eastAsia="微软雅黑" w:cs="微软雅黑"/>
          <w:color w:val="auto"/>
          <w:sz w:val="32"/>
          <w:szCs w:val="32"/>
          <w:highlight w:val="none"/>
        </w:rPr>
        <w:t>：</w:t>
      </w:r>
    </w:p>
    <w:p w14:paraId="519CFC1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7"/>
        <w:tblW w:w="9469" w:type="dxa"/>
        <w:tblInd w:w="93" w:type="dxa"/>
        <w:tblLayout w:type="fixed"/>
        <w:tblCellMar>
          <w:top w:w="0" w:type="dxa"/>
          <w:left w:w="108" w:type="dxa"/>
          <w:bottom w:w="0" w:type="dxa"/>
          <w:right w:w="108" w:type="dxa"/>
        </w:tblCellMar>
      </w:tblPr>
      <w:tblGrid>
        <w:gridCol w:w="641"/>
        <w:gridCol w:w="1116"/>
        <w:gridCol w:w="1516"/>
        <w:gridCol w:w="1612"/>
        <w:gridCol w:w="4584"/>
      </w:tblGrid>
      <w:tr w14:paraId="38951E58">
        <w:trPr>
          <w:trHeight w:val="555" w:hRule="atLeast"/>
        </w:trPr>
        <w:tc>
          <w:tcPr>
            <w:tcW w:w="641" w:type="dxa"/>
            <w:tcBorders>
              <w:top w:val="single" w:color="000000" w:sz="8" w:space="0"/>
              <w:left w:val="single" w:color="000000" w:sz="8" w:space="0"/>
              <w:bottom w:val="single" w:color="000000" w:sz="8" w:space="0"/>
              <w:right w:val="single" w:color="000000" w:sz="8" w:space="0"/>
            </w:tcBorders>
            <w:noWrap w:val="0"/>
            <w:vAlign w:val="top"/>
          </w:tcPr>
          <w:p w14:paraId="7CAEF06A">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品目序号</w:t>
            </w:r>
          </w:p>
        </w:tc>
        <w:tc>
          <w:tcPr>
            <w:tcW w:w="4244" w:type="dxa"/>
            <w:gridSpan w:val="3"/>
            <w:tcBorders>
              <w:top w:val="single" w:color="000000" w:sz="8" w:space="0"/>
              <w:left w:val="nil"/>
              <w:bottom w:val="single" w:color="000000" w:sz="8" w:space="0"/>
              <w:right w:val="single" w:color="000000" w:sz="8" w:space="0"/>
            </w:tcBorders>
            <w:noWrap w:val="0"/>
            <w:vAlign w:val="center"/>
          </w:tcPr>
          <w:p w14:paraId="6C8A8B8E">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名称</w:t>
            </w:r>
          </w:p>
        </w:tc>
        <w:tc>
          <w:tcPr>
            <w:tcW w:w="4584" w:type="dxa"/>
            <w:tcBorders>
              <w:top w:val="single" w:color="000000" w:sz="8" w:space="0"/>
              <w:left w:val="nil"/>
              <w:bottom w:val="single" w:color="000000" w:sz="8" w:space="0"/>
              <w:right w:val="single" w:color="000000" w:sz="8" w:space="0"/>
            </w:tcBorders>
            <w:noWrap w:val="0"/>
            <w:vAlign w:val="center"/>
          </w:tcPr>
          <w:p w14:paraId="0D67F360">
            <w:pPr>
              <w:widowControl/>
              <w:jc w:val="center"/>
              <w:rPr>
                <w:rFonts w:ascii="宋体" w:cs="宋体"/>
                <w:b/>
                <w:bCs/>
                <w:color w:val="auto"/>
                <w:kern w:val="0"/>
                <w:sz w:val="22"/>
                <w:szCs w:val="22"/>
                <w:highlight w:val="none"/>
              </w:rPr>
            </w:pPr>
            <w:r>
              <w:rPr>
                <w:rFonts w:hint="eastAsia" w:ascii="宋体" w:cs="宋体"/>
                <w:b/>
                <w:bCs/>
                <w:color w:val="auto"/>
                <w:kern w:val="0"/>
                <w:sz w:val="22"/>
                <w:szCs w:val="22"/>
                <w:highlight w:val="none"/>
              </w:rPr>
              <w:t>依据的标准</w:t>
            </w:r>
          </w:p>
        </w:tc>
      </w:tr>
      <w:tr w14:paraId="67C4996F">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02FC23B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46DFF20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A020101计算机设备</w:t>
            </w:r>
          </w:p>
        </w:tc>
        <w:tc>
          <w:tcPr>
            <w:tcW w:w="1516" w:type="dxa"/>
            <w:tcBorders>
              <w:top w:val="nil"/>
              <w:left w:val="nil"/>
              <w:bottom w:val="single" w:color="000000" w:sz="8" w:space="0"/>
              <w:right w:val="single" w:color="000000" w:sz="8" w:space="0"/>
            </w:tcBorders>
            <w:noWrap w:val="0"/>
            <w:vAlign w:val="center"/>
          </w:tcPr>
          <w:p w14:paraId="65BA443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A02010104台式计算机</w:t>
            </w:r>
          </w:p>
        </w:tc>
        <w:tc>
          <w:tcPr>
            <w:tcW w:w="1612" w:type="dxa"/>
            <w:tcBorders>
              <w:top w:val="nil"/>
              <w:left w:val="nil"/>
              <w:bottom w:val="single" w:color="000000" w:sz="8" w:space="0"/>
              <w:right w:val="single" w:color="000000" w:sz="8" w:space="0"/>
            </w:tcBorders>
            <w:noWrap w:val="0"/>
            <w:vAlign w:val="center"/>
          </w:tcPr>
          <w:p w14:paraId="665DDCD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E224A3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E887A55">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4E1D100">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A5FB8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48297D3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A02010105便携式计算机</w:t>
            </w:r>
          </w:p>
        </w:tc>
        <w:tc>
          <w:tcPr>
            <w:tcW w:w="1612" w:type="dxa"/>
            <w:tcBorders>
              <w:top w:val="nil"/>
              <w:left w:val="nil"/>
              <w:bottom w:val="single" w:color="000000" w:sz="8" w:space="0"/>
              <w:right w:val="single" w:color="000000" w:sz="8" w:space="0"/>
            </w:tcBorders>
            <w:noWrap w:val="0"/>
            <w:vAlign w:val="center"/>
          </w:tcPr>
          <w:p w14:paraId="5EE9A85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2ED6C1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456875BD">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6FE0F3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67E83B8">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7B9D9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A02010107平板式微型计算机</w:t>
            </w:r>
          </w:p>
        </w:tc>
        <w:tc>
          <w:tcPr>
            <w:tcW w:w="1612" w:type="dxa"/>
            <w:tcBorders>
              <w:top w:val="nil"/>
              <w:left w:val="nil"/>
              <w:bottom w:val="single" w:color="000000" w:sz="8" w:space="0"/>
              <w:right w:val="single" w:color="000000" w:sz="8" w:space="0"/>
            </w:tcBorders>
            <w:noWrap w:val="0"/>
            <w:vAlign w:val="center"/>
          </w:tcPr>
          <w:p w14:paraId="7198541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42137C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《微型计算机能效限定值及能效等级》（</w:t>
            </w:r>
            <w:r>
              <w:rPr>
                <w:rFonts w:ascii="宋体" w:hAnsi="宋体" w:eastAsia="Times New Roman" w:cs="宋体"/>
                <w:color w:val="auto"/>
                <w:kern w:val="0"/>
                <w:sz w:val="20"/>
                <w:szCs w:val="20"/>
                <w:highlight w:val="none"/>
              </w:rPr>
              <w:t>GB28380）</w:t>
            </w:r>
          </w:p>
        </w:tc>
      </w:tr>
      <w:tr w14:paraId="71D8562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1D59E6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2</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2CB7E1E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A020106输入输出设备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2E47568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A02010601打印设备</w:t>
            </w:r>
          </w:p>
        </w:tc>
        <w:tc>
          <w:tcPr>
            <w:tcW w:w="1612" w:type="dxa"/>
            <w:tcBorders>
              <w:top w:val="nil"/>
              <w:left w:val="nil"/>
              <w:bottom w:val="single" w:color="000000" w:sz="8" w:space="0"/>
              <w:right w:val="single" w:color="000000" w:sz="8" w:space="0"/>
            </w:tcBorders>
            <w:noWrap w:val="0"/>
            <w:vAlign w:val="center"/>
          </w:tcPr>
          <w:p w14:paraId="3941320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A0201060101喷墨打印机</w:t>
            </w:r>
          </w:p>
        </w:tc>
        <w:tc>
          <w:tcPr>
            <w:tcW w:w="4584" w:type="dxa"/>
            <w:tcBorders>
              <w:top w:val="nil"/>
              <w:left w:val="nil"/>
              <w:bottom w:val="single" w:color="000000" w:sz="8" w:space="0"/>
              <w:right w:val="single" w:color="000000" w:sz="8" w:space="0"/>
            </w:tcBorders>
            <w:noWrap w:val="0"/>
            <w:vAlign w:val="center"/>
          </w:tcPr>
          <w:p w14:paraId="31A21BA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27BBE1A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CEAA9AF">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2525B055">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24B4D24">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891B4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A0201060102激光打印机</w:t>
            </w:r>
          </w:p>
        </w:tc>
        <w:tc>
          <w:tcPr>
            <w:tcW w:w="4584" w:type="dxa"/>
            <w:tcBorders>
              <w:top w:val="nil"/>
              <w:left w:val="nil"/>
              <w:bottom w:val="single" w:color="000000" w:sz="8" w:space="0"/>
              <w:right w:val="single" w:color="000000" w:sz="8" w:space="0"/>
            </w:tcBorders>
            <w:noWrap w:val="0"/>
            <w:vAlign w:val="center"/>
          </w:tcPr>
          <w:p w14:paraId="19FA25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0C5FBE7A">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8522477">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BA596BE">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2704A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4234D7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A0201060104针式打印机</w:t>
            </w:r>
          </w:p>
        </w:tc>
        <w:tc>
          <w:tcPr>
            <w:tcW w:w="4584" w:type="dxa"/>
            <w:tcBorders>
              <w:top w:val="nil"/>
              <w:left w:val="nil"/>
              <w:bottom w:val="single" w:color="000000" w:sz="8" w:space="0"/>
              <w:right w:val="single" w:color="000000" w:sz="8" w:space="0"/>
            </w:tcBorders>
            <w:noWrap w:val="0"/>
            <w:vAlign w:val="center"/>
          </w:tcPr>
          <w:p w14:paraId="40535377">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369B5C6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D98270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AAED7F6">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9AB110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A02010604显示设备</w:t>
            </w:r>
          </w:p>
        </w:tc>
        <w:tc>
          <w:tcPr>
            <w:tcW w:w="1612" w:type="dxa"/>
            <w:tcBorders>
              <w:top w:val="nil"/>
              <w:left w:val="nil"/>
              <w:bottom w:val="single" w:color="000000" w:sz="8" w:space="0"/>
              <w:right w:val="single" w:color="000000" w:sz="8" w:space="0"/>
            </w:tcBorders>
            <w:noWrap w:val="0"/>
            <w:vAlign w:val="center"/>
          </w:tcPr>
          <w:p w14:paraId="1DB2294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A0201060401液晶显示器</w:t>
            </w:r>
          </w:p>
        </w:tc>
        <w:tc>
          <w:tcPr>
            <w:tcW w:w="4584" w:type="dxa"/>
            <w:tcBorders>
              <w:top w:val="nil"/>
              <w:left w:val="nil"/>
              <w:bottom w:val="single" w:color="000000" w:sz="8" w:space="0"/>
              <w:right w:val="single" w:color="000000" w:sz="8" w:space="0"/>
            </w:tcBorders>
            <w:noWrap w:val="0"/>
            <w:vAlign w:val="center"/>
          </w:tcPr>
          <w:p w14:paraId="1D0D357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《计算机显示器能效限定值及能效等级》（</w:t>
            </w:r>
            <w:r>
              <w:rPr>
                <w:rFonts w:ascii="宋体" w:hAnsi="宋体" w:eastAsia="Times New Roman" w:cs="宋体"/>
                <w:color w:val="auto"/>
                <w:kern w:val="0"/>
                <w:sz w:val="20"/>
                <w:szCs w:val="20"/>
                <w:highlight w:val="none"/>
              </w:rPr>
              <w:t>GB21520）</w:t>
            </w:r>
          </w:p>
        </w:tc>
      </w:tr>
      <w:tr w14:paraId="00F8804F">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FAA24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167BBCD">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7963CC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A02010609图形图像输入设备</w:t>
            </w:r>
          </w:p>
        </w:tc>
        <w:tc>
          <w:tcPr>
            <w:tcW w:w="1612" w:type="dxa"/>
            <w:tcBorders>
              <w:top w:val="nil"/>
              <w:left w:val="nil"/>
              <w:bottom w:val="single" w:color="000000" w:sz="8" w:space="0"/>
              <w:right w:val="single" w:color="000000" w:sz="8" w:space="0"/>
            </w:tcBorders>
            <w:noWrap w:val="0"/>
            <w:vAlign w:val="center"/>
          </w:tcPr>
          <w:p w14:paraId="519A047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A0201060901扫描仪</w:t>
            </w:r>
          </w:p>
        </w:tc>
        <w:tc>
          <w:tcPr>
            <w:tcW w:w="4584" w:type="dxa"/>
            <w:tcBorders>
              <w:top w:val="nil"/>
              <w:left w:val="nil"/>
              <w:bottom w:val="single" w:color="000000" w:sz="8" w:space="0"/>
              <w:right w:val="single" w:color="000000" w:sz="8" w:space="0"/>
            </w:tcBorders>
            <w:noWrap w:val="0"/>
            <w:vAlign w:val="center"/>
          </w:tcPr>
          <w:p w14:paraId="006544E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参照《复印机、打印机和传真机能效限定值及能效等级》（</w:t>
            </w:r>
            <w:r>
              <w:rPr>
                <w:rFonts w:ascii="宋体" w:hAnsi="宋体" w:eastAsia="Times New Roman" w:cs="宋体"/>
                <w:color w:val="auto"/>
                <w:kern w:val="0"/>
                <w:sz w:val="20"/>
                <w:szCs w:val="20"/>
                <w:highlight w:val="none"/>
              </w:rPr>
              <w:t>GB21521中打印速度为15页/分的针式打印机相关要求中打印速度为15页/分的针式打印机相关要求</w:t>
            </w:r>
          </w:p>
        </w:tc>
      </w:tr>
      <w:tr w14:paraId="53BA776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8FF7D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3</w:t>
            </w:r>
          </w:p>
        </w:tc>
        <w:tc>
          <w:tcPr>
            <w:tcW w:w="1116" w:type="dxa"/>
            <w:tcBorders>
              <w:top w:val="nil"/>
              <w:left w:val="nil"/>
              <w:bottom w:val="single" w:color="000000" w:sz="8" w:space="0"/>
              <w:right w:val="single" w:color="000000" w:sz="8" w:space="0"/>
            </w:tcBorders>
            <w:noWrap w:val="0"/>
            <w:vAlign w:val="center"/>
          </w:tcPr>
          <w:p w14:paraId="2E5E346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A020202投影仪</w:t>
            </w:r>
          </w:p>
        </w:tc>
        <w:tc>
          <w:tcPr>
            <w:tcW w:w="1516" w:type="dxa"/>
            <w:tcBorders>
              <w:top w:val="nil"/>
              <w:left w:val="nil"/>
              <w:bottom w:val="single" w:color="000000" w:sz="8" w:space="0"/>
              <w:right w:val="single" w:color="000000" w:sz="8" w:space="0"/>
            </w:tcBorders>
            <w:noWrap w:val="0"/>
            <w:vAlign w:val="center"/>
          </w:tcPr>
          <w:p w14:paraId="06CBC9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087CC3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448F2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《投影机能效限定值及能效等级》（</w:t>
            </w:r>
            <w:r>
              <w:rPr>
                <w:rFonts w:ascii="宋体" w:hAnsi="宋体" w:eastAsia="Times New Roman" w:cs="宋体"/>
                <w:color w:val="auto"/>
                <w:kern w:val="0"/>
                <w:sz w:val="20"/>
                <w:szCs w:val="20"/>
                <w:highlight w:val="none"/>
              </w:rPr>
              <w:t>GB32028）</w:t>
            </w:r>
          </w:p>
        </w:tc>
      </w:tr>
      <w:tr w14:paraId="41763E7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340CCC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4</w:t>
            </w:r>
          </w:p>
        </w:tc>
        <w:tc>
          <w:tcPr>
            <w:tcW w:w="1116" w:type="dxa"/>
            <w:tcBorders>
              <w:top w:val="nil"/>
              <w:left w:val="nil"/>
              <w:bottom w:val="single" w:color="000000" w:sz="8" w:space="0"/>
              <w:right w:val="single" w:color="000000" w:sz="8" w:space="0"/>
            </w:tcBorders>
            <w:noWrap w:val="0"/>
            <w:vAlign w:val="center"/>
          </w:tcPr>
          <w:p w14:paraId="3F67ED6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A020204多功能一体机</w:t>
            </w:r>
          </w:p>
        </w:tc>
        <w:tc>
          <w:tcPr>
            <w:tcW w:w="1516" w:type="dxa"/>
            <w:tcBorders>
              <w:top w:val="nil"/>
              <w:left w:val="nil"/>
              <w:bottom w:val="single" w:color="000000" w:sz="8" w:space="0"/>
              <w:right w:val="single" w:color="000000" w:sz="8" w:space="0"/>
            </w:tcBorders>
            <w:noWrap w:val="0"/>
            <w:vAlign w:val="center"/>
          </w:tcPr>
          <w:p w14:paraId="54C96AF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1500CAE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346939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《复印机、打印机和传真机能效限定值及能效等级》（</w:t>
            </w:r>
            <w:r>
              <w:rPr>
                <w:rFonts w:ascii="宋体" w:hAnsi="宋体" w:eastAsia="Times New Roman" w:cs="宋体"/>
                <w:color w:val="auto"/>
                <w:kern w:val="0"/>
                <w:sz w:val="20"/>
                <w:szCs w:val="20"/>
                <w:highlight w:val="none"/>
              </w:rPr>
              <w:t>GB21521）</w:t>
            </w:r>
          </w:p>
        </w:tc>
      </w:tr>
      <w:tr w14:paraId="5B54C8D4">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FE0B98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5</w:t>
            </w:r>
          </w:p>
        </w:tc>
        <w:tc>
          <w:tcPr>
            <w:tcW w:w="1116" w:type="dxa"/>
            <w:tcBorders>
              <w:top w:val="nil"/>
              <w:left w:val="nil"/>
              <w:bottom w:val="single" w:color="000000" w:sz="8" w:space="0"/>
              <w:right w:val="single" w:color="000000" w:sz="8" w:space="0"/>
            </w:tcBorders>
            <w:noWrap w:val="0"/>
            <w:vAlign w:val="center"/>
          </w:tcPr>
          <w:p w14:paraId="7471DCC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A020519泵</w:t>
            </w:r>
          </w:p>
        </w:tc>
        <w:tc>
          <w:tcPr>
            <w:tcW w:w="1516" w:type="dxa"/>
            <w:tcBorders>
              <w:top w:val="nil"/>
              <w:left w:val="nil"/>
              <w:bottom w:val="single" w:color="000000" w:sz="8" w:space="0"/>
              <w:right w:val="single" w:color="000000" w:sz="8" w:space="0"/>
            </w:tcBorders>
            <w:noWrap w:val="0"/>
            <w:vAlign w:val="center"/>
          </w:tcPr>
          <w:p w14:paraId="00A3418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A02051901离心泵</w:t>
            </w:r>
          </w:p>
        </w:tc>
        <w:tc>
          <w:tcPr>
            <w:tcW w:w="1612" w:type="dxa"/>
            <w:tcBorders>
              <w:top w:val="nil"/>
              <w:left w:val="nil"/>
              <w:bottom w:val="single" w:color="000000" w:sz="8" w:space="0"/>
              <w:right w:val="single" w:color="000000" w:sz="8" w:space="0"/>
            </w:tcBorders>
            <w:noWrap w:val="0"/>
            <w:vAlign w:val="center"/>
          </w:tcPr>
          <w:p w14:paraId="2FD836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CBF1A1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《清水离心泵能效限定值及节能评价值》（</w:t>
            </w:r>
            <w:r>
              <w:rPr>
                <w:rFonts w:ascii="宋体" w:hAnsi="宋体" w:eastAsia="Times New Roman" w:cs="宋体"/>
                <w:color w:val="auto"/>
                <w:kern w:val="0"/>
                <w:sz w:val="20"/>
                <w:szCs w:val="20"/>
                <w:highlight w:val="none"/>
              </w:rPr>
              <w:t>GB19762）</w:t>
            </w:r>
          </w:p>
        </w:tc>
      </w:tr>
      <w:tr w14:paraId="40148088">
        <w:tblPrEx>
          <w:tblCellMar>
            <w:top w:w="0" w:type="dxa"/>
            <w:left w:w="108" w:type="dxa"/>
            <w:bottom w:w="0" w:type="dxa"/>
            <w:right w:w="108" w:type="dxa"/>
          </w:tblCellMar>
        </w:tblPrEx>
        <w:trPr>
          <w:trHeight w:val="73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FA80E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6</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6E95D6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A020523制冷空调设备</w:t>
            </w:r>
          </w:p>
        </w:tc>
        <w:tc>
          <w:tcPr>
            <w:tcW w:w="1516" w:type="dxa"/>
            <w:vMerge w:val="restart"/>
            <w:tcBorders>
              <w:top w:val="nil"/>
              <w:left w:val="single" w:color="000000" w:sz="8" w:space="0"/>
              <w:bottom w:val="single" w:color="000000" w:sz="8" w:space="0"/>
              <w:right w:val="single" w:color="000000" w:sz="8" w:space="0"/>
            </w:tcBorders>
            <w:noWrap w:val="0"/>
            <w:vAlign w:val="center"/>
          </w:tcPr>
          <w:p w14:paraId="6B78280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A02052301制冷压缩机</w:t>
            </w:r>
          </w:p>
        </w:tc>
        <w:tc>
          <w:tcPr>
            <w:tcW w:w="1612" w:type="dxa"/>
            <w:tcBorders>
              <w:top w:val="nil"/>
              <w:left w:val="nil"/>
              <w:bottom w:val="single" w:color="000000" w:sz="8" w:space="0"/>
              <w:right w:val="single" w:color="000000" w:sz="8" w:space="0"/>
            </w:tcBorders>
            <w:noWrap w:val="0"/>
            <w:vAlign w:val="center"/>
          </w:tcPr>
          <w:p w14:paraId="0F9EDC3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冷水机组</w:t>
            </w:r>
          </w:p>
        </w:tc>
        <w:tc>
          <w:tcPr>
            <w:tcW w:w="4584" w:type="dxa"/>
            <w:tcBorders>
              <w:top w:val="nil"/>
              <w:left w:val="nil"/>
              <w:bottom w:val="single" w:color="000000" w:sz="8" w:space="0"/>
              <w:right w:val="single" w:color="000000" w:sz="8" w:space="0"/>
            </w:tcBorders>
            <w:noWrap w:val="0"/>
            <w:vAlign w:val="center"/>
          </w:tcPr>
          <w:p w14:paraId="5E5BE32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《冷水机组能效限定值及能效等级》（</w:t>
            </w:r>
            <w:r>
              <w:rPr>
                <w:rFonts w:ascii="宋体" w:hAnsi="宋体" w:eastAsia="Times New Roman" w:cs="宋体"/>
                <w:color w:val="auto"/>
                <w:kern w:val="0"/>
                <w:sz w:val="20"/>
                <w:szCs w:val="20"/>
                <w:highlight w:val="none"/>
              </w:rPr>
              <w:t>GB19577），《低环境温度空气源热泵（冷水）机组能效限定值及能效等级》（GB37480）</w:t>
            </w:r>
          </w:p>
        </w:tc>
      </w:tr>
      <w:tr w14:paraId="5FB4196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E4F4F95">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AAB4A0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132AB7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4AE5AF1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水源热泵机组</w:t>
            </w:r>
          </w:p>
        </w:tc>
        <w:tc>
          <w:tcPr>
            <w:tcW w:w="4584" w:type="dxa"/>
            <w:tcBorders>
              <w:top w:val="nil"/>
              <w:left w:val="nil"/>
              <w:bottom w:val="single" w:color="000000" w:sz="8" w:space="0"/>
              <w:right w:val="single" w:color="000000" w:sz="8" w:space="0"/>
            </w:tcBorders>
            <w:noWrap w:val="0"/>
            <w:vAlign w:val="center"/>
          </w:tcPr>
          <w:p w14:paraId="1D3D221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《水（地）源热泵机组能效限定值及能效等级》（</w:t>
            </w:r>
            <w:r>
              <w:rPr>
                <w:rFonts w:ascii="宋体" w:hAnsi="宋体" w:eastAsia="Times New Roman" w:cs="宋体"/>
                <w:color w:val="auto"/>
                <w:kern w:val="0"/>
                <w:sz w:val="20"/>
                <w:szCs w:val="20"/>
                <w:highlight w:val="none"/>
              </w:rPr>
              <w:t>GB30721）</w:t>
            </w:r>
          </w:p>
        </w:tc>
      </w:tr>
      <w:tr w14:paraId="12EE5441">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C12AD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DAB446A">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4C0D5DF">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207902F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w:t>
            </w:r>
          </w:p>
        </w:tc>
        <w:tc>
          <w:tcPr>
            <w:tcW w:w="4584" w:type="dxa"/>
            <w:tcBorders>
              <w:top w:val="nil"/>
              <w:left w:val="nil"/>
              <w:bottom w:val="single" w:color="000000" w:sz="8" w:space="0"/>
              <w:right w:val="single" w:color="000000" w:sz="8" w:space="0"/>
            </w:tcBorders>
            <w:noWrap w:val="0"/>
            <w:vAlign w:val="center"/>
          </w:tcPr>
          <w:p w14:paraId="77F8A4E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《溴化锂吸收式冷水机组能效限定值及能效等级》（</w:t>
            </w:r>
            <w:r>
              <w:rPr>
                <w:rFonts w:ascii="宋体" w:hAnsi="宋体" w:eastAsia="Times New Roman" w:cs="宋体"/>
                <w:color w:val="auto"/>
                <w:kern w:val="0"/>
                <w:sz w:val="20"/>
                <w:szCs w:val="20"/>
                <w:highlight w:val="none"/>
              </w:rPr>
              <w:t>GB29540）</w:t>
            </w:r>
          </w:p>
        </w:tc>
      </w:tr>
      <w:tr w14:paraId="7383C3C1">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FE86D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795DEA2C">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89DF4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A02052305空调机组</w:t>
            </w:r>
          </w:p>
        </w:tc>
        <w:tc>
          <w:tcPr>
            <w:tcW w:w="1612" w:type="dxa"/>
            <w:tcBorders>
              <w:top w:val="nil"/>
              <w:left w:val="nil"/>
              <w:bottom w:val="single" w:color="000000" w:sz="8" w:space="0"/>
              <w:right w:val="single" w:color="000000" w:sz="8" w:space="0"/>
            </w:tcBorders>
            <w:noWrap w:val="0"/>
            <w:vAlign w:val="center"/>
          </w:tcPr>
          <w:p w14:paraId="333FFEC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0A0F0FF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2CA2985A">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14A73C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7F2CFAC">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E659E31">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0E79B17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(制冷量&gt;14000W</w:t>
            </w:r>
          </w:p>
        </w:tc>
        <w:tc>
          <w:tcPr>
            <w:tcW w:w="4584" w:type="dxa"/>
            <w:tcBorders>
              <w:top w:val="nil"/>
              <w:left w:val="nil"/>
              <w:bottom w:val="single" w:color="000000" w:sz="8" w:space="0"/>
              <w:right w:val="single" w:color="000000" w:sz="8" w:space="0"/>
            </w:tcBorders>
            <w:noWrap w:val="0"/>
            <w:vAlign w:val="center"/>
          </w:tcPr>
          <w:p w14:paraId="67B0669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GB19576）《风管送风式空调机组能效限定值及能效等级》（GB37479）</w:t>
            </w:r>
          </w:p>
        </w:tc>
      </w:tr>
      <w:tr w14:paraId="66521F65">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5D938C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CCCA2E3">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132EB8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A02052309专用制冷、空调设备</w:t>
            </w:r>
          </w:p>
        </w:tc>
        <w:tc>
          <w:tcPr>
            <w:tcW w:w="1612" w:type="dxa"/>
            <w:tcBorders>
              <w:top w:val="nil"/>
              <w:left w:val="nil"/>
              <w:bottom w:val="single" w:color="000000" w:sz="8" w:space="0"/>
              <w:right w:val="single" w:color="000000" w:sz="8" w:space="0"/>
            </w:tcBorders>
            <w:noWrap w:val="0"/>
            <w:vAlign w:val="center"/>
          </w:tcPr>
          <w:p w14:paraId="31A9C25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机房空调</w:t>
            </w:r>
          </w:p>
        </w:tc>
        <w:tc>
          <w:tcPr>
            <w:tcW w:w="4584" w:type="dxa"/>
            <w:tcBorders>
              <w:top w:val="nil"/>
              <w:left w:val="nil"/>
              <w:bottom w:val="single" w:color="000000" w:sz="8" w:space="0"/>
              <w:right w:val="single" w:color="000000" w:sz="8" w:space="0"/>
            </w:tcBorders>
            <w:noWrap w:val="0"/>
            <w:vAlign w:val="center"/>
          </w:tcPr>
          <w:p w14:paraId="23EDB52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《单元式空气调节机能效限定值及能效等级》（</w:t>
            </w:r>
            <w:r>
              <w:rPr>
                <w:rFonts w:ascii="宋体" w:hAnsi="宋体" w:eastAsia="Times New Roman" w:cs="宋体"/>
                <w:color w:val="auto"/>
                <w:kern w:val="0"/>
                <w:sz w:val="20"/>
                <w:szCs w:val="20"/>
                <w:highlight w:val="none"/>
              </w:rPr>
              <w:t>GB19576）</w:t>
            </w:r>
          </w:p>
        </w:tc>
      </w:tr>
      <w:tr w14:paraId="0BCE3B76">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3831D82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5E13004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A9AC25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A02052399其他制冷空调设备</w:t>
            </w:r>
          </w:p>
        </w:tc>
        <w:tc>
          <w:tcPr>
            <w:tcW w:w="1612" w:type="dxa"/>
            <w:tcBorders>
              <w:top w:val="nil"/>
              <w:left w:val="nil"/>
              <w:bottom w:val="single" w:color="000000" w:sz="8" w:space="0"/>
              <w:right w:val="single" w:color="000000" w:sz="8" w:space="0"/>
            </w:tcBorders>
            <w:noWrap w:val="0"/>
            <w:vAlign w:val="center"/>
          </w:tcPr>
          <w:p w14:paraId="6790964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冷却塔</w:t>
            </w:r>
          </w:p>
        </w:tc>
        <w:tc>
          <w:tcPr>
            <w:tcW w:w="4584" w:type="dxa"/>
            <w:tcBorders>
              <w:top w:val="nil"/>
              <w:left w:val="nil"/>
              <w:bottom w:val="single" w:color="000000" w:sz="8" w:space="0"/>
              <w:right w:val="single" w:color="000000" w:sz="8" w:space="0"/>
            </w:tcBorders>
            <w:noWrap w:val="0"/>
            <w:vAlign w:val="center"/>
          </w:tcPr>
          <w:p w14:paraId="12117FD0">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《机械通风冷却塔第</w:t>
            </w:r>
            <w:r>
              <w:rPr>
                <w:rFonts w:ascii="宋体" w:hAnsi="宋体" w:eastAsia="Times New Roman" w:cs="宋体"/>
                <w:color w:val="auto"/>
                <w:kern w:val="0"/>
                <w:sz w:val="20"/>
                <w:szCs w:val="20"/>
                <w:highlight w:val="none"/>
              </w:rPr>
              <w:t>1部分：中小型开式冷却塔》（GB/T7190.1）；《机械通风冷却塔第2部分：大型开式冷却塔》（GB/T7190.2）</w:t>
            </w:r>
          </w:p>
        </w:tc>
      </w:tr>
      <w:tr w14:paraId="497890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9CA06A7">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7</w:t>
            </w:r>
          </w:p>
        </w:tc>
        <w:tc>
          <w:tcPr>
            <w:tcW w:w="1116" w:type="dxa"/>
            <w:tcBorders>
              <w:top w:val="nil"/>
              <w:left w:val="nil"/>
              <w:bottom w:val="single" w:color="000000" w:sz="8" w:space="0"/>
              <w:right w:val="single" w:color="000000" w:sz="8" w:space="0"/>
            </w:tcBorders>
            <w:noWrap w:val="0"/>
            <w:vAlign w:val="center"/>
          </w:tcPr>
          <w:p w14:paraId="6087417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A020601电机</w:t>
            </w:r>
          </w:p>
        </w:tc>
        <w:tc>
          <w:tcPr>
            <w:tcW w:w="1516" w:type="dxa"/>
            <w:tcBorders>
              <w:top w:val="nil"/>
              <w:left w:val="nil"/>
              <w:bottom w:val="single" w:color="000000" w:sz="8" w:space="0"/>
              <w:right w:val="single" w:color="000000" w:sz="8" w:space="0"/>
            </w:tcBorders>
            <w:noWrap w:val="0"/>
            <w:vAlign w:val="center"/>
          </w:tcPr>
          <w:p w14:paraId="01E36AA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9BB34F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7E8B2DD3">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《中小型三相异步电动机能效限定值及能效等级》（</w:t>
            </w:r>
            <w:r>
              <w:rPr>
                <w:rFonts w:ascii="宋体" w:hAnsi="宋体" w:eastAsia="Times New Roman" w:cs="宋体"/>
                <w:color w:val="auto"/>
                <w:kern w:val="0"/>
                <w:sz w:val="20"/>
                <w:szCs w:val="20"/>
                <w:highlight w:val="none"/>
              </w:rPr>
              <w:t>GB18613）</w:t>
            </w:r>
          </w:p>
        </w:tc>
      </w:tr>
      <w:tr w14:paraId="65A0BBD9">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236CA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8</w:t>
            </w:r>
          </w:p>
        </w:tc>
        <w:tc>
          <w:tcPr>
            <w:tcW w:w="1116" w:type="dxa"/>
            <w:tcBorders>
              <w:top w:val="nil"/>
              <w:left w:val="nil"/>
              <w:bottom w:val="single" w:color="000000" w:sz="8" w:space="0"/>
              <w:right w:val="single" w:color="000000" w:sz="8" w:space="0"/>
            </w:tcBorders>
            <w:noWrap w:val="0"/>
            <w:vAlign w:val="center"/>
          </w:tcPr>
          <w:p w14:paraId="7E11AA0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A020602变压器</w:t>
            </w:r>
          </w:p>
        </w:tc>
        <w:tc>
          <w:tcPr>
            <w:tcW w:w="1516" w:type="dxa"/>
            <w:tcBorders>
              <w:top w:val="nil"/>
              <w:left w:val="nil"/>
              <w:bottom w:val="single" w:color="000000" w:sz="8" w:space="0"/>
              <w:right w:val="single" w:color="000000" w:sz="8" w:space="0"/>
            </w:tcBorders>
            <w:noWrap w:val="0"/>
            <w:vAlign w:val="center"/>
          </w:tcPr>
          <w:p w14:paraId="103CDC2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配电变压器</w:t>
            </w:r>
          </w:p>
        </w:tc>
        <w:tc>
          <w:tcPr>
            <w:tcW w:w="1612" w:type="dxa"/>
            <w:tcBorders>
              <w:top w:val="nil"/>
              <w:left w:val="nil"/>
              <w:bottom w:val="single" w:color="000000" w:sz="8" w:space="0"/>
              <w:right w:val="single" w:color="000000" w:sz="8" w:space="0"/>
            </w:tcBorders>
            <w:noWrap w:val="0"/>
            <w:vAlign w:val="center"/>
          </w:tcPr>
          <w:p w14:paraId="58BA90A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1E5637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《三相配电变压器能效限定值及能效等级》（</w:t>
            </w:r>
            <w:r>
              <w:rPr>
                <w:rFonts w:ascii="宋体" w:hAnsi="宋体" w:eastAsia="Times New Roman" w:cs="宋体"/>
                <w:color w:val="auto"/>
                <w:kern w:val="0"/>
                <w:sz w:val="20"/>
                <w:szCs w:val="20"/>
                <w:highlight w:val="none"/>
              </w:rPr>
              <w:t>GB20052）</w:t>
            </w:r>
          </w:p>
        </w:tc>
      </w:tr>
      <w:tr w14:paraId="1B02BC72">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5111B9A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9</w:t>
            </w:r>
          </w:p>
        </w:tc>
        <w:tc>
          <w:tcPr>
            <w:tcW w:w="1116" w:type="dxa"/>
            <w:tcBorders>
              <w:top w:val="nil"/>
              <w:left w:val="nil"/>
              <w:bottom w:val="single" w:color="000000" w:sz="8" w:space="0"/>
              <w:right w:val="single" w:color="000000" w:sz="8" w:space="0"/>
            </w:tcBorders>
            <w:noWrap w:val="0"/>
            <w:vAlign w:val="center"/>
          </w:tcPr>
          <w:p w14:paraId="63C870A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A020609镇流器</w:t>
            </w:r>
          </w:p>
        </w:tc>
        <w:tc>
          <w:tcPr>
            <w:tcW w:w="1516" w:type="dxa"/>
            <w:tcBorders>
              <w:top w:val="nil"/>
              <w:left w:val="nil"/>
              <w:bottom w:val="single" w:color="000000" w:sz="8" w:space="0"/>
              <w:right w:val="single" w:color="000000" w:sz="8" w:space="0"/>
            </w:tcBorders>
            <w:noWrap w:val="0"/>
            <w:vAlign w:val="center"/>
          </w:tcPr>
          <w:p w14:paraId="4E27D0D3">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管型荧光灯镇流器</w:t>
            </w:r>
          </w:p>
        </w:tc>
        <w:tc>
          <w:tcPr>
            <w:tcW w:w="1612" w:type="dxa"/>
            <w:tcBorders>
              <w:top w:val="nil"/>
              <w:left w:val="nil"/>
              <w:bottom w:val="single" w:color="000000" w:sz="8" w:space="0"/>
              <w:right w:val="single" w:color="000000" w:sz="8" w:space="0"/>
            </w:tcBorders>
            <w:noWrap w:val="0"/>
            <w:vAlign w:val="center"/>
          </w:tcPr>
          <w:p w14:paraId="613AB01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1B1E195">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《管形荧光灯镇流器能效限定值及能效等级》（</w:t>
            </w:r>
            <w:r>
              <w:rPr>
                <w:rFonts w:ascii="宋体" w:hAnsi="宋体" w:eastAsia="Times New Roman" w:cs="宋体"/>
                <w:color w:val="auto"/>
                <w:kern w:val="0"/>
                <w:sz w:val="20"/>
                <w:szCs w:val="20"/>
                <w:highlight w:val="none"/>
              </w:rPr>
              <w:t>GB17896）</w:t>
            </w:r>
          </w:p>
        </w:tc>
      </w:tr>
      <w:tr w14:paraId="74BF8190">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3A2F5D3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10</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1072D71C">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A020618生活用电器</w:t>
            </w:r>
          </w:p>
        </w:tc>
        <w:tc>
          <w:tcPr>
            <w:tcW w:w="1516" w:type="dxa"/>
            <w:tcBorders>
              <w:top w:val="nil"/>
              <w:left w:val="nil"/>
              <w:bottom w:val="single" w:color="000000" w:sz="8" w:space="0"/>
              <w:right w:val="single" w:color="000000" w:sz="8" w:space="0"/>
            </w:tcBorders>
            <w:noWrap w:val="0"/>
            <w:vAlign w:val="center"/>
          </w:tcPr>
          <w:p w14:paraId="1FC245A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A0206180101电冰箱</w:t>
            </w:r>
          </w:p>
        </w:tc>
        <w:tc>
          <w:tcPr>
            <w:tcW w:w="1612" w:type="dxa"/>
            <w:tcBorders>
              <w:top w:val="nil"/>
              <w:left w:val="nil"/>
              <w:bottom w:val="single" w:color="000000" w:sz="8" w:space="0"/>
              <w:right w:val="single" w:color="000000" w:sz="8" w:space="0"/>
            </w:tcBorders>
            <w:noWrap w:val="0"/>
            <w:vAlign w:val="center"/>
          </w:tcPr>
          <w:p w14:paraId="501192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77DE1F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《家用电冰箱耗电量限定值及能效等级》（</w:t>
            </w:r>
            <w:r>
              <w:rPr>
                <w:rFonts w:ascii="宋体" w:hAnsi="宋体" w:eastAsia="Times New Roman" w:cs="宋体"/>
                <w:color w:val="auto"/>
                <w:kern w:val="0"/>
                <w:sz w:val="20"/>
                <w:szCs w:val="20"/>
                <w:highlight w:val="none"/>
              </w:rPr>
              <w:t>GB 12021.2）</w:t>
            </w:r>
          </w:p>
        </w:tc>
      </w:tr>
      <w:tr w14:paraId="29D8338D">
        <w:tblPrEx>
          <w:tblCellMar>
            <w:top w:w="0" w:type="dxa"/>
            <w:left w:w="108" w:type="dxa"/>
            <w:bottom w:w="0" w:type="dxa"/>
            <w:right w:w="108" w:type="dxa"/>
          </w:tblCellMar>
        </w:tblPrEx>
        <w:trPr>
          <w:trHeight w:val="97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99DEEB">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91E6403">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6D5C01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A0206180203空调机</w:t>
            </w:r>
          </w:p>
        </w:tc>
        <w:tc>
          <w:tcPr>
            <w:tcW w:w="1612" w:type="dxa"/>
            <w:tcBorders>
              <w:top w:val="nil"/>
              <w:left w:val="nil"/>
              <w:bottom w:val="single" w:color="000000" w:sz="8" w:space="0"/>
              <w:right w:val="single" w:color="000000" w:sz="8" w:space="0"/>
            </w:tcBorders>
            <w:noWrap w:val="0"/>
            <w:vAlign w:val="center"/>
          </w:tcPr>
          <w:p w14:paraId="304B3E2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房间空气调节器</w:t>
            </w:r>
          </w:p>
        </w:tc>
        <w:tc>
          <w:tcPr>
            <w:tcW w:w="4584" w:type="dxa"/>
            <w:tcBorders>
              <w:top w:val="nil"/>
              <w:left w:val="nil"/>
              <w:bottom w:val="single" w:color="000000" w:sz="8" w:space="0"/>
              <w:right w:val="single" w:color="000000" w:sz="8" w:space="0"/>
            </w:tcBorders>
            <w:noWrap w:val="0"/>
            <w:vAlign w:val="center"/>
          </w:tcPr>
          <w:p w14:paraId="147470B2">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《转速可控型房间空气调节器能效限定值及能效等级》（</w:t>
            </w:r>
            <w:r>
              <w:rPr>
                <w:rFonts w:ascii="宋体" w:hAnsi="宋体" w:eastAsia="Times New Roman" w:cs="宋体"/>
                <w:color w:val="auto"/>
                <w:kern w:val="0"/>
                <w:sz w:val="20"/>
                <w:szCs w:val="20"/>
                <w:highlight w:val="none"/>
              </w:rPr>
              <w:t>GB21455-2013），待2019年修订发布后，按《房间空气调节器能效限定值及能效等级》（GB21455-2019实施。</w:t>
            </w:r>
          </w:p>
        </w:tc>
      </w:tr>
      <w:tr w14:paraId="6C2FB6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BF0B77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529CACF">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13C489E3">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B68498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多联式空调（热泵）机组（制冷量≤</w:t>
            </w:r>
            <w:r>
              <w:rPr>
                <w:rFonts w:ascii="宋体" w:hAnsi="宋体" w:eastAsia="Times New Roman" w:cs="宋体"/>
                <w:color w:val="auto"/>
                <w:kern w:val="0"/>
                <w:sz w:val="20"/>
                <w:szCs w:val="20"/>
                <w:highlight w:val="none"/>
              </w:rPr>
              <w:t xml:space="preserve"> 14000W）</w:t>
            </w:r>
          </w:p>
        </w:tc>
        <w:tc>
          <w:tcPr>
            <w:tcW w:w="4584" w:type="dxa"/>
            <w:tcBorders>
              <w:top w:val="nil"/>
              <w:left w:val="nil"/>
              <w:bottom w:val="single" w:color="000000" w:sz="8" w:space="0"/>
              <w:right w:val="single" w:color="000000" w:sz="8" w:space="0"/>
            </w:tcBorders>
            <w:noWrap w:val="0"/>
            <w:vAlign w:val="center"/>
          </w:tcPr>
          <w:p w14:paraId="6C69402E">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《多联式空调（热泵）机组能效限定值及能源效率等级》（</w:t>
            </w:r>
            <w:r>
              <w:rPr>
                <w:rFonts w:ascii="宋体" w:hAnsi="宋体" w:eastAsia="Times New Roman" w:cs="宋体"/>
                <w:color w:val="auto"/>
                <w:kern w:val="0"/>
                <w:sz w:val="20"/>
                <w:szCs w:val="20"/>
                <w:highlight w:val="none"/>
              </w:rPr>
              <w:t>GB21454）</w:t>
            </w:r>
          </w:p>
        </w:tc>
      </w:tr>
      <w:tr w14:paraId="57EA6314">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5EFBC68">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82F6A7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06A0AFE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6C1E878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单元式空气调节机</w:t>
            </w:r>
            <w:r>
              <w:rPr>
                <w:rFonts w:ascii="宋体" w:hAnsi="宋体" w:eastAsia="Times New Roman" w:cs="宋体"/>
                <w:color w:val="auto"/>
                <w:kern w:val="0"/>
                <w:sz w:val="20"/>
                <w:szCs w:val="20"/>
                <w:highlight w:val="none"/>
              </w:rPr>
              <w:t>(制冷量≤14000W)</w:t>
            </w:r>
          </w:p>
        </w:tc>
        <w:tc>
          <w:tcPr>
            <w:tcW w:w="4584" w:type="dxa"/>
            <w:tcBorders>
              <w:top w:val="nil"/>
              <w:left w:val="nil"/>
              <w:bottom w:val="single" w:color="000000" w:sz="8" w:space="0"/>
              <w:right w:val="single" w:color="000000" w:sz="8" w:space="0"/>
            </w:tcBorders>
            <w:noWrap w:val="0"/>
            <w:vAlign w:val="center"/>
          </w:tcPr>
          <w:p w14:paraId="4B1CD9D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《单元式空气调节机能效限定值及能源效率等级》（</w:t>
            </w:r>
            <w:r>
              <w:rPr>
                <w:rFonts w:ascii="宋体" w:hAnsi="宋体" w:eastAsia="Times New Roman" w:cs="宋体"/>
                <w:color w:val="auto"/>
                <w:kern w:val="0"/>
                <w:sz w:val="20"/>
                <w:szCs w:val="20"/>
                <w:highlight w:val="none"/>
              </w:rPr>
              <w:t>GB19576）《风管送风式空调机组能效限定值及能效等级》（GB37479）</w:t>
            </w:r>
          </w:p>
        </w:tc>
      </w:tr>
      <w:tr w14:paraId="5938D708">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2F85062">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7092F7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D440DC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A0206180301洗衣机</w:t>
            </w:r>
          </w:p>
        </w:tc>
        <w:tc>
          <w:tcPr>
            <w:tcW w:w="1612" w:type="dxa"/>
            <w:tcBorders>
              <w:top w:val="nil"/>
              <w:left w:val="nil"/>
              <w:bottom w:val="single" w:color="000000" w:sz="8" w:space="0"/>
              <w:right w:val="single" w:color="000000" w:sz="8" w:space="0"/>
            </w:tcBorders>
            <w:noWrap w:val="0"/>
            <w:vAlign w:val="center"/>
          </w:tcPr>
          <w:p w14:paraId="23AF2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45AE36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《电动洗衣机能效水效限定值及等级》（</w:t>
            </w:r>
            <w:r>
              <w:rPr>
                <w:rFonts w:ascii="宋体" w:hAnsi="宋体" w:eastAsia="Times New Roman" w:cs="宋体"/>
                <w:color w:val="auto"/>
                <w:kern w:val="0"/>
                <w:sz w:val="20"/>
                <w:szCs w:val="20"/>
                <w:highlight w:val="none"/>
              </w:rPr>
              <w:t>GB12021.4）</w:t>
            </w:r>
          </w:p>
        </w:tc>
      </w:tr>
      <w:tr w14:paraId="3C7EE00E">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C9B78DC">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90FF7D2">
            <w:pPr>
              <w:widowControl/>
              <w:jc w:val="left"/>
              <w:rPr>
                <w:rFonts w:ascii="宋体" w:cs="宋体"/>
                <w:color w:val="auto"/>
                <w:kern w:val="0"/>
                <w:sz w:val="20"/>
                <w:szCs w:val="20"/>
                <w:highlight w:val="none"/>
              </w:rPr>
            </w:pPr>
          </w:p>
        </w:tc>
        <w:tc>
          <w:tcPr>
            <w:tcW w:w="1516" w:type="dxa"/>
            <w:vMerge w:val="restart"/>
            <w:tcBorders>
              <w:top w:val="nil"/>
              <w:left w:val="single" w:color="000000" w:sz="8" w:space="0"/>
              <w:bottom w:val="single" w:color="000000" w:sz="8" w:space="0"/>
              <w:right w:val="single" w:color="000000" w:sz="8" w:space="0"/>
            </w:tcBorders>
            <w:noWrap w:val="0"/>
            <w:vAlign w:val="center"/>
          </w:tcPr>
          <w:p w14:paraId="74CD6E0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A02061808热水器</w:t>
            </w:r>
          </w:p>
        </w:tc>
        <w:tc>
          <w:tcPr>
            <w:tcW w:w="1612" w:type="dxa"/>
            <w:tcBorders>
              <w:top w:val="nil"/>
              <w:left w:val="nil"/>
              <w:bottom w:val="single" w:color="000000" w:sz="8" w:space="0"/>
              <w:right w:val="single" w:color="000000" w:sz="8" w:space="0"/>
            </w:tcBorders>
            <w:noWrap w:val="0"/>
            <w:vAlign w:val="center"/>
          </w:tcPr>
          <w:p w14:paraId="6465B20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★电热水器</w:t>
            </w:r>
          </w:p>
        </w:tc>
        <w:tc>
          <w:tcPr>
            <w:tcW w:w="4584" w:type="dxa"/>
            <w:tcBorders>
              <w:top w:val="nil"/>
              <w:left w:val="nil"/>
              <w:bottom w:val="single" w:color="000000" w:sz="8" w:space="0"/>
              <w:right w:val="single" w:color="000000" w:sz="8" w:space="0"/>
            </w:tcBorders>
            <w:noWrap w:val="0"/>
            <w:vAlign w:val="center"/>
          </w:tcPr>
          <w:p w14:paraId="7D9587D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《储水式电热水器能效限定值及能效等级》（</w:t>
            </w:r>
            <w:r>
              <w:rPr>
                <w:rFonts w:ascii="宋体" w:hAnsi="宋体" w:eastAsia="Times New Roman" w:cs="宋体"/>
                <w:color w:val="auto"/>
                <w:kern w:val="0"/>
                <w:sz w:val="20"/>
                <w:szCs w:val="20"/>
                <w:highlight w:val="none"/>
              </w:rPr>
              <w:t>GB21519）</w:t>
            </w:r>
          </w:p>
        </w:tc>
      </w:tr>
      <w:tr w14:paraId="3A065019">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7B6AECDE">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C15A97">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6720F839">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55A67B0F">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燃气热水器</w:t>
            </w:r>
          </w:p>
        </w:tc>
        <w:tc>
          <w:tcPr>
            <w:tcW w:w="4584" w:type="dxa"/>
            <w:tcBorders>
              <w:top w:val="nil"/>
              <w:left w:val="nil"/>
              <w:bottom w:val="single" w:color="000000" w:sz="8" w:space="0"/>
              <w:right w:val="single" w:color="000000" w:sz="8" w:space="0"/>
            </w:tcBorders>
            <w:noWrap w:val="0"/>
            <w:vAlign w:val="center"/>
          </w:tcPr>
          <w:p w14:paraId="1DC07B6D">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《家用燃气快速热水器和燃气采暖热水炉能效限定值及能效等级》（</w:t>
            </w:r>
            <w:r>
              <w:rPr>
                <w:rFonts w:ascii="宋体" w:hAnsi="宋体" w:eastAsia="Times New Roman" w:cs="宋体"/>
                <w:color w:val="auto"/>
                <w:kern w:val="0"/>
                <w:sz w:val="20"/>
                <w:szCs w:val="20"/>
                <w:highlight w:val="none"/>
              </w:rPr>
              <w:t>GB20665）</w:t>
            </w:r>
          </w:p>
        </w:tc>
      </w:tr>
      <w:tr w14:paraId="1C968FB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632AF7B4">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162CBDA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38E635BD">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31FC57F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热泵热水器</w:t>
            </w:r>
          </w:p>
        </w:tc>
        <w:tc>
          <w:tcPr>
            <w:tcW w:w="4584" w:type="dxa"/>
            <w:tcBorders>
              <w:top w:val="nil"/>
              <w:left w:val="nil"/>
              <w:bottom w:val="single" w:color="000000" w:sz="8" w:space="0"/>
              <w:right w:val="single" w:color="000000" w:sz="8" w:space="0"/>
            </w:tcBorders>
            <w:noWrap w:val="0"/>
            <w:vAlign w:val="center"/>
          </w:tcPr>
          <w:p w14:paraId="0BEC983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《热泵热水机（器）能效限定值及能效等级》（</w:t>
            </w:r>
            <w:r>
              <w:rPr>
                <w:rFonts w:ascii="宋体" w:hAnsi="宋体" w:eastAsia="Times New Roman" w:cs="宋体"/>
                <w:color w:val="auto"/>
                <w:kern w:val="0"/>
                <w:sz w:val="20"/>
                <w:szCs w:val="20"/>
                <w:highlight w:val="none"/>
              </w:rPr>
              <w:t>GB29541）</w:t>
            </w:r>
          </w:p>
        </w:tc>
      </w:tr>
      <w:tr w14:paraId="1073DB3C">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CA2F45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9088F16">
            <w:pPr>
              <w:widowControl/>
              <w:jc w:val="left"/>
              <w:rPr>
                <w:rFonts w:ascii="宋体" w:cs="宋体"/>
                <w:color w:val="auto"/>
                <w:kern w:val="0"/>
                <w:sz w:val="20"/>
                <w:szCs w:val="20"/>
                <w:highlight w:val="none"/>
              </w:rPr>
            </w:pPr>
          </w:p>
        </w:tc>
        <w:tc>
          <w:tcPr>
            <w:tcW w:w="1516" w:type="dxa"/>
            <w:vMerge w:val="continue"/>
            <w:tcBorders>
              <w:top w:val="nil"/>
              <w:left w:val="single" w:color="000000" w:sz="8" w:space="0"/>
              <w:bottom w:val="single" w:color="000000" w:sz="8" w:space="0"/>
              <w:right w:val="single" w:color="000000" w:sz="8" w:space="0"/>
            </w:tcBorders>
            <w:noWrap w:val="0"/>
            <w:vAlign w:val="center"/>
          </w:tcPr>
          <w:p w14:paraId="2AB1F680">
            <w:pPr>
              <w:widowControl/>
              <w:jc w:val="left"/>
              <w:rPr>
                <w:rFonts w:ascii="宋体" w:cs="宋体"/>
                <w:color w:val="auto"/>
                <w:kern w:val="0"/>
                <w:sz w:val="20"/>
                <w:szCs w:val="20"/>
                <w:highlight w:val="none"/>
              </w:rPr>
            </w:pPr>
          </w:p>
        </w:tc>
        <w:tc>
          <w:tcPr>
            <w:tcW w:w="1612" w:type="dxa"/>
            <w:tcBorders>
              <w:top w:val="nil"/>
              <w:left w:val="nil"/>
              <w:bottom w:val="single" w:color="000000" w:sz="8" w:space="0"/>
              <w:right w:val="single" w:color="000000" w:sz="8" w:space="0"/>
            </w:tcBorders>
            <w:noWrap w:val="0"/>
            <w:vAlign w:val="center"/>
          </w:tcPr>
          <w:p w14:paraId="7664A92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太阳能热水系统</w:t>
            </w:r>
          </w:p>
        </w:tc>
        <w:tc>
          <w:tcPr>
            <w:tcW w:w="4584" w:type="dxa"/>
            <w:tcBorders>
              <w:top w:val="nil"/>
              <w:left w:val="nil"/>
              <w:bottom w:val="single" w:color="000000" w:sz="8" w:space="0"/>
              <w:right w:val="single" w:color="000000" w:sz="8" w:space="0"/>
            </w:tcBorders>
            <w:noWrap w:val="0"/>
            <w:vAlign w:val="center"/>
          </w:tcPr>
          <w:p w14:paraId="1ED460FF">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《家用太阳能热水系统能效限定值及能效等级》（</w:t>
            </w:r>
            <w:r>
              <w:rPr>
                <w:rFonts w:ascii="宋体" w:hAnsi="宋体" w:eastAsia="Times New Roman" w:cs="宋体"/>
                <w:color w:val="auto"/>
                <w:kern w:val="0"/>
                <w:sz w:val="20"/>
                <w:szCs w:val="20"/>
                <w:highlight w:val="none"/>
              </w:rPr>
              <w:t>GB26969）</w:t>
            </w:r>
          </w:p>
        </w:tc>
      </w:tr>
      <w:tr w14:paraId="5AA0F852">
        <w:tblPrEx>
          <w:tblCellMar>
            <w:top w:w="0" w:type="dxa"/>
            <w:left w:w="108" w:type="dxa"/>
            <w:bottom w:w="0" w:type="dxa"/>
            <w:right w:w="108" w:type="dxa"/>
          </w:tblCellMar>
        </w:tblPrEx>
        <w:trPr>
          <w:trHeight w:val="49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4B42F71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11</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621E7456">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A020619照明设备</w:t>
            </w:r>
          </w:p>
        </w:tc>
        <w:tc>
          <w:tcPr>
            <w:tcW w:w="1516" w:type="dxa"/>
            <w:tcBorders>
              <w:top w:val="nil"/>
              <w:left w:val="nil"/>
              <w:bottom w:val="single" w:color="000000" w:sz="8" w:space="0"/>
              <w:right w:val="single" w:color="000000" w:sz="8" w:space="0"/>
            </w:tcBorders>
            <w:noWrap w:val="0"/>
            <w:vAlign w:val="center"/>
          </w:tcPr>
          <w:p w14:paraId="655CE50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w:t>
            </w:r>
          </w:p>
        </w:tc>
        <w:tc>
          <w:tcPr>
            <w:tcW w:w="1612" w:type="dxa"/>
            <w:tcBorders>
              <w:top w:val="nil"/>
              <w:left w:val="nil"/>
              <w:bottom w:val="single" w:color="000000" w:sz="8" w:space="0"/>
              <w:right w:val="single" w:color="000000" w:sz="8" w:space="0"/>
            </w:tcBorders>
            <w:noWrap w:val="0"/>
            <w:vAlign w:val="center"/>
          </w:tcPr>
          <w:p w14:paraId="354DE902">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95C4F9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《普通照明用双端荧光灯能效限定值及能效等级》（</w:t>
            </w:r>
            <w:r>
              <w:rPr>
                <w:rFonts w:ascii="宋体" w:hAnsi="宋体" w:eastAsia="Times New Roman" w:cs="宋体"/>
                <w:color w:val="auto"/>
                <w:kern w:val="0"/>
                <w:sz w:val="20"/>
                <w:szCs w:val="20"/>
                <w:highlight w:val="none"/>
              </w:rPr>
              <w:t>GB19043）</w:t>
            </w:r>
          </w:p>
        </w:tc>
      </w:tr>
      <w:tr w14:paraId="367791F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2753C2A6">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0FF1F6C">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1F9DBE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LED道路/隧道照明产品</w:t>
            </w:r>
          </w:p>
        </w:tc>
        <w:tc>
          <w:tcPr>
            <w:tcW w:w="1612" w:type="dxa"/>
            <w:tcBorders>
              <w:top w:val="nil"/>
              <w:left w:val="nil"/>
              <w:bottom w:val="single" w:color="000000" w:sz="8" w:space="0"/>
              <w:right w:val="single" w:color="000000" w:sz="8" w:space="0"/>
            </w:tcBorders>
            <w:noWrap w:val="0"/>
            <w:vAlign w:val="center"/>
          </w:tcPr>
          <w:p w14:paraId="7A2E1B6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D86F08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《道路和隧道照明用</w:t>
            </w:r>
            <w:r>
              <w:rPr>
                <w:rFonts w:ascii="宋体" w:hAnsi="宋体" w:eastAsia="Times New Roman" w:cs="宋体"/>
                <w:color w:val="auto"/>
                <w:kern w:val="0"/>
                <w:sz w:val="20"/>
                <w:szCs w:val="20"/>
                <w:highlight w:val="none"/>
              </w:rPr>
              <w:t>LED灯具能效限定值及能效等级》（GB37478）</w:t>
            </w:r>
          </w:p>
        </w:tc>
      </w:tr>
      <w:tr w14:paraId="525FFCAD">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13BD7AB3">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3582646A">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98E5C0E">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LED筒灯</w:t>
            </w:r>
          </w:p>
        </w:tc>
        <w:tc>
          <w:tcPr>
            <w:tcW w:w="1612" w:type="dxa"/>
            <w:tcBorders>
              <w:top w:val="nil"/>
              <w:left w:val="nil"/>
              <w:bottom w:val="single" w:color="000000" w:sz="8" w:space="0"/>
              <w:right w:val="single" w:color="000000" w:sz="8" w:space="0"/>
            </w:tcBorders>
            <w:noWrap w:val="0"/>
            <w:vAlign w:val="center"/>
          </w:tcPr>
          <w:p w14:paraId="28EF853E">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30E67218">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38B11692">
        <w:tblPrEx>
          <w:tblCellMar>
            <w:top w:w="0" w:type="dxa"/>
            <w:left w:w="108" w:type="dxa"/>
            <w:bottom w:w="0" w:type="dxa"/>
            <w:right w:w="108" w:type="dxa"/>
          </w:tblCellMar>
        </w:tblPrEx>
        <w:trPr>
          <w:trHeight w:val="73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04C8BE31">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6ECB0A64">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522B31F1">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普通照明用非定向自镇流</w:t>
            </w:r>
            <w:r>
              <w:rPr>
                <w:rFonts w:ascii="宋体" w:hAnsi="宋体" w:eastAsia="Times New Roman" w:cs="宋体"/>
                <w:color w:val="auto"/>
                <w:kern w:val="0"/>
                <w:sz w:val="20"/>
                <w:szCs w:val="20"/>
                <w:highlight w:val="none"/>
              </w:rPr>
              <w:t>LED灯</w:t>
            </w:r>
          </w:p>
        </w:tc>
        <w:tc>
          <w:tcPr>
            <w:tcW w:w="1612" w:type="dxa"/>
            <w:tcBorders>
              <w:top w:val="nil"/>
              <w:left w:val="nil"/>
              <w:bottom w:val="single" w:color="000000" w:sz="8" w:space="0"/>
              <w:right w:val="single" w:color="000000" w:sz="8" w:space="0"/>
            </w:tcBorders>
            <w:noWrap w:val="0"/>
            <w:vAlign w:val="center"/>
          </w:tcPr>
          <w:p w14:paraId="4299280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A94ECC">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《室内照明用</w:t>
            </w:r>
            <w:r>
              <w:rPr>
                <w:rFonts w:ascii="宋体" w:hAnsi="宋体" w:eastAsia="Times New Roman" w:cs="宋体"/>
                <w:color w:val="auto"/>
                <w:kern w:val="0"/>
                <w:sz w:val="20"/>
                <w:szCs w:val="20"/>
                <w:highlight w:val="none"/>
              </w:rPr>
              <w:t>LED产品能效限定值及能效等级》（GB30255）</w:t>
            </w:r>
          </w:p>
        </w:tc>
      </w:tr>
      <w:tr w14:paraId="4B516644">
        <w:tblPrEx>
          <w:tblCellMar>
            <w:top w:w="0" w:type="dxa"/>
            <w:left w:w="108" w:type="dxa"/>
            <w:bottom w:w="0" w:type="dxa"/>
            <w:right w:w="108" w:type="dxa"/>
          </w:tblCellMar>
        </w:tblPrEx>
        <w:trPr>
          <w:trHeight w:val="735" w:hRule="atLeast"/>
        </w:trPr>
        <w:tc>
          <w:tcPr>
            <w:tcW w:w="641" w:type="dxa"/>
            <w:tcBorders>
              <w:top w:val="nil"/>
              <w:left w:val="single" w:color="000000" w:sz="8" w:space="0"/>
              <w:bottom w:val="single" w:color="000000" w:sz="8" w:space="0"/>
              <w:right w:val="single" w:color="000000" w:sz="8" w:space="0"/>
            </w:tcBorders>
            <w:noWrap w:val="0"/>
            <w:vAlign w:val="center"/>
          </w:tcPr>
          <w:p w14:paraId="2929619A">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12</w:t>
            </w:r>
          </w:p>
        </w:tc>
        <w:tc>
          <w:tcPr>
            <w:tcW w:w="1116" w:type="dxa"/>
            <w:tcBorders>
              <w:top w:val="nil"/>
              <w:left w:val="nil"/>
              <w:bottom w:val="single" w:color="000000" w:sz="8" w:space="0"/>
              <w:right w:val="single" w:color="000000" w:sz="8" w:space="0"/>
            </w:tcBorders>
            <w:noWrap w:val="0"/>
            <w:vAlign w:val="center"/>
          </w:tcPr>
          <w:p w14:paraId="7B0D8A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A020910电视设备</w:t>
            </w:r>
          </w:p>
        </w:tc>
        <w:tc>
          <w:tcPr>
            <w:tcW w:w="1516" w:type="dxa"/>
            <w:tcBorders>
              <w:top w:val="nil"/>
              <w:left w:val="nil"/>
              <w:bottom w:val="single" w:color="000000" w:sz="8" w:space="0"/>
              <w:right w:val="single" w:color="000000" w:sz="8" w:space="0"/>
            </w:tcBorders>
            <w:noWrap w:val="0"/>
            <w:vAlign w:val="center"/>
          </w:tcPr>
          <w:p w14:paraId="4E938A6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A02091001普通电视设备（电视机）</w:t>
            </w:r>
          </w:p>
        </w:tc>
        <w:tc>
          <w:tcPr>
            <w:tcW w:w="1612" w:type="dxa"/>
            <w:tcBorders>
              <w:top w:val="nil"/>
              <w:left w:val="nil"/>
              <w:bottom w:val="single" w:color="000000" w:sz="8" w:space="0"/>
              <w:right w:val="single" w:color="000000" w:sz="8" w:space="0"/>
            </w:tcBorders>
            <w:noWrap w:val="0"/>
            <w:vAlign w:val="center"/>
          </w:tcPr>
          <w:p w14:paraId="1CBCA18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892C524">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《平板电视能效限定值及能效等级》（</w:t>
            </w:r>
            <w:r>
              <w:rPr>
                <w:rFonts w:ascii="宋体" w:hAnsi="宋体" w:eastAsia="Times New Roman" w:cs="宋体"/>
                <w:color w:val="auto"/>
                <w:kern w:val="0"/>
                <w:sz w:val="20"/>
                <w:szCs w:val="20"/>
                <w:highlight w:val="none"/>
              </w:rPr>
              <w:t>GB24850）</w:t>
            </w:r>
          </w:p>
        </w:tc>
      </w:tr>
      <w:tr w14:paraId="08957626">
        <w:tblPrEx>
          <w:tblCellMar>
            <w:top w:w="0" w:type="dxa"/>
            <w:left w:w="108" w:type="dxa"/>
            <w:bottom w:w="0" w:type="dxa"/>
            <w:right w:w="108" w:type="dxa"/>
          </w:tblCellMar>
        </w:tblPrEx>
        <w:trPr>
          <w:trHeight w:val="975" w:hRule="atLeast"/>
        </w:trPr>
        <w:tc>
          <w:tcPr>
            <w:tcW w:w="641" w:type="dxa"/>
            <w:tcBorders>
              <w:top w:val="nil"/>
              <w:left w:val="single" w:color="000000" w:sz="8" w:space="0"/>
              <w:bottom w:val="single" w:color="000000" w:sz="8" w:space="0"/>
              <w:right w:val="single" w:color="000000" w:sz="8" w:space="0"/>
            </w:tcBorders>
            <w:noWrap w:val="0"/>
            <w:vAlign w:val="center"/>
          </w:tcPr>
          <w:p w14:paraId="347BB3E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13</w:t>
            </w:r>
          </w:p>
        </w:tc>
        <w:tc>
          <w:tcPr>
            <w:tcW w:w="1116" w:type="dxa"/>
            <w:tcBorders>
              <w:top w:val="nil"/>
              <w:left w:val="nil"/>
              <w:bottom w:val="single" w:color="000000" w:sz="8" w:space="0"/>
              <w:right w:val="single" w:color="000000" w:sz="8" w:space="0"/>
            </w:tcBorders>
            <w:noWrap w:val="0"/>
            <w:vAlign w:val="center"/>
          </w:tcPr>
          <w:p w14:paraId="14B30156">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A020911视频设备</w:t>
            </w:r>
          </w:p>
        </w:tc>
        <w:tc>
          <w:tcPr>
            <w:tcW w:w="1516" w:type="dxa"/>
            <w:tcBorders>
              <w:top w:val="nil"/>
              <w:left w:val="nil"/>
              <w:bottom w:val="single" w:color="000000" w:sz="8" w:space="0"/>
              <w:right w:val="single" w:color="000000" w:sz="8" w:space="0"/>
            </w:tcBorders>
            <w:noWrap w:val="0"/>
            <w:vAlign w:val="center"/>
          </w:tcPr>
          <w:p w14:paraId="7B422F88">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A02091107视频监控设备</w:t>
            </w:r>
          </w:p>
        </w:tc>
        <w:tc>
          <w:tcPr>
            <w:tcW w:w="1612" w:type="dxa"/>
            <w:tcBorders>
              <w:top w:val="nil"/>
              <w:left w:val="nil"/>
              <w:bottom w:val="single" w:color="000000" w:sz="8" w:space="0"/>
              <w:right w:val="single" w:color="000000" w:sz="8" w:space="0"/>
            </w:tcBorders>
            <w:noWrap w:val="0"/>
            <w:vAlign w:val="center"/>
          </w:tcPr>
          <w:p w14:paraId="0D2FE2BD">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监视器</w:t>
            </w:r>
          </w:p>
        </w:tc>
        <w:tc>
          <w:tcPr>
            <w:tcW w:w="4584" w:type="dxa"/>
            <w:tcBorders>
              <w:top w:val="nil"/>
              <w:left w:val="nil"/>
              <w:bottom w:val="single" w:color="000000" w:sz="8" w:space="0"/>
              <w:right w:val="single" w:color="000000" w:sz="8" w:space="0"/>
            </w:tcBorders>
            <w:noWrap w:val="0"/>
            <w:vAlign w:val="center"/>
          </w:tcPr>
          <w:p w14:paraId="6A71B4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以射频信号为主要信号输入的监视器应符合《平板电视能效限定值及能效等级》（</w:t>
            </w:r>
            <w:r>
              <w:rPr>
                <w:rFonts w:ascii="宋体" w:hAnsi="宋体" w:eastAsia="Times New Roman" w:cs="宋体"/>
                <w:color w:val="auto"/>
                <w:kern w:val="0"/>
                <w:sz w:val="20"/>
                <w:szCs w:val="20"/>
                <w:highlight w:val="none"/>
              </w:rPr>
              <w:t>GB24850），以数字信号为主要信号输入的监视器应符合《计算机显示器能效限定值及能效等级》（GB21520）</w:t>
            </w:r>
          </w:p>
        </w:tc>
      </w:tr>
      <w:tr w14:paraId="1A2584F0">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33C3FE9D">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14</w:t>
            </w:r>
          </w:p>
        </w:tc>
        <w:tc>
          <w:tcPr>
            <w:tcW w:w="1116" w:type="dxa"/>
            <w:tcBorders>
              <w:top w:val="nil"/>
              <w:left w:val="nil"/>
              <w:bottom w:val="single" w:color="000000" w:sz="8" w:space="0"/>
              <w:right w:val="single" w:color="000000" w:sz="8" w:space="0"/>
            </w:tcBorders>
            <w:noWrap w:val="0"/>
            <w:vAlign w:val="center"/>
          </w:tcPr>
          <w:p w14:paraId="79415C4F">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A031210饮食炊事机械</w:t>
            </w:r>
          </w:p>
        </w:tc>
        <w:tc>
          <w:tcPr>
            <w:tcW w:w="1516" w:type="dxa"/>
            <w:tcBorders>
              <w:top w:val="nil"/>
              <w:left w:val="nil"/>
              <w:bottom w:val="single" w:color="000000" w:sz="8" w:space="0"/>
              <w:right w:val="single" w:color="000000" w:sz="8" w:space="0"/>
            </w:tcBorders>
            <w:noWrap w:val="0"/>
            <w:vAlign w:val="center"/>
          </w:tcPr>
          <w:p w14:paraId="555104C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商用燃气灶具</w:t>
            </w:r>
          </w:p>
        </w:tc>
        <w:tc>
          <w:tcPr>
            <w:tcW w:w="1612" w:type="dxa"/>
            <w:tcBorders>
              <w:top w:val="nil"/>
              <w:left w:val="nil"/>
              <w:bottom w:val="single" w:color="000000" w:sz="8" w:space="0"/>
              <w:right w:val="single" w:color="000000" w:sz="8" w:space="0"/>
            </w:tcBorders>
            <w:noWrap w:val="0"/>
            <w:vAlign w:val="center"/>
          </w:tcPr>
          <w:p w14:paraId="714B35B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866C9C6">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《商用燃气灶具能效限定值及能效等级》（</w:t>
            </w:r>
            <w:r>
              <w:rPr>
                <w:rFonts w:ascii="宋体" w:hAnsi="宋体" w:eastAsia="Times New Roman" w:cs="宋体"/>
                <w:color w:val="auto"/>
                <w:kern w:val="0"/>
                <w:sz w:val="20"/>
                <w:szCs w:val="20"/>
                <w:highlight w:val="none"/>
              </w:rPr>
              <w:t>GB30531）</w:t>
            </w:r>
          </w:p>
        </w:tc>
      </w:tr>
      <w:tr w14:paraId="24950DB2">
        <w:tblPrEx>
          <w:tblCellMar>
            <w:top w:w="0" w:type="dxa"/>
            <w:left w:w="108" w:type="dxa"/>
            <w:bottom w:w="0" w:type="dxa"/>
            <w:right w:w="108" w:type="dxa"/>
          </w:tblCellMar>
        </w:tblPrEx>
        <w:trPr>
          <w:trHeight w:val="285" w:hRule="atLeast"/>
        </w:trPr>
        <w:tc>
          <w:tcPr>
            <w:tcW w:w="641" w:type="dxa"/>
            <w:vMerge w:val="restart"/>
            <w:tcBorders>
              <w:top w:val="nil"/>
              <w:left w:val="single" w:color="000000" w:sz="8" w:space="0"/>
              <w:bottom w:val="single" w:color="000000" w:sz="8" w:space="0"/>
              <w:right w:val="single" w:color="000000" w:sz="8" w:space="0"/>
            </w:tcBorders>
            <w:noWrap w:val="0"/>
            <w:vAlign w:val="center"/>
          </w:tcPr>
          <w:p w14:paraId="7FDFCE01">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15</w:t>
            </w:r>
          </w:p>
        </w:tc>
        <w:tc>
          <w:tcPr>
            <w:tcW w:w="1116" w:type="dxa"/>
            <w:vMerge w:val="restart"/>
            <w:tcBorders>
              <w:top w:val="nil"/>
              <w:left w:val="single" w:color="000000" w:sz="8" w:space="0"/>
              <w:bottom w:val="single" w:color="000000" w:sz="8" w:space="0"/>
              <w:right w:val="single" w:color="000000" w:sz="8" w:space="0"/>
            </w:tcBorders>
            <w:noWrap w:val="0"/>
            <w:vAlign w:val="center"/>
          </w:tcPr>
          <w:p w14:paraId="3E60F6B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A060805便器</w:t>
            </w:r>
          </w:p>
        </w:tc>
        <w:tc>
          <w:tcPr>
            <w:tcW w:w="1516" w:type="dxa"/>
            <w:tcBorders>
              <w:top w:val="nil"/>
              <w:left w:val="nil"/>
              <w:bottom w:val="single" w:color="000000" w:sz="8" w:space="0"/>
              <w:right w:val="single" w:color="000000" w:sz="8" w:space="0"/>
            </w:tcBorders>
            <w:noWrap w:val="0"/>
            <w:vAlign w:val="center"/>
          </w:tcPr>
          <w:p w14:paraId="46476E85">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坐便器</w:t>
            </w:r>
          </w:p>
        </w:tc>
        <w:tc>
          <w:tcPr>
            <w:tcW w:w="1612" w:type="dxa"/>
            <w:tcBorders>
              <w:top w:val="nil"/>
              <w:left w:val="nil"/>
              <w:bottom w:val="single" w:color="000000" w:sz="8" w:space="0"/>
              <w:right w:val="single" w:color="000000" w:sz="8" w:space="0"/>
            </w:tcBorders>
            <w:noWrap w:val="0"/>
            <w:vAlign w:val="center"/>
          </w:tcPr>
          <w:p w14:paraId="33CF691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064EC7E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《坐便器水效限定值及水效等级》（</w:t>
            </w:r>
            <w:r>
              <w:rPr>
                <w:rFonts w:ascii="宋体" w:hAnsi="宋体" w:eastAsia="Times New Roman" w:cs="宋体"/>
                <w:color w:val="auto"/>
                <w:kern w:val="0"/>
                <w:sz w:val="20"/>
                <w:szCs w:val="20"/>
                <w:highlight w:val="none"/>
              </w:rPr>
              <w:t>GB25502）</w:t>
            </w:r>
          </w:p>
        </w:tc>
      </w:tr>
      <w:tr w14:paraId="5FF2BF47">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432F6C39">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0C7C723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3CF98B44">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蹲便器</w:t>
            </w:r>
          </w:p>
        </w:tc>
        <w:tc>
          <w:tcPr>
            <w:tcW w:w="1612" w:type="dxa"/>
            <w:tcBorders>
              <w:top w:val="nil"/>
              <w:left w:val="nil"/>
              <w:bottom w:val="single" w:color="000000" w:sz="8" w:space="0"/>
              <w:right w:val="single" w:color="000000" w:sz="8" w:space="0"/>
            </w:tcBorders>
            <w:noWrap w:val="0"/>
            <w:vAlign w:val="center"/>
          </w:tcPr>
          <w:p w14:paraId="07C847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635C46BA">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《蹲便器用水效率限定值及用水效率等级》（</w:t>
            </w:r>
            <w:r>
              <w:rPr>
                <w:rFonts w:ascii="宋体" w:hAnsi="宋体" w:eastAsia="Times New Roman" w:cs="宋体"/>
                <w:color w:val="auto"/>
                <w:kern w:val="0"/>
                <w:sz w:val="20"/>
                <w:szCs w:val="20"/>
                <w:highlight w:val="none"/>
              </w:rPr>
              <w:t>GB30717）</w:t>
            </w:r>
          </w:p>
        </w:tc>
      </w:tr>
      <w:tr w14:paraId="1CA0D966">
        <w:tblPrEx>
          <w:tblCellMar>
            <w:top w:w="0" w:type="dxa"/>
            <w:left w:w="108" w:type="dxa"/>
            <w:bottom w:w="0" w:type="dxa"/>
            <w:right w:w="108" w:type="dxa"/>
          </w:tblCellMar>
        </w:tblPrEx>
        <w:trPr>
          <w:trHeight w:val="495" w:hRule="atLeast"/>
        </w:trPr>
        <w:tc>
          <w:tcPr>
            <w:tcW w:w="641" w:type="dxa"/>
            <w:vMerge w:val="continue"/>
            <w:tcBorders>
              <w:top w:val="nil"/>
              <w:left w:val="single" w:color="000000" w:sz="8" w:space="0"/>
              <w:bottom w:val="single" w:color="000000" w:sz="8" w:space="0"/>
              <w:right w:val="single" w:color="000000" w:sz="8" w:space="0"/>
            </w:tcBorders>
            <w:noWrap w:val="0"/>
            <w:vAlign w:val="center"/>
          </w:tcPr>
          <w:p w14:paraId="5B251A6D">
            <w:pPr>
              <w:widowControl/>
              <w:jc w:val="left"/>
              <w:rPr>
                <w:rFonts w:ascii="宋体" w:cs="宋体"/>
                <w:color w:val="auto"/>
                <w:kern w:val="0"/>
                <w:sz w:val="20"/>
                <w:szCs w:val="20"/>
                <w:highlight w:val="none"/>
              </w:rPr>
            </w:pPr>
          </w:p>
        </w:tc>
        <w:tc>
          <w:tcPr>
            <w:tcW w:w="1116" w:type="dxa"/>
            <w:vMerge w:val="continue"/>
            <w:tcBorders>
              <w:top w:val="nil"/>
              <w:left w:val="single" w:color="000000" w:sz="8" w:space="0"/>
              <w:bottom w:val="single" w:color="000000" w:sz="8" w:space="0"/>
              <w:right w:val="single" w:color="000000" w:sz="8" w:space="0"/>
            </w:tcBorders>
            <w:noWrap w:val="0"/>
            <w:vAlign w:val="center"/>
          </w:tcPr>
          <w:p w14:paraId="4406DF52">
            <w:pPr>
              <w:widowControl/>
              <w:jc w:val="left"/>
              <w:rPr>
                <w:rFonts w:ascii="宋体" w:cs="宋体"/>
                <w:color w:val="auto"/>
                <w:kern w:val="0"/>
                <w:sz w:val="20"/>
                <w:szCs w:val="20"/>
                <w:highlight w:val="none"/>
              </w:rPr>
            </w:pPr>
          </w:p>
        </w:tc>
        <w:tc>
          <w:tcPr>
            <w:tcW w:w="1516" w:type="dxa"/>
            <w:tcBorders>
              <w:top w:val="nil"/>
              <w:left w:val="nil"/>
              <w:bottom w:val="single" w:color="000000" w:sz="8" w:space="0"/>
              <w:right w:val="single" w:color="000000" w:sz="8" w:space="0"/>
            </w:tcBorders>
            <w:noWrap w:val="0"/>
            <w:vAlign w:val="center"/>
          </w:tcPr>
          <w:p w14:paraId="210F82EC">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小便器</w:t>
            </w:r>
          </w:p>
        </w:tc>
        <w:tc>
          <w:tcPr>
            <w:tcW w:w="1612" w:type="dxa"/>
            <w:tcBorders>
              <w:top w:val="nil"/>
              <w:left w:val="nil"/>
              <w:bottom w:val="single" w:color="000000" w:sz="8" w:space="0"/>
              <w:right w:val="single" w:color="000000" w:sz="8" w:space="0"/>
            </w:tcBorders>
            <w:noWrap w:val="0"/>
            <w:vAlign w:val="center"/>
          </w:tcPr>
          <w:p w14:paraId="1444822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3C7789B">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《小便器用水效率限定值及用水效率等级》（</w:t>
            </w:r>
            <w:r>
              <w:rPr>
                <w:rFonts w:ascii="宋体" w:hAnsi="宋体" w:eastAsia="Times New Roman" w:cs="宋体"/>
                <w:color w:val="auto"/>
                <w:kern w:val="0"/>
                <w:sz w:val="20"/>
                <w:szCs w:val="20"/>
                <w:highlight w:val="none"/>
              </w:rPr>
              <w:t>GB28377）</w:t>
            </w:r>
          </w:p>
        </w:tc>
      </w:tr>
      <w:tr w14:paraId="7EB488F7">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E9BD420">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16</w:t>
            </w:r>
          </w:p>
        </w:tc>
        <w:tc>
          <w:tcPr>
            <w:tcW w:w="1116" w:type="dxa"/>
            <w:tcBorders>
              <w:top w:val="nil"/>
              <w:left w:val="nil"/>
              <w:bottom w:val="single" w:color="000000" w:sz="8" w:space="0"/>
              <w:right w:val="single" w:color="000000" w:sz="8" w:space="0"/>
            </w:tcBorders>
            <w:noWrap w:val="0"/>
            <w:vAlign w:val="center"/>
          </w:tcPr>
          <w:p w14:paraId="4986CDB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w:t>
            </w:r>
            <w:r>
              <w:rPr>
                <w:rFonts w:ascii="宋体" w:hAnsi="宋体" w:eastAsia="Times New Roman" w:cs="宋体"/>
                <w:color w:val="auto"/>
                <w:kern w:val="0"/>
                <w:sz w:val="20"/>
                <w:szCs w:val="20"/>
                <w:highlight w:val="none"/>
              </w:rPr>
              <w:t>A060806水嘴</w:t>
            </w:r>
          </w:p>
        </w:tc>
        <w:tc>
          <w:tcPr>
            <w:tcW w:w="1516" w:type="dxa"/>
            <w:tcBorders>
              <w:top w:val="nil"/>
              <w:left w:val="nil"/>
              <w:bottom w:val="single" w:color="000000" w:sz="8" w:space="0"/>
              <w:right w:val="single" w:color="000000" w:sz="8" w:space="0"/>
            </w:tcBorders>
            <w:noWrap w:val="0"/>
            <w:vAlign w:val="center"/>
          </w:tcPr>
          <w:p w14:paraId="7E5C75E0">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27C35B89">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4E059F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《水嘴用水效率限定值及用水效率等级》（</w:t>
            </w:r>
            <w:r>
              <w:rPr>
                <w:rFonts w:ascii="宋体" w:hAnsi="宋体" w:eastAsia="Times New Roman" w:cs="宋体"/>
                <w:color w:val="auto"/>
                <w:kern w:val="0"/>
                <w:sz w:val="20"/>
                <w:szCs w:val="20"/>
                <w:highlight w:val="none"/>
              </w:rPr>
              <w:t>GB 25501）</w:t>
            </w:r>
          </w:p>
        </w:tc>
      </w:tr>
      <w:tr w14:paraId="3DAEB7A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0BB37705">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17</w:t>
            </w:r>
          </w:p>
        </w:tc>
        <w:tc>
          <w:tcPr>
            <w:tcW w:w="1116" w:type="dxa"/>
            <w:tcBorders>
              <w:top w:val="nil"/>
              <w:left w:val="nil"/>
              <w:bottom w:val="single" w:color="000000" w:sz="8" w:space="0"/>
              <w:right w:val="single" w:color="000000" w:sz="8" w:space="0"/>
            </w:tcBorders>
            <w:noWrap w:val="0"/>
            <w:vAlign w:val="center"/>
          </w:tcPr>
          <w:p w14:paraId="6DDAE22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A060807便器冲洗阀</w:t>
            </w:r>
          </w:p>
        </w:tc>
        <w:tc>
          <w:tcPr>
            <w:tcW w:w="1516" w:type="dxa"/>
            <w:tcBorders>
              <w:top w:val="nil"/>
              <w:left w:val="nil"/>
              <w:bottom w:val="single" w:color="000000" w:sz="8" w:space="0"/>
              <w:right w:val="single" w:color="000000" w:sz="8" w:space="0"/>
            </w:tcBorders>
            <w:noWrap w:val="0"/>
            <w:vAlign w:val="center"/>
          </w:tcPr>
          <w:p w14:paraId="294B475A">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4677E348">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28B58A41">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《便器冲洗阀用水效率限定值及用水效率等级》（</w:t>
            </w:r>
            <w:r>
              <w:rPr>
                <w:rFonts w:ascii="宋体" w:hAnsi="宋体" w:eastAsia="Times New Roman" w:cs="宋体"/>
                <w:color w:val="auto"/>
                <w:kern w:val="0"/>
                <w:sz w:val="20"/>
                <w:szCs w:val="20"/>
                <w:highlight w:val="none"/>
              </w:rPr>
              <w:t>GB28379）</w:t>
            </w:r>
          </w:p>
        </w:tc>
      </w:tr>
      <w:tr w14:paraId="12BC85DF">
        <w:tblPrEx>
          <w:tblCellMar>
            <w:top w:w="0" w:type="dxa"/>
            <w:left w:w="108" w:type="dxa"/>
            <w:bottom w:w="0" w:type="dxa"/>
            <w:right w:w="108" w:type="dxa"/>
          </w:tblCellMar>
        </w:tblPrEx>
        <w:trPr>
          <w:trHeight w:val="495" w:hRule="atLeast"/>
        </w:trPr>
        <w:tc>
          <w:tcPr>
            <w:tcW w:w="641" w:type="dxa"/>
            <w:tcBorders>
              <w:top w:val="nil"/>
              <w:left w:val="single" w:color="000000" w:sz="8" w:space="0"/>
              <w:bottom w:val="single" w:color="000000" w:sz="8" w:space="0"/>
              <w:right w:val="single" w:color="000000" w:sz="8" w:space="0"/>
            </w:tcBorders>
            <w:noWrap w:val="0"/>
            <w:vAlign w:val="center"/>
          </w:tcPr>
          <w:p w14:paraId="4BD1C3A9">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18</w:t>
            </w:r>
          </w:p>
        </w:tc>
        <w:tc>
          <w:tcPr>
            <w:tcW w:w="1116" w:type="dxa"/>
            <w:tcBorders>
              <w:top w:val="nil"/>
              <w:left w:val="nil"/>
              <w:bottom w:val="single" w:color="000000" w:sz="8" w:space="0"/>
              <w:right w:val="single" w:color="000000" w:sz="8" w:space="0"/>
            </w:tcBorders>
            <w:noWrap w:val="0"/>
            <w:vAlign w:val="center"/>
          </w:tcPr>
          <w:p w14:paraId="5AA2B863">
            <w:pPr>
              <w:widowControl/>
              <w:jc w:val="center"/>
              <w:rPr>
                <w:rFonts w:ascii="宋体" w:cs="宋体"/>
                <w:color w:val="auto"/>
                <w:kern w:val="0"/>
                <w:sz w:val="20"/>
                <w:szCs w:val="20"/>
                <w:highlight w:val="none"/>
              </w:rPr>
            </w:pPr>
            <w:r>
              <w:rPr>
                <w:rFonts w:ascii="宋体" w:hAnsi="宋体" w:eastAsia="Times New Roman" w:cs="宋体"/>
                <w:color w:val="auto"/>
                <w:kern w:val="0"/>
                <w:sz w:val="20"/>
                <w:szCs w:val="20"/>
                <w:highlight w:val="none"/>
              </w:rPr>
              <w:t>A060810淋浴器</w:t>
            </w:r>
          </w:p>
        </w:tc>
        <w:tc>
          <w:tcPr>
            <w:tcW w:w="1516" w:type="dxa"/>
            <w:tcBorders>
              <w:top w:val="nil"/>
              <w:left w:val="nil"/>
              <w:bottom w:val="single" w:color="000000" w:sz="8" w:space="0"/>
              <w:right w:val="single" w:color="000000" w:sz="8" w:space="0"/>
            </w:tcBorders>
            <w:noWrap w:val="0"/>
            <w:vAlign w:val="center"/>
          </w:tcPr>
          <w:p w14:paraId="0155DA4B">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1612" w:type="dxa"/>
            <w:tcBorders>
              <w:top w:val="nil"/>
              <w:left w:val="nil"/>
              <w:bottom w:val="single" w:color="000000" w:sz="8" w:space="0"/>
              <w:right w:val="single" w:color="000000" w:sz="8" w:space="0"/>
            </w:tcBorders>
            <w:noWrap w:val="0"/>
            <w:vAlign w:val="center"/>
          </w:tcPr>
          <w:p w14:paraId="667A8637">
            <w:pPr>
              <w:widowControl/>
              <w:jc w:val="center"/>
              <w:rPr>
                <w:rFonts w:ascii="宋体" w:cs="宋体"/>
                <w:color w:val="auto"/>
                <w:kern w:val="0"/>
                <w:sz w:val="20"/>
                <w:szCs w:val="20"/>
                <w:highlight w:val="none"/>
              </w:rPr>
            </w:pPr>
            <w:r>
              <w:rPr>
                <w:rFonts w:hint="eastAsia" w:ascii="宋体" w:cs="宋体"/>
                <w:color w:val="auto"/>
                <w:kern w:val="0"/>
                <w:sz w:val="20"/>
                <w:szCs w:val="20"/>
                <w:highlight w:val="none"/>
              </w:rPr>
              <w:t>　</w:t>
            </w:r>
          </w:p>
        </w:tc>
        <w:tc>
          <w:tcPr>
            <w:tcW w:w="4584" w:type="dxa"/>
            <w:tcBorders>
              <w:top w:val="nil"/>
              <w:left w:val="nil"/>
              <w:bottom w:val="single" w:color="000000" w:sz="8" w:space="0"/>
              <w:right w:val="single" w:color="000000" w:sz="8" w:space="0"/>
            </w:tcBorders>
            <w:noWrap w:val="0"/>
            <w:vAlign w:val="center"/>
          </w:tcPr>
          <w:p w14:paraId="10E987D9">
            <w:pPr>
              <w:widowControl/>
              <w:jc w:val="left"/>
              <w:rPr>
                <w:rFonts w:ascii="宋体" w:cs="宋体"/>
                <w:color w:val="auto"/>
                <w:kern w:val="0"/>
                <w:sz w:val="20"/>
                <w:szCs w:val="20"/>
                <w:highlight w:val="none"/>
              </w:rPr>
            </w:pPr>
            <w:r>
              <w:rPr>
                <w:rFonts w:hint="eastAsia" w:ascii="宋体" w:cs="宋体"/>
                <w:color w:val="auto"/>
                <w:kern w:val="0"/>
                <w:sz w:val="20"/>
                <w:szCs w:val="20"/>
                <w:highlight w:val="none"/>
              </w:rPr>
              <w:t>《淋浴器用水效率限定值及用水效率等级》（</w:t>
            </w:r>
            <w:r>
              <w:rPr>
                <w:rFonts w:ascii="宋体" w:hAnsi="宋体" w:eastAsia="Times New Roman" w:cs="宋体"/>
                <w:color w:val="auto"/>
                <w:kern w:val="0"/>
                <w:sz w:val="20"/>
                <w:szCs w:val="20"/>
                <w:highlight w:val="none"/>
              </w:rPr>
              <w:t>GB28378）</w:t>
            </w:r>
          </w:p>
        </w:tc>
      </w:tr>
    </w:tbl>
    <w:p w14:paraId="2A7DB89C">
      <w:pPr>
        <w:pStyle w:val="12"/>
        <w:spacing w:line="360" w:lineRule="auto"/>
        <w:rPr>
          <w:rFonts w:asci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7BDE7FA">
      <w:pPr>
        <w:pStyle w:val="16"/>
        <w:jc w:val="left"/>
        <w:rPr>
          <w:rFonts w:ascii="Arial Unicode MS" w:hAnsi="Arial Unicode MS" w:eastAsia="Times New Roman" w:cs="Arial Unicode MS"/>
          <w:color w:val="auto"/>
          <w:sz w:val="32"/>
          <w:szCs w:val="32"/>
          <w:highlight w:val="none"/>
        </w:rPr>
      </w:pPr>
      <w:r>
        <w:rPr>
          <w:rFonts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r>
        <w:rPr>
          <w:color w:val="auto"/>
          <w:highlight w:val="none"/>
        </w:rPr>
        <w:br w:type="page"/>
      </w:r>
      <w:r>
        <w:rPr>
          <w:rFonts w:hint="eastAsia" w:ascii="微软雅黑" w:hAnsi="微软雅黑" w:eastAsia="微软雅黑" w:cs="微软雅黑"/>
          <w:color w:val="auto"/>
          <w:sz w:val="32"/>
          <w:szCs w:val="32"/>
          <w:highlight w:val="none"/>
        </w:rPr>
        <w:t>附件</w:t>
      </w:r>
      <w:r>
        <w:rPr>
          <w:rFonts w:ascii="Arial Unicode MS" w:hAnsi="Arial Unicode MS" w:eastAsia="Times New Roman" w:cs="Arial Unicode MS"/>
          <w:color w:val="auto"/>
          <w:sz w:val="32"/>
          <w:szCs w:val="32"/>
          <w:highlight w:val="none"/>
        </w:rPr>
        <w:t>2</w:t>
      </w:r>
      <w:r>
        <w:rPr>
          <w:rFonts w:hint="eastAsia" w:ascii="微软雅黑" w:hAnsi="微软雅黑" w:eastAsia="微软雅黑" w:cs="微软雅黑"/>
          <w:color w:val="auto"/>
          <w:sz w:val="32"/>
          <w:szCs w:val="32"/>
          <w:highlight w:val="none"/>
        </w:rPr>
        <w:t>：</w:t>
      </w:r>
    </w:p>
    <w:p w14:paraId="4AAE6006">
      <w:pPr>
        <w:spacing w:line="528" w:lineRule="exact"/>
        <w:jc w:val="center"/>
        <w:rPr>
          <w:rFonts w:ascii="Arial Unicode MS" w:hAnsi="Arial Unicode MS" w:eastAsia="Times New Roman"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27"/>
        <w:tblW w:w="9500" w:type="dxa"/>
        <w:tblInd w:w="250" w:type="dxa"/>
        <w:tblLayout w:type="fixed"/>
        <w:tblCellMar>
          <w:top w:w="0" w:type="dxa"/>
          <w:left w:w="108" w:type="dxa"/>
          <w:bottom w:w="0" w:type="dxa"/>
          <w:right w:w="108" w:type="dxa"/>
        </w:tblCellMar>
      </w:tblPr>
      <w:tblGrid>
        <w:gridCol w:w="1985"/>
        <w:gridCol w:w="1985"/>
        <w:gridCol w:w="851"/>
        <w:gridCol w:w="1836"/>
        <w:gridCol w:w="1709"/>
        <w:gridCol w:w="1134"/>
      </w:tblGrid>
      <w:tr w14:paraId="484D930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59CCC8D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noWrap w:val="0"/>
            <w:vAlign w:val="center"/>
          </w:tcPr>
          <w:p w14:paraId="0B446596">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7BCBBE1">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计量单位</w:t>
            </w:r>
          </w:p>
        </w:tc>
        <w:tc>
          <w:tcPr>
            <w:tcW w:w="1836" w:type="dxa"/>
            <w:tcBorders>
              <w:top w:val="single" w:color="auto" w:sz="4" w:space="0"/>
              <w:left w:val="nil"/>
              <w:bottom w:val="single" w:color="auto" w:sz="4" w:space="0"/>
              <w:right w:val="single" w:color="auto" w:sz="4" w:space="0"/>
            </w:tcBorders>
            <w:noWrap w:val="0"/>
            <w:vAlign w:val="center"/>
          </w:tcPr>
          <w:p w14:paraId="68978207">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76C2A9E8">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6870552E">
            <w:pPr>
              <w:widowControl/>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微型</w:t>
            </w:r>
          </w:p>
        </w:tc>
      </w:tr>
      <w:tr w14:paraId="485EE6E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73F5538">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农、林、牧、渔</w:t>
            </w:r>
          </w:p>
        </w:tc>
        <w:tc>
          <w:tcPr>
            <w:tcW w:w="1985" w:type="dxa"/>
            <w:tcBorders>
              <w:top w:val="nil"/>
              <w:left w:val="nil"/>
              <w:bottom w:val="single" w:color="auto" w:sz="4" w:space="0"/>
              <w:right w:val="single" w:color="auto" w:sz="4" w:space="0"/>
            </w:tcBorders>
            <w:noWrap w:val="0"/>
            <w:vAlign w:val="center"/>
          </w:tcPr>
          <w:p w14:paraId="06E1BEF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B0B47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3414AB2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3686115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07002BF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0540A6D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7D66D50">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工业</w:t>
            </w:r>
          </w:p>
        </w:tc>
        <w:tc>
          <w:tcPr>
            <w:tcW w:w="1985" w:type="dxa"/>
            <w:tcBorders>
              <w:top w:val="nil"/>
              <w:left w:val="nil"/>
              <w:bottom w:val="single" w:color="auto" w:sz="4" w:space="0"/>
              <w:right w:val="single" w:color="auto" w:sz="4" w:space="0"/>
            </w:tcBorders>
            <w:noWrap w:val="0"/>
            <w:vAlign w:val="center"/>
          </w:tcPr>
          <w:p w14:paraId="1DFC0F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C42F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AA582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3426C4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5A5AE29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1181165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77FFDFE">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DEC5B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B2916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6AA11D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2000≤Y＜40000</w:t>
            </w:r>
          </w:p>
        </w:tc>
        <w:tc>
          <w:tcPr>
            <w:tcW w:w="1709" w:type="dxa"/>
            <w:tcBorders>
              <w:top w:val="nil"/>
              <w:left w:val="nil"/>
              <w:bottom w:val="single" w:color="auto" w:sz="4" w:space="0"/>
              <w:right w:val="single" w:color="auto" w:sz="4" w:space="0"/>
            </w:tcBorders>
            <w:noWrap w:val="0"/>
            <w:vAlign w:val="center"/>
          </w:tcPr>
          <w:p w14:paraId="4997CC3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658BAE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6CAE630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9DCBF6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建筑业</w:t>
            </w:r>
          </w:p>
        </w:tc>
        <w:tc>
          <w:tcPr>
            <w:tcW w:w="1985" w:type="dxa"/>
            <w:tcBorders>
              <w:top w:val="nil"/>
              <w:left w:val="nil"/>
              <w:bottom w:val="single" w:color="auto" w:sz="4" w:space="0"/>
              <w:right w:val="single" w:color="auto" w:sz="4" w:space="0"/>
            </w:tcBorders>
            <w:noWrap w:val="0"/>
            <w:vAlign w:val="center"/>
          </w:tcPr>
          <w:p w14:paraId="60A696F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7FA2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797B737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6000≤Y＜80000</w:t>
            </w:r>
          </w:p>
        </w:tc>
        <w:tc>
          <w:tcPr>
            <w:tcW w:w="1709" w:type="dxa"/>
            <w:tcBorders>
              <w:top w:val="nil"/>
              <w:left w:val="nil"/>
              <w:bottom w:val="single" w:color="auto" w:sz="4" w:space="0"/>
              <w:right w:val="single" w:color="auto" w:sz="4" w:space="0"/>
            </w:tcBorders>
            <w:noWrap w:val="0"/>
            <w:vAlign w:val="center"/>
          </w:tcPr>
          <w:p w14:paraId="3241659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6BE7DB2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Y＜300</w:t>
            </w:r>
          </w:p>
        </w:tc>
      </w:tr>
      <w:tr w14:paraId="0A0EC0A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68CD8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AE998D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BEF951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28E4C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5000≤Z＜80000</w:t>
            </w:r>
          </w:p>
        </w:tc>
        <w:tc>
          <w:tcPr>
            <w:tcW w:w="1709" w:type="dxa"/>
            <w:tcBorders>
              <w:top w:val="nil"/>
              <w:left w:val="nil"/>
              <w:bottom w:val="single" w:color="auto" w:sz="4" w:space="0"/>
              <w:right w:val="single" w:color="auto" w:sz="4" w:space="0"/>
            </w:tcBorders>
            <w:noWrap w:val="0"/>
            <w:vAlign w:val="center"/>
          </w:tcPr>
          <w:p w14:paraId="665D1E0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62B641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Z＜300</w:t>
            </w:r>
          </w:p>
        </w:tc>
      </w:tr>
      <w:tr w14:paraId="11F1B98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A1F7EE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批发业</w:t>
            </w:r>
          </w:p>
        </w:tc>
        <w:tc>
          <w:tcPr>
            <w:tcW w:w="1985" w:type="dxa"/>
            <w:tcBorders>
              <w:top w:val="nil"/>
              <w:left w:val="nil"/>
              <w:bottom w:val="single" w:color="auto" w:sz="4" w:space="0"/>
              <w:right w:val="single" w:color="auto" w:sz="4" w:space="0"/>
            </w:tcBorders>
            <w:noWrap w:val="0"/>
            <w:vAlign w:val="center"/>
          </w:tcPr>
          <w:p w14:paraId="15BFEF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01199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A037B8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20≤X＜200</w:t>
            </w:r>
          </w:p>
        </w:tc>
        <w:tc>
          <w:tcPr>
            <w:tcW w:w="1709" w:type="dxa"/>
            <w:tcBorders>
              <w:top w:val="nil"/>
              <w:left w:val="nil"/>
              <w:bottom w:val="single" w:color="auto" w:sz="4" w:space="0"/>
              <w:right w:val="single" w:color="auto" w:sz="4" w:space="0"/>
            </w:tcBorders>
            <w:noWrap w:val="0"/>
            <w:vAlign w:val="center"/>
          </w:tcPr>
          <w:p w14:paraId="3F35B4B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6B7CE9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X＜5</w:t>
            </w:r>
          </w:p>
        </w:tc>
      </w:tr>
      <w:tr w14:paraId="3B09EA1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87BC54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C84807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F2CFC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4C2BB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5000≤Y＜40000</w:t>
            </w:r>
          </w:p>
        </w:tc>
        <w:tc>
          <w:tcPr>
            <w:tcW w:w="1709" w:type="dxa"/>
            <w:tcBorders>
              <w:top w:val="nil"/>
              <w:left w:val="nil"/>
              <w:bottom w:val="single" w:color="auto" w:sz="4" w:space="0"/>
              <w:right w:val="single" w:color="auto" w:sz="4" w:space="0"/>
            </w:tcBorders>
            <w:noWrap w:val="0"/>
            <w:vAlign w:val="center"/>
          </w:tcPr>
          <w:p w14:paraId="4315AD1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4B25DE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Y＜1000</w:t>
            </w:r>
          </w:p>
        </w:tc>
      </w:tr>
      <w:tr w14:paraId="61B48B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3228B7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零售业</w:t>
            </w:r>
          </w:p>
        </w:tc>
        <w:tc>
          <w:tcPr>
            <w:tcW w:w="1985" w:type="dxa"/>
            <w:tcBorders>
              <w:top w:val="nil"/>
              <w:left w:val="nil"/>
              <w:bottom w:val="single" w:color="auto" w:sz="4" w:space="0"/>
              <w:right w:val="single" w:color="auto" w:sz="4" w:space="0"/>
            </w:tcBorders>
            <w:noWrap w:val="0"/>
            <w:vAlign w:val="center"/>
          </w:tcPr>
          <w:p w14:paraId="0C6F9F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B36A8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4ED5E0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50≤X＜300</w:t>
            </w:r>
          </w:p>
        </w:tc>
        <w:tc>
          <w:tcPr>
            <w:tcW w:w="1709" w:type="dxa"/>
            <w:tcBorders>
              <w:top w:val="nil"/>
              <w:left w:val="nil"/>
              <w:bottom w:val="single" w:color="auto" w:sz="4" w:space="0"/>
              <w:right w:val="single" w:color="auto" w:sz="4" w:space="0"/>
            </w:tcBorders>
            <w:noWrap w:val="0"/>
            <w:vAlign w:val="center"/>
          </w:tcPr>
          <w:p w14:paraId="41AB23A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3D5568A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487EC5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63791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0F8EF0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38A8B2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84B522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500≤Y＜20000</w:t>
            </w:r>
          </w:p>
        </w:tc>
        <w:tc>
          <w:tcPr>
            <w:tcW w:w="1709" w:type="dxa"/>
            <w:tcBorders>
              <w:top w:val="nil"/>
              <w:left w:val="nil"/>
              <w:bottom w:val="single" w:color="auto" w:sz="4" w:space="0"/>
              <w:right w:val="single" w:color="auto" w:sz="4" w:space="0"/>
            </w:tcBorders>
            <w:noWrap w:val="0"/>
            <w:vAlign w:val="center"/>
          </w:tcPr>
          <w:p w14:paraId="4DEBDF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7225384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0075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0398E0E">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noWrap w:val="0"/>
            <w:vAlign w:val="center"/>
          </w:tcPr>
          <w:p w14:paraId="62B70C1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F209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2C24A4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5B56BD4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71AADA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52E141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21C8156">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358F7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8A3A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CBB5BD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3000≤Y＜30000</w:t>
            </w:r>
          </w:p>
        </w:tc>
        <w:tc>
          <w:tcPr>
            <w:tcW w:w="1709" w:type="dxa"/>
            <w:tcBorders>
              <w:top w:val="nil"/>
              <w:left w:val="nil"/>
              <w:bottom w:val="single" w:color="auto" w:sz="4" w:space="0"/>
              <w:right w:val="single" w:color="auto" w:sz="4" w:space="0"/>
            </w:tcBorders>
            <w:noWrap w:val="0"/>
            <w:vAlign w:val="center"/>
          </w:tcPr>
          <w:p w14:paraId="287702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07BB424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w:t>
            </w:r>
          </w:p>
        </w:tc>
      </w:tr>
      <w:tr w14:paraId="1E507C1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D322C35">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仓储业</w:t>
            </w:r>
          </w:p>
        </w:tc>
        <w:tc>
          <w:tcPr>
            <w:tcW w:w="1985" w:type="dxa"/>
            <w:tcBorders>
              <w:top w:val="nil"/>
              <w:left w:val="nil"/>
              <w:bottom w:val="single" w:color="auto" w:sz="4" w:space="0"/>
              <w:right w:val="single" w:color="auto" w:sz="4" w:space="0"/>
            </w:tcBorders>
            <w:noWrap w:val="0"/>
            <w:vAlign w:val="center"/>
          </w:tcPr>
          <w:p w14:paraId="1D7983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D5BB6D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4957141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w:t>
            </w:r>
          </w:p>
        </w:tc>
        <w:tc>
          <w:tcPr>
            <w:tcW w:w="1709" w:type="dxa"/>
            <w:tcBorders>
              <w:top w:val="nil"/>
              <w:left w:val="nil"/>
              <w:bottom w:val="single" w:color="auto" w:sz="4" w:space="0"/>
              <w:right w:val="single" w:color="auto" w:sz="4" w:space="0"/>
            </w:tcBorders>
            <w:noWrap w:val="0"/>
            <w:vAlign w:val="center"/>
          </w:tcPr>
          <w:p w14:paraId="414C23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5A6377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376FE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5D0325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13EAF6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8D9B6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113A07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1000≤Y＜30000</w:t>
            </w:r>
          </w:p>
        </w:tc>
        <w:tc>
          <w:tcPr>
            <w:tcW w:w="1709" w:type="dxa"/>
            <w:tcBorders>
              <w:top w:val="nil"/>
              <w:left w:val="nil"/>
              <w:bottom w:val="single" w:color="auto" w:sz="4" w:space="0"/>
              <w:right w:val="single" w:color="auto" w:sz="4" w:space="0"/>
            </w:tcBorders>
            <w:noWrap w:val="0"/>
            <w:vAlign w:val="center"/>
          </w:tcPr>
          <w:p w14:paraId="392E35A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69660B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40A82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937F36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邮政业</w:t>
            </w:r>
          </w:p>
        </w:tc>
        <w:tc>
          <w:tcPr>
            <w:tcW w:w="1985" w:type="dxa"/>
            <w:tcBorders>
              <w:top w:val="nil"/>
              <w:left w:val="nil"/>
              <w:bottom w:val="single" w:color="auto" w:sz="4" w:space="0"/>
              <w:right w:val="single" w:color="auto" w:sz="4" w:space="0"/>
            </w:tcBorders>
            <w:noWrap w:val="0"/>
            <w:vAlign w:val="center"/>
          </w:tcPr>
          <w:p w14:paraId="19BCA46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AC66F4">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0CFBB44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1686196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4C362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X＜20</w:t>
            </w:r>
          </w:p>
        </w:tc>
      </w:tr>
      <w:tr w14:paraId="65CCEF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570B8">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6258D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73927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7B185D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2000≤Y＜30000</w:t>
            </w:r>
          </w:p>
        </w:tc>
        <w:tc>
          <w:tcPr>
            <w:tcW w:w="1709" w:type="dxa"/>
            <w:tcBorders>
              <w:top w:val="nil"/>
              <w:left w:val="nil"/>
              <w:bottom w:val="single" w:color="auto" w:sz="4" w:space="0"/>
              <w:right w:val="single" w:color="auto" w:sz="4" w:space="0"/>
            </w:tcBorders>
            <w:noWrap w:val="0"/>
            <w:vAlign w:val="center"/>
          </w:tcPr>
          <w:p w14:paraId="28D67F3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18D712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7B31A1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C58149">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住宿业</w:t>
            </w:r>
          </w:p>
        </w:tc>
        <w:tc>
          <w:tcPr>
            <w:tcW w:w="1985" w:type="dxa"/>
            <w:tcBorders>
              <w:top w:val="nil"/>
              <w:left w:val="nil"/>
              <w:bottom w:val="single" w:color="auto" w:sz="4" w:space="0"/>
              <w:right w:val="single" w:color="auto" w:sz="4" w:space="0"/>
            </w:tcBorders>
            <w:noWrap w:val="0"/>
            <w:vAlign w:val="center"/>
          </w:tcPr>
          <w:p w14:paraId="22DE585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E613FC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D7F1A8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7893BF9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8739BD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A8A3D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B2C9C4">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D47AB9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ECAA80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C2FCC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40F403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A9BDAE2">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7D20B74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09568D">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餐饮业</w:t>
            </w:r>
          </w:p>
        </w:tc>
        <w:tc>
          <w:tcPr>
            <w:tcW w:w="1985" w:type="dxa"/>
            <w:tcBorders>
              <w:top w:val="nil"/>
              <w:left w:val="nil"/>
              <w:bottom w:val="single" w:color="auto" w:sz="4" w:space="0"/>
              <w:right w:val="single" w:color="auto" w:sz="4" w:space="0"/>
            </w:tcBorders>
            <w:noWrap w:val="0"/>
            <w:vAlign w:val="center"/>
          </w:tcPr>
          <w:p w14:paraId="6F72513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4C360C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CAC829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6AB13DE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BF1A1E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22DE51A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093BC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086616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F6C7900">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295760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2000≤Y＜10000</w:t>
            </w:r>
          </w:p>
        </w:tc>
        <w:tc>
          <w:tcPr>
            <w:tcW w:w="1709" w:type="dxa"/>
            <w:tcBorders>
              <w:top w:val="nil"/>
              <w:left w:val="nil"/>
              <w:bottom w:val="single" w:color="auto" w:sz="4" w:space="0"/>
              <w:right w:val="single" w:color="auto" w:sz="4" w:space="0"/>
            </w:tcBorders>
            <w:noWrap w:val="0"/>
            <w:vAlign w:val="center"/>
          </w:tcPr>
          <w:p w14:paraId="397F7FC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2DD3ABBB">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51276F1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E4365A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noWrap w:val="0"/>
            <w:vAlign w:val="center"/>
          </w:tcPr>
          <w:p w14:paraId="09310DB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6C603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377803A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100≤X＜2000</w:t>
            </w:r>
          </w:p>
        </w:tc>
        <w:tc>
          <w:tcPr>
            <w:tcW w:w="1709" w:type="dxa"/>
            <w:tcBorders>
              <w:top w:val="nil"/>
              <w:left w:val="nil"/>
              <w:bottom w:val="single" w:color="auto" w:sz="4" w:space="0"/>
              <w:right w:val="single" w:color="auto" w:sz="4" w:space="0"/>
            </w:tcBorders>
            <w:noWrap w:val="0"/>
            <w:vAlign w:val="center"/>
          </w:tcPr>
          <w:p w14:paraId="6231181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D4C83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01BDAA1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356051B">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F71919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55BB32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083929F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1000≤Y＜100000</w:t>
            </w:r>
          </w:p>
        </w:tc>
        <w:tc>
          <w:tcPr>
            <w:tcW w:w="1709" w:type="dxa"/>
            <w:tcBorders>
              <w:top w:val="nil"/>
              <w:left w:val="nil"/>
              <w:bottom w:val="single" w:color="auto" w:sz="4" w:space="0"/>
              <w:right w:val="single" w:color="auto" w:sz="4" w:space="0"/>
            </w:tcBorders>
            <w:noWrap w:val="0"/>
            <w:vAlign w:val="center"/>
          </w:tcPr>
          <w:p w14:paraId="31A3B88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3617345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22CD97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51EED2">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noWrap w:val="0"/>
            <w:vAlign w:val="center"/>
          </w:tcPr>
          <w:p w14:paraId="1EFE0FE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F019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219CA52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D00707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1FCB65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12EE79D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971FEF1">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21B3416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2D40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BCD01C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1000≤Y＜10000</w:t>
            </w:r>
          </w:p>
        </w:tc>
        <w:tc>
          <w:tcPr>
            <w:tcW w:w="1709" w:type="dxa"/>
            <w:tcBorders>
              <w:top w:val="nil"/>
              <w:left w:val="nil"/>
              <w:bottom w:val="single" w:color="auto" w:sz="4" w:space="0"/>
              <w:right w:val="single" w:color="auto" w:sz="4" w:space="0"/>
            </w:tcBorders>
            <w:noWrap w:val="0"/>
            <w:vAlign w:val="center"/>
          </w:tcPr>
          <w:p w14:paraId="25B7886A">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6577FE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w:t>
            </w:r>
          </w:p>
        </w:tc>
      </w:tr>
      <w:tr w14:paraId="599BD6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CFB19D7">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noWrap w:val="0"/>
            <w:vAlign w:val="center"/>
          </w:tcPr>
          <w:p w14:paraId="0AD3769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C56D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06B2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1000≤Y＜200000</w:t>
            </w:r>
          </w:p>
        </w:tc>
        <w:tc>
          <w:tcPr>
            <w:tcW w:w="1709" w:type="dxa"/>
            <w:tcBorders>
              <w:top w:val="nil"/>
              <w:left w:val="nil"/>
              <w:bottom w:val="single" w:color="auto" w:sz="4" w:space="0"/>
              <w:right w:val="single" w:color="auto" w:sz="4" w:space="0"/>
            </w:tcBorders>
            <w:noWrap w:val="0"/>
            <w:vAlign w:val="center"/>
          </w:tcPr>
          <w:p w14:paraId="305DE5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3BB8BEB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463CD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AC22423">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521F01D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8B1504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1F5AE7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5000≤Z＜10000</w:t>
            </w:r>
          </w:p>
        </w:tc>
        <w:tc>
          <w:tcPr>
            <w:tcW w:w="1709" w:type="dxa"/>
            <w:tcBorders>
              <w:top w:val="nil"/>
              <w:left w:val="nil"/>
              <w:bottom w:val="single" w:color="auto" w:sz="4" w:space="0"/>
              <w:right w:val="single" w:color="auto" w:sz="4" w:space="0"/>
            </w:tcBorders>
            <w:noWrap w:val="0"/>
            <w:vAlign w:val="center"/>
          </w:tcPr>
          <w:p w14:paraId="1838B57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4B6E427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Y＜2000</w:t>
            </w:r>
          </w:p>
        </w:tc>
      </w:tr>
      <w:tr w14:paraId="2852823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2402C4">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物业管理</w:t>
            </w:r>
          </w:p>
        </w:tc>
        <w:tc>
          <w:tcPr>
            <w:tcW w:w="1985" w:type="dxa"/>
            <w:tcBorders>
              <w:top w:val="nil"/>
              <w:left w:val="nil"/>
              <w:bottom w:val="single" w:color="auto" w:sz="4" w:space="0"/>
              <w:right w:val="single" w:color="auto" w:sz="4" w:space="0"/>
            </w:tcBorders>
            <w:noWrap w:val="0"/>
            <w:vAlign w:val="center"/>
          </w:tcPr>
          <w:p w14:paraId="3536898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59669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634E2A4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300≤X＜1000</w:t>
            </w:r>
          </w:p>
        </w:tc>
        <w:tc>
          <w:tcPr>
            <w:tcW w:w="1709" w:type="dxa"/>
            <w:tcBorders>
              <w:top w:val="nil"/>
              <w:left w:val="nil"/>
              <w:bottom w:val="single" w:color="auto" w:sz="4" w:space="0"/>
              <w:right w:val="single" w:color="auto" w:sz="4" w:space="0"/>
            </w:tcBorders>
            <w:noWrap w:val="0"/>
            <w:vAlign w:val="center"/>
          </w:tcPr>
          <w:p w14:paraId="0A542707">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4F49F1B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X＜100</w:t>
            </w:r>
          </w:p>
        </w:tc>
      </w:tr>
      <w:tr w14:paraId="1FFF33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4E9D9D2">
            <w:pPr>
              <w:widowControl/>
              <w:jc w:val="left"/>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7903342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69A5C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531F74E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1000≤Y＜5000</w:t>
            </w:r>
          </w:p>
        </w:tc>
        <w:tc>
          <w:tcPr>
            <w:tcW w:w="1709" w:type="dxa"/>
            <w:tcBorders>
              <w:top w:val="nil"/>
              <w:left w:val="nil"/>
              <w:bottom w:val="single" w:color="auto" w:sz="4" w:space="0"/>
              <w:right w:val="single" w:color="auto" w:sz="4" w:space="0"/>
            </w:tcBorders>
            <w:noWrap w:val="0"/>
            <w:vAlign w:val="center"/>
          </w:tcPr>
          <w:p w14:paraId="35CD981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530BE9F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Y＜500</w:t>
            </w:r>
          </w:p>
        </w:tc>
      </w:tr>
      <w:tr w14:paraId="7D29716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center"/>
          </w:tcPr>
          <w:p w14:paraId="4B657B8B">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noWrap w:val="0"/>
            <w:vAlign w:val="center"/>
          </w:tcPr>
          <w:p w14:paraId="527E720F">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81167C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7DB3C36E">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046772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87C0A38">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r w14:paraId="74C0250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B2B7A08">
            <w:pPr>
              <w:widowControl/>
              <w:jc w:val="center"/>
              <w:rPr>
                <w:rFonts w:hint="eastAsia" w:ascii="仿宋" w:hAnsi="仿宋" w:eastAsia="仿宋" w:cs="仿宋"/>
                <w:b/>
                <w:bCs/>
                <w:color w:val="auto"/>
                <w:kern w:val="0"/>
                <w:sz w:val="18"/>
                <w:szCs w:val="18"/>
                <w:highlight w:val="none"/>
              </w:rPr>
            </w:pPr>
          </w:p>
        </w:tc>
        <w:tc>
          <w:tcPr>
            <w:tcW w:w="1985" w:type="dxa"/>
            <w:tcBorders>
              <w:top w:val="nil"/>
              <w:left w:val="nil"/>
              <w:bottom w:val="single" w:color="auto" w:sz="4" w:space="0"/>
              <w:right w:val="single" w:color="auto" w:sz="4" w:space="0"/>
            </w:tcBorders>
            <w:noWrap w:val="0"/>
            <w:vAlign w:val="center"/>
          </w:tcPr>
          <w:p w14:paraId="6E1D7A4D">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4ABEE87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836" w:type="dxa"/>
            <w:tcBorders>
              <w:top w:val="nil"/>
              <w:left w:val="nil"/>
              <w:bottom w:val="single" w:color="auto" w:sz="4" w:space="0"/>
              <w:right w:val="single" w:color="auto" w:sz="4" w:space="0"/>
            </w:tcBorders>
            <w:noWrap w:val="0"/>
            <w:vAlign w:val="center"/>
          </w:tcPr>
          <w:p w14:paraId="43C10526">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8000≤Z＜120000</w:t>
            </w:r>
          </w:p>
        </w:tc>
        <w:tc>
          <w:tcPr>
            <w:tcW w:w="1709" w:type="dxa"/>
            <w:tcBorders>
              <w:top w:val="nil"/>
              <w:left w:val="nil"/>
              <w:bottom w:val="single" w:color="auto" w:sz="4" w:space="0"/>
              <w:right w:val="single" w:color="auto" w:sz="4" w:space="0"/>
            </w:tcBorders>
            <w:noWrap w:val="0"/>
            <w:vAlign w:val="center"/>
          </w:tcPr>
          <w:p w14:paraId="065204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DB2F2A1">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Y＜100</w:t>
            </w:r>
          </w:p>
        </w:tc>
      </w:tr>
      <w:tr w14:paraId="6C24E63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center"/>
          </w:tcPr>
          <w:p w14:paraId="0288B5C3">
            <w:pPr>
              <w:widowControl/>
              <w:jc w:val="center"/>
              <w:rPr>
                <w:rFonts w:hint="eastAsia" w:ascii="仿宋" w:hAnsi="仿宋" w:eastAsia="仿宋" w:cs="仿宋"/>
                <w:b/>
                <w:bCs/>
                <w:color w:val="auto"/>
                <w:kern w:val="0"/>
                <w:sz w:val="18"/>
                <w:szCs w:val="18"/>
                <w:highlight w:val="none"/>
              </w:rPr>
            </w:pPr>
            <w:r>
              <w:rPr>
                <w:rFonts w:hint="eastAsia" w:ascii="仿宋" w:hAnsi="仿宋" w:eastAsia="仿宋" w:cs="仿宋"/>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noWrap w:val="0"/>
            <w:vAlign w:val="center"/>
          </w:tcPr>
          <w:p w14:paraId="3F8331F3">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7A7945">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836" w:type="dxa"/>
            <w:tcBorders>
              <w:top w:val="nil"/>
              <w:left w:val="nil"/>
              <w:bottom w:val="single" w:color="auto" w:sz="4" w:space="0"/>
              <w:right w:val="single" w:color="auto" w:sz="4" w:space="0"/>
            </w:tcBorders>
            <w:noWrap w:val="0"/>
            <w:vAlign w:val="center"/>
          </w:tcPr>
          <w:p w14:paraId="58C3069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100≤X＜300</w:t>
            </w:r>
          </w:p>
        </w:tc>
        <w:tc>
          <w:tcPr>
            <w:tcW w:w="1709" w:type="dxa"/>
            <w:tcBorders>
              <w:top w:val="nil"/>
              <w:left w:val="nil"/>
              <w:bottom w:val="single" w:color="auto" w:sz="4" w:space="0"/>
              <w:right w:val="single" w:color="auto" w:sz="4" w:space="0"/>
            </w:tcBorders>
            <w:noWrap w:val="0"/>
            <w:vAlign w:val="center"/>
          </w:tcPr>
          <w:p w14:paraId="5F6C5A6C">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D9DF619">
            <w:pPr>
              <w:widowControl/>
              <w:jc w:val="left"/>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X＜10</w:t>
            </w:r>
          </w:p>
        </w:tc>
      </w:tr>
    </w:tbl>
    <w:p w14:paraId="5F406069">
      <w:pPr>
        <w:spacing w:line="560" w:lineRule="exact"/>
        <w:rPr>
          <w:rFonts w:hint="eastAsia" w:ascii="仿宋" w:hAnsi="仿宋" w:eastAsia="仿宋" w:cs="仿宋"/>
          <w:color w:val="auto"/>
          <w:kern w:val="0"/>
          <w:sz w:val="20"/>
          <w:szCs w:val="21"/>
          <w:highlight w:val="none"/>
        </w:rPr>
        <w:sectPr>
          <w:footerReference r:id="rId11" w:type="default"/>
          <w:pgSz w:w="11906" w:h="16838"/>
          <w:pgMar w:top="1134" w:right="1134" w:bottom="1134" w:left="1134" w:header="720" w:footer="720" w:gutter="0"/>
          <w:cols w:space="720" w:num="1"/>
          <w:docGrid w:type="lines" w:linePitch="331" w:charSpace="0"/>
        </w:sectPr>
      </w:pPr>
      <w:r>
        <w:rPr>
          <w:rFonts w:hint="eastAsia" w:ascii="仿宋" w:hAnsi="仿宋" w:eastAsia="仿宋" w:cs="仿宋"/>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9CD34A3">
      <w:pPr>
        <w:pStyle w:val="2"/>
        <w:spacing w:line="360" w:lineRule="auto"/>
        <w:jc w:val="center"/>
        <w:rPr>
          <w:rFonts w:hint="eastAsia" w:ascii="宋体" w:hAnsi="宋体" w:eastAsia="宋体" w:cs="宋体"/>
          <w:b/>
          <w:bCs/>
          <w:color w:val="auto"/>
          <w:highlight w:val="none"/>
        </w:rPr>
      </w:pPr>
      <w:bookmarkStart w:id="47" w:name="_Toc680"/>
      <w:bookmarkStart w:id="48" w:name="_Toc12766"/>
      <w:bookmarkStart w:id="49" w:name="_Toc13594"/>
      <w:bookmarkStart w:id="50" w:name="_Toc14404"/>
      <w:r>
        <w:rPr>
          <w:rFonts w:hint="eastAsia" w:ascii="宋体" w:hAnsi="宋体" w:eastAsia="宋体" w:cs="宋体"/>
          <w:b/>
          <w:bCs/>
          <w:color w:val="auto"/>
          <w:highlight w:val="none"/>
        </w:rPr>
        <w:t>第三章 供应商须知</w:t>
      </w:r>
      <w:bookmarkEnd w:id="44"/>
      <w:bookmarkEnd w:id="45"/>
      <w:bookmarkEnd w:id="46"/>
      <w:bookmarkEnd w:id="47"/>
      <w:bookmarkEnd w:id="48"/>
      <w:bookmarkEnd w:id="49"/>
      <w:bookmarkEnd w:id="50"/>
    </w:p>
    <w:p w14:paraId="4D88E0AF">
      <w:pPr>
        <w:pStyle w:val="3"/>
        <w:spacing w:line="360" w:lineRule="auto"/>
        <w:jc w:val="center"/>
        <w:rPr>
          <w:rFonts w:hint="eastAsia" w:ascii="宋体" w:hAnsi="宋体" w:eastAsia="宋体" w:cs="宋体"/>
          <w:b w:val="0"/>
          <w:color w:val="auto"/>
          <w:highlight w:val="none"/>
        </w:rPr>
      </w:pPr>
      <w:bookmarkStart w:id="51" w:name="_Toc23393"/>
      <w:bookmarkStart w:id="52" w:name="_Toc1315"/>
      <w:bookmarkStart w:id="53" w:name="_Toc23940"/>
      <w:bookmarkStart w:id="54" w:name="_Toc28335"/>
      <w:bookmarkStart w:id="55" w:name="_Toc2403"/>
      <w:bookmarkStart w:id="56" w:name="_Toc24946"/>
      <w:bookmarkStart w:id="57" w:name="_Toc3531"/>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51"/>
      <w:bookmarkEnd w:id="52"/>
      <w:bookmarkEnd w:id="53"/>
      <w:bookmarkEnd w:id="54"/>
      <w:bookmarkEnd w:id="55"/>
      <w:bookmarkEnd w:id="56"/>
      <w:bookmarkEnd w:id="57"/>
    </w:p>
    <w:tbl>
      <w:tblPr>
        <w:tblStyle w:val="2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2244"/>
        <w:gridCol w:w="6760"/>
      </w:tblGrid>
      <w:tr w14:paraId="3CC69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03" w:type="dxa"/>
            <w:noWrap w:val="0"/>
            <w:vAlign w:val="center"/>
          </w:tcPr>
          <w:p w14:paraId="7F5C39B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244" w:type="dxa"/>
            <w:noWrap w:val="0"/>
            <w:vAlign w:val="center"/>
          </w:tcPr>
          <w:p w14:paraId="3440EFB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60" w:type="dxa"/>
            <w:noWrap w:val="0"/>
            <w:vAlign w:val="center"/>
          </w:tcPr>
          <w:p w14:paraId="1D4DECD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558F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CD9F0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244" w:type="dxa"/>
            <w:noWrap w:val="0"/>
            <w:vAlign w:val="center"/>
          </w:tcPr>
          <w:p w14:paraId="6707A9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60" w:type="dxa"/>
            <w:noWrap w:val="0"/>
            <w:vAlign w:val="center"/>
          </w:tcPr>
          <w:p w14:paraId="21E9B28A">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2F50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6C085D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244" w:type="dxa"/>
            <w:noWrap w:val="0"/>
            <w:vAlign w:val="center"/>
          </w:tcPr>
          <w:p w14:paraId="07765E3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60" w:type="dxa"/>
            <w:noWrap w:val="0"/>
            <w:vAlign w:val="center"/>
          </w:tcPr>
          <w:p w14:paraId="1E903FEE">
            <w:pPr>
              <w:spacing w:line="360" w:lineRule="auto"/>
              <w:jc w:val="left"/>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□是/☑否</w:t>
            </w:r>
          </w:p>
        </w:tc>
      </w:tr>
      <w:tr w14:paraId="4D9CE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9EDAB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244" w:type="dxa"/>
            <w:noWrap w:val="0"/>
            <w:vAlign w:val="center"/>
          </w:tcPr>
          <w:p w14:paraId="7E0A9C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760" w:type="dxa"/>
            <w:noWrap w:val="0"/>
            <w:vAlign w:val="center"/>
          </w:tcPr>
          <w:p w14:paraId="23457435">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24E63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311E2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244" w:type="dxa"/>
            <w:noWrap w:val="0"/>
            <w:vAlign w:val="center"/>
          </w:tcPr>
          <w:p w14:paraId="04732AD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60" w:type="dxa"/>
            <w:noWrap w:val="0"/>
            <w:vAlign w:val="center"/>
          </w:tcPr>
          <w:p w14:paraId="256DEA5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☑不允许分包</w:t>
            </w:r>
          </w:p>
          <w:p w14:paraId="4A2BE6A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72EA1A3D">
            <w:pPr>
              <w:pStyle w:val="10"/>
              <w:spacing w:line="360" w:lineRule="auto"/>
              <w:jc w:val="lef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0A73A7D">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w:t>
            </w:r>
            <w:r>
              <w:rPr>
                <w:rFonts w:hint="eastAsia" w:asciiTheme="minorEastAsia" w:hAnsiTheme="minorEastAsia" w:eastAsiaTheme="minorEastAsia"/>
                <w:color w:val="auto"/>
                <w:kern w:val="2"/>
                <w:sz w:val="21"/>
                <w:szCs w:val="21"/>
                <w:highlight w:val="none"/>
                <w:u w:val="single"/>
              </w:rPr>
              <w:t xml:space="preserve"> </w:t>
            </w:r>
            <w:r>
              <w:rPr>
                <w:rFonts w:hint="eastAsia" w:asciiTheme="minorEastAsia" w:hAnsiTheme="minorEastAsia" w:eastAsiaTheme="minorEastAsia"/>
                <w:color w:val="auto"/>
                <w:kern w:val="2"/>
                <w:sz w:val="21"/>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p>
        </w:tc>
      </w:tr>
      <w:tr w14:paraId="20C27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A326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244" w:type="dxa"/>
            <w:noWrap w:val="0"/>
            <w:vAlign w:val="center"/>
          </w:tcPr>
          <w:p w14:paraId="23F9A4E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资格证明文件组成</w:t>
            </w:r>
          </w:p>
        </w:tc>
        <w:tc>
          <w:tcPr>
            <w:tcW w:w="6760" w:type="dxa"/>
            <w:noWrap w:val="0"/>
            <w:vAlign w:val="center"/>
          </w:tcPr>
          <w:p w14:paraId="3B1E38E3">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供应商为法人或者其他组织的提供其营业执照等证明文件（如营业执照或者事业单位法人证书或者执业许可证等）复印件，供应商为自然人的提供其身份证复印件；（</w:t>
            </w:r>
            <w:r>
              <w:rPr>
                <w:rFonts w:hint="eastAsia" w:ascii="宋体" w:hAnsi="宋体" w:eastAsia="宋体" w:cs="宋体"/>
                <w:b/>
                <w:color w:val="auto"/>
                <w:szCs w:val="21"/>
                <w:highlight w:val="none"/>
                <w:lang w:val="en-US" w:eastAsia="zh-CN"/>
              </w:rPr>
              <w:t>必须提供，否则响应文件按无效响应处理</w:t>
            </w:r>
            <w:r>
              <w:rPr>
                <w:rFonts w:hint="eastAsia" w:ascii="宋体" w:hAnsi="宋体" w:eastAsia="宋体" w:cs="宋体"/>
                <w:color w:val="auto"/>
                <w:szCs w:val="21"/>
                <w:highlight w:val="none"/>
                <w:lang w:val="en-US" w:eastAsia="zh-CN"/>
              </w:rPr>
              <w:t>）</w:t>
            </w:r>
          </w:p>
          <w:p w14:paraId="1BD7B76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供应商依法缴纳税收的相关材料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个月的</w:t>
            </w:r>
            <w:r>
              <w:rPr>
                <w:rFonts w:hint="eastAsia" w:ascii="宋体" w:hAnsi="宋体" w:eastAsia="宋体" w:cs="宋体"/>
                <w:color w:val="auto"/>
                <w:szCs w:val="21"/>
                <w:highlight w:val="none"/>
              </w:rPr>
              <w:t>依法缴纳税收的凭据复印件；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从取得营业执照时间起到投标文件提交截止时间为止不足要求月数的，只需提供从取得营业执照起的依法缴纳税收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31EFC8A7">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月至</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05</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期间</w:t>
            </w:r>
            <w:r>
              <w:rPr>
                <w:rFonts w:hint="eastAsia" w:ascii="宋体" w:hAnsi="宋体" w:cs="宋体"/>
                <w:color w:val="auto"/>
                <w:szCs w:val="21"/>
                <w:highlight w:val="none"/>
                <w:lang w:val="en-US" w:eastAsia="zh-CN"/>
              </w:rPr>
              <w:t>连续</w:t>
            </w:r>
            <w:r>
              <w:rPr>
                <w:rFonts w:hint="eastAsia" w:ascii="宋体" w:hAnsi="宋体" w:cs="宋体"/>
                <w:color w:val="auto"/>
                <w:szCs w:val="21"/>
                <w:highlight w:val="none"/>
                <w:u w:val="single"/>
                <w:lang w:val="en-US" w:eastAsia="zh-CN"/>
              </w:rPr>
              <w:t xml:space="preserve"> 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个月</w:t>
            </w:r>
            <w:r>
              <w:rPr>
                <w:rFonts w:hint="eastAsia" w:ascii="宋体" w:hAnsi="宋体" w:eastAsia="宋体" w:cs="宋体"/>
                <w:color w:val="auto"/>
                <w:szCs w:val="21"/>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必须提供，否则作无效竞标处理</w:t>
            </w:r>
            <w:r>
              <w:rPr>
                <w:rFonts w:hint="eastAsia" w:ascii="宋体" w:hAnsi="宋体" w:eastAsia="宋体" w:cs="宋体"/>
                <w:color w:val="auto"/>
                <w:szCs w:val="21"/>
                <w:highlight w:val="none"/>
              </w:rPr>
              <w:t>）</w:t>
            </w:r>
          </w:p>
          <w:p w14:paraId="47E81EB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供应商财务状况报告</w:t>
            </w:r>
            <w:r>
              <w:rPr>
                <w:rFonts w:hint="eastAsia" w:asciiTheme="minorEastAsia" w:hAnsiTheme="minorEastAsia" w:eastAsiaTheme="minorEastAsia"/>
                <w:color w:val="auto"/>
                <w:szCs w:val="21"/>
                <w:highlight w:val="none"/>
              </w:rPr>
              <w:t>[</w:t>
            </w:r>
            <w:r>
              <w:rPr>
                <w:rFonts w:hint="eastAsia" w:ascii="宋体" w:hAnsi="宋体" w:cs="宋体"/>
                <w:color w:val="auto"/>
                <w:szCs w:val="21"/>
                <w:highlight w:val="none"/>
                <w:u w:val="single"/>
                <w:lang w:val="en-US" w:eastAsia="zh-CN"/>
              </w:rPr>
              <w:t>2024年或2025年</w:t>
            </w:r>
            <w:r>
              <w:rPr>
                <w:rFonts w:hint="eastAsia" w:asciiTheme="minorEastAsia" w:hAnsiTheme="minorEastAsia" w:eastAsiaTheme="minorEastAsia"/>
                <w:color w:val="auto"/>
                <w:szCs w:val="21"/>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cs="宋体" w:asciiTheme="minorEastAsia" w:hAnsiTheme="minorEastAsia" w:eastAsiaTheme="minorEastAsia"/>
                <w:color w:val="auto"/>
                <w:szCs w:val="21"/>
                <w:highlight w:val="none"/>
              </w:rPr>
              <w:t>（</w:t>
            </w:r>
            <w:r>
              <w:rPr>
                <w:rFonts w:hint="eastAsia" w:cs="宋体" w:asciiTheme="minorEastAsia" w:hAnsiTheme="minorEastAsia" w:eastAsiaTheme="minorEastAsia"/>
                <w:b/>
                <w:color w:val="auto"/>
                <w:szCs w:val="21"/>
                <w:highlight w:val="none"/>
              </w:rPr>
              <w:t>必须提供，否则响应文件按无效响应处理</w:t>
            </w:r>
            <w:r>
              <w:rPr>
                <w:rFonts w:hint="eastAsia" w:cs="宋体" w:asciiTheme="minorEastAsia" w:hAnsiTheme="minorEastAsia" w:eastAsiaTheme="minorEastAsia"/>
                <w:color w:val="auto"/>
                <w:szCs w:val="21"/>
                <w:highlight w:val="none"/>
              </w:rPr>
              <w:t>）</w:t>
            </w:r>
          </w:p>
          <w:p w14:paraId="751B0D5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EDFBD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资格声明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2FB232">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olor w:val="auto"/>
                <w:szCs w:val="21"/>
                <w:highlight w:val="none"/>
                <w:lang w:eastAsia="zh-CN"/>
              </w:rPr>
              <w:t>中小</w:t>
            </w:r>
            <w:r>
              <w:rPr>
                <w:rFonts w:hint="eastAsia" w:ascii="宋体" w:hAnsi="宋体"/>
                <w:color w:val="auto"/>
                <w:szCs w:val="21"/>
                <w:highlight w:val="none"/>
              </w:rPr>
              <w:t>企业声明函或残疾人福利性单位声明函或供应商属于监狱企业的证明材料</w:t>
            </w:r>
            <w:r>
              <w:rPr>
                <w:rFonts w:hint="eastAsia" w:ascii="宋体" w:hAnsi="宋体" w:cs="宋体"/>
                <w:color w:val="auto"/>
                <w:szCs w:val="21"/>
                <w:highlight w:val="none"/>
              </w:rPr>
              <w:t>；（</w:t>
            </w:r>
            <w:r>
              <w:rPr>
                <w:rFonts w:hint="eastAsia" w:ascii="宋体" w:hAnsi="宋体" w:cs="宋体"/>
                <w:b/>
                <w:bCs/>
                <w:color w:val="auto"/>
                <w:szCs w:val="21"/>
                <w:highlight w:val="none"/>
                <w:lang w:val="en-US" w:eastAsia="zh-CN"/>
              </w:rPr>
              <w:t>本项目</w:t>
            </w:r>
            <w:r>
              <w:rPr>
                <w:rFonts w:hint="eastAsia" w:ascii="宋体" w:hAnsi="宋体" w:eastAsia="宋体" w:cs="宋体"/>
                <w:b/>
                <w:color w:val="auto"/>
                <w:szCs w:val="21"/>
                <w:highlight w:val="none"/>
              </w:rPr>
              <w:t>专门面向</w:t>
            </w:r>
            <w:r>
              <w:rPr>
                <w:rFonts w:hint="eastAsia" w:ascii="宋体" w:hAnsi="宋体" w:eastAsia="宋体" w:cs="宋体"/>
                <w:b/>
                <w:color w:val="auto"/>
                <w:szCs w:val="21"/>
                <w:highlight w:val="none"/>
                <w:lang w:val="en-US" w:eastAsia="zh-CN"/>
              </w:rPr>
              <w:t>中小</w:t>
            </w:r>
            <w:r>
              <w:rPr>
                <w:rFonts w:hint="eastAsia" w:ascii="宋体" w:hAnsi="宋体" w:eastAsia="宋体" w:cs="宋体"/>
                <w:b/>
                <w:color w:val="auto"/>
                <w:szCs w:val="21"/>
                <w:highlight w:val="none"/>
              </w:rPr>
              <w:t>企业采购的项目</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必</w:t>
            </w:r>
            <w:r>
              <w:rPr>
                <w:rFonts w:hint="eastAsia" w:ascii="宋体" w:hAnsi="宋体" w:cs="宋体"/>
                <w:b/>
                <w:color w:val="auto"/>
                <w:szCs w:val="21"/>
                <w:highlight w:val="none"/>
              </w:rPr>
              <w:t>须提供，否则响应文件按无效响应处理</w:t>
            </w:r>
            <w:r>
              <w:rPr>
                <w:rFonts w:hint="eastAsia" w:ascii="宋体" w:hAnsi="宋体" w:cs="宋体"/>
                <w:color w:val="auto"/>
                <w:szCs w:val="21"/>
                <w:highlight w:val="none"/>
              </w:rPr>
              <w:t>）</w:t>
            </w:r>
          </w:p>
          <w:p w14:paraId="0C3E97E2">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特定资格要求的资格证明材料</w:t>
            </w: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须具备独立的法人资格，具有水利水电工程施工总承包叁级或叁级以上资质；具有省级及以上建设行政主管部门颁发的安全生产许可证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在人员、设备、资金等方面具备相应的施工能力。</w:t>
            </w:r>
            <w:r>
              <w:rPr>
                <w:rFonts w:hint="eastAsia" w:ascii="宋体" w:hAnsi="宋体" w:cs="宋体"/>
                <w:color w:val="auto"/>
                <w:szCs w:val="21"/>
                <w:highlight w:val="none"/>
                <w:lang w:eastAsia="zh-CN"/>
              </w:rPr>
              <w:t>（2）拟派项目经理须具备水利水电工程专业贰级以上（含贰级）注册建造师执业资格，具备有效的安全生产考核合格证书（B类）。本项目不接受有在建、已中标未开工或其他项目中标候选人第一名的建造师作为项目经理</w:t>
            </w:r>
            <w:r>
              <w:rPr>
                <w:rFonts w:hint="eastAsia" w:ascii="宋体" w:hAnsi="宋体" w:eastAsia="宋体" w:cs="宋体"/>
                <w:color w:val="auto"/>
                <w:szCs w:val="21"/>
                <w:highlight w:val="none"/>
              </w:rPr>
              <w:t>；</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b/>
                <w:color w:val="auto"/>
                <w:spacing w:val="0"/>
                <w:w w:val="100"/>
                <w:position w:val="0"/>
                <w:sz w:val="21"/>
                <w:szCs w:val="21"/>
                <w:highlight w:val="none"/>
              </w:rPr>
              <w:t>必须提供，否则响应文件按无效响应处理</w:t>
            </w:r>
            <w:r>
              <w:rPr>
                <w:rFonts w:hint="eastAsia" w:ascii="宋体" w:hAnsi="宋体" w:eastAsia="宋体" w:cs="宋体"/>
                <w:color w:val="auto"/>
                <w:spacing w:val="0"/>
                <w:w w:val="100"/>
                <w:position w:val="0"/>
                <w:sz w:val="21"/>
                <w:szCs w:val="21"/>
                <w:highlight w:val="none"/>
              </w:rPr>
              <w:t>）</w:t>
            </w:r>
            <w:r>
              <w:rPr>
                <w:rFonts w:hint="eastAsia" w:ascii="宋体" w:hAnsi="宋体" w:eastAsia="宋体" w:cs="宋体"/>
                <w:color w:val="auto"/>
                <w:szCs w:val="21"/>
                <w:highlight w:val="none"/>
              </w:rPr>
              <w:t>；</w:t>
            </w:r>
          </w:p>
          <w:p w14:paraId="0D9DEC79">
            <w:pPr>
              <w:snapToGrid w:val="0"/>
              <w:spacing w:line="360" w:lineRule="auto"/>
              <w:jc w:val="left"/>
              <w:rPr>
                <w:rFonts w:hint="eastAsia" w:ascii="宋体" w:hAnsi="宋体" w:cs="宋体"/>
                <w:b/>
                <w:bCs/>
                <w:color w:val="auto"/>
                <w:szCs w:val="21"/>
                <w:highlight w:val="none"/>
                <w:lang w:val="en-US" w:eastAsia="zh-CN"/>
              </w:rPr>
            </w:pPr>
            <w:r>
              <w:rPr>
                <w:rFonts w:hint="eastAsia" w:ascii="宋体" w:hAnsi="宋体" w:cs="宋体"/>
                <w:color w:val="auto"/>
                <w:szCs w:val="21"/>
                <w:highlight w:val="none"/>
                <w:lang w:val="en-US" w:eastAsia="zh-CN"/>
              </w:rPr>
              <w:t>9.项目经理无在建项目承诺书</w:t>
            </w:r>
            <w:r>
              <w:rPr>
                <w:rFonts w:hint="eastAsia" w:ascii="宋体" w:hAnsi="宋体" w:cs="宋体"/>
                <w:b/>
                <w:bCs/>
                <w:color w:val="auto"/>
                <w:szCs w:val="21"/>
                <w:highlight w:val="none"/>
                <w:lang w:val="en-US" w:eastAsia="zh-CN"/>
              </w:rPr>
              <w:t>（必须提供，否则作无效响应处理）</w:t>
            </w:r>
          </w:p>
          <w:p w14:paraId="14C845BF">
            <w:pPr>
              <w:snapToGrid w:val="0"/>
              <w:spacing w:line="360" w:lineRule="auto"/>
              <w:jc w:val="left"/>
              <w:rPr>
                <w:rFonts w:hint="eastAsia" w:ascii="宋体" w:hAnsi="宋体" w:eastAsia="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除磋商文件规定必须提供以外，供应商认为需要提供的其他证明材料。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506C0B3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266620E">
            <w:pPr>
              <w:snapToGrid w:val="0"/>
              <w:spacing w:line="360" w:lineRule="auto"/>
              <w:ind w:firstLine="413" w:firstLineChars="196"/>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11919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CB0DB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4F0D041E">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60" w:type="dxa"/>
            <w:noWrap w:val="0"/>
            <w:vAlign w:val="center"/>
          </w:tcPr>
          <w:p w14:paraId="319E16C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59E0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2.法定代表人身份证明书及法定代表人有效身份证正反面复印件；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B51A06">
            <w:pPr>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2904E453">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894763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5.竞标人情况介绍；</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7B8508AE">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.建设工程项目管理承诺书；</w:t>
            </w:r>
            <w:r>
              <w:rPr>
                <w:rFonts w:hint="eastAsia" w:ascii="宋体" w:hAnsi="宋体" w:eastAsia="宋体" w:cs="宋体"/>
                <w:b/>
                <w:color w:val="auto"/>
                <w:szCs w:val="21"/>
                <w:highlight w:val="none"/>
              </w:rPr>
              <w:t>（必须提供，否则响应文件按无效响应处理）</w:t>
            </w:r>
          </w:p>
          <w:p w14:paraId="1ADEA9E8">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供应商类似业绩的证明文件；</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4EC0F14C">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1D31F663">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706F11F6">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1.法定代表人授权委托书必须由法定代表人及委托代理人签字，并加盖供应商公章，否则响应文件按无效响应处理。</w:t>
            </w:r>
          </w:p>
          <w:p w14:paraId="3E13E931">
            <w:pPr>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2.以上标明“必须提供”的材料属于复印件的扫描件的，必须加盖供应商电子公章，否则响应文件按无效响应处理。</w:t>
            </w:r>
          </w:p>
        </w:tc>
      </w:tr>
      <w:tr w14:paraId="5792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4301E315">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7A5494C9">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60" w:type="dxa"/>
            <w:noWrap w:val="0"/>
            <w:vAlign w:val="center"/>
          </w:tcPr>
          <w:p w14:paraId="7D05DCF7">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1.技术需求偏离表；（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72FFA6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.施工组织设计；（</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F9BD2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ascii="宋体" w:hAnsi="宋体" w:cs="宋体"/>
                <w:color w:val="auto"/>
                <w:szCs w:val="21"/>
                <w:highlight w:val="none"/>
              </w:rPr>
              <w:t>.</w:t>
            </w:r>
            <w:r>
              <w:rPr>
                <w:rFonts w:hint="eastAsia" w:ascii="宋体" w:hAnsi="宋体" w:cs="宋体"/>
                <w:color w:val="auto"/>
                <w:szCs w:val="21"/>
                <w:highlight w:val="none"/>
              </w:rPr>
              <w:t>项目管理机构配备情况表；（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679A1CA">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s="宋体"/>
                <w:color w:val="auto"/>
                <w:szCs w:val="21"/>
                <w:highlight w:val="none"/>
              </w:rPr>
              <w:t>项目经理简历表；（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A6F80B9">
            <w:pPr>
              <w:numPr>
                <w:ilvl w:val="0"/>
                <w:numId w:val="0"/>
              </w:numPr>
              <w:spacing w:line="360" w:lineRule="auto"/>
              <w:ind w:left="0" w:leftChars="0" w:firstLine="0" w:firstLineChars="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p w14:paraId="6D021761">
            <w:pPr>
              <w:numPr>
                <w:ilvl w:val="0"/>
                <w:numId w:val="0"/>
              </w:numPr>
              <w:spacing w:line="360" w:lineRule="auto"/>
              <w:ind w:leftChars="0"/>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注：1.以上标明“必须提供”的材料属于复印件的扫描件的，必须加盖供应商电子公章，否则响应文件按无效响应处理。</w:t>
            </w:r>
          </w:p>
        </w:tc>
      </w:tr>
      <w:tr w14:paraId="55CCA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693C4E8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244" w:type="dxa"/>
            <w:noWrap w:val="0"/>
            <w:vAlign w:val="center"/>
          </w:tcPr>
          <w:p w14:paraId="096ABA7E">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60" w:type="dxa"/>
            <w:noWrap w:val="0"/>
            <w:vAlign w:val="center"/>
          </w:tcPr>
          <w:p w14:paraId="6C112224">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（必须提供，否则作无效响应处理）</w:t>
            </w:r>
          </w:p>
          <w:p w14:paraId="7924F82F">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450FCFC">
            <w:pPr>
              <w:spacing w:line="360" w:lineRule="auto"/>
              <w:jc w:val="left"/>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已标价工程量清单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B436455">
            <w:pPr>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b/>
                <w:bCs/>
                <w:color w:val="auto"/>
                <w:szCs w:val="21"/>
                <w:highlight w:val="none"/>
              </w:rPr>
              <w:t>（如有请提</w:t>
            </w:r>
            <w:r>
              <w:rPr>
                <w:rFonts w:hint="eastAsia" w:ascii="宋体" w:hAnsi="宋体" w:eastAsia="宋体" w:cs="宋体"/>
                <w:b/>
                <w:bCs/>
                <w:color w:val="auto"/>
                <w:szCs w:val="21"/>
                <w:highlight w:val="none"/>
                <w:lang w:val="en-US" w:eastAsia="zh-CN"/>
              </w:rPr>
              <w:t>供</w:t>
            </w:r>
            <w:r>
              <w:rPr>
                <w:rFonts w:hint="eastAsia" w:ascii="宋体" w:hAnsi="宋体" w:eastAsia="宋体" w:cs="宋体"/>
                <w:b/>
                <w:bCs/>
                <w:color w:val="auto"/>
                <w:szCs w:val="21"/>
                <w:highlight w:val="none"/>
              </w:rPr>
              <w:t>）</w:t>
            </w:r>
          </w:p>
        </w:tc>
      </w:tr>
      <w:tr w14:paraId="6279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0AB4CF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244" w:type="dxa"/>
            <w:noWrap w:val="0"/>
            <w:vAlign w:val="center"/>
          </w:tcPr>
          <w:p w14:paraId="0C64AA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60" w:type="dxa"/>
            <w:noWrap w:val="0"/>
            <w:vAlign w:val="center"/>
          </w:tcPr>
          <w:p w14:paraId="1DDC3E49">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6B6551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2.响应文件电子版密封方式：电子响应文件通过平台有效CA加密后在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投送。（操作方式见公告附件“电子响应文件制作与投送教程”）</w:t>
            </w:r>
          </w:p>
        </w:tc>
      </w:tr>
      <w:tr w14:paraId="07D9A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2B19FD5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244" w:type="dxa"/>
            <w:noWrap w:val="0"/>
            <w:vAlign w:val="center"/>
          </w:tcPr>
          <w:p w14:paraId="7545079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60" w:type="dxa"/>
            <w:noWrap w:val="0"/>
            <w:vAlign w:val="center"/>
          </w:tcPr>
          <w:p w14:paraId="3AF0D396">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eastAsia="zh-CN"/>
              </w:rPr>
              <w:t>报价必须包含：</w:t>
            </w:r>
          </w:p>
          <w:p w14:paraId="7CF6FE3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①满足本项目全部采购需求，包含投标服务、货物、工程的成本、运输（含保险）、安装（如有）、调试、检验、技术服务、培训等所有费用。</w:t>
            </w:r>
          </w:p>
          <w:p w14:paraId="754AB79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②必要的保险费和各项税金（成交供应商需为该工程购买工程一切险）。</w:t>
            </w:r>
          </w:p>
          <w:p w14:paraId="1E65FFE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报价属于采购文件规定异常低价情况之一，未能按要求提供书面说明或者提交相关证明材料证明其报价合理性的，</w:t>
            </w:r>
            <w:r>
              <w:rPr>
                <w:rFonts w:hint="eastAsia" w:ascii="宋体" w:hAnsi="宋体" w:cs="宋体"/>
                <w:color w:val="auto"/>
                <w:szCs w:val="21"/>
                <w:highlight w:val="none"/>
                <w:lang w:val="en-US" w:eastAsia="zh-CN"/>
              </w:rPr>
              <w:t>竞标</w:t>
            </w:r>
            <w:r>
              <w:rPr>
                <w:rFonts w:hint="eastAsia" w:ascii="宋体" w:hAnsi="宋体" w:eastAsia="宋体" w:cs="宋体"/>
                <w:color w:val="auto"/>
                <w:szCs w:val="21"/>
                <w:highlight w:val="none"/>
                <w:lang w:val="en-US" w:eastAsia="zh-CN"/>
              </w:rPr>
              <w:t>无效。</w:t>
            </w:r>
          </w:p>
        </w:tc>
      </w:tr>
      <w:tr w14:paraId="28422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05AA1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244" w:type="dxa"/>
            <w:noWrap w:val="0"/>
            <w:vAlign w:val="center"/>
          </w:tcPr>
          <w:p w14:paraId="4B0EBC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60" w:type="dxa"/>
            <w:noWrap w:val="0"/>
            <w:vAlign w:val="center"/>
          </w:tcPr>
          <w:p w14:paraId="05E31668">
            <w:pPr>
              <w:pStyle w:val="9"/>
              <w:widowControl w:val="0"/>
              <w:numPr>
                <w:ilvl w:val="0"/>
                <w:numId w:val="0"/>
              </w:numPr>
              <w:tabs>
                <w:tab w:val="left" w:pos="720"/>
                <w:tab w:val="left" w:pos="840"/>
              </w:tabs>
              <w:snapToGrid w:val="0"/>
              <w:spacing w:afterLines="0" w:line="360" w:lineRule="auto"/>
              <w:ind w:left="-283" w:leftChars="-135" w:firstLine="0" w:firstLineChars="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rPr>
              <w:t>自</w:t>
            </w:r>
            <w:r>
              <w:rPr>
                <w:rFonts w:hint="eastAsia" w:cs="宋体" w:asciiTheme="minorEastAsia" w:hAnsiTheme="minorEastAsia" w:eastAsiaTheme="minorEastAsia"/>
                <w:color w:val="auto"/>
                <w:kern w:val="2"/>
                <w:sz w:val="21"/>
                <w:szCs w:val="21"/>
                <w:highlight w:val="none"/>
                <w:lang w:eastAsia="zh-CN"/>
              </w:rPr>
              <w:t>首</w:t>
            </w:r>
            <w:r>
              <w:rPr>
                <w:rFonts w:hint="eastAsia" w:ascii="宋体" w:hAnsi="宋体" w:eastAsia="宋体" w:cs="宋体"/>
                <w:color w:val="auto"/>
                <w:kern w:val="2"/>
                <w:sz w:val="21"/>
                <w:szCs w:val="21"/>
                <w:highlight w:val="none"/>
              </w:rPr>
              <w:t>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79C2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3EE46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244" w:type="dxa"/>
            <w:noWrap w:val="0"/>
            <w:vAlign w:val="center"/>
          </w:tcPr>
          <w:p w14:paraId="37A390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760" w:type="dxa"/>
            <w:noWrap w:val="0"/>
            <w:vAlign w:val="center"/>
          </w:tcPr>
          <w:p w14:paraId="3E24EFC7">
            <w:pPr>
              <w:autoSpaceDE w:val="0"/>
              <w:autoSpaceDN w:val="0"/>
              <w:snapToGrid w:val="0"/>
              <w:spacing w:line="360" w:lineRule="auto"/>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7E972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atLeast"/>
          <w:jc w:val="center"/>
        </w:trPr>
        <w:tc>
          <w:tcPr>
            <w:tcW w:w="903" w:type="dxa"/>
            <w:vMerge w:val="restart"/>
            <w:noWrap w:val="0"/>
            <w:vAlign w:val="center"/>
          </w:tcPr>
          <w:p w14:paraId="314DF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244" w:type="dxa"/>
            <w:noWrap w:val="0"/>
            <w:vAlign w:val="center"/>
          </w:tcPr>
          <w:p w14:paraId="5933BD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首次响应文件提交起止时间</w:t>
            </w:r>
          </w:p>
        </w:tc>
        <w:tc>
          <w:tcPr>
            <w:tcW w:w="6760" w:type="dxa"/>
            <w:noWrap w:val="0"/>
            <w:vAlign w:val="center"/>
          </w:tcPr>
          <w:p w14:paraId="1AB8E6FF">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F048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vMerge w:val="continue"/>
            <w:noWrap w:val="0"/>
            <w:vAlign w:val="center"/>
          </w:tcPr>
          <w:p w14:paraId="068BC3E2">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9A601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60" w:type="dxa"/>
            <w:noWrap w:val="0"/>
            <w:vAlign w:val="center"/>
          </w:tcPr>
          <w:p w14:paraId="043E5070">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3D7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400A04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244" w:type="dxa"/>
            <w:noWrap w:val="0"/>
            <w:vAlign w:val="center"/>
          </w:tcPr>
          <w:p w14:paraId="61AAF0A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60" w:type="dxa"/>
            <w:noWrap w:val="0"/>
            <w:vAlign w:val="center"/>
          </w:tcPr>
          <w:p w14:paraId="68BEC3A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F09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03" w:type="dxa"/>
            <w:noWrap w:val="0"/>
            <w:vAlign w:val="center"/>
          </w:tcPr>
          <w:p w14:paraId="2AD7DE4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244" w:type="dxa"/>
            <w:noWrap w:val="0"/>
            <w:vAlign w:val="center"/>
          </w:tcPr>
          <w:p w14:paraId="4C6E6A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首次响应文件的退回</w:t>
            </w:r>
          </w:p>
        </w:tc>
        <w:tc>
          <w:tcPr>
            <w:tcW w:w="6760" w:type="dxa"/>
            <w:noWrap w:val="0"/>
            <w:vAlign w:val="center"/>
          </w:tcPr>
          <w:p w14:paraId="294D6031">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348C6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03" w:type="dxa"/>
            <w:vMerge w:val="restart"/>
            <w:noWrap w:val="0"/>
            <w:vAlign w:val="center"/>
          </w:tcPr>
          <w:p w14:paraId="17F362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2244" w:type="dxa"/>
            <w:noWrap w:val="0"/>
            <w:vAlign w:val="center"/>
          </w:tcPr>
          <w:p w14:paraId="67792F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760" w:type="dxa"/>
            <w:noWrap w:val="0"/>
            <w:vAlign w:val="center"/>
          </w:tcPr>
          <w:p w14:paraId="1E27418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30CEFB78">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4D0C0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2D29D4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0D605CF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760" w:type="dxa"/>
            <w:noWrap w:val="0"/>
            <w:vAlign w:val="center"/>
          </w:tcPr>
          <w:p w14:paraId="29473EC4">
            <w:pPr>
              <w:pStyle w:val="1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4B8F24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随机排序。</w:t>
            </w:r>
          </w:p>
          <w:p w14:paraId="7E3550A6">
            <w:pPr>
              <w:pStyle w:val="1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FD9D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43C2F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2244" w:type="dxa"/>
            <w:noWrap w:val="0"/>
            <w:vAlign w:val="center"/>
          </w:tcPr>
          <w:p w14:paraId="7B419B0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60" w:type="dxa"/>
            <w:noWrap w:val="0"/>
            <w:vAlign w:val="center"/>
          </w:tcPr>
          <w:p w14:paraId="2DB82E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履约保证金金额：签约合同总价的2%。</w:t>
            </w:r>
          </w:p>
          <w:p w14:paraId="6BEEB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履约保证金提交方式：转帐、网上银行支付等非现金形式（银行回执单上请注明“XXXX项目履约金”）。</w:t>
            </w:r>
          </w:p>
          <w:p w14:paraId="538141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kern w:val="0"/>
                <w:sz w:val="21"/>
                <w:szCs w:val="21"/>
                <w:highlight w:val="none"/>
                <w:lang w:val="zh-CN" w:eastAsia="zh-CN"/>
              </w:rPr>
            </w:pPr>
            <w:r>
              <w:rPr>
                <w:rFonts w:hint="eastAsia" w:ascii="宋体" w:hAnsi="宋体" w:cs="宋体"/>
                <w:color w:val="auto"/>
                <w:kern w:val="0"/>
                <w:sz w:val="21"/>
                <w:szCs w:val="21"/>
                <w:highlight w:val="none"/>
                <w:lang w:val="zh-CN" w:eastAsia="zh-CN"/>
              </w:rPr>
              <w:t>履约保证金退付方式、时间及条件：合同履约保证金待验收合格后，按照有关规定办理退还手续。</w:t>
            </w:r>
          </w:p>
          <w:p w14:paraId="7440D03A">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color w:val="auto"/>
                <w:highlight w:val="none"/>
                <w:lang w:val="en-US"/>
              </w:rPr>
            </w:pPr>
            <w:r>
              <w:rPr>
                <w:rFonts w:hint="eastAsia" w:ascii="宋体" w:hAnsi="宋体" w:cs="宋体"/>
                <w:b/>
                <w:bCs/>
                <w:color w:val="auto"/>
                <w:kern w:val="0"/>
                <w:sz w:val="21"/>
                <w:szCs w:val="21"/>
                <w:highlight w:val="none"/>
                <w:lang w:val="en-US" w:eastAsia="zh-CN"/>
              </w:rPr>
              <w:t>注：承包人应在合同签订前提交采购人认可的履约保证金，否则不予签订合同并取消其中标资格。</w:t>
            </w:r>
          </w:p>
        </w:tc>
      </w:tr>
      <w:tr w14:paraId="0D2F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543815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2244" w:type="dxa"/>
            <w:noWrap w:val="0"/>
            <w:vAlign w:val="center"/>
          </w:tcPr>
          <w:p w14:paraId="03959E1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760" w:type="dxa"/>
            <w:noWrap w:val="0"/>
            <w:vAlign w:val="center"/>
          </w:tcPr>
          <w:p w14:paraId="1C1C5CF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7F94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restart"/>
            <w:noWrap w:val="0"/>
            <w:vAlign w:val="center"/>
          </w:tcPr>
          <w:p w14:paraId="297187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2244" w:type="dxa"/>
            <w:noWrap w:val="0"/>
            <w:vAlign w:val="center"/>
          </w:tcPr>
          <w:p w14:paraId="5CD3F7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760" w:type="dxa"/>
            <w:noWrap w:val="0"/>
            <w:vAlign w:val="center"/>
          </w:tcPr>
          <w:p w14:paraId="5C01063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26329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758CA71F">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67FA9C6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质疑联系部门及联系方式</w:t>
            </w:r>
          </w:p>
        </w:tc>
        <w:tc>
          <w:tcPr>
            <w:tcW w:w="6760" w:type="dxa"/>
            <w:noWrap w:val="0"/>
            <w:vAlign w:val="center"/>
          </w:tcPr>
          <w:p w14:paraId="2E7C2C5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single"/>
                <w:lang w:eastAsia="zh-CN"/>
              </w:rPr>
              <w:t>广西佳鸿工程技术有限公司</w:t>
            </w:r>
            <w:r>
              <w:rPr>
                <w:rFonts w:hint="eastAsia" w:ascii="宋体" w:hAnsi="宋体" w:eastAsia="宋体" w:cs="宋体"/>
                <w:color w:val="auto"/>
                <w:szCs w:val="21"/>
                <w:highlight w:val="none"/>
              </w:rPr>
              <w:t>；</w:t>
            </w:r>
          </w:p>
          <w:p w14:paraId="7DF9F23C">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0771-6509080</w:t>
            </w:r>
          </w:p>
          <w:p w14:paraId="7A243E75">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南宁市隆安县那桐镇侨康路6号06栋整栋</w:t>
            </w:r>
          </w:p>
          <w:p w14:paraId="64BBCB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single"/>
                <w:lang w:eastAsia="zh-CN"/>
              </w:rPr>
              <w:t>隆安县丁当镇人民政府</w:t>
            </w:r>
            <w:r>
              <w:rPr>
                <w:rFonts w:hint="eastAsia" w:ascii="宋体" w:hAnsi="宋体" w:eastAsia="宋体" w:cs="宋体"/>
                <w:color w:val="auto"/>
                <w:szCs w:val="21"/>
                <w:highlight w:val="none"/>
              </w:rPr>
              <w:t>；</w:t>
            </w:r>
          </w:p>
          <w:p w14:paraId="6AAA1B27">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0771-6692832</w:t>
            </w:r>
          </w:p>
          <w:p w14:paraId="74387E31">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w:t>
            </w:r>
            <w:r>
              <w:rPr>
                <w:rFonts w:hint="eastAsia" w:ascii="宋体" w:hAnsi="宋体" w:cs="宋体"/>
                <w:color w:val="auto"/>
                <w:szCs w:val="21"/>
                <w:highlight w:val="none"/>
                <w:lang w:eastAsia="zh-CN"/>
              </w:rPr>
              <w:t>隆安县丁当镇朝阳街24号</w:t>
            </w:r>
          </w:p>
        </w:tc>
      </w:tr>
      <w:tr w14:paraId="4297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vMerge w:val="continue"/>
            <w:noWrap w:val="0"/>
            <w:vAlign w:val="center"/>
          </w:tcPr>
          <w:p w14:paraId="1D9CB560">
            <w:pPr>
              <w:spacing w:line="360" w:lineRule="auto"/>
              <w:jc w:val="center"/>
              <w:rPr>
                <w:rFonts w:hint="eastAsia" w:ascii="宋体" w:hAnsi="宋体" w:eastAsia="宋体" w:cs="宋体"/>
                <w:color w:val="auto"/>
                <w:szCs w:val="21"/>
                <w:highlight w:val="none"/>
              </w:rPr>
            </w:pPr>
          </w:p>
        </w:tc>
        <w:tc>
          <w:tcPr>
            <w:tcW w:w="2244" w:type="dxa"/>
            <w:noWrap w:val="0"/>
            <w:vAlign w:val="center"/>
          </w:tcPr>
          <w:p w14:paraId="2BC589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760" w:type="dxa"/>
            <w:noWrap w:val="0"/>
            <w:vAlign w:val="center"/>
          </w:tcPr>
          <w:p w14:paraId="6325C4E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eastAsia="zh-CN"/>
              </w:rPr>
              <w:t>17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4A6C1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4EE6FB1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2244" w:type="dxa"/>
            <w:noWrap w:val="0"/>
            <w:vAlign w:val="center"/>
          </w:tcPr>
          <w:p w14:paraId="0DFE79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60" w:type="dxa"/>
            <w:noWrap w:val="0"/>
            <w:vAlign w:val="center"/>
          </w:tcPr>
          <w:p w14:paraId="545E5B9F">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1、受理方式：纸质方式受理，投诉书正、副本（经过质疑的事项才可投诉）。</w:t>
            </w:r>
          </w:p>
          <w:p w14:paraId="6EF8E84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2、邮寄地址：</w:t>
            </w:r>
          </w:p>
          <w:p w14:paraId="311BFBBD">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名称：隆安县财政局</w:t>
            </w:r>
          </w:p>
          <w:p w14:paraId="5642859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bidi="ar"/>
              </w:rPr>
              <w:t>隆安县广场路8号</w:t>
            </w:r>
            <w:r>
              <w:rPr>
                <w:rFonts w:hint="eastAsia" w:ascii="宋体" w:hAnsi="宋体" w:eastAsia="宋体" w:cs="宋体"/>
                <w:color w:val="auto"/>
                <w:szCs w:val="21"/>
                <w:highlight w:val="none"/>
                <w:lang w:eastAsia="zh-CN"/>
              </w:rPr>
              <w:t xml:space="preserve"> </w:t>
            </w:r>
            <w:r>
              <w:rPr>
                <w:rFonts w:hint="eastAsia" w:ascii="宋体" w:hAnsi="宋体" w:eastAsia="宋体" w:cs="宋体"/>
                <w:color w:val="auto"/>
                <w:szCs w:val="21"/>
                <w:highlight w:val="none"/>
              </w:rPr>
              <w:t xml:space="preserve"> </w:t>
            </w:r>
          </w:p>
          <w:p w14:paraId="20834EF2">
            <w:pPr>
              <w:snapToGrid w:val="0"/>
              <w:spacing w:line="360" w:lineRule="auto"/>
              <w:jc w:val="both"/>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联系电话：0771-6531019 </w:t>
            </w:r>
          </w:p>
        </w:tc>
      </w:tr>
      <w:tr w14:paraId="58335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38C8CF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2244" w:type="dxa"/>
            <w:noWrap w:val="0"/>
            <w:vAlign w:val="center"/>
          </w:tcPr>
          <w:p w14:paraId="2265872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760" w:type="dxa"/>
            <w:noWrap w:val="0"/>
            <w:vAlign w:val="center"/>
          </w:tcPr>
          <w:p w14:paraId="51187C58">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1. 是否收取采购代理费：</w:t>
            </w:r>
          </w:p>
          <w:p w14:paraId="0BBD84BA">
            <w:pPr>
              <w:pStyle w:val="16"/>
              <w:snapToGrid w:val="0"/>
              <w:spacing w:line="360" w:lineRule="auto"/>
              <w:rPr>
                <w:rFonts w:hAnsi="宋体" w:eastAsia="Times New Roman" w:cs="宋体"/>
                <w:color w:val="auto"/>
                <w:sz w:val="21"/>
                <w:szCs w:val="21"/>
                <w:highlight w:val="none"/>
              </w:rPr>
            </w:pPr>
            <w:r>
              <w:rPr>
                <w:rFonts w:hint="eastAsia" w:ascii="MS Mincho" w:hAnsi="MS Mincho" w:eastAsia="宋体" w:cs="MS Mincho"/>
                <w:color w:val="auto"/>
                <w:sz w:val="21"/>
                <w:szCs w:val="21"/>
                <w:highlight w:val="none"/>
                <w:lang w:eastAsia="zh-CN"/>
              </w:rPr>
              <w:t>☑</w:t>
            </w:r>
            <w:r>
              <w:rPr>
                <w:rFonts w:hAnsi="宋体" w:eastAsia="Times New Roman" w:cs="宋体"/>
                <w:color w:val="auto"/>
                <w:sz w:val="21"/>
                <w:szCs w:val="21"/>
                <w:highlight w:val="none"/>
              </w:rPr>
              <w:t>是    □ 否</w:t>
            </w:r>
          </w:p>
          <w:p w14:paraId="76201864">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2.采购代理费支付方式：</w:t>
            </w:r>
          </w:p>
          <w:p w14:paraId="17A45C5F">
            <w:pPr>
              <w:pStyle w:val="16"/>
              <w:snapToGrid w:val="0"/>
              <w:spacing w:line="360" w:lineRule="auto"/>
              <w:rPr>
                <w:rFonts w:hAnsi="宋体" w:eastAsia="Times New Roman" w:cs="宋体"/>
                <w:color w:val="auto"/>
                <w:sz w:val="21"/>
                <w:szCs w:val="21"/>
                <w:highlight w:val="none"/>
              </w:rPr>
            </w:pPr>
            <w:r>
              <w:rPr>
                <w:rFonts w:hint="eastAsia" w:ascii="MS Mincho" w:hAnsi="MS Mincho" w:cs="MS Mincho"/>
                <w:color w:val="auto"/>
                <w:sz w:val="21"/>
                <w:szCs w:val="21"/>
                <w:highlight w:val="none"/>
                <w:lang w:eastAsia="zh-CN"/>
              </w:rPr>
              <w:t>□</w:t>
            </w:r>
            <w:r>
              <w:rPr>
                <w:rFonts w:hAnsi="宋体" w:eastAsia="Times New Roman" w:cs="宋体"/>
                <w:color w:val="auto"/>
                <w:sz w:val="21"/>
                <w:szCs w:val="21"/>
                <w:highlight w:val="none"/>
              </w:rPr>
              <w:t>本项目代理服务费由</w:t>
            </w:r>
            <w:r>
              <w:rPr>
                <w:rFonts w:hAnsi="宋体" w:eastAsia="Times New Roman" w:cs="宋体"/>
                <w:color w:val="auto"/>
                <w:sz w:val="21"/>
                <w:szCs w:val="21"/>
                <w:highlight w:val="none"/>
                <w:u w:val="single"/>
              </w:rPr>
              <w:t>成交供应商</w:t>
            </w:r>
            <w:r>
              <w:rPr>
                <w:rFonts w:hAnsi="宋体" w:eastAsia="Times New Roman" w:cs="宋体"/>
                <w:color w:val="auto"/>
                <w:sz w:val="21"/>
                <w:szCs w:val="21"/>
                <w:highlight w:val="none"/>
              </w:rPr>
              <w:t>领取成交通知书前，一次性向采购代理机构支付。</w:t>
            </w:r>
          </w:p>
          <w:p w14:paraId="7D27ED7D">
            <w:pPr>
              <w:pStyle w:val="16"/>
              <w:snapToGrid w:val="0"/>
              <w:spacing w:line="360" w:lineRule="auto"/>
              <w:rPr>
                <w:rFonts w:hAnsi="宋体" w:eastAsia="Times New Roman" w:cs="宋体"/>
                <w:color w:val="auto"/>
                <w:sz w:val="21"/>
                <w:szCs w:val="21"/>
                <w:highlight w:val="none"/>
              </w:rPr>
            </w:pPr>
            <w:r>
              <w:rPr>
                <w:rFonts w:hint="eastAsia" w:hAnsi="宋体" w:cs="宋体"/>
                <w:color w:val="auto"/>
                <w:sz w:val="21"/>
                <w:szCs w:val="21"/>
                <w:highlight w:val="none"/>
                <w:lang w:eastAsia="zh-CN"/>
              </w:rPr>
              <w:t>☑</w:t>
            </w:r>
            <w:r>
              <w:rPr>
                <w:rFonts w:hAnsi="宋体" w:eastAsia="Times New Roman" w:cs="宋体"/>
                <w:color w:val="auto"/>
                <w:sz w:val="21"/>
                <w:szCs w:val="21"/>
                <w:highlight w:val="none"/>
              </w:rPr>
              <w:t>采购人支付。</w:t>
            </w:r>
          </w:p>
          <w:p w14:paraId="0B04A8D8">
            <w:pPr>
              <w:pStyle w:val="16"/>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采购代理费收取标准：</w:t>
            </w:r>
            <w:r>
              <w:rPr>
                <w:rFonts w:hint="eastAsia" w:ascii="宋体" w:hAnsi="宋体" w:eastAsia="宋体" w:cs="宋体"/>
                <w:color w:val="auto"/>
                <w:sz w:val="21"/>
                <w:szCs w:val="21"/>
                <w:highlight w:val="none"/>
                <w:lang w:val="en-US" w:eastAsia="zh-CN"/>
              </w:rPr>
              <w:t>根据《国家发展改革委关于进一步放开建设项目专业服务价格的通知》（发改价格〔2015〕299 号），采购代理服务费实行市场调节价，参考原计价格〔2002〕1980 号文（工程类）收费标准下浮 20%计取，以本项目中标（成交）金额为计算基数。</w:t>
            </w:r>
          </w:p>
          <w:p w14:paraId="1AECFA67">
            <w:pPr>
              <w:pStyle w:val="16"/>
              <w:snapToGrid w:val="0"/>
              <w:spacing w:line="360" w:lineRule="auto"/>
              <w:rPr>
                <w:rFonts w:hAnsi="宋体" w:eastAsia="Times New Roman" w:cs="宋体"/>
                <w:color w:val="auto"/>
                <w:sz w:val="21"/>
                <w:szCs w:val="21"/>
                <w:highlight w:val="none"/>
              </w:rPr>
            </w:pPr>
            <w:r>
              <w:rPr>
                <w:rFonts w:hAnsi="宋体" w:eastAsia="Times New Roman" w:cs="宋体"/>
                <w:color w:val="auto"/>
                <w:sz w:val="21"/>
                <w:szCs w:val="21"/>
                <w:highlight w:val="none"/>
              </w:rPr>
              <w:t>4.采购代理费收取银行账户</w:t>
            </w:r>
          </w:p>
          <w:p w14:paraId="37E02404">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开户名称：</w:t>
            </w:r>
            <w:r>
              <w:rPr>
                <w:rFonts w:hint="eastAsia" w:hAnsi="宋体" w:eastAsia="Times New Roman" w:cs="宋体"/>
                <w:color w:val="auto"/>
                <w:sz w:val="21"/>
                <w:szCs w:val="21"/>
                <w:highlight w:val="none"/>
                <w:lang w:val="en-US" w:eastAsia="zh-CN"/>
              </w:rPr>
              <w:t>广西佳鸿工程技术有限公司</w:t>
            </w:r>
            <w:r>
              <w:rPr>
                <w:rFonts w:hint="eastAsia" w:ascii="宋体" w:hAnsi="宋体" w:eastAsia="Times New Roman" w:cs="宋体"/>
                <w:color w:val="auto"/>
                <w:sz w:val="21"/>
                <w:szCs w:val="21"/>
                <w:highlight w:val="none"/>
                <w:lang w:val="en-US" w:eastAsia="zh-CN"/>
              </w:rPr>
              <w:t xml:space="preserve">      </w:t>
            </w:r>
          </w:p>
          <w:p w14:paraId="548496A6">
            <w:pPr>
              <w:pStyle w:val="16"/>
              <w:snapToGrid w:val="0"/>
              <w:spacing w:line="360" w:lineRule="auto"/>
              <w:rPr>
                <w:rFonts w:hint="eastAsia" w:ascii="宋体" w:hAnsi="宋体" w:eastAsia="Times New Roman" w:cs="宋体"/>
                <w:color w:val="auto"/>
                <w:sz w:val="21"/>
                <w:szCs w:val="21"/>
                <w:highlight w:val="none"/>
                <w:lang w:val="en-US" w:eastAsia="zh-CN"/>
              </w:rPr>
            </w:pPr>
            <w:r>
              <w:rPr>
                <w:rFonts w:hint="eastAsia" w:ascii="宋体" w:hAnsi="宋体" w:eastAsia="Times New Roman" w:cs="宋体"/>
                <w:color w:val="auto"/>
                <w:sz w:val="21"/>
                <w:szCs w:val="21"/>
                <w:highlight w:val="none"/>
                <w:lang w:val="en-US" w:eastAsia="zh-CN"/>
              </w:rPr>
              <w:t xml:space="preserve">开户银行：中国建设银行股份有限公司南宁翡翠园支行 </w:t>
            </w:r>
          </w:p>
          <w:p w14:paraId="02D2A261">
            <w:pPr>
              <w:pStyle w:val="16"/>
              <w:snapToGrid w:val="0"/>
              <w:spacing w:line="360" w:lineRule="auto"/>
              <w:rPr>
                <w:rFonts w:hint="default" w:ascii="宋体" w:hAnsi="宋体" w:eastAsia="宋体" w:cs="宋体"/>
                <w:color w:val="auto"/>
                <w:sz w:val="21"/>
                <w:highlight w:val="none"/>
                <w:lang w:val="en-US" w:eastAsia="zh-CN"/>
              </w:rPr>
            </w:pPr>
            <w:r>
              <w:rPr>
                <w:rFonts w:hint="eastAsia" w:ascii="宋体" w:hAnsi="宋体" w:eastAsia="Times New Roman" w:cs="宋体"/>
                <w:color w:val="auto"/>
                <w:sz w:val="21"/>
                <w:szCs w:val="21"/>
                <w:highlight w:val="none"/>
                <w:lang w:val="en-US" w:eastAsia="zh-CN"/>
              </w:rPr>
              <w:t>银行账号：</w:t>
            </w:r>
            <w:r>
              <w:rPr>
                <w:rFonts w:hint="eastAsia" w:hAnsi="宋体" w:eastAsia="Times New Roman" w:cs="宋体"/>
                <w:color w:val="auto"/>
                <w:sz w:val="21"/>
                <w:szCs w:val="21"/>
                <w:highlight w:val="none"/>
                <w:lang w:val="en-US" w:eastAsia="zh-CN"/>
              </w:rPr>
              <w:t>45050160484209666888</w:t>
            </w:r>
          </w:p>
        </w:tc>
      </w:tr>
      <w:tr w14:paraId="5365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496AB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2244" w:type="dxa"/>
            <w:noWrap w:val="0"/>
            <w:vAlign w:val="center"/>
          </w:tcPr>
          <w:p w14:paraId="6AF42F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760" w:type="dxa"/>
            <w:noWrap w:val="0"/>
            <w:vAlign w:val="center"/>
          </w:tcPr>
          <w:p w14:paraId="415E0FC2">
            <w:pPr>
              <w:pStyle w:val="16"/>
              <w:snapToGrid w:val="0"/>
              <w:spacing w:line="360" w:lineRule="auto"/>
              <w:jc w:val="left"/>
              <w:rPr>
                <w:rFonts w:hint="eastAsia" w:ascii="宋体" w:hAnsi="宋体" w:eastAsia="宋体" w:cs="宋体"/>
                <w:b/>
                <w:color w:val="auto"/>
                <w:sz w:val="21"/>
                <w:highlight w:val="none"/>
                <w:lang w:val="en-US" w:eastAsia="zh-CN"/>
              </w:rPr>
            </w:pPr>
            <w:r>
              <w:rPr>
                <w:rFonts w:hint="eastAsia" w:ascii="宋体" w:hAnsi="宋体" w:eastAsia="宋体" w:cs="宋体"/>
                <w:b/>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sz w:val="21"/>
                <w:highlight w:val="none"/>
                <w:lang w:val="en-US" w:eastAsia="zh-CN"/>
              </w:rPr>
              <w:t>由采购人或者采购代理机构负责解释。</w:t>
            </w:r>
          </w:p>
          <w:p w14:paraId="28CDD0B8">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b/>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4C99E8C8">
            <w:pPr>
              <w:pStyle w:val="16"/>
              <w:snapToGrid w:val="0"/>
              <w:spacing w:line="360" w:lineRule="auto"/>
              <w:jc w:val="left"/>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2.本项目采购代理机构应严格按照</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项目采购全流程电子化电子开评标规程执行项目采购活动，代理机构在</w:t>
            </w:r>
            <w:r>
              <w:rPr>
                <w:rFonts w:hint="eastAsia" w:hAnsi="宋体" w:cs="宋体"/>
                <w:b/>
                <w:bCs/>
                <w:color w:val="auto"/>
                <w:sz w:val="21"/>
                <w:highlight w:val="none"/>
                <w:lang w:val="en-US" w:eastAsia="zh-CN"/>
              </w:rPr>
              <w:t>“广西政府采购云平台”</w:t>
            </w:r>
            <w:r>
              <w:rPr>
                <w:rFonts w:hint="eastAsia" w:ascii="宋体" w:hAnsi="宋体" w:eastAsia="宋体" w:cs="宋体"/>
                <w:b/>
                <w:bCs/>
                <w:color w:val="auto"/>
                <w:sz w:val="21"/>
                <w:highlight w:val="none"/>
                <w:lang w:val="en-US" w:eastAsia="zh-CN"/>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491F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3" w:type="dxa"/>
            <w:noWrap w:val="0"/>
            <w:vAlign w:val="center"/>
          </w:tcPr>
          <w:p w14:paraId="789609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2244" w:type="dxa"/>
            <w:noWrap w:val="0"/>
            <w:vAlign w:val="center"/>
          </w:tcPr>
          <w:p w14:paraId="065EBCB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60" w:type="dxa"/>
            <w:noWrap w:val="0"/>
            <w:vAlign w:val="center"/>
          </w:tcPr>
          <w:p w14:paraId="490ED29B">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91E7112">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A2C605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35B2B07C">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4.自然人竞标的，磋商文件规定盖公章处由自然人摁手指指印。</w:t>
            </w:r>
          </w:p>
          <w:p w14:paraId="6FEBFC94">
            <w:pPr>
              <w:pStyle w:val="16"/>
              <w:snapToGrid w:val="0"/>
              <w:spacing w:line="360" w:lineRule="auto"/>
              <w:jc w:val="lef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5.本磋商文件所称的“以上”“以下”“以内”“届满”，包括本数；所称的“不满”“超过”“以外”，不包括本数。</w:t>
            </w:r>
          </w:p>
        </w:tc>
      </w:tr>
    </w:tbl>
    <w:p w14:paraId="5B91ADCC">
      <w:pPr>
        <w:pStyle w:val="3"/>
        <w:spacing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58" w:name="_Toc28698"/>
      <w:bookmarkStart w:id="59" w:name="_Toc11935"/>
      <w:bookmarkStart w:id="60" w:name="_Toc31001"/>
      <w:bookmarkStart w:id="61" w:name="_Toc18606"/>
      <w:bookmarkStart w:id="62" w:name="_Toc3460"/>
      <w:bookmarkStart w:id="63" w:name="_Toc11716"/>
      <w:bookmarkStart w:id="64" w:name="_Toc8980"/>
      <w:r>
        <w:rPr>
          <w:rFonts w:hint="eastAsia" w:ascii="宋体" w:hAnsi="宋体" w:eastAsia="宋体" w:cs="宋体"/>
          <w:b w:val="0"/>
          <w:color w:val="auto"/>
          <w:highlight w:val="none"/>
        </w:rPr>
        <w:t>第二节 供应商须知正文</w:t>
      </w:r>
      <w:bookmarkEnd w:id="58"/>
      <w:bookmarkEnd w:id="59"/>
      <w:bookmarkEnd w:id="60"/>
      <w:bookmarkEnd w:id="61"/>
      <w:bookmarkEnd w:id="62"/>
      <w:bookmarkEnd w:id="63"/>
      <w:bookmarkEnd w:id="64"/>
    </w:p>
    <w:p w14:paraId="061E03F0">
      <w:pPr>
        <w:pStyle w:val="4"/>
        <w:spacing w:before="0" w:after="0" w:line="360" w:lineRule="auto"/>
        <w:rPr>
          <w:rFonts w:hint="eastAsia" w:ascii="宋体" w:hAnsi="宋体" w:eastAsia="宋体" w:cs="宋体"/>
          <w:b/>
          <w:bCs w:val="0"/>
          <w:color w:val="auto"/>
          <w:highlight w:val="none"/>
        </w:rPr>
      </w:pPr>
      <w:bookmarkStart w:id="65" w:name="_Toc5632"/>
      <w:bookmarkStart w:id="66" w:name="_Toc29628"/>
      <w:bookmarkStart w:id="67" w:name="_Toc4039"/>
      <w:bookmarkStart w:id="68" w:name="_Toc26491"/>
      <w:bookmarkStart w:id="69" w:name="_Toc6602"/>
      <w:bookmarkStart w:id="70" w:name="_Toc4242"/>
      <w:r>
        <w:rPr>
          <w:rFonts w:hint="eastAsia" w:ascii="宋体" w:hAnsi="宋体" w:eastAsia="宋体" w:cs="宋体"/>
          <w:b/>
          <w:bCs w:val="0"/>
          <w:color w:val="auto"/>
          <w:highlight w:val="none"/>
        </w:rPr>
        <w:t>一、总则</w:t>
      </w:r>
      <w:bookmarkEnd w:id="65"/>
      <w:bookmarkEnd w:id="66"/>
      <w:bookmarkEnd w:id="67"/>
      <w:bookmarkEnd w:id="68"/>
      <w:bookmarkEnd w:id="69"/>
      <w:bookmarkEnd w:id="70"/>
    </w:p>
    <w:p w14:paraId="288DB7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25D48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1D1B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1BFA705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04B9B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B6FBD62">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514D1D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8852E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r>
        <w:rPr>
          <w:rFonts w:hint="eastAsia" w:ascii="宋体" w:hAnsi="宋体"/>
          <w:color w:val="auto"/>
          <w:szCs w:val="21"/>
          <w:highlight w:val="none"/>
        </w:rPr>
        <w:t>“工程”是指除货物和服务以外的其他政府采购对象</w:t>
      </w:r>
      <w:r>
        <w:rPr>
          <w:rFonts w:hint="eastAsia" w:ascii="宋体" w:hAnsi="宋体" w:eastAsia="宋体" w:cs="宋体"/>
          <w:color w:val="auto"/>
          <w:szCs w:val="21"/>
          <w:highlight w:val="none"/>
        </w:rPr>
        <w:t>。</w:t>
      </w:r>
    </w:p>
    <w:p w14:paraId="586003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7596CC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3B00AB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2.7“实质性要求”是指磋商文件中已经指明不满足则响应文件按无效响应处理的条款，或者不能负偏离的条款，或者采购需求中带“▲”的条款。</w:t>
      </w:r>
    </w:p>
    <w:p w14:paraId="04E4FD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08E099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12300F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2.10“允许负偏离的条款”是指采购需求中的不属于“实质性要求”的条款。</w:t>
      </w:r>
    </w:p>
    <w:p w14:paraId="7947D9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2.11“书面形式”是指合同书、信件和数据电文（包括电报、电传、传真、电子数据交换和电子邮件）等可以有形地表现所载内容的形式。</w:t>
      </w:r>
    </w:p>
    <w:p w14:paraId="4C9129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3ABA68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2.13“评审报价”是指供应商提交的最后报价并经修正（如有）和政策功能价格扣除（如有）后的价格。</w:t>
      </w:r>
    </w:p>
    <w:p w14:paraId="55B9202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6F1A71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2641F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6D5D4F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w:t>
      </w:r>
      <w:r>
        <w:rPr>
          <w:rFonts w:hint="eastAsia" w:ascii="宋体" w:hAnsi="宋体" w:cs="宋体"/>
          <w:color w:val="auto"/>
          <w:szCs w:val="21"/>
          <w:highlight w:val="none"/>
          <w:lang w:val="en-US" w:eastAsia="zh-CN"/>
        </w:rPr>
        <w:t>察</w:t>
      </w:r>
      <w:r>
        <w:rPr>
          <w:rFonts w:hint="eastAsia" w:ascii="宋体" w:hAnsi="宋体" w:eastAsia="宋体" w:cs="宋体"/>
          <w:color w:val="auto"/>
          <w:szCs w:val="21"/>
          <w:highlight w:val="none"/>
        </w:rPr>
        <w:t>现场、编制和提交响应文件、参加磋商与应答、签订合同等，不论竞标结果如何，均应自行承担。</w:t>
      </w:r>
    </w:p>
    <w:p w14:paraId="0BBC83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B8164F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3FC5BC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7E259D5E">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w:t>
      </w:r>
      <w:r>
        <w:rPr>
          <w:rFonts w:hint="eastAsia" w:ascii="宋体" w:hAnsi="宋体" w:cs="宋体"/>
          <w:color w:val="auto"/>
          <w:szCs w:val="21"/>
          <w:highlight w:val="none"/>
          <w:lang w:eastAsia="zh-CN"/>
        </w:rPr>
        <w:t>《广西壮族自治区财政厅关于持续优化政府采购营商环境推动高质量发展的通知》（桂财采〔2024〕55 号）</w:t>
      </w:r>
      <w:r>
        <w:rPr>
          <w:rFonts w:hint="eastAsia" w:ascii="宋体" w:hAnsi="宋体" w:eastAsia="宋体" w:cs="宋体"/>
          <w:color w:val="auto"/>
          <w:szCs w:val="21"/>
          <w:highlight w:val="none"/>
        </w:rPr>
        <w:t>规定，接受大中型企业与小微企业组成联合体的采购项目，对于联合协议约定小微企业的合同份额占到合同总金额 30%以上的，采购人、采购代理机构应当对联合体的报价给予 1%—2%的扣除，用扣除后的价格参加评审。组成联合体的小微企业与联合体内其他企业、分包企业之间存在直接控股、管理关系的，不享受价格扣除优惠政策。</w:t>
      </w:r>
    </w:p>
    <w:p w14:paraId="523F6D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AB1F6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6A114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bCs/>
          <w:color w:val="auto"/>
          <w:szCs w:val="21"/>
          <w:highlight w:val="none"/>
        </w:rPr>
        <w:t>根据《政府采购促进中小企业发展管理办法》（财库[2020]46号）第九条及</w:t>
      </w:r>
      <w:r>
        <w:rPr>
          <w:rFonts w:hint="eastAsia" w:ascii="宋体" w:hAnsi="宋体"/>
          <w:bCs/>
          <w:color w:val="auto"/>
          <w:szCs w:val="21"/>
          <w:highlight w:val="none"/>
          <w:lang w:eastAsia="zh-CN"/>
        </w:rPr>
        <w:t>《广西壮族自治区财政厅关于持续优化政府采购营商环境推动高质量发展的通知》（桂财采〔2024〕55 号）</w:t>
      </w:r>
      <w:r>
        <w:rPr>
          <w:rFonts w:hint="eastAsia" w:ascii="宋体" w:hAnsi="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1%-2%的扣除，用扣除后的价格参加评审。接受分包的小微企业与分包企业之间存在直接控股、管理关系的，不享受价格扣除优惠政策</w:t>
      </w:r>
      <w:r>
        <w:rPr>
          <w:rFonts w:hint="eastAsia" w:ascii="宋体" w:hAnsi="宋体" w:eastAsia="宋体" w:cs="宋体"/>
          <w:bCs/>
          <w:color w:val="auto"/>
          <w:szCs w:val="21"/>
          <w:highlight w:val="none"/>
        </w:rPr>
        <w:t>。</w:t>
      </w:r>
    </w:p>
    <w:p w14:paraId="5489EED0">
      <w:pPr>
        <w:spacing w:line="360" w:lineRule="auto"/>
        <w:ind w:firstLine="482" w:firstLineChars="200"/>
        <w:rPr>
          <w:rFonts w:hint="eastAsia" w:ascii="宋体" w:hAnsi="宋体" w:eastAsia="宋体" w:cs="宋体"/>
          <w:b/>
          <w:bCs/>
          <w:color w:val="auto"/>
          <w:sz w:val="24"/>
          <w:highlight w:val="none"/>
        </w:rPr>
      </w:pPr>
      <w:bookmarkStart w:id="71" w:name="_Toc254970532"/>
      <w:bookmarkStart w:id="72" w:name="_Toc254970673"/>
      <w:r>
        <w:rPr>
          <w:rFonts w:hint="eastAsia" w:ascii="宋体" w:hAnsi="宋体" w:eastAsia="宋体" w:cs="宋体"/>
          <w:b/>
          <w:bCs/>
          <w:color w:val="auto"/>
          <w:sz w:val="24"/>
          <w:highlight w:val="none"/>
        </w:rPr>
        <w:t>7.特别说明</w:t>
      </w:r>
      <w:bookmarkEnd w:id="71"/>
      <w:bookmarkEnd w:id="72"/>
    </w:p>
    <w:p w14:paraId="2984EFDC">
      <w:pPr>
        <w:spacing w:line="360" w:lineRule="auto"/>
        <w:ind w:firstLine="420" w:firstLineChars="200"/>
        <w:rPr>
          <w:rFonts w:hint="eastAsia" w:ascii="宋体" w:hAnsi="宋体" w:eastAsia="宋体" w:cs="宋体"/>
          <w:color w:val="auto"/>
          <w:szCs w:val="21"/>
          <w:highlight w:val="none"/>
        </w:rPr>
      </w:pPr>
      <w:bookmarkStart w:id="73" w:name="_8.1提供相同品牌产品且通过资格审查、符合性审查的不同投标人参加同一合"/>
      <w:bookmarkEnd w:id="73"/>
      <w:r>
        <w:rPr>
          <w:rFonts w:hint="eastAsia" w:ascii="宋体" w:hAnsi="宋体" w:eastAsia="宋体" w:cs="宋体"/>
          <w:color w:val="auto"/>
          <w:szCs w:val="21"/>
          <w:highlight w:val="none"/>
        </w:rPr>
        <w:t>7.1</w:t>
      </w:r>
      <w:bookmarkStart w:id="74"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74"/>
    <w:p w14:paraId="64FB76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3AF23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DE080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2AE2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75D6B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36EE5C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53937C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0C7923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1BFE28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907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56E490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D04E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8B089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5722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1DE4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28EA225">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D134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933F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5026C9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17B321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2B3C6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7F94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2CB9D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5A5B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E8ED65B">
      <w:pPr>
        <w:bidi w:val="0"/>
        <w:spacing w:line="360" w:lineRule="auto"/>
        <w:rPr>
          <w:rFonts w:hint="eastAsia" w:ascii="宋体" w:hAnsi="宋体" w:eastAsia="宋体" w:cs="宋体"/>
          <w:color w:val="auto"/>
          <w:highlight w:val="none"/>
        </w:rPr>
      </w:pPr>
      <w:bookmarkStart w:id="75" w:name="_Toc254970534"/>
      <w:bookmarkStart w:id="76" w:name="_Toc254970675"/>
    </w:p>
    <w:p w14:paraId="7CD0A1BA">
      <w:pPr>
        <w:pStyle w:val="4"/>
        <w:spacing w:before="0" w:after="0" w:line="360" w:lineRule="auto"/>
        <w:rPr>
          <w:rFonts w:hint="eastAsia" w:ascii="宋体" w:hAnsi="宋体" w:eastAsia="宋体" w:cs="宋体"/>
          <w:b/>
          <w:bCs w:val="0"/>
          <w:color w:val="auto"/>
          <w:highlight w:val="none"/>
        </w:rPr>
      </w:pPr>
      <w:bookmarkStart w:id="77" w:name="_Toc25818"/>
      <w:bookmarkStart w:id="78" w:name="_Toc22797"/>
      <w:bookmarkStart w:id="79" w:name="_Toc6695"/>
      <w:bookmarkStart w:id="80" w:name="_Toc29382"/>
      <w:bookmarkStart w:id="81" w:name="_Toc16003"/>
      <w:bookmarkStart w:id="82" w:name="_Toc27949"/>
      <w:r>
        <w:rPr>
          <w:rFonts w:hint="eastAsia" w:ascii="宋体" w:hAnsi="宋体" w:eastAsia="宋体" w:cs="宋体"/>
          <w:b/>
          <w:bCs w:val="0"/>
          <w:color w:val="auto"/>
          <w:highlight w:val="none"/>
        </w:rPr>
        <w:t>二、磋商文件</w:t>
      </w:r>
      <w:bookmarkEnd w:id="75"/>
      <w:bookmarkEnd w:id="76"/>
      <w:bookmarkEnd w:id="77"/>
      <w:bookmarkEnd w:id="78"/>
      <w:bookmarkEnd w:id="79"/>
      <w:bookmarkEnd w:id="80"/>
      <w:bookmarkEnd w:id="81"/>
      <w:bookmarkEnd w:id="82"/>
    </w:p>
    <w:p w14:paraId="21542F0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62A6F74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6BFC57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 采购需求；</w:t>
      </w:r>
    </w:p>
    <w:p w14:paraId="4A151F0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第三章 供应商须知； </w:t>
      </w:r>
    </w:p>
    <w:p w14:paraId="642A74E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7F6CE0E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响应文件格式；</w:t>
      </w:r>
    </w:p>
    <w:p w14:paraId="64FA5C9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合同文本；</w:t>
      </w:r>
    </w:p>
    <w:p w14:paraId="4A8BE3DB">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第七章 </w:t>
      </w:r>
      <w:r>
        <w:rPr>
          <w:rFonts w:hint="eastAsia" w:ascii="宋体" w:hAnsi="宋体" w:cs="宋体"/>
          <w:color w:val="auto"/>
          <w:szCs w:val="21"/>
          <w:highlight w:val="none"/>
          <w:lang w:val="en-US" w:eastAsia="zh-CN"/>
        </w:rPr>
        <w:t>工程量清单</w:t>
      </w:r>
    </w:p>
    <w:p w14:paraId="420D7C10">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eastAsia="宋体" w:cs="宋体"/>
          <w:color w:val="auto"/>
          <w:szCs w:val="21"/>
          <w:highlight w:val="none"/>
        </w:rPr>
        <w:t xml:space="preserve">章 </w:t>
      </w:r>
      <w:r>
        <w:rPr>
          <w:rFonts w:hint="eastAsia" w:ascii="宋体" w:hAnsi="宋体" w:cs="宋体"/>
          <w:color w:val="auto"/>
          <w:szCs w:val="21"/>
          <w:highlight w:val="none"/>
          <w:lang w:val="en-US" w:eastAsia="zh-CN"/>
        </w:rPr>
        <w:t>图纸</w:t>
      </w:r>
    </w:p>
    <w:p w14:paraId="2B2DF06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第九章 </w:t>
      </w:r>
      <w:r>
        <w:rPr>
          <w:rFonts w:hint="eastAsia" w:ascii="宋体" w:hAnsi="宋体" w:eastAsia="宋体" w:cs="宋体"/>
          <w:color w:val="auto"/>
          <w:szCs w:val="21"/>
          <w:highlight w:val="none"/>
        </w:rPr>
        <w:t>质疑、投诉材料格式。</w:t>
      </w:r>
    </w:p>
    <w:p w14:paraId="1A4DBD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616B83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6088C55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8368C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113E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E59E8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84547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w:t>
      </w:r>
      <w:r>
        <w:rPr>
          <w:rFonts w:hint="eastAsia" w:ascii="宋体" w:hAnsi="宋体" w:eastAsia="宋体" w:cs="宋体"/>
          <w:color w:val="auto"/>
          <w:szCs w:val="21"/>
          <w:highlight w:val="none"/>
        </w:rPr>
        <w:t>公告的采购项目名称及首次公告日期，更正事项、内容及日期，采购项目联系人和电话。</w:t>
      </w:r>
    </w:p>
    <w:p w14:paraId="3FA45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AED88BB">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响应文件未按磋商文件的澄清、修改的内容编制，又不符合实质性要求的，其响应文件作无效处理。</w:t>
      </w:r>
    </w:p>
    <w:p w14:paraId="7B874E98">
      <w:pPr>
        <w:pStyle w:val="12"/>
        <w:spacing w:line="360" w:lineRule="auto"/>
        <w:rPr>
          <w:rFonts w:hint="eastAsia" w:ascii="宋体" w:hAnsi="宋体" w:eastAsia="宋体" w:cs="宋体"/>
          <w:color w:val="auto"/>
          <w:highlight w:val="none"/>
        </w:rPr>
      </w:pPr>
    </w:p>
    <w:p w14:paraId="32353D86">
      <w:pPr>
        <w:pStyle w:val="4"/>
        <w:spacing w:before="0" w:after="0" w:line="360" w:lineRule="auto"/>
        <w:rPr>
          <w:rFonts w:hint="eastAsia" w:ascii="宋体" w:hAnsi="宋体" w:eastAsia="宋体" w:cs="宋体"/>
          <w:b/>
          <w:bCs w:val="0"/>
          <w:color w:val="auto"/>
          <w:highlight w:val="none"/>
        </w:rPr>
      </w:pPr>
      <w:bookmarkStart w:id="83" w:name="_Toc18572"/>
      <w:bookmarkStart w:id="84" w:name="_Toc30454"/>
      <w:bookmarkStart w:id="85" w:name="_Toc10192"/>
      <w:bookmarkStart w:id="86" w:name="_Toc2622"/>
      <w:bookmarkStart w:id="87" w:name="_Toc19295"/>
      <w:bookmarkStart w:id="88" w:name="_Toc30069"/>
      <w:r>
        <w:rPr>
          <w:rFonts w:hint="eastAsia" w:ascii="宋体" w:hAnsi="宋体" w:eastAsia="宋体" w:cs="宋体"/>
          <w:b/>
          <w:bCs w:val="0"/>
          <w:color w:val="auto"/>
          <w:highlight w:val="none"/>
        </w:rPr>
        <w:t>三、响应文件的编制</w:t>
      </w:r>
      <w:bookmarkEnd w:id="83"/>
      <w:bookmarkEnd w:id="84"/>
      <w:bookmarkEnd w:id="85"/>
      <w:bookmarkEnd w:id="86"/>
      <w:bookmarkEnd w:id="87"/>
      <w:bookmarkEnd w:id="88"/>
    </w:p>
    <w:p w14:paraId="6BF834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52AEC1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555694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BCADD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71F3734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6B8A462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835B05B">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669892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623435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34CA92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3F630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728A83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190E8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AF7CC1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14:paraId="0F47CC45">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77950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B79C7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7B95D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（1）供应商必须就“采购需求”中所竞标的每个分标的全部内容分别作完整唯一总价报价，不得存在漏项报价；</w:t>
      </w:r>
    </w:p>
    <w:p w14:paraId="5949F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53C08F9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报价属于采购文件规定异常低价情况之一，未能按要求提供书面说明或者提交相关证明材料证明其报价合理性的，竞标无效。</w:t>
      </w:r>
    </w:p>
    <w:p w14:paraId="6861FEF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15.3.2响应报价（包含首次报价、最后报价）超过所竞标分标规定的采购预算金额或者最高限价的，其响应文件将作无效处理。</w:t>
      </w:r>
    </w:p>
    <w:p w14:paraId="6DE71A6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15.3.3</w:t>
      </w:r>
      <w:bookmarkStart w:id="89" w:name="_Hlk42592874"/>
      <w:r>
        <w:rPr>
          <w:rFonts w:hint="eastAsia" w:ascii="宋体" w:hAnsi="宋体" w:eastAsia="宋体" w:cs="宋体"/>
          <w:b/>
          <w:bCs/>
          <w:color w:val="auto"/>
          <w:szCs w:val="21"/>
          <w:highlight w:val="none"/>
        </w:rPr>
        <w:t>响应报价（包含首次报价、最后报价）超过分项采购预算金额或者最高限价的，其响应文件将作无效处理。</w:t>
      </w:r>
    </w:p>
    <w:p w14:paraId="3DC69EBC">
      <w:pPr>
        <w:spacing w:line="360" w:lineRule="auto"/>
        <w:ind w:firstLine="422" w:firstLineChars="200"/>
        <w:rPr>
          <w:rFonts w:hint="eastAsia"/>
          <w:b/>
          <w:bCs/>
          <w:color w:val="auto"/>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.4本工程报价按工程量清单报价，具体信息价等详见工程量清单说明。</w:t>
      </w:r>
    </w:p>
    <w:bookmarkEnd w:id="89"/>
    <w:p w14:paraId="5307F7B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CE385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C3395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F3FB4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A939B8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011B92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93B492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1030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5B17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150220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90"/>
      <w:r>
        <w:rPr>
          <w:rFonts w:hint="eastAsia" w:ascii="宋体" w:hAnsi="宋体" w:eastAsia="宋体" w:cs="宋体"/>
          <w:color w:val="auto"/>
          <w:szCs w:val="21"/>
          <w:highlight w:val="none"/>
        </w:rPr>
        <w:t>，否则其响应文件按无效响应处理。骑缝盖公章不视为在规定位置盖章。</w:t>
      </w:r>
    </w:p>
    <w:p w14:paraId="62DD6B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785C68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7095923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86D227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67EA1A78">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19.2使用“政采云电子交易客户端”需要提前申领CA数字证书，申领流程见该项目采购公告附件。</w:t>
      </w:r>
    </w:p>
    <w:p w14:paraId="111CA76E">
      <w:pPr>
        <w:pStyle w:val="16"/>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33E5C9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61F278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8AC1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062EE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在提交“最后报价”后，供应商不能退出谈判。</w:t>
      </w:r>
    </w:p>
    <w:p w14:paraId="1A316B8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B5693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1237A03">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详见在“供应商须知前附表”。</w:t>
      </w:r>
    </w:p>
    <w:p w14:paraId="29B92B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DEA8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32AA4CD">
      <w:pPr>
        <w:spacing w:line="360" w:lineRule="auto"/>
        <w:ind w:firstLine="482" w:firstLineChars="200"/>
        <w:rPr>
          <w:rFonts w:hint="eastAsia" w:ascii="宋体" w:hAnsi="宋体" w:eastAsia="宋体" w:cs="宋体"/>
          <w:b/>
          <w:bCs/>
          <w:color w:val="auto"/>
          <w:sz w:val="24"/>
          <w:highlight w:val="none"/>
        </w:rPr>
      </w:pPr>
      <w:bookmarkStart w:id="91" w:name="_Hlk45702405"/>
      <w:r>
        <w:rPr>
          <w:rFonts w:hint="eastAsia" w:ascii="宋体" w:hAnsi="宋体" w:eastAsia="宋体" w:cs="宋体"/>
          <w:b/>
          <w:bCs/>
          <w:color w:val="auto"/>
          <w:sz w:val="24"/>
          <w:highlight w:val="none"/>
        </w:rPr>
        <w:t>22. 首次响应文件的退回</w:t>
      </w:r>
    </w:p>
    <w:p w14:paraId="4176F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操作退回，除此之外采购人和采购代理机构对已提交的电子响应文件概不退回。</w:t>
      </w:r>
    </w:p>
    <w:p w14:paraId="77842E2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DB373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本项目不收取磋商保证金，供应商在首次响应文件提交截止时间后可向采购人、采购代理机构书面申请撤回电子响应文件。</w:t>
      </w:r>
      <w:bookmarkEnd w:id="91"/>
    </w:p>
    <w:p w14:paraId="417D7F3F">
      <w:pPr>
        <w:pStyle w:val="12"/>
        <w:spacing w:line="360" w:lineRule="auto"/>
        <w:rPr>
          <w:rFonts w:hint="eastAsia" w:ascii="宋体" w:hAnsi="宋体" w:eastAsia="宋体" w:cs="宋体"/>
          <w:color w:val="auto"/>
          <w:highlight w:val="none"/>
        </w:rPr>
      </w:pPr>
    </w:p>
    <w:p w14:paraId="11E13359">
      <w:pPr>
        <w:pStyle w:val="4"/>
        <w:spacing w:before="0" w:after="0" w:line="360" w:lineRule="auto"/>
        <w:rPr>
          <w:rFonts w:hint="eastAsia" w:ascii="宋体" w:hAnsi="宋体" w:eastAsia="宋体" w:cs="宋体"/>
          <w:b/>
          <w:bCs w:val="0"/>
          <w:color w:val="auto"/>
          <w:highlight w:val="none"/>
        </w:rPr>
      </w:pPr>
      <w:bookmarkStart w:id="92" w:name="_Toc30168"/>
      <w:bookmarkStart w:id="93" w:name="_Toc27120"/>
      <w:bookmarkStart w:id="94" w:name="_Toc1908"/>
      <w:bookmarkStart w:id="95" w:name="_Toc12235"/>
      <w:bookmarkStart w:id="96" w:name="_Toc25351"/>
      <w:bookmarkStart w:id="97" w:name="_Toc21487"/>
      <w:r>
        <w:rPr>
          <w:rFonts w:hint="eastAsia" w:ascii="宋体" w:hAnsi="宋体" w:eastAsia="宋体" w:cs="宋体"/>
          <w:b/>
          <w:bCs w:val="0"/>
          <w:color w:val="auto"/>
          <w:highlight w:val="none"/>
        </w:rPr>
        <w:t>四、评审及磋商</w:t>
      </w:r>
      <w:bookmarkEnd w:id="92"/>
      <w:bookmarkEnd w:id="93"/>
      <w:bookmarkEnd w:id="94"/>
      <w:bookmarkEnd w:id="95"/>
      <w:bookmarkEnd w:id="96"/>
      <w:bookmarkEnd w:id="97"/>
    </w:p>
    <w:p w14:paraId="173454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2D3989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226CF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5D9F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30C9E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66235A72">
      <w:pPr>
        <w:pStyle w:val="16"/>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CA346CB">
      <w:pPr>
        <w:pStyle w:val="16"/>
        <w:snapToGrid w:val="0"/>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bCs/>
          <w:color w:val="auto"/>
          <w:sz w:val="21"/>
          <w:highlight w:val="none"/>
        </w:rPr>
        <w:t>采购代理机构将在“</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须知前附表”规定的时</w:t>
      </w:r>
      <w:r>
        <w:rPr>
          <w:rFonts w:hint="eastAsia" w:ascii="宋体" w:hAnsi="宋体" w:eastAsia="宋体" w:cs="宋体"/>
          <w:color w:val="auto"/>
          <w:sz w:val="21"/>
          <w:highlight w:val="none"/>
        </w:rPr>
        <w:t>间通过电子交易平台组织响应文件开启，采购机构依托电子交易平台发起开始解密指令，</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的法定代表人或其委托代理人</w:t>
      </w:r>
      <w:r>
        <w:rPr>
          <w:rFonts w:hint="eastAsia" w:ascii="宋体" w:hAnsi="宋体" w:eastAsia="宋体" w:cs="宋体"/>
          <w:b/>
          <w:color w:val="auto"/>
          <w:sz w:val="21"/>
          <w:highlight w:val="none"/>
        </w:rPr>
        <w:t>须携带加密时所用的CA锁</w:t>
      </w:r>
      <w:r>
        <w:rPr>
          <w:rFonts w:hint="eastAsia" w:ascii="宋体" w:hAnsi="宋体" w:eastAsia="宋体" w:cs="宋体"/>
          <w:b/>
          <w:color w:val="auto"/>
          <w:sz w:val="21"/>
          <w:highlight w:val="none"/>
          <w:lang w:eastAsia="zh-CN"/>
        </w:rPr>
        <w:t>按平台提示和采购文件的规定</w:t>
      </w:r>
      <w:r>
        <w:rPr>
          <w:rFonts w:hint="eastAsia" w:ascii="宋体" w:hAnsi="宋体" w:eastAsia="宋体" w:cs="宋体"/>
          <w:b/>
          <w:color w:val="auto"/>
          <w:sz w:val="21"/>
          <w:highlight w:val="none"/>
        </w:rPr>
        <w:t>登录到</w:t>
      </w:r>
      <w:r>
        <w:rPr>
          <w:rFonts w:hint="eastAsia" w:hAnsi="宋体" w:cs="宋体"/>
          <w:b/>
          <w:color w:val="auto"/>
          <w:sz w:val="21"/>
          <w:highlight w:val="none"/>
          <w:lang w:eastAsia="zh-CN"/>
        </w:rPr>
        <w:t>“广西政府采购云平台”</w:t>
      </w:r>
      <w:r>
        <w:rPr>
          <w:rFonts w:hint="eastAsia" w:ascii="宋体" w:hAnsi="宋体" w:eastAsia="宋体" w:cs="宋体"/>
          <w:b/>
          <w:color w:val="auto"/>
          <w:sz w:val="21"/>
          <w:highlight w:val="none"/>
        </w:rPr>
        <w:t>电子开标大厅签到并</w:t>
      </w:r>
      <w:r>
        <w:rPr>
          <w:rFonts w:hint="eastAsia" w:ascii="宋体" w:hAnsi="宋体" w:eastAsia="宋体" w:cs="宋体"/>
          <w:b/>
          <w:color w:val="auto"/>
          <w:sz w:val="21"/>
          <w:highlight w:val="none"/>
          <w:lang w:eastAsia="zh-CN"/>
        </w:rPr>
        <w:t>在</w:t>
      </w:r>
      <w:r>
        <w:rPr>
          <w:rFonts w:hint="eastAsia" w:ascii="宋体" w:hAnsi="宋体" w:eastAsia="宋体" w:cs="宋体"/>
          <w:b/>
          <w:color w:val="auto"/>
          <w:sz w:val="21"/>
          <w:highlight w:val="none"/>
        </w:rPr>
        <w:t>发起解密指令之时起30分钟</w:t>
      </w:r>
      <w:r>
        <w:rPr>
          <w:rFonts w:hint="eastAsia" w:ascii="宋体" w:hAnsi="宋体" w:eastAsia="宋体" w:cs="宋体"/>
          <w:b/>
          <w:color w:val="auto"/>
          <w:sz w:val="21"/>
          <w:highlight w:val="none"/>
          <w:lang w:eastAsia="zh-CN"/>
        </w:rPr>
        <w:t>内完成</w:t>
      </w:r>
      <w:r>
        <w:rPr>
          <w:rFonts w:hint="eastAsia" w:ascii="宋体" w:hAnsi="宋体" w:eastAsia="宋体" w:cs="宋体"/>
          <w:b/>
          <w:color w:val="auto"/>
          <w:sz w:val="21"/>
          <w:highlight w:val="none"/>
        </w:rPr>
        <w:t>对电子</w:t>
      </w:r>
      <w:r>
        <w:rPr>
          <w:rFonts w:hint="eastAsia" w:ascii="宋体" w:hAnsi="宋体" w:eastAsia="宋体" w:cs="宋体"/>
          <w:b/>
          <w:color w:val="auto"/>
          <w:sz w:val="21"/>
          <w:highlight w:val="none"/>
          <w:lang w:eastAsia="zh-CN"/>
        </w:rPr>
        <w:t>响应</w:t>
      </w:r>
      <w:r>
        <w:rPr>
          <w:rFonts w:hint="eastAsia" w:ascii="宋体" w:hAnsi="宋体" w:eastAsia="宋体" w:cs="宋体"/>
          <w:b/>
          <w:color w:val="auto"/>
          <w:sz w:val="21"/>
          <w:highlight w:val="none"/>
        </w:rPr>
        <w:t>文件</w:t>
      </w:r>
      <w:r>
        <w:rPr>
          <w:rFonts w:hint="eastAsia" w:ascii="宋体" w:hAnsi="宋体" w:eastAsia="宋体" w:cs="宋体"/>
          <w:b/>
          <w:color w:val="auto"/>
          <w:sz w:val="21"/>
          <w:highlight w:val="none"/>
          <w:lang w:eastAsia="zh-CN"/>
        </w:rPr>
        <w:t>在线</w:t>
      </w:r>
      <w:r>
        <w:rPr>
          <w:rFonts w:hint="eastAsia" w:ascii="宋体" w:hAnsi="宋体" w:eastAsia="宋体" w:cs="宋体"/>
          <w:b/>
          <w:color w:val="auto"/>
          <w:sz w:val="21"/>
          <w:highlight w:val="none"/>
        </w:rPr>
        <w:t>解密</w:t>
      </w:r>
      <w:r>
        <w:rPr>
          <w:rFonts w:hint="eastAsia" w:ascii="宋体" w:hAnsi="宋体" w:eastAsia="宋体" w:cs="宋体"/>
          <w:color w:val="auto"/>
          <w:sz w:val="21"/>
          <w:highlight w:val="none"/>
        </w:rPr>
        <w:t>。发起解密指令</w:t>
      </w:r>
      <w:r>
        <w:rPr>
          <w:rFonts w:hint="eastAsia" w:ascii="宋体" w:hAnsi="宋体" w:eastAsia="宋体" w:cs="宋体"/>
          <w:color w:val="auto"/>
          <w:sz w:val="21"/>
          <w:highlight w:val="none"/>
          <w:lang w:val="en-US" w:eastAsia="zh-CN"/>
        </w:rPr>
        <w:t>之时起</w:t>
      </w:r>
      <w:r>
        <w:rPr>
          <w:rFonts w:hint="eastAsia" w:ascii="宋体" w:hAnsi="宋体" w:eastAsia="宋体" w:cs="宋体"/>
          <w:color w:val="auto"/>
          <w:sz w:val="21"/>
          <w:highlight w:val="none"/>
        </w:rPr>
        <w:t>5分钟</w:t>
      </w:r>
      <w:r>
        <w:rPr>
          <w:rFonts w:hint="eastAsia" w:ascii="宋体" w:hAnsi="宋体" w:eastAsia="宋体" w:cs="宋体"/>
          <w:color w:val="auto"/>
          <w:sz w:val="21"/>
          <w:highlight w:val="none"/>
          <w:lang w:eastAsia="zh-CN"/>
        </w:rPr>
        <w:t>内供应商</w:t>
      </w:r>
      <w:r>
        <w:rPr>
          <w:rFonts w:hint="eastAsia" w:ascii="宋体" w:hAnsi="宋体" w:eastAsia="宋体" w:cs="宋体"/>
          <w:color w:val="auto"/>
          <w:sz w:val="21"/>
          <w:highlight w:val="none"/>
        </w:rPr>
        <w:t>还未进行解密的，代理机构要通知</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没预留联系方式或预留联系方式无效，导致代理机构无法联系到</w:t>
      </w:r>
      <w:r>
        <w:rPr>
          <w:rFonts w:hint="eastAsia" w:ascii="宋体" w:hAnsi="宋体" w:eastAsia="宋体" w:cs="宋体"/>
          <w:color w:val="auto"/>
          <w:sz w:val="21"/>
          <w:highlight w:val="none"/>
          <w:lang w:eastAsia="zh-CN"/>
        </w:rPr>
        <w:t>供应商</w:t>
      </w:r>
      <w:r>
        <w:rPr>
          <w:rFonts w:hint="eastAsia" w:ascii="宋体" w:hAnsi="宋体" w:eastAsia="宋体" w:cs="宋体"/>
          <w:color w:val="auto"/>
          <w:sz w:val="21"/>
          <w:highlight w:val="none"/>
        </w:rPr>
        <w:t>进行解密的，</w:t>
      </w:r>
      <w:r>
        <w:rPr>
          <w:rFonts w:hint="eastAsia" w:ascii="宋体" w:hAnsi="宋体" w:eastAsia="宋体" w:cs="宋体"/>
          <w:b/>
          <w:color w:val="auto"/>
          <w:sz w:val="21"/>
          <w:highlight w:val="none"/>
        </w:rPr>
        <w:t>视为</w:t>
      </w:r>
      <w:r>
        <w:rPr>
          <w:rFonts w:hint="eastAsia" w:ascii="宋体" w:hAnsi="宋体" w:eastAsia="宋体" w:cs="宋体"/>
          <w:b/>
          <w:color w:val="auto"/>
          <w:sz w:val="21"/>
          <w:highlight w:val="none"/>
          <w:lang w:eastAsia="zh-CN"/>
        </w:rPr>
        <w:t>响应文件无效</w:t>
      </w:r>
      <w:r>
        <w:rPr>
          <w:rFonts w:hint="eastAsia" w:ascii="宋体" w:hAnsi="宋体" w:eastAsia="宋体" w:cs="宋体"/>
          <w:b/>
          <w:color w:val="auto"/>
          <w:sz w:val="21"/>
          <w:highlight w:val="none"/>
        </w:rPr>
        <w:t>。</w:t>
      </w:r>
      <w:r>
        <w:rPr>
          <w:rFonts w:hint="eastAsia" w:ascii="宋体" w:hAnsi="宋体" w:eastAsia="宋体" w:cs="宋体"/>
          <w:color w:val="auto"/>
          <w:sz w:val="21"/>
          <w:highlight w:val="none"/>
        </w:rPr>
        <w:t>（解密</w:t>
      </w:r>
      <w:r>
        <w:rPr>
          <w:rFonts w:hint="eastAsia" w:ascii="宋体" w:hAnsi="宋体" w:eastAsia="宋体" w:cs="宋体"/>
          <w:bCs/>
          <w:color w:val="auto"/>
          <w:sz w:val="21"/>
          <w:highlight w:val="none"/>
        </w:rPr>
        <w:t>异常情况处理：详见本章</w:t>
      </w:r>
      <w:r>
        <w:rPr>
          <w:rFonts w:hint="eastAsia" w:ascii="宋体" w:hAnsi="宋体" w:eastAsia="宋体" w:cs="宋体"/>
          <w:color w:val="auto"/>
          <w:sz w:val="21"/>
          <w:highlight w:val="none"/>
          <w:lang w:eastAsia="zh-CN"/>
        </w:rPr>
        <w:t>26.3</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电子交易活动的中止</w:t>
      </w:r>
      <w:r>
        <w:rPr>
          <w:rFonts w:hint="eastAsia" w:ascii="宋体" w:hAnsi="宋体" w:eastAsia="宋体" w:cs="宋体"/>
          <w:color w:val="auto"/>
          <w:sz w:val="21"/>
          <w:highlight w:val="none"/>
        </w:rPr>
        <w:t>。）</w:t>
      </w:r>
    </w:p>
    <w:p w14:paraId="16223AA4">
      <w:pPr>
        <w:pStyle w:val="16"/>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文件，但未在“政采云”电子开标大厅参加</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谈判</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参与谈判的供应商不足3家的，不得</w:t>
      </w:r>
      <w:r>
        <w:rPr>
          <w:rFonts w:hint="eastAsia" w:ascii="宋体" w:hAnsi="宋体" w:eastAsia="宋体" w:cs="宋体"/>
          <w:color w:val="auto"/>
          <w:sz w:val="21"/>
          <w:highlight w:val="none"/>
          <w:lang w:eastAsia="zh-CN"/>
        </w:rPr>
        <w:t>谈判</w:t>
      </w:r>
      <w:r>
        <w:rPr>
          <w:rFonts w:hint="eastAsia" w:ascii="宋体" w:hAnsi="宋体" w:eastAsia="宋体" w:cs="宋体"/>
          <w:color w:val="auto"/>
          <w:sz w:val="21"/>
          <w:highlight w:val="none"/>
        </w:rPr>
        <w:t>。</w:t>
      </w:r>
    </w:p>
    <w:p w14:paraId="4E187E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063D77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26.1磋商小组按照“第四章 评审程序、评审方法和评审标准”规定的方法、评审因素、标准和程序对响应文件进行评审。</w:t>
      </w:r>
    </w:p>
    <w:p w14:paraId="1BB6B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36526B2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06A6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B78AC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735E9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6565E6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7A47A4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3A2B9E4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7D26070">
      <w:pPr>
        <w:pStyle w:val="12"/>
        <w:spacing w:line="360" w:lineRule="auto"/>
        <w:rPr>
          <w:rFonts w:hint="eastAsia" w:ascii="宋体" w:hAnsi="宋体" w:eastAsia="宋体" w:cs="宋体"/>
          <w:color w:val="auto"/>
          <w:highlight w:val="none"/>
        </w:rPr>
      </w:pPr>
    </w:p>
    <w:p w14:paraId="3683A1B6">
      <w:pPr>
        <w:pStyle w:val="4"/>
        <w:spacing w:before="0" w:after="0" w:line="360" w:lineRule="auto"/>
        <w:rPr>
          <w:rFonts w:hint="eastAsia" w:ascii="宋体" w:hAnsi="宋体" w:eastAsia="宋体" w:cs="宋体"/>
          <w:b/>
          <w:bCs w:val="0"/>
          <w:color w:val="auto"/>
          <w:highlight w:val="none"/>
        </w:rPr>
      </w:pPr>
      <w:bookmarkStart w:id="98" w:name="_Toc24055"/>
      <w:bookmarkStart w:id="99" w:name="_Toc26245"/>
      <w:bookmarkStart w:id="100" w:name="_Toc24541"/>
      <w:bookmarkStart w:id="101" w:name="_Toc18614"/>
      <w:bookmarkStart w:id="102" w:name="_Toc15815"/>
      <w:bookmarkStart w:id="103" w:name="_Toc27792"/>
      <w:r>
        <w:rPr>
          <w:rFonts w:hint="eastAsia" w:ascii="宋体" w:hAnsi="宋体" w:eastAsia="宋体" w:cs="宋体"/>
          <w:b/>
          <w:bCs w:val="0"/>
          <w:color w:val="auto"/>
          <w:highlight w:val="none"/>
        </w:rPr>
        <w:t>五、成交及合同</w:t>
      </w:r>
      <w:bookmarkEnd w:id="98"/>
      <w:bookmarkEnd w:id="99"/>
      <w:bookmarkEnd w:id="100"/>
      <w:bookmarkEnd w:id="101"/>
      <w:bookmarkEnd w:id="102"/>
      <w:bookmarkEnd w:id="103"/>
    </w:p>
    <w:p w14:paraId="4C72CE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D778C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0563D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南宁市本级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同时向成交供应商发出成交通知书，成交通知书规定签订合同的时间不得超过25日。</w:t>
      </w:r>
    </w:p>
    <w:p w14:paraId="684EBE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C100B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140B0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2A9CF9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8A4B9B9">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48F30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4F6E9757">
      <w:pPr>
        <w:pStyle w:val="34"/>
        <w:snapToGrid w:val="0"/>
        <w:spacing w:before="0" w:line="360" w:lineRule="auto"/>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638C0F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4A35D6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F1E0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E017692">
      <w:pPr>
        <w:pStyle w:val="34"/>
        <w:spacing w:before="0"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703B113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738EA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“广西政府采购网”（http://www.ccgp-guangxi.gov.cn/）</w:t>
      </w:r>
      <w:r>
        <w:rPr>
          <w:rFonts w:hint="eastAsia" w:ascii="宋体" w:hAnsi="宋体" w:eastAsia="宋体" w:cs="宋体"/>
          <w:color w:val="auto"/>
          <w:highlight w:val="none"/>
        </w:rPr>
        <w:t>上公告，但政府采购合同中涉及国家秘密、商业秘密的内容除外。</w:t>
      </w:r>
    </w:p>
    <w:p w14:paraId="0A89A5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0104D1F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97C92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36FB8C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（1）对可以质疑的磋商文件提出质疑的，为收到磋商文件之日或者竞争性磋商公告期限届满之日；</w:t>
      </w:r>
    </w:p>
    <w:p w14:paraId="75ED1F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32B2F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290FF3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C823E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2FD92B5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01E222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77419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7EBA7E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1A640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934E47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2D210E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11BCB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5EF39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27E60DA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F02709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1543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104" w:name="_Toc80205930"/>
    </w:p>
    <w:p w14:paraId="6EF8149C">
      <w:pPr>
        <w:pStyle w:val="12"/>
        <w:spacing w:line="360" w:lineRule="auto"/>
        <w:rPr>
          <w:rFonts w:hint="eastAsia" w:ascii="宋体" w:hAnsi="宋体" w:eastAsia="宋体" w:cs="宋体"/>
          <w:color w:val="auto"/>
          <w:highlight w:val="none"/>
        </w:rPr>
      </w:pPr>
    </w:p>
    <w:p w14:paraId="209F54E6">
      <w:pPr>
        <w:pStyle w:val="4"/>
        <w:spacing w:before="0" w:after="0" w:line="360" w:lineRule="auto"/>
        <w:rPr>
          <w:rFonts w:hint="eastAsia" w:ascii="宋体" w:hAnsi="宋体" w:eastAsia="宋体" w:cs="宋体"/>
          <w:b/>
          <w:bCs w:val="0"/>
          <w:color w:val="auto"/>
          <w:highlight w:val="none"/>
        </w:rPr>
      </w:pPr>
      <w:bookmarkStart w:id="105" w:name="_Toc7926"/>
      <w:bookmarkStart w:id="106" w:name="_Toc15338"/>
      <w:bookmarkStart w:id="107" w:name="_Toc11545"/>
      <w:bookmarkStart w:id="108" w:name="_Toc14574"/>
      <w:bookmarkStart w:id="109" w:name="_Toc12020"/>
      <w:bookmarkStart w:id="110" w:name="_Toc22802"/>
      <w:r>
        <w:rPr>
          <w:rFonts w:hint="eastAsia" w:ascii="宋体" w:hAnsi="宋体" w:eastAsia="宋体" w:cs="宋体"/>
          <w:b/>
          <w:bCs w:val="0"/>
          <w:color w:val="auto"/>
          <w:highlight w:val="none"/>
        </w:rPr>
        <w:t>六、验收</w:t>
      </w:r>
      <w:bookmarkEnd w:id="104"/>
      <w:bookmarkEnd w:id="105"/>
      <w:bookmarkEnd w:id="106"/>
      <w:bookmarkEnd w:id="107"/>
      <w:bookmarkEnd w:id="108"/>
      <w:bookmarkEnd w:id="109"/>
      <w:bookmarkEnd w:id="110"/>
    </w:p>
    <w:p w14:paraId="36C42AF8">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7FEC8F3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A18A0A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083501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290F0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1532A5B">
      <w:pPr>
        <w:pStyle w:val="12"/>
        <w:spacing w:line="360" w:lineRule="auto"/>
        <w:rPr>
          <w:rFonts w:hint="eastAsia" w:ascii="宋体" w:hAnsi="宋体" w:eastAsia="宋体" w:cs="宋体"/>
          <w:color w:val="auto"/>
          <w:highlight w:val="none"/>
        </w:rPr>
      </w:pPr>
    </w:p>
    <w:p w14:paraId="52F8A3AC">
      <w:pPr>
        <w:pStyle w:val="4"/>
        <w:spacing w:before="0" w:after="0" w:line="360" w:lineRule="auto"/>
        <w:rPr>
          <w:rFonts w:hint="eastAsia" w:ascii="宋体" w:hAnsi="宋体" w:eastAsia="宋体" w:cs="宋体"/>
          <w:b/>
          <w:bCs w:val="0"/>
          <w:color w:val="auto"/>
          <w:highlight w:val="none"/>
        </w:rPr>
      </w:pPr>
      <w:bookmarkStart w:id="111" w:name="_Toc3779"/>
      <w:bookmarkStart w:id="112" w:name="_Toc29251"/>
      <w:bookmarkStart w:id="113" w:name="_Toc28745"/>
      <w:bookmarkStart w:id="114" w:name="_Toc2111"/>
      <w:bookmarkStart w:id="115" w:name="_Toc12694"/>
      <w:bookmarkStart w:id="116" w:name="_Toc14544"/>
      <w:r>
        <w:rPr>
          <w:rFonts w:hint="eastAsia" w:ascii="宋体" w:hAnsi="宋体" w:eastAsia="宋体" w:cs="宋体"/>
          <w:b/>
          <w:bCs w:val="0"/>
          <w:color w:val="auto"/>
          <w:highlight w:val="none"/>
          <w:lang w:eastAsia="zh-CN"/>
        </w:rPr>
        <w:t>七</w:t>
      </w:r>
      <w:r>
        <w:rPr>
          <w:rFonts w:hint="eastAsia" w:ascii="宋体" w:hAnsi="宋体" w:eastAsia="宋体" w:cs="宋体"/>
          <w:b/>
          <w:bCs w:val="0"/>
          <w:color w:val="auto"/>
          <w:highlight w:val="none"/>
        </w:rPr>
        <w:t>、其他事项</w:t>
      </w:r>
      <w:bookmarkEnd w:id="111"/>
      <w:bookmarkEnd w:id="112"/>
      <w:bookmarkEnd w:id="113"/>
      <w:bookmarkEnd w:id="114"/>
      <w:bookmarkEnd w:id="115"/>
      <w:bookmarkEnd w:id="116"/>
    </w:p>
    <w:p w14:paraId="53B04D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576CB831">
      <w:pPr>
        <w:tabs>
          <w:tab w:val="left" w:pos="2835"/>
        </w:tabs>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代理服务收费标准及缴费账户详见“供应商须知前附表”，供应商为联合体的，可以由联合体中的一方或者多方共同交纳代理服务费。</w:t>
      </w:r>
    </w:p>
    <w:p w14:paraId="2170488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EC6C5C1">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9AA084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62CC6469">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w:t>
      </w:r>
      <w:r>
        <w:rPr>
          <w:rFonts w:hint="eastAsia" w:hAnsi="宋体" w:cs="宋体"/>
          <w:color w:val="auto"/>
          <w:sz w:val="21"/>
          <w:highlight w:val="none"/>
          <w:lang w:eastAsia="zh-CN"/>
        </w:rPr>
        <w:t>民法典</w:t>
      </w:r>
      <w:r>
        <w:rPr>
          <w:rFonts w:hint="eastAsia" w:ascii="宋体" w:hAnsi="宋体" w:eastAsia="宋体" w:cs="宋体"/>
          <w:color w:val="auto"/>
          <w:sz w:val="21"/>
          <w:highlight w:val="none"/>
        </w:rPr>
        <w:t>》订立劳动合同的从业人员，不对其中涉及的货物的制造商和工程承建商作出要求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1AF2058D">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以联合体形式参加政府采购活动，联合体各方均为中小企业的，联合体视同中小企业。其中，联合体各方均为小微企业的，联合体视同小微企业。</w:t>
      </w:r>
    </w:p>
    <w:p w14:paraId="5B29DF1C">
      <w:pPr>
        <w:pStyle w:val="16"/>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590EF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 政采贷相关说明</w:t>
      </w:r>
    </w:p>
    <w:p w14:paraId="44604934">
      <w:pPr>
        <w:pStyle w:val="16"/>
        <w:spacing w:line="360" w:lineRule="auto"/>
        <w:ind w:firstLine="420" w:firstLineChars="200"/>
        <w:rPr>
          <w:rFonts w:hAnsi="宋体"/>
          <w:color w:val="auto"/>
          <w:sz w:val="21"/>
          <w:highlight w:val="none"/>
        </w:rPr>
      </w:pPr>
      <w:r>
        <w:rPr>
          <w:rFonts w:hint="eastAsia" w:hAnsi="宋体"/>
          <w:color w:val="auto"/>
          <w:sz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58522B4">
      <w:pPr>
        <w:pStyle w:val="16"/>
        <w:numPr>
          <w:ilvl w:val="0"/>
          <w:numId w:val="0"/>
        </w:numPr>
        <w:spacing w:line="360" w:lineRule="auto"/>
        <w:ind w:firstLine="420" w:firstLineChars="200"/>
        <w:rPr>
          <w:rFonts w:hAnsi="宋体"/>
          <w:color w:val="auto"/>
          <w:sz w:val="21"/>
          <w:highlight w:val="none"/>
        </w:rPr>
      </w:pPr>
      <w:r>
        <w:rPr>
          <w:rFonts w:hint="eastAsia" w:hAnsi="宋体"/>
          <w:color w:val="auto"/>
          <w:sz w:val="21"/>
          <w:highlight w:val="none"/>
          <w:lang w:eastAsia="zh-CN"/>
        </w:rPr>
        <w:t>（</w:t>
      </w:r>
      <w:r>
        <w:rPr>
          <w:rFonts w:hint="eastAsia" w:hAnsi="宋体"/>
          <w:color w:val="auto"/>
          <w:sz w:val="21"/>
          <w:highlight w:val="none"/>
          <w:lang w:val="en-US" w:eastAsia="zh-CN"/>
        </w:rPr>
        <w:t>1</w:t>
      </w:r>
      <w:r>
        <w:rPr>
          <w:rFonts w:hint="eastAsia" w:hAnsi="宋体"/>
          <w:color w:val="auto"/>
          <w:sz w:val="21"/>
          <w:highlight w:val="none"/>
          <w:lang w:eastAsia="zh-CN"/>
        </w:rPr>
        <w:t>）</w:t>
      </w:r>
      <w:r>
        <w:rPr>
          <w:rFonts w:hint="eastAsia" w:hAnsi="宋体"/>
          <w:color w:val="auto"/>
          <w:sz w:val="21"/>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31"/>
          <w:rFonts w:hint="eastAsia" w:hAnsi="宋体"/>
          <w:color w:val="auto"/>
          <w:sz w:val="21"/>
          <w:highlight w:val="none"/>
        </w:rPr>
        <w:t>http://ggzy.jgswj.gxzf.gov.cn/nnggzy/）“交易信息-政府采购-政府采购信用融资”中融资银行和南宁市企业融资货物中心专栏信息申请政府采购信用融资。</w:t>
      </w:r>
      <w:r>
        <w:rPr>
          <w:rStyle w:val="31"/>
          <w:rFonts w:hint="eastAsia" w:hAnsi="宋体"/>
          <w:color w:val="auto"/>
          <w:sz w:val="21"/>
          <w:highlight w:val="none"/>
        </w:rPr>
        <w:fldChar w:fldCharType="end"/>
      </w:r>
    </w:p>
    <w:p w14:paraId="6228A895">
      <w:pPr>
        <w:pStyle w:val="16"/>
        <w:numPr>
          <w:ilvl w:val="0"/>
          <w:numId w:val="0"/>
        </w:numPr>
        <w:spacing w:line="360" w:lineRule="auto"/>
        <w:ind w:firstLine="402" w:firstLineChars="200"/>
        <w:rPr>
          <w:rFonts w:hint="eastAsia" w:ascii="宋体" w:hAnsi="宋体" w:eastAsia="宋体" w:cs="宋体"/>
          <w:color w:val="auto"/>
          <w:highlight w:val="none"/>
        </w:rPr>
      </w:pPr>
      <w:r>
        <w:rPr>
          <w:rFonts w:hint="eastAsia" w:hAnsi="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Times New Roman"/>
          <w:color w:val="auto"/>
          <w:kern w:val="0"/>
          <w:sz w:val="20"/>
          <w:szCs w:val="21"/>
          <w:highlight w:val="none"/>
          <w:lang w:val="en-US" w:eastAsia="zh-CN" w:bidi="ar-SA"/>
        </w:rPr>
        <w:t>。</w:t>
      </w:r>
    </w:p>
    <w:p w14:paraId="10F07D72">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48D2410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38EF8E3C">
      <w:pPr>
        <w:pStyle w:val="16"/>
        <w:numPr>
          <w:ilvl w:val="0"/>
          <w:numId w:val="0"/>
        </w:numPr>
        <w:spacing w:line="360" w:lineRule="auto"/>
        <w:ind w:firstLine="0" w:firstLineChars="0"/>
        <w:textAlignment w:val="center"/>
        <w:rPr>
          <w:rFonts w:hint="eastAsia" w:ascii="宋体" w:hAnsi="宋体" w:eastAsia="宋体" w:cs="Times New Roman"/>
          <w:color w:val="auto"/>
          <w:kern w:val="0"/>
          <w:sz w:val="20"/>
          <w:szCs w:val="21"/>
          <w:highlight w:val="none"/>
          <w:lang w:val="en-US" w:eastAsia="zh-CN" w:bidi="ar-SA"/>
        </w:rPr>
      </w:pPr>
    </w:p>
    <w:p w14:paraId="2B62EDB5">
      <w:pPr>
        <w:pStyle w:val="16"/>
        <w:numPr>
          <w:ilvl w:val="0"/>
          <w:numId w:val="0"/>
        </w:numPr>
        <w:spacing w:line="360" w:lineRule="auto"/>
        <w:ind w:firstLine="0" w:firstLineChars="0"/>
        <w:textAlignment w:val="center"/>
        <w:rPr>
          <w:rFonts w:hint="eastAsia" w:ascii="宋体" w:hAnsi="宋体" w:eastAsia="宋体" w:cs="宋体"/>
          <w:color w:val="auto"/>
          <w:highlight w:val="none"/>
        </w:rPr>
      </w:pPr>
    </w:p>
    <w:p w14:paraId="7F72AE7C">
      <w:pPr>
        <w:pStyle w:val="2"/>
        <w:spacing w:line="360" w:lineRule="auto"/>
        <w:jc w:val="center"/>
        <w:rPr>
          <w:rFonts w:hint="eastAsia" w:ascii="宋体" w:hAnsi="宋体" w:eastAsia="宋体" w:cs="宋体"/>
          <w:b/>
          <w:bCs/>
          <w:color w:val="auto"/>
          <w:highlight w:val="none"/>
        </w:rPr>
        <w:sectPr>
          <w:footerReference r:id="rId12"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E6E9C07">
      <w:pPr>
        <w:pStyle w:val="2"/>
        <w:spacing w:line="360" w:lineRule="auto"/>
        <w:jc w:val="center"/>
        <w:rPr>
          <w:rFonts w:hint="eastAsia" w:ascii="宋体" w:hAnsi="宋体" w:eastAsia="宋体" w:cs="宋体"/>
          <w:b/>
          <w:bCs/>
          <w:color w:val="auto"/>
          <w:highlight w:val="none"/>
        </w:rPr>
      </w:pPr>
      <w:bookmarkStart w:id="117" w:name="_Toc16334"/>
      <w:bookmarkStart w:id="118" w:name="_Toc1038"/>
      <w:bookmarkStart w:id="119" w:name="_Toc23637"/>
      <w:bookmarkStart w:id="120" w:name="_Toc22508"/>
      <w:bookmarkStart w:id="121" w:name="_Toc18270"/>
      <w:bookmarkStart w:id="122" w:name="_Toc15760"/>
      <w:bookmarkStart w:id="123" w:name="_Toc14829"/>
      <w:r>
        <w:rPr>
          <w:rFonts w:hint="eastAsia" w:ascii="宋体" w:hAnsi="宋体" w:eastAsia="宋体" w:cs="宋体"/>
          <w:b/>
          <w:bCs/>
          <w:color w:val="auto"/>
          <w:highlight w:val="none"/>
        </w:rPr>
        <w:t>第四章  评审程序、评审方法和评审标准</w:t>
      </w:r>
      <w:bookmarkEnd w:id="117"/>
      <w:bookmarkEnd w:id="118"/>
      <w:bookmarkEnd w:id="119"/>
      <w:bookmarkEnd w:id="120"/>
      <w:bookmarkEnd w:id="121"/>
      <w:bookmarkEnd w:id="122"/>
      <w:bookmarkEnd w:id="123"/>
    </w:p>
    <w:p w14:paraId="23E91C88">
      <w:pPr>
        <w:pStyle w:val="3"/>
        <w:spacing w:line="360" w:lineRule="auto"/>
        <w:jc w:val="center"/>
        <w:rPr>
          <w:rFonts w:hint="eastAsia" w:ascii="宋体" w:hAnsi="宋体" w:eastAsia="宋体" w:cs="宋体"/>
          <w:b w:val="0"/>
          <w:color w:val="auto"/>
          <w:highlight w:val="none"/>
        </w:rPr>
      </w:pPr>
      <w:bookmarkStart w:id="124" w:name="_Toc2012"/>
      <w:bookmarkStart w:id="125" w:name="_Toc19232"/>
      <w:bookmarkStart w:id="126" w:name="_Toc22688"/>
      <w:bookmarkStart w:id="127" w:name="_Toc21500"/>
      <w:bookmarkStart w:id="128" w:name="_Toc23306"/>
      <w:bookmarkStart w:id="129" w:name="_Toc8295"/>
      <w:bookmarkStart w:id="130" w:name="_Toc32333"/>
      <w:r>
        <w:rPr>
          <w:rFonts w:hint="eastAsia" w:ascii="宋体" w:hAnsi="宋体" w:eastAsia="宋体" w:cs="宋体"/>
          <w:b w:val="0"/>
          <w:color w:val="auto"/>
          <w:highlight w:val="none"/>
        </w:rPr>
        <w:t>第一节 评审程序和评审方法</w:t>
      </w:r>
      <w:bookmarkEnd w:id="124"/>
      <w:bookmarkEnd w:id="125"/>
      <w:bookmarkEnd w:id="126"/>
      <w:bookmarkEnd w:id="127"/>
      <w:bookmarkEnd w:id="128"/>
      <w:bookmarkEnd w:id="129"/>
      <w:bookmarkEnd w:id="130"/>
    </w:p>
    <w:p w14:paraId="2E0CE89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3CBB8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60A04CD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220C38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64812E5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24228003">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31"/>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07267DD7">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501096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143306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w:t>
      </w:r>
      <w:r>
        <w:rPr>
          <w:rFonts w:hint="eastAsia" w:ascii="宋体" w:hAnsi="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7C6E3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6A49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538C63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32E1C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101753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1A2FDEBB">
      <w:pPr>
        <w:spacing w:line="360" w:lineRule="auto"/>
        <w:ind w:firstLine="420" w:firstLineChars="200"/>
        <w:rPr>
          <w:rFonts w:hint="eastAsia"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14:paraId="649D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09E3DFD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8E03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69E0C0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F5DB06">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ECD9B5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18CB6A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6DFB24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6F55C8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5D4A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399A2A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73FD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69AD67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6E09CD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616267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6DFB2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4E5740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06DB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8E31E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1912C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33F505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5F8A53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5C9257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FCA31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cs="宋体"/>
          <w:color w:val="auto"/>
          <w:szCs w:val="21"/>
          <w:highlight w:val="none"/>
        </w:rPr>
        <w:t>技术需求</w:t>
      </w:r>
      <w:r>
        <w:rPr>
          <w:rFonts w:hint="eastAsia" w:ascii="宋体" w:hAnsi="宋体" w:eastAsia="宋体" w:cs="宋体"/>
          <w:color w:val="auto"/>
          <w:szCs w:val="21"/>
          <w:highlight w:val="none"/>
        </w:rPr>
        <w:t>允许负偏离的条款数超过“供应商须知前附表”规定项数；</w:t>
      </w:r>
    </w:p>
    <w:p w14:paraId="51A8A3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319FC4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44E8B0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65BEF7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6C920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1A3B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736261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1BFC0A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56DBC6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ED607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4E9DC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253C3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79B4687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7）报价属于采购文件规定异常低价情况之一，未能按要求提供书面说明或者提交相关证明材料证明其报价合理性的。</w:t>
      </w:r>
    </w:p>
    <w:p w14:paraId="4A6E46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评审中出现下列情形之一的，磋商小组应当启动异常低价投标（响应）审查程序: </w:t>
      </w:r>
    </w:p>
    <w:p w14:paraId="3EB4241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1.投标（响应）报价低于全部通过符合性审查供应商投标（响应）报价平均值50%的，即投标（响应）报价&lt;全部通过符合性审查供应商投标（响应）报价平均值×50%；</w:t>
      </w:r>
    </w:p>
    <w:p w14:paraId="0434DA3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2.投标（响应）报价低于通过符合性审查的次低报价供应商投标（响应）报价50%的，即投标（响应）报价&lt;通过符合性审查的次低报价供应商投标（响应）报价×50%；</w:t>
      </w:r>
    </w:p>
    <w:p w14:paraId="3908F61B">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3.投标（响应）报价低于采购项目最高限价45%的，即投标（响应）报价&lt;采购项目最高限价×45%；</w:t>
      </w:r>
    </w:p>
    <w:p w14:paraId="34CFE3E1">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4.磋商小组基于专业判断，认为供应商报价过低，有可能影响产品质量或者不能诚信履约的其他情形。</w:t>
      </w:r>
    </w:p>
    <w:p w14:paraId="0C6CD727">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E77A9">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67717DED">
      <w:pPr>
        <w:spacing w:line="360" w:lineRule="auto"/>
        <w:ind w:firstLine="420" w:firstLineChars="200"/>
        <w:rPr>
          <w:rFonts w:hint="default"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BF69D1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180F8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650DE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380448A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290358F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0617F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FA12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051E9B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AC0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781FAB4">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72501E27">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4FDE92E1">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374B9592">
      <w:pPr>
        <w:pStyle w:val="34"/>
        <w:spacing w:before="0" w:line="360" w:lineRule="auto"/>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240F8A7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3139621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02641618">
      <w:pPr>
        <w:spacing w:line="360" w:lineRule="auto"/>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12B7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ABD62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3850C4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7F5CD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26DCA9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441A3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29BAAC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4B3256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72644B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1C4D75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20C393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56F5C4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139DD5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A6D15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5536859">
      <w:pPr>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38E2C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54B166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5026E0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6081B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62BC0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132EB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2B4FD04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C66C1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B19426B">
      <w:pPr>
        <w:spacing w:line="360" w:lineRule="auto"/>
        <w:ind w:firstLine="0" w:firstLineChars="0"/>
        <w:rPr>
          <w:rFonts w:hint="eastAsia" w:ascii="宋体" w:hAnsi="宋体" w:eastAsia="宋体" w:cs="Times New Roman"/>
          <w:color w:val="auto"/>
          <w:szCs w:val="21"/>
          <w:highlight w:val="none"/>
        </w:rPr>
      </w:pPr>
      <w:r>
        <w:rPr>
          <w:rFonts w:hint="eastAsia" w:ascii="黑体" w:hAnsi="黑体" w:eastAsia="黑体" w:cs="宋体"/>
          <w:b/>
          <w:bCs/>
          <w:color w:val="auto"/>
          <w:sz w:val="24"/>
          <w:highlight w:val="none"/>
        </w:rPr>
        <w:t>7.评审复核</w:t>
      </w:r>
    </w:p>
    <w:p w14:paraId="2B24A9B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7.1评审报告签署前，</w:t>
      </w:r>
      <w:r>
        <w:rPr>
          <w:rFonts w:hint="eastAsia" w:ascii="宋体" w:hAnsi="宋体" w:cs="Times New Roman"/>
          <w:color w:val="auto"/>
          <w:szCs w:val="21"/>
          <w:highlight w:val="none"/>
          <w:lang w:eastAsia="zh-CN"/>
        </w:rPr>
        <w:t>磋商小组</w:t>
      </w:r>
      <w:r>
        <w:rPr>
          <w:rFonts w:hint="eastAsia" w:ascii="宋体" w:hAnsi="宋体" w:eastAsia="宋体" w:cs="Times New Roman"/>
          <w:color w:val="auto"/>
          <w:szCs w:val="21"/>
          <w:highlight w:val="none"/>
        </w:rPr>
        <w:t>要对评审结果进行复核，复核意见要体现在评审报告中。</w:t>
      </w:r>
    </w:p>
    <w:p w14:paraId="03E6C2D3">
      <w:pPr>
        <w:spacing w:line="360" w:lineRule="auto"/>
        <w:ind w:firstLine="409" w:firstLineChars="195"/>
        <w:rPr>
          <w:rFonts w:hint="eastAsia" w:ascii="宋体" w:hAnsi="宋体" w:eastAsia="宋体" w:cs="宋体"/>
          <w:b/>
          <w:bCs/>
          <w:color w:val="auto"/>
          <w:sz w:val="24"/>
          <w:highlight w:val="none"/>
        </w:rPr>
      </w:pPr>
      <w:r>
        <w:rPr>
          <w:rFonts w:hint="eastAsia" w:ascii="宋体" w:hAnsi="宋体" w:eastAsia="宋体" w:cs="宋体"/>
          <w:color w:val="auto"/>
          <w:kern w:val="0"/>
          <w:szCs w:val="21"/>
          <w:highlight w:val="none"/>
        </w:rPr>
        <w:t>7.2评审结果汇总完成后，采购人、采购代理机构和</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均不得修改评审结果或者要求重新评审，但资格性检查认定错误、分值汇总计算错误、分项评分超出评分标准范围、客观分评分不一致、经</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一致认定评分畸高、畸低的情形除外。出现上述除外情形的，</w:t>
      </w:r>
      <w:r>
        <w:rPr>
          <w:rFonts w:hint="eastAsia" w:ascii="宋体" w:hAnsi="宋体" w:cs="宋体"/>
          <w:color w:val="auto"/>
          <w:kern w:val="0"/>
          <w:szCs w:val="21"/>
          <w:highlight w:val="none"/>
          <w:lang w:eastAsia="zh-CN"/>
        </w:rPr>
        <w:t>磋商小组</w:t>
      </w:r>
      <w:r>
        <w:rPr>
          <w:rFonts w:hint="eastAsia" w:ascii="宋体" w:hAnsi="宋体" w:eastAsia="宋体" w:cs="宋体"/>
          <w:color w:val="auto"/>
          <w:kern w:val="0"/>
          <w:szCs w:val="21"/>
          <w:highlight w:val="none"/>
        </w:rPr>
        <w:t>应当现场修改评审结果，并在评审报告中明确记载。</w:t>
      </w:r>
    </w:p>
    <w:p w14:paraId="5F1E1EEB">
      <w:pPr>
        <w:spacing w:line="360" w:lineRule="auto"/>
        <w:ind w:firstLine="200"/>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eastAsia="宋体" w:cs="宋体"/>
          <w:b/>
          <w:bCs/>
          <w:color w:val="auto"/>
          <w:sz w:val="24"/>
          <w:highlight w:val="none"/>
        </w:rPr>
        <w:t>.评审标准</w:t>
      </w:r>
    </w:p>
    <w:p w14:paraId="3DDFF3DD">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8.1评审依据：磋商小组将以磋商响应文件为评审依据，对供应商的报价、技术、商务等方面内容按百分制打分。（计分方法按四舍五入取至百分位）</w:t>
      </w:r>
    </w:p>
    <w:p w14:paraId="6F23DBC7">
      <w:pPr>
        <w:spacing w:line="360" w:lineRule="auto"/>
        <w:ind w:firstLine="420" w:firstLineChars="200"/>
        <w:rPr>
          <w:rFonts w:hint="eastAsia" w:ascii="宋体" w:hAnsi="宋体" w:eastAsia="宋体" w:cs="Times New Roman"/>
          <w:color w:val="auto"/>
          <w:szCs w:val="21"/>
          <w:highlight w:val="none"/>
        </w:rPr>
      </w:pPr>
    </w:p>
    <w:p w14:paraId="5D08CF87">
      <w:pPr>
        <w:spacing w:line="360" w:lineRule="auto"/>
        <w:ind w:firstLine="420" w:firstLineChars="200"/>
        <w:rPr>
          <w:rFonts w:hint="eastAsia" w:ascii="宋体" w:hAnsi="宋体" w:eastAsia="宋体" w:cs="Times New Roman"/>
          <w:color w:val="auto"/>
          <w:szCs w:val="21"/>
          <w:highlight w:val="none"/>
        </w:rPr>
      </w:pPr>
    </w:p>
    <w:p w14:paraId="5DF41DE2">
      <w:pPr>
        <w:spacing w:line="360" w:lineRule="auto"/>
        <w:ind w:firstLine="420" w:firstLineChars="200"/>
        <w:rPr>
          <w:rFonts w:hint="eastAsia" w:ascii="宋体" w:hAnsi="宋体" w:eastAsia="宋体" w:cs="Times New Roman"/>
          <w:color w:val="auto"/>
          <w:szCs w:val="21"/>
          <w:highlight w:val="none"/>
        </w:rPr>
      </w:pPr>
    </w:p>
    <w:p w14:paraId="5FBA396F">
      <w:pPr>
        <w:spacing w:line="360" w:lineRule="auto"/>
        <w:ind w:firstLine="420" w:firstLineChars="200"/>
        <w:rPr>
          <w:rFonts w:hint="eastAsia" w:ascii="宋体" w:hAnsi="宋体" w:eastAsia="宋体" w:cs="Times New Roman"/>
          <w:color w:val="auto"/>
          <w:szCs w:val="21"/>
          <w:highlight w:val="none"/>
        </w:rPr>
      </w:pPr>
    </w:p>
    <w:p w14:paraId="6244081C">
      <w:pPr>
        <w:spacing w:line="360" w:lineRule="auto"/>
        <w:ind w:firstLine="420" w:firstLineChars="200"/>
        <w:rPr>
          <w:rFonts w:hint="eastAsia" w:ascii="宋体" w:hAnsi="宋体" w:eastAsia="宋体" w:cs="Times New Roman"/>
          <w:color w:val="auto"/>
          <w:szCs w:val="21"/>
          <w:highlight w:val="none"/>
        </w:rPr>
      </w:pPr>
    </w:p>
    <w:p w14:paraId="17903D1E">
      <w:pPr>
        <w:spacing w:line="360" w:lineRule="auto"/>
        <w:ind w:firstLine="420" w:firstLineChars="200"/>
        <w:rPr>
          <w:rFonts w:hint="eastAsia" w:ascii="宋体" w:hAnsi="宋体" w:eastAsia="宋体" w:cs="Times New Roman"/>
          <w:color w:val="auto"/>
          <w:szCs w:val="21"/>
          <w:highlight w:val="none"/>
        </w:rPr>
      </w:pPr>
    </w:p>
    <w:p w14:paraId="0437B990">
      <w:pPr>
        <w:spacing w:line="360" w:lineRule="auto"/>
        <w:ind w:firstLine="420" w:firstLineChars="200"/>
        <w:rPr>
          <w:rFonts w:hint="eastAsia" w:ascii="宋体" w:hAnsi="宋体" w:eastAsia="宋体" w:cs="Times New Roman"/>
          <w:color w:val="auto"/>
          <w:szCs w:val="21"/>
          <w:highlight w:val="none"/>
        </w:rPr>
      </w:pPr>
    </w:p>
    <w:p w14:paraId="664E78FD">
      <w:pPr>
        <w:spacing w:line="360" w:lineRule="auto"/>
        <w:ind w:firstLine="420" w:firstLineChars="200"/>
        <w:rPr>
          <w:rFonts w:hint="eastAsia" w:ascii="宋体" w:hAnsi="宋体" w:eastAsia="宋体" w:cs="Times New Roman"/>
          <w:color w:val="auto"/>
          <w:szCs w:val="21"/>
          <w:highlight w:val="none"/>
        </w:rPr>
      </w:pPr>
    </w:p>
    <w:p w14:paraId="661E50C6">
      <w:pPr>
        <w:spacing w:line="360" w:lineRule="auto"/>
        <w:ind w:firstLine="420" w:firstLineChars="200"/>
        <w:rPr>
          <w:rFonts w:hint="eastAsia" w:ascii="宋体" w:hAnsi="宋体" w:eastAsia="宋体" w:cs="Times New Roman"/>
          <w:color w:val="auto"/>
          <w:szCs w:val="21"/>
          <w:highlight w:val="none"/>
        </w:rPr>
      </w:pPr>
    </w:p>
    <w:p w14:paraId="02405ECE">
      <w:pPr>
        <w:spacing w:line="360" w:lineRule="auto"/>
        <w:ind w:firstLine="420" w:firstLineChars="200"/>
        <w:rPr>
          <w:rFonts w:hint="eastAsia" w:ascii="宋体" w:hAnsi="宋体" w:eastAsia="宋体" w:cs="Times New Roman"/>
          <w:color w:val="auto"/>
          <w:szCs w:val="21"/>
          <w:highlight w:val="none"/>
        </w:rPr>
      </w:pPr>
    </w:p>
    <w:p w14:paraId="1B18B678">
      <w:pPr>
        <w:spacing w:line="360" w:lineRule="auto"/>
        <w:ind w:firstLine="420" w:firstLineChars="200"/>
        <w:rPr>
          <w:rFonts w:hint="eastAsia" w:ascii="宋体" w:hAnsi="宋体" w:eastAsia="宋体" w:cs="Times New Roman"/>
          <w:color w:val="auto"/>
          <w:szCs w:val="21"/>
          <w:highlight w:val="none"/>
        </w:rPr>
      </w:pPr>
    </w:p>
    <w:p w14:paraId="5E157C14">
      <w:pPr>
        <w:spacing w:line="360" w:lineRule="auto"/>
        <w:ind w:firstLine="420" w:firstLineChars="200"/>
        <w:rPr>
          <w:rFonts w:hint="eastAsia" w:ascii="宋体" w:hAnsi="宋体" w:eastAsia="宋体" w:cs="Times New Roman"/>
          <w:color w:val="auto"/>
          <w:szCs w:val="21"/>
          <w:highlight w:val="none"/>
        </w:rPr>
      </w:pPr>
    </w:p>
    <w:p w14:paraId="6576DE0E">
      <w:pPr>
        <w:spacing w:line="360" w:lineRule="auto"/>
        <w:ind w:firstLine="420" w:firstLineChars="200"/>
        <w:rPr>
          <w:rFonts w:hint="eastAsia" w:ascii="宋体" w:hAnsi="宋体" w:eastAsia="宋体" w:cs="Times New Roman"/>
          <w:color w:val="auto"/>
          <w:szCs w:val="21"/>
          <w:highlight w:val="none"/>
        </w:rPr>
      </w:pPr>
    </w:p>
    <w:p w14:paraId="4FF2534E">
      <w:pPr>
        <w:spacing w:line="360" w:lineRule="auto"/>
        <w:ind w:firstLine="420" w:firstLineChars="200"/>
        <w:rPr>
          <w:rFonts w:hint="eastAsia" w:ascii="宋体" w:hAnsi="宋体" w:eastAsia="宋体" w:cs="Times New Roman"/>
          <w:color w:val="auto"/>
          <w:szCs w:val="21"/>
          <w:highlight w:val="none"/>
        </w:rPr>
      </w:pPr>
    </w:p>
    <w:tbl>
      <w:tblPr>
        <w:tblStyle w:val="27"/>
        <w:tblpPr w:leftFromText="180" w:rightFromText="180" w:vertAnchor="text" w:horzAnchor="page" w:tblpX="1232" w:tblpY="227"/>
        <w:tblOverlap w:val="never"/>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25"/>
        <w:gridCol w:w="900"/>
        <w:gridCol w:w="6906"/>
        <w:gridCol w:w="783"/>
      </w:tblGrid>
      <w:tr w14:paraId="0C140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trPr>
        <w:tc>
          <w:tcPr>
            <w:tcW w:w="610" w:type="dxa"/>
            <w:noWrap w:val="0"/>
            <w:vAlign w:val="center"/>
          </w:tcPr>
          <w:p w14:paraId="36EA0B3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25" w:type="dxa"/>
            <w:gridSpan w:val="2"/>
            <w:noWrap w:val="0"/>
            <w:vAlign w:val="center"/>
          </w:tcPr>
          <w:p w14:paraId="1CD826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w:t>
            </w:r>
          </w:p>
        </w:tc>
        <w:tc>
          <w:tcPr>
            <w:tcW w:w="6906" w:type="dxa"/>
            <w:noWrap w:val="0"/>
            <w:vAlign w:val="center"/>
          </w:tcPr>
          <w:p w14:paraId="1DB21E8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评审因素具体内容</w:t>
            </w:r>
          </w:p>
        </w:tc>
        <w:tc>
          <w:tcPr>
            <w:tcW w:w="783" w:type="dxa"/>
            <w:noWrap w:val="0"/>
            <w:vAlign w:val="center"/>
          </w:tcPr>
          <w:p w14:paraId="7640E59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93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atLeast"/>
        </w:trPr>
        <w:tc>
          <w:tcPr>
            <w:tcW w:w="610" w:type="dxa"/>
            <w:noWrap w:val="0"/>
            <w:vAlign w:val="center"/>
          </w:tcPr>
          <w:p w14:paraId="6724311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725" w:type="dxa"/>
            <w:gridSpan w:val="2"/>
            <w:noWrap w:val="0"/>
            <w:vAlign w:val="center"/>
          </w:tcPr>
          <w:p w14:paraId="3E0C954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w:t>
            </w:r>
          </w:p>
        </w:tc>
        <w:tc>
          <w:tcPr>
            <w:tcW w:w="6906" w:type="dxa"/>
            <w:noWrap w:val="0"/>
            <w:vAlign w:val="center"/>
          </w:tcPr>
          <w:p w14:paraId="1BD907A7">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1</w:t>
            </w:r>
            <w:r>
              <w:rPr>
                <w:rFonts w:hint="eastAsia" w:ascii="宋体" w:hAnsi="宋体" w:eastAsia="宋体" w:cs="Times New Roman"/>
                <w:bCs/>
                <w:color w:val="auto"/>
                <w:szCs w:val="21"/>
                <w:highlight w:val="none"/>
              </w:rPr>
              <w:t>）本项目为专门面向</w:t>
            </w:r>
            <w:r>
              <w:rPr>
                <w:rFonts w:hint="eastAsia" w:ascii="宋体" w:hAnsi="宋体" w:eastAsia="宋体" w:cs="Times New Roman"/>
                <w:bCs/>
                <w:color w:val="auto"/>
                <w:szCs w:val="21"/>
                <w:highlight w:val="none"/>
                <w:lang w:val="en-US" w:eastAsia="zh-CN"/>
              </w:rPr>
              <w:t>中小</w:t>
            </w:r>
            <w:r>
              <w:rPr>
                <w:rFonts w:hint="eastAsia" w:ascii="宋体" w:hAnsi="宋体" w:eastAsia="宋体" w:cs="Times New Roman"/>
                <w:bCs/>
                <w:color w:val="auto"/>
                <w:szCs w:val="21"/>
                <w:highlight w:val="none"/>
              </w:rPr>
              <w:t>企业采购项目，不执行价格扣除优惠政策，评审报价＝最后报价；</w:t>
            </w:r>
          </w:p>
          <w:p w14:paraId="60CC7144">
            <w:pPr>
              <w:spacing w:line="360" w:lineRule="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2</w:t>
            </w:r>
            <w:r>
              <w:rPr>
                <w:rFonts w:hint="eastAsia" w:ascii="宋体" w:hAnsi="宋体" w:eastAsia="宋体" w:cs="Times New Roman"/>
                <w:bCs/>
                <w:color w:val="auto"/>
                <w:szCs w:val="21"/>
                <w:highlight w:val="none"/>
              </w:rPr>
              <w:t>）以进入比较与评价环节的最低的评审报价为基准价，基准价得分为10分。</w:t>
            </w:r>
          </w:p>
          <w:p w14:paraId="52D68522">
            <w:pPr>
              <w:spacing w:line="360" w:lineRule="auto"/>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（3）价格分计算公式：某供应商价格分=基准价/某供应商评标价×10分</w:t>
            </w:r>
          </w:p>
          <w:p w14:paraId="69A63404">
            <w:pPr>
              <w:spacing w:line="360" w:lineRule="auto"/>
              <w:ind w:firstLine="420" w:firstLineChars="200"/>
              <w:rPr>
                <w:rFonts w:hint="eastAsia"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报价属于采购文件规定异常低价情况之一，磋商小组应当要求其在评标现场合理的时间内提供书面说明，必要时提交相关证明材料；投标人不能证明其报价合理性的，磋商小组会将其作为无效竞标处理。</w:t>
            </w:r>
          </w:p>
        </w:tc>
        <w:tc>
          <w:tcPr>
            <w:tcW w:w="783" w:type="dxa"/>
            <w:noWrap w:val="0"/>
            <w:vAlign w:val="center"/>
          </w:tcPr>
          <w:p w14:paraId="5C193D8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val="0"/>
                <w:bCs/>
                <w:color w:val="auto"/>
                <w:kern w:val="0"/>
                <w:szCs w:val="21"/>
                <w:highlight w:val="none"/>
              </w:rPr>
            </w:pPr>
            <w:r>
              <w:rPr>
                <w:rFonts w:hint="eastAsia" w:ascii="宋体" w:hAnsi="宋体" w:eastAsia="宋体" w:cs="宋体"/>
                <w:b w:val="0"/>
                <w:bCs/>
                <w:color w:val="auto"/>
                <w:kern w:val="0"/>
                <w:szCs w:val="21"/>
                <w:highlight w:val="none"/>
                <w:lang w:val="en-US" w:eastAsia="zh-CN"/>
              </w:rPr>
              <w:t>10</w:t>
            </w:r>
            <w:r>
              <w:rPr>
                <w:rFonts w:hint="eastAsia" w:ascii="宋体" w:hAnsi="宋体" w:eastAsia="宋体" w:cs="宋体"/>
                <w:b w:val="0"/>
                <w:bCs/>
                <w:color w:val="auto"/>
                <w:kern w:val="0"/>
                <w:szCs w:val="21"/>
                <w:highlight w:val="none"/>
              </w:rPr>
              <w:t>分</w:t>
            </w:r>
          </w:p>
        </w:tc>
      </w:tr>
      <w:tr w14:paraId="37B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10" w:type="dxa"/>
            <w:noWrap w:val="0"/>
            <w:vAlign w:val="center"/>
          </w:tcPr>
          <w:p w14:paraId="21EB8BD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p>
        </w:tc>
        <w:tc>
          <w:tcPr>
            <w:tcW w:w="1725" w:type="dxa"/>
            <w:gridSpan w:val="2"/>
            <w:noWrap w:val="0"/>
            <w:vAlign w:val="center"/>
          </w:tcPr>
          <w:p w14:paraId="3A7B51F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技术分</w:t>
            </w:r>
          </w:p>
        </w:tc>
        <w:tc>
          <w:tcPr>
            <w:tcW w:w="6906" w:type="dxa"/>
            <w:noWrap w:val="0"/>
            <w:vAlign w:val="center"/>
          </w:tcPr>
          <w:p w14:paraId="70BFEF7F">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783" w:type="dxa"/>
            <w:noWrap w:val="0"/>
            <w:vAlign w:val="top"/>
          </w:tcPr>
          <w:p w14:paraId="7FB60ED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80</w:t>
            </w:r>
            <w:r>
              <w:rPr>
                <w:rFonts w:hint="eastAsia" w:ascii="宋体" w:hAnsi="宋体" w:eastAsia="宋体" w:cs="宋体"/>
                <w:b/>
                <w:color w:val="auto"/>
                <w:kern w:val="0"/>
                <w:szCs w:val="21"/>
                <w:highlight w:val="none"/>
              </w:rPr>
              <w:t>分</w:t>
            </w:r>
          </w:p>
        </w:tc>
      </w:tr>
      <w:tr w14:paraId="22EB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4" w:hRule="atLeast"/>
        </w:trPr>
        <w:tc>
          <w:tcPr>
            <w:tcW w:w="610" w:type="dxa"/>
            <w:noWrap w:val="0"/>
            <w:vAlign w:val="center"/>
          </w:tcPr>
          <w:p w14:paraId="226458B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2.1</w:t>
            </w:r>
          </w:p>
        </w:tc>
        <w:tc>
          <w:tcPr>
            <w:tcW w:w="825" w:type="dxa"/>
            <w:vMerge w:val="restart"/>
            <w:noWrap w:val="0"/>
            <w:vAlign w:val="center"/>
          </w:tcPr>
          <w:p w14:paraId="49B13DE3">
            <w:pPr>
              <w:adjustRightInd w:val="0"/>
              <w:spacing w:line="400" w:lineRule="exact"/>
              <w:jc w:val="center"/>
              <w:textAlignment w:val="baseline"/>
              <w:rPr>
                <w:rFonts w:hint="default" w:ascii="宋体" w:hAnsi="宋体" w:eastAsia="宋体" w:cs="宋体"/>
                <w:b w:val="0"/>
                <w:bCs/>
                <w:color w:val="auto"/>
                <w:kern w:val="0"/>
                <w:szCs w:val="21"/>
                <w:highlight w:val="none"/>
                <w:lang w:val="en-US" w:eastAsia="zh-CN"/>
              </w:rPr>
            </w:pPr>
            <w:r>
              <w:rPr>
                <w:rFonts w:hint="eastAsia" w:ascii="宋体" w:hAnsi="宋体" w:cs="宋体"/>
                <w:b w:val="0"/>
                <w:bCs/>
                <w:color w:val="auto"/>
                <w:kern w:val="0"/>
                <w:szCs w:val="21"/>
                <w:highlight w:val="none"/>
                <w:lang w:val="en-US" w:eastAsia="zh-CN"/>
              </w:rPr>
              <w:t>施工组织设计</w:t>
            </w:r>
          </w:p>
        </w:tc>
        <w:tc>
          <w:tcPr>
            <w:tcW w:w="900" w:type="dxa"/>
            <w:noWrap w:val="0"/>
            <w:vAlign w:val="center"/>
          </w:tcPr>
          <w:p w14:paraId="76E29982">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施工方案与技术措施</w:t>
            </w:r>
          </w:p>
        </w:tc>
        <w:tc>
          <w:tcPr>
            <w:tcW w:w="6906" w:type="dxa"/>
            <w:noWrap w:val="0"/>
            <w:vAlign w:val="center"/>
          </w:tcPr>
          <w:p w14:paraId="604AC7C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：对项目的施工总体条件有全面认识，施工段划分呼应总体表述，划分清晰、合理、切合本工程实际，施工方法合理，技术措施具体、先进、有效。</w:t>
            </w:r>
          </w:p>
          <w:p w14:paraId="34A1568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：对项目的施工总体条件有认识，施工段划分可行、切合实际可行，施工方法简单合理，施工技术措施具体，但不详细、不清晰。</w:t>
            </w:r>
          </w:p>
          <w:p w14:paraId="756CEE44">
            <w:pPr>
              <w:spacing w:line="360" w:lineRule="auto"/>
              <w:ind w:firstLine="420" w:firstLineChars="200"/>
              <w:rPr>
                <w:rFonts w:hint="eastAsia" w:ascii="宋体" w:hAnsi="宋体" w:eastAsia="宋体" w:cs="Courier New"/>
                <w:bCs/>
                <w:color w:val="auto"/>
                <w:kern w:val="2"/>
                <w:sz w:val="21"/>
                <w:szCs w:val="21"/>
                <w:highlight w:val="none"/>
              </w:rPr>
            </w:pPr>
            <w:r>
              <w:rPr>
                <w:rFonts w:hint="eastAsia" w:ascii="宋体" w:hAnsi="宋体" w:eastAsia="宋体" w:cs="宋体"/>
                <w:bCs/>
                <w:color w:val="auto"/>
                <w:highlight w:val="none"/>
                <w:lang w:val="en-US" w:eastAsia="zh-CN"/>
              </w:rPr>
              <w:t>一档</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5分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：对项目的施工总体条件简单的认识，施工段划分一般、基本切合实际，施工方法一般，施工技术措施不够具体。</w:t>
            </w:r>
          </w:p>
        </w:tc>
        <w:tc>
          <w:tcPr>
            <w:tcW w:w="783" w:type="dxa"/>
            <w:noWrap w:val="0"/>
            <w:vAlign w:val="center"/>
          </w:tcPr>
          <w:p w14:paraId="04D7539E">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val="0"/>
                <w:bCs/>
                <w:color w:val="auto"/>
                <w:kern w:val="0"/>
                <w:szCs w:val="21"/>
                <w:highlight w:val="none"/>
                <w:lang w:val="en-US" w:eastAsia="zh-CN"/>
              </w:rPr>
            </w:pPr>
            <w:r>
              <w:rPr>
                <w:rFonts w:hint="eastAsia" w:ascii="宋体" w:hAnsi="宋体" w:eastAsia="宋体" w:cs="宋体"/>
                <w:b w:val="0"/>
                <w:bCs/>
                <w:color w:val="auto"/>
                <w:kern w:val="0"/>
                <w:szCs w:val="21"/>
                <w:highlight w:val="none"/>
                <w:lang w:val="en-US" w:eastAsia="zh-CN"/>
              </w:rPr>
              <w:t>15分</w:t>
            </w:r>
          </w:p>
        </w:tc>
      </w:tr>
      <w:tr w14:paraId="5829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610" w:type="dxa"/>
            <w:noWrap w:val="0"/>
            <w:vAlign w:val="center"/>
          </w:tcPr>
          <w:p w14:paraId="111988F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2</w:t>
            </w:r>
          </w:p>
        </w:tc>
        <w:tc>
          <w:tcPr>
            <w:tcW w:w="825" w:type="dxa"/>
            <w:vMerge w:val="continue"/>
            <w:noWrap w:val="0"/>
            <w:vAlign w:val="center"/>
          </w:tcPr>
          <w:p w14:paraId="71B998DD">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08C31CA6">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质量管理体系与措施</w:t>
            </w:r>
          </w:p>
        </w:tc>
        <w:tc>
          <w:tcPr>
            <w:tcW w:w="6906" w:type="dxa"/>
            <w:noWrap w:val="0"/>
            <w:vAlign w:val="center"/>
          </w:tcPr>
          <w:p w14:paraId="7CBBB6C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三档（15分）：质量目标明确，质量管控体系健全（包括组织结构、人员分工、施工现场质量控制的措施和手段、原材料质量检测、单元工程验收和质量评定、质量控制奖罚机制等）质量事件（缺陷、事故）应急措施得当、可行。 </w:t>
            </w:r>
          </w:p>
          <w:p w14:paraId="04F3052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质量目标较明确，质量管控体系基本健全（包括组织结构、人员分工、施工现场质量控制的措施和手段、原材料质量检测、单元工程验收和质量评定、质量控制奖罚机制等）质量事件（缺陷、事故）应急措施基本得当、可行。 </w:t>
            </w:r>
          </w:p>
          <w:p w14:paraId="789F6977">
            <w:pPr>
              <w:spacing w:line="360" w:lineRule="auto"/>
              <w:ind w:firstLine="420" w:firstLineChars="200"/>
              <w:rPr>
                <w:rFonts w:eastAsia="宋体"/>
                <w:color w:val="auto"/>
                <w:sz w:val="21"/>
                <w:szCs w:val="21"/>
                <w:highlight w:val="none"/>
              </w:rPr>
            </w:pPr>
            <w:r>
              <w:rPr>
                <w:rFonts w:hint="eastAsia" w:ascii="宋体" w:hAnsi="宋体" w:eastAsia="宋体" w:cs="宋体"/>
                <w:bCs/>
                <w:color w:val="auto"/>
                <w:highlight w:val="none"/>
                <w:lang w:val="en-US" w:eastAsia="zh-CN"/>
              </w:rPr>
              <w:t xml:space="preserve">一档（5分）：质量目标不明确，质量管控体系基本或不健全（包括组织结构、人员分工、施工现场质量控制的措施和手段、原材料质量检测、单元工程验收和质量评定、质量控制奖罚机制等）质量事件（缺陷、事故）应急措施一般。 </w:t>
            </w:r>
          </w:p>
        </w:tc>
        <w:tc>
          <w:tcPr>
            <w:tcW w:w="783" w:type="dxa"/>
            <w:noWrap w:val="0"/>
            <w:vAlign w:val="center"/>
          </w:tcPr>
          <w:p w14:paraId="2D889CD0">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15分</w:t>
            </w:r>
          </w:p>
          <w:p w14:paraId="7970F248">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p>
        </w:tc>
      </w:tr>
      <w:tr w14:paraId="57A6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trPr>
        <w:tc>
          <w:tcPr>
            <w:tcW w:w="610" w:type="dxa"/>
            <w:noWrap w:val="0"/>
            <w:vAlign w:val="center"/>
          </w:tcPr>
          <w:p w14:paraId="27BD2636">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3</w:t>
            </w:r>
          </w:p>
        </w:tc>
        <w:tc>
          <w:tcPr>
            <w:tcW w:w="825" w:type="dxa"/>
            <w:vMerge w:val="continue"/>
            <w:noWrap w:val="0"/>
            <w:vAlign w:val="center"/>
          </w:tcPr>
          <w:p w14:paraId="4649F81A">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708CD618">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安全管理体系与措施</w:t>
            </w:r>
          </w:p>
        </w:tc>
        <w:tc>
          <w:tcPr>
            <w:tcW w:w="6906" w:type="dxa"/>
            <w:noWrap w:val="0"/>
            <w:vAlign w:val="center"/>
          </w:tcPr>
          <w:p w14:paraId="47542175">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三档（15分）：有专门的安全管理人员和制度，且人员配备合理，制度健全，各道工序安全技术措施针对性强，确保工程质量的技术组织措施符合实际且满足有关安全技术标准要求。现场防火、应急救援、社会治安安全措施得力。</w:t>
            </w:r>
          </w:p>
          <w:p w14:paraId="5677E11E">
            <w:pPr>
              <w:spacing w:line="360" w:lineRule="auto"/>
              <w:ind w:firstLine="420" w:firstLineChars="200"/>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 xml:space="preserve">二档（10分）：有专门的安全管理人员和制度，且人员配备合理，制度健全，各道工序安全技术措施针对性一般，确保工程质量的技术组织措施符合实际且基本满足有关安全技术标准要求。现场防火、应急救援、社会治安安全措施一般。 </w:t>
            </w:r>
          </w:p>
          <w:p w14:paraId="76B077B6">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一档（5分）：有专门的安全管理人员和制度，人员配备不合理，制度不健全，各道工序安全技术措施针无对性，不满足有关安全技术标准要求。现场防火、应急救援、社会治安安全措施不得力。 </w:t>
            </w:r>
          </w:p>
        </w:tc>
        <w:tc>
          <w:tcPr>
            <w:tcW w:w="783" w:type="dxa"/>
            <w:noWrap w:val="0"/>
            <w:vAlign w:val="center"/>
          </w:tcPr>
          <w:p w14:paraId="30F0DE81">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CD8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trPr>
        <w:tc>
          <w:tcPr>
            <w:tcW w:w="610" w:type="dxa"/>
            <w:noWrap w:val="0"/>
            <w:vAlign w:val="center"/>
          </w:tcPr>
          <w:p w14:paraId="773CDA2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4</w:t>
            </w:r>
          </w:p>
        </w:tc>
        <w:tc>
          <w:tcPr>
            <w:tcW w:w="825" w:type="dxa"/>
            <w:vMerge w:val="continue"/>
            <w:noWrap w:val="0"/>
            <w:vAlign w:val="center"/>
          </w:tcPr>
          <w:p w14:paraId="7D3EBDE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2E6803E9">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环境保护管理体系与措施</w:t>
            </w:r>
          </w:p>
        </w:tc>
        <w:tc>
          <w:tcPr>
            <w:tcW w:w="6906" w:type="dxa"/>
            <w:noWrap w:val="0"/>
            <w:vAlign w:val="center"/>
          </w:tcPr>
          <w:p w14:paraId="3512482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（10分）：环境保护目标明确，环境保护管理体系健全，预防和控制（包括大气、水、噪声、固体废物、人群等环保工程）具有针对性、内容全面、可行。 </w:t>
            </w:r>
          </w:p>
          <w:p w14:paraId="14B0239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二档（6分）：环境保护目标较明确，环境保护管理体系较健全，预防和控制（包括大气、水、噪声、固体废物、人群等环保工程）具较有针对性，内容较全面、可行。 </w:t>
            </w:r>
          </w:p>
          <w:p w14:paraId="0735F9E8">
            <w:pPr>
              <w:spacing w:line="360" w:lineRule="auto"/>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highlight w:val="none"/>
                <w:lang w:val="en-US" w:eastAsia="zh-CN"/>
              </w:rPr>
              <w:t xml:space="preserve">一档（3分）：环境保护目标基本或不明确，环境保护管理体系基本健全，预防和控制（包括大气、水、噪声、固体废物、人群等环保工程）针对性一般，内容一般。 </w:t>
            </w:r>
          </w:p>
        </w:tc>
        <w:tc>
          <w:tcPr>
            <w:tcW w:w="783" w:type="dxa"/>
            <w:noWrap w:val="0"/>
            <w:vAlign w:val="center"/>
          </w:tcPr>
          <w:p w14:paraId="7E7F3C6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Courier New"/>
                <w:bCs/>
                <w:color w:val="auto"/>
                <w:kern w:val="2"/>
                <w:sz w:val="21"/>
                <w:szCs w:val="21"/>
                <w:highlight w:val="none"/>
                <w:lang w:val="en-US" w:eastAsia="zh-CN" w:bidi="ar-SA"/>
              </w:rPr>
            </w:pPr>
            <w:r>
              <w:rPr>
                <w:rFonts w:hint="eastAsia" w:ascii="宋体" w:hAnsi="宋体" w:eastAsia="宋体" w:cs="Courier New"/>
                <w:bCs/>
                <w:color w:val="auto"/>
                <w:kern w:val="2"/>
                <w:sz w:val="21"/>
                <w:szCs w:val="21"/>
                <w:highlight w:val="none"/>
                <w:lang w:val="en-US" w:eastAsia="zh-CN" w:bidi="ar-SA"/>
              </w:rPr>
              <w:t>10分</w:t>
            </w:r>
          </w:p>
          <w:p w14:paraId="71A4B633">
            <w:pPr>
              <w:pStyle w:val="44"/>
              <w:keepNext w:val="0"/>
              <w:keepLines w:val="0"/>
              <w:pageBreakBefore w:val="0"/>
              <w:kinsoku/>
              <w:wordWrap/>
              <w:overflowPunct/>
              <w:topLinePunct w:val="0"/>
              <w:bidi w:val="0"/>
              <w:spacing w:line="400" w:lineRule="exact"/>
              <w:ind w:firstLine="720" w:firstLineChars="0"/>
              <w:textAlignment w:val="auto"/>
              <w:rPr>
                <w:rFonts w:ascii="宋体" w:hAnsi="宋体" w:cs="宋体"/>
                <w:bCs/>
                <w:color w:val="auto"/>
                <w:kern w:val="0"/>
                <w:sz w:val="21"/>
                <w:szCs w:val="21"/>
                <w:highlight w:val="none"/>
              </w:rPr>
            </w:pPr>
          </w:p>
        </w:tc>
      </w:tr>
      <w:tr w14:paraId="216A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9" w:hRule="atLeast"/>
        </w:trPr>
        <w:tc>
          <w:tcPr>
            <w:tcW w:w="610" w:type="dxa"/>
            <w:noWrap w:val="0"/>
            <w:vAlign w:val="center"/>
          </w:tcPr>
          <w:p w14:paraId="3DB897B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5</w:t>
            </w:r>
          </w:p>
        </w:tc>
        <w:tc>
          <w:tcPr>
            <w:tcW w:w="825" w:type="dxa"/>
            <w:vMerge w:val="continue"/>
            <w:noWrap w:val="0"/>
            <w:vAlign w:val="center"/>
          </w:tcPr>
          <w:p w14:paraId="734786D7">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997B64F">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工程进度计划与措施</w:t>
            </w:r>
          </w:p>
        </w:tc>
        <w:tc>
          <w:tcPr>
            <w:tcW w:w="6906" w:type="dxa"/>
            <w:noWrap w:val="0"/>
            <w:vAlign w:val="center"/>
          </w:tcPr>
          <w:p w14:paraId="72255E0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 xml:space="preserve">（15分）：施工总体进度计划得当，进度计划网络图清晰合理，完全满足招标文件要求，施工强度分析可靠，各关键节点的工期切实可行，控制性项目安排得当，保证工期的措施科学，工程进度补救措施可行，完全能保证在项目要求的总工期内完成。 </w:t>
            </w:r>
          </w:p>
          <w:p w14:paraId="7A2F236C">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 xml:space="preserve">二档（10分）：施工总体进度计划较得当，进度计划网络图较清晰合理，较满足招标文件要求，施工强度分析较可靠，各关键节点的工期较切实可行，控制性项目安排较得当，保证工期的措施较科学，工程进度补救措施基本可行，基本能保证在项目要求的总工期内完成。 </w:t>
            </w:r>
          </w:p>
          <w:p w14:paraId="13A0DA3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 xml:space="preserve">一档（5分）：施工总体进度计划基本得当，进度计划网络图基本清晰合理，基本满足招标文件要求，施工强度分析一般，各关键点的工期基本切实可行，控制性项目安排基本得当，保证工期的措施一般，工程进度补救措施一般，基本能保证在项目要求的总工期内完成。 </w:t>
            </w:r>
          </w:p>
        </w:tc>
        <w:tc>
          <w:tcPr>
            <w:tcW w:w="783" w:type="dxa"/>
            <w:noWrap w:val="0"/>
            <w:vAlign w:val="center"/>
          </w:tcPr>
          <w:p w14:paraId="243441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15</w:t>
            </w:r>
            <w:r>
              <w:rPr>
                <w:rFonts w:hint="eastAsia" w:ascii="宋体" w:hAnsi="宋体" w:eastAsia="宋体" w:cs="Courier New"/>
                <w:bCs/>
                <w:color w:val="auto"/>
                <w:kern w:val="2"/>
                <w:sz w:val="21"/>
                <w:szCs w:val="21"/>
                <w:highlight w:val="none"/>
              </w:rPr>
              <w:t>分</w:t>
            </w:r>
          </w:p>
        </w:tc>
      </w:tr>
      <w:tr w14:paraId="340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9" w:hRule="atLeast"/>
        </w:trPr>
        <w:tc>
          <w:tcPr>
            <w:tcW w:w="610" w:type="dxa"/>
            <w:noWrap w:val="0"/>
            <w:vAlign w:val="center"/>
          </w:tcPr>
          <w:p w14:paraId="5279A5A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en-US" w:eastAsia="zh-CN"/>
              </w:rPr>
              <w:t>6</w:t>
            </w:r>
          </w:p>
        </w:tc>
        <w:tc>
          <w:tcPr>
            <w:tcW w:w="825" w:type="dxa"/>
            <w:vMerge w:val="continue"/>
            <w:noWrap w:val="0"/>
            <w:vAlign w:val="center"/>
          </w:tcPr>
          <w:p w14:paraId="65C1ADB0">
            <w:pPr>
              <w:adjustRightInd w:val="0"/>
              <w:spacing w:line="400" w:lineRule="exact"/>
              <w:jc w:val="center"/>
              <w:textAlignment w:val="baseline"/>
              <w:rPr>
                <w:rFonts w:hint="eastAsia" w:ascii="宋体" w:hAnsi="宋体" w:eastAsia="宋体" w:cs="宋体"/>
                <w:bCs/>
                <w:color w:val="auto"/>
                <w:kern w:val="0"/>
                <w:sz w:val="21"/>
                <w:szCs w:val="21"/>
                <w:highlight w:val="none"/>
              </w:rPr>
            </w:pPr>
          </w:p>
        </w:tc>
        <w:tc>
          <w:tcPr>
            <w:tcW w:w="900" w:type="dxa"/>
            <w:noWrap w:val="0"/>
            <w:vAlign w:val="center"/>
          </w:tcPr>
          <w:p w14:paraId="3B0F76C5">
            <w:pPr>
              <w:adjustRightInd w:val="0"/>
              <w:spacing w:line="400" w:lineRule="exact"/>
              <w:jc w:val="center"/>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资源配置计划</w:t>
            </w:r>
          </w:p>
        </w:tc>
        <w:tc>
          <w:tcPr>
            <w:tcW w:w="6906" w:type="dxa"/>
            <w:noWrap w:val="0"/>
            <w:vAlign w:val="center"/>
          </w:tcPr>
          <w:p w14:paraId="64E1679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三</w:t>
            </w:r>
            <w:r>
              <w:rPr>
                <w:rFonts w:hint="eastAsia" w:ascii="宋体" w:hAnsi="宋体" w:eastAsia="宋体" w:cs="宋体"/>
                <w:bCs/>
                <w:color w:val="auto"/>
                <w:highlight w:val="none"/>
              </w:rPr>
              <w:t>档</w:t>
            </w:r>
            <w:r>
              <w:rPr>
                <w:rFonts w:hint="eastAsia" w:ascii="宋体" w:hAnsi="宋体" w:eastAsia="宋体" w:cs="宋体"/>
                <w:bCs/>
                <w:color w:val="auto"/>
                <w:highlight w:val="none"/>
                <w:lang w:val="en-US" w:eastAsia="zh-CN"/>
              </w:rPr>
              <w:t>（10分）：</w:t>
            </w:r>
            <w:r>
              <w:rPr>
                <w:rFonts w:hint="eastAsia" w:ascii="宋体" w:hAnsi="宋体" w:eastAsia="宋体" w:cs="宋体"/>
                <w:bCs/>
                <w:color w:val="auto"/>
                <w:highlight w:val="none"/>
              </w:rPr>
              <w:t>各类施工及试验设备的配备类型、进场时间与施工组织设计完美相符，设备数量有效合理、类型完整齐全，有保证设备良好运行工况的措施，合理的满足施工需要。各类人员配备专业、进场时间与施工组织设计完全相符，人员数量、专业技能满足施工要求，有保证施工人员相对稳定的措施；</w:t>
            </w:r>
          </w:p>
          <w:p w14:paraId="65986BD2">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二档（6分）</w:t>
            </w:r>
            <w:r>
              <w:rPr>
                <w:rFonts w:hint="eastAsia" w:ascii="宋体" w:hAnsi="宋体" w:eastAsia="宋体" w:cs="宋体"/>
                <w:bCs/>
                <w:color w:val="auto"/>
                <w:highlight w:val="none"/>
              </w:rPr>
              <w:t>：各类施工及试验设备的配备类型、进场时间与施工组织设计相符，设备数量合理、类型齐全，满足施工需要。各类人员配备专业、进场时间与施工组织设计相符，人员数量、专业技能满足施工要求；</w:t>
            </w:r>
          </w:p>
          <w:p w14:paraId="2B7FB733">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highlight w:val="none"/>
                <w:lang w:val="en-US" w:eastAsia="zh-CN"/>
              </w:rPr>
              <w:t>一档（3分）</w:t>
            </w:r>
            <w:r>
              <w:rPr>
                <w:rFonts w:hint="eastAsia" w:ascii="宋体" w:hAnsi="宋体" w:eastAsia="宋体" w:cs="宋体"/>
                <w:bCs/>
                <w:color w:val="auto"/>
                <w:highlight w:val="none"/>
              </w:rPr>
              <w:t>：各类施工及试验设备的配备类型、进场时间与施工组织设计基本相符，设备数量基本合理、但类型基不齐全，基本满足施工需要。各类人员的配备基本专业、进场时间与施工组织设计基本相符，人员数量、专业技能基本满足施工要求；</w:t>
            </w:r>
          </w:p>
        </w:tc>
        <w:tc>
          <w:tcPr>
            <w:tcW w:w="783" w:type="dxa"/>
            <w:noWrap w:val="0"/>
            <w:vAlign w:val="center"/>
          </w:tcPr>
          <w:p w14:paraId="0C88A4F7">
            <w:pPr>
              <w:keepNext w:val="0"/>
              <w:keepLines w:val="0"/>
              <w:pageBreakBefore w:val="0"/>
              <w:kinsoku/>
              <w:wordWrap/>
              <w:overflowPunct/>
              <w:topLinePunct w:val="0"/>
              <w:bidi w:val="0"/>
              <w:spacing w:line="400" w:lineRule="exact"/>
              <w:jc w:val="center"/>
              <w:textAlignment w:val="auto"/>
              <w:rPr>
                <w:rFonts w:ascii="宋体" w:hAnsi="宋体" w:eastAsia="宋体" w:cs="宋体"/>
                <w:bCs/>
                <w:color w:val="auto"/>
                <w:kern w:val="0"/>
                <w:sz w:val="21"/>
                <w:szCs w:val="21"/>
                <w:highlight w:val="none"/>
              </w:rPr>
            </w:pPr>
            <w:r>
              <w:rPr>
                <w:rFonts w:hint="eastAsia" w:ascii="宋体" w:hAnsi="宋体" w:eastAsia="宋体" w:cs="Courier New"/>
                <w:bCs/>
                <w:color w:val="auto"/>
                <w:kern w:val="2"/>
                <w:sz w:val="21"/>
                <w:szCs w:val="21"/>
                <w:highlight w:val="none"/>
                <w:lang w:val="en-US" w:eastAsia="zh-CN"/>
              </w:rPr>
              <w:t>10</w:t>
            </w:r>
            <w:r>
              <w:rPr>
                <w:rFonts w:hint="eastAsia" w:ascii="宋体" w:hAnsi="宋体" w:eastAsia="宋体" w:cs="Courier New"/>
                <w:bCs/>
                <w:color w:val="auto"/>
                <w:kern w:val="2"/>
                <w:sz w:val="21"/>
                <w:szCs w:val="21"/>
                <w:highlight w:val="none"/>
              </w:rPr>
              <w:t>分</w:t>
            </w:r>
          </w:p>
        </w:tc>
      </w:tr>
      <w:tr w14:paraId="6AF1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10" w:type="dxa"/>
            <w:noWrap w:val="0"/>
            <w:vAlign w:val="center"/>
          </w:tcPr>
          <w:p w14:paraId="5D01AA3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1725" w:type="dxa"/>
            <w:gridSpan w:val="2"/>
            <w:noWrap w:val="0"/>
            <w:vAlign w:val="center"/>
          </w:tcPr>
          <w:p w14:paraId="73971043">
            <w:pPr>
              <w:keepNext w:val="0"/>
              <w:keepLines w:val="0"/>
              <w:pageBreakBefore w:val="0"/>
              <w:widowControl/>
              <w:kinsoku/>
              <w:wordWrap/>
              <w:overflowPunct/>
              <w:topLinePunct w:val="0"/>
              <w:bidi w:val="0"/>
              <w:spacing w:line="40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商务分</w:t>
            </w:r>
          </w:p>
        </w:tc>
        <w:tc>
          <w:tcPr>
            <w:tcW w:w="6906" w:type="dxa"/>
            <w:noWrap w:val="0"/>
            <w:vAlign w:val="center"/>
          </w:tcPr>
          <w:p w14:paraId="085EFCF2">
            <w:pPr>
              <w:keepNext w:val="0"/>
              <w:keepLines w:val="0"/>
              <w:pageBreakBefore w:val="0"/>
              <w:widowControl/>
              <w:kinsoku/>
              <w:wordWrap/>
              <w:overflowPunct/>
              <w:topLinePunct w:val="0"/>
              <w:bidi w:val="0"/>
              <w:spacing w:line="400" w:lineRule="exact"/>
              <w:ind w:firstLine="422" w:firstLineChars="200"/>
              <w:jc w:val="center"/>
              <w:textAlignment w:val="auto"/>
              <w:rPr>
                <w:rFonts w:hint="eastAsia" w:ascii="宋体" w:hAnsi="宋体" w:eastAsia="宋体" w:cs="宋体"/>
                <w:b/>
                <w:bCs/>
                <w:color w:val="auto"/>
                <w:szCs w:val="21"/>
                <w:highlight w:val="none"/>
              </w:rPr>
            </w:pPr>
            <w:r>
              <w:rPr>
                <w:rFonts w:hint="eastAsia" w:ascii="宋体" w:hAnsi="宋体" w:eastAsia="宋体" w:cs="Tahoma"/>
                <w:b/>
                <w:bCs/>
                <w:color w:val="auto"/>
                <w:kern w:val="0"/>
                <w:szCs w:val="21"/>
                <w:highlight w:val="none"/>
              </w:rPr>
              <w:t>评审因素</w:t>
            </w:r>
          </w:p>
        </w:tc>
        <w:tc>
          <w:tcPr>
            <w:tcW w:w="783" w:type="dxa"/>
            <w:noWrap w:val="0"/>
            <w:vAlign w:val="center"/>
          </w:tcPr>
          <w:p w14:paraId="2A5DCD2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分</w:t>
            </w:r>
          </w:p>
        </w:tc>
      </w:tr>
      <w:tr w14:paraId="3F08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610" w:type="dxa"/>
            <w:noWrap w:val="0"/>
            <w:vAlign w:val="center"/>
          </w:tcPr>
          <w:p w14:paraId="419B6A3C">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725" w:type="dxa"/>
            <w:gridSpan w:val="2"/>
            <w:noWrap w:val="0"/>
            <w:vAlign w:val="center"/>
          </w:tcPr>
          <w:p w14:paraId="431D591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lang w:val="en-US" w:eastAsia="zh-CN"/>
              </w:rPr>
              <w:t>业绩分</w:t>
            </w:r>
          </w:p>
        </w:tc>
        <w:tc>
          <w:tcPr>
            <w:tcW w:w="6906" w:type="dxa"/>
            <w:noWrap w:val="0"/>
            <w:vAlign w:val="center"/>
          </w:tcPr>
          <w:p w14:paraId="5560FE0C">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cs="Tahoma"/>
                <w:color w:val="auto"/>
                <w:kern w:val="0"/>
                <w:szCs w:val="21"/>
                <w:highlight w:val="none"/>
              </w:rPr>
            </w:pPr>
            <w:r>
              <w:rPr>
                <w:rFonts w:hint="eastAsia" w:ascii="宋体" w:hAnsi="宋体" w:eastAsia="宋体" w:cs="Tahoma"/>
                <w:color w:val="auto"/>
                <w:kern w:val="0"/>
                <w:szCs w:val="21"/>
                <w:highlight w:val="none"/>
              </w:rPr>
              <w:t>供应商自 20</w:t>
            </w:r>
            <w:r>
              <w:rPr>
                <w:rFonts w:hint="eastAsia" w:ascii="宋体" w:hAnsi="宋体" w:eastAsia="宋体" w:cs="Tahoma"/>
                <w:color w:val="auto"/>
                <w:kern w:val="0"/>
                <w:szCs w:val="21"/>
                <w:highlight w:val="none"/>
                <w:lang w:val="en-US" w:eastAsia="zh-CN"/>
              </w:rPr>
              <w:t>2</w:t>
            </w:r>
            <w:r>
              <w:rPr>
                <w:rFonts w:hint="eastAsia" w:ascii="宋体" w:hAnsi="宋体" w:cs="Tahoma"/>
                <w:color w:val="auto"/>
                <w:kern w:val="0"/>
                <w:szCs w:val="21"/>
                <w:highlight w:val="none"/>
                <w:lang w:val="en-US" w:eastAsia="zh-CN"/>
              </w:rPr>
              <w:t>3</w:t>
            </w:r>
            <w:r>
              <w:rPr>
                <w:rFonts w:hint="eastAsia" w:ascii="宋体" w:hAnsi="宋体" w:eastAsia="宋体" w:cs="Tahoma"/>
                <w:color w:val="auto"/>
                <w:kern w:val="0"/>
                <w:szCs w:val="21"/>
                <w:highlight w:val="none"/>
              </w:rPr>
              <w:t>年</w:t>
            </w:r>
            <w:r>
              <w:rPr>
                <w:rFonts w:hint="eastAsia" w:ascii="宋体" w:hAnsi="宋体" w:cs="Tahoma"/>
                <w:color w:val="auto"/>
                <w:kern w:val="0"/>
                <w:szCs w:val="21"/>
                <w:highlight w:val="none"/>
                <w:lang w:val="en-US" w:eastAsia="zh-CN"/>
              </w:rPr>
              <w:t>1</w:t>
            </w:r>
            <w:r>
              <w:rPr>
                <w:rFonts w:hint="eastAsia" w:ascii="宋体" w:hAnsi="宋体" w:eastAsia="宋体" w:cs="Tahoma"/>
                <w:color w:val="auto"/>
                <w:kern w:val="0"/>
                <w:szCs w:val="21"/>
                <w:highlight w:val="none"/>
              </w:rPr>
              <w:t>月以来，</w:t>
            </w:r>
            <w:r>
              <w:rPr>
                <w:rFonts w:hint="eastAsia" w:ascii="宋体" w:hAnsi="宋体" w:cs="Tahoma"/>
                <w:color w:val="auto"/>
                <w:kern w:val="0"/>
                <w:szCs w:val="21"/>
                <w:highlight w:val="none"/>
                <w:lang w:val="en-US" w:eastAsia="zh-CN"/>
              </w:rPr>
              <w:t>承接</w:t>
            </w:r>
            <w:r>
              <w:rPr>
                <w:rFonts w:hint="eastAsia" w:ascii="宋体" w:hAnsi="宋体" w:eastAsia="宋体" w:cs="Tahoma"/>
                <w:color w:val="auto"/>
                <w:kern w:val="0"/>
                <w:szCs w:val="21"/>
                <w:highlight w:val="none"/>
              </w:rPr>
              <w:t>过类似项目施工业绩的</w:t>
            </w:r>
            <w:r>
              <w:rPr>
                <w:rFonts w:hint="eastAsia" w:ascii="宋体" w:hAnsi="宋体" w:cs="Tahoma"/>
                <w:color w:val="auto"/>
                <w:kern w:val="0"/>
                <w:szCs w:val="21"/>
                <w:highlight w:val="none"/>
                <w:lang w:eastAsia="zh-CN"/>
              </w:rPr>
              <w:t>，</w:t>
            </w:r>
            <w:r>
              <w:rPr>
                <w:rFonts w:hint="eastAsia" w:ascii="宋体" w:hAnsi="宋体" w:eastAsia="宋体" w:cs="Tahoma"/>
                <w:color w:val="auto"/>
                <w:kern w:val="0"/>
                <w:szCs w:val="21"/>
                <w:highlight w:val="none"/>
              </w:rPr>
              <w:t>每有一项得</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分，本项满分</w:t>
            </w:r>
            <w:r>
              <w:rPr>
                <w:rFonts w:hint="eastAsia" w:ascii="宋体" w:hAnsi="宋体" w:eastAsia="宋体" w:cs="Tahoma"/>
                <w:color w:val="auto"/>
                <w:kern w:val="0"/>
                <w:szCs w:val="21"/>
                <w:highlight w:val="none"/>
                <w:lang w:val="en-US" w:eastAsia="zh-CN"/>
              </w:rPr>
              <w:t>10</w:t>
            </w:r>
            <w:r>
              <w:rPr>
                <w:rFonts w:hint="eastAsia" w:ascii="宋体" w:hAnsi="宋体" w:eastAsia="宋体" w:cs="Tahoma"/>
                <w:color w:val="auto"/>
                <w:kern w:val="0"/>
                <w:szCs w:val="21"/>
                <w:highlight w:val="none"/>
              </w:rPr>
              <w:t>分。</w:t>
            </w:r>
          </w:p>
          <w:p w14:paraId="652BF355">
            <w:pPr>
              <w:keepNext w:val="0"/>
              <w:keepLines w:val="0"/>
              <w:pageBreakBefore w:val="0"/>
              <w:kinsoku/>
              <w:wordWrap/>
              <w:overflowPunct/>
              <w:topLinePunct w:val="0"/>
              <w:bidi w:val="0"/>
              <w:snapToGrid w:val="0"/>
              <w:spacing w:line="400" w:lineRule="exact"/>
              <w:ind w:firstLine="420" w:firstLineChars="200"/>
              <w:jc w:val="left"/>
              <w:textAlignment w:val="auto"/>
              <w:rPr>
                <w:rFonts w:ascii="宋体" w:hAnsi="宋体" w:eastAsia="宋体" w:cs="Tahoma"/>
                <w:color w:val="auto"/>
                <w:kern w:val="0"/>
                <w:szCs w:val="21"/>
                <w:highlight w:val="none"/>
              </w:rPr>
            </w:pPr>
            <w:r>
              <w:rPr>
                <w:rFonts w:hint="eastAsia" w:ascii="宋体" w:hAnsi="宋体" w:eastAsia="宋体" w:cs="Tahoma"/>
                <w:color w:val="auto"/>
                <w:kern w:val="0"/>
                <w:szCs w:val="21"/>
                <w:highlight w:val="none"/>
              </w:rPr>
              <w:t>备注：类似项目施工业绩需提供中标通知书或施工合同或竣工验收证书或其他能证明其业绩的材料</w:t>
            </w:r>
            <w:r>
              <w:rPr>
                <w:rFonts w:hint="eastAsia" w:ascii="宋体" w:hAnsi="宋体" w:cs="Tahoma"/>
                <w:color w:val="auto"/>
                <w:kern w:val="0"/>
                <w:szCs w:val="21"/>
                <w:highlight w:val="none"/>
                <w:lang w:eastAsia="zh-CN"/>
              </w:rPr>
              <w:t>，</w:t>
            </w:r>
            <w:r>
              <w:rPr>
                <w:rFonts w:hint="eastAsia" w:ascii="宋体" w:hAnsi="宋体" w:cs="Tahoma"/>
                <w:color w:val="auto"/>
                <w:kern w:val="0"/>
                <w:szCs w:val="21"/>
                <w:highlight w:val="none"/>
                <w:lang w:val="en-US" w:eastAsia="zh-CN"/>
              </w:rPr>
              <w:t>否则不得分</w:t>
            </w:r>
            <w:r>
              <w:rPr>
                <w:rFonts w:hint="eastAsia" w:ascii="宋体" w:hAnsi="宋体" w:eastAsia="宋体" w:cs="Tahoma"/>
                <w:color w:val="auto"/>
                <w:kern w:val="0"/>
                <w:szCs w:val="21"/>
                <w:highlight w:val="none"/>
              </w:rPr>
              <w:t>）。</w:t>
            </w:r>
          </w:p>
        </w:tc>
        <w:tc>
          <w:tcPr>
            <w:tcW w:w="783" w:type="dxa"/>
            <w:noWrap w:val="0"/>
            <w:vAlign w:val="center"/>
          </w:tcPr>
          <w:p w14:paraId="6979237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10分</w:t>
            </w:r>
          </w:p>
        </w:tc>
      </w:tr>
    </w:tbl>
    <w:p w14:paraId="080522F5">
      <w:pPr>
        <w:spacing w:line="360" w:lineRule="auto"/>
        <w:ind w:firstLine="420" w:firstLineChars="200"/>
        <w:rPr>
          <w:rFonts w:hint="eastAsia" w:ascii="宋体" w:hAnsi="宋体" w:eastAsia="宋体" w:cs="宋体"/>
          <w:b w:val="0"/>
          <w:bCs/>
          <w:color w:val="auto"/>
          <w:highlight w:val="none"/>
        </w:rPr>
      </w:pPr>
      <w:r>
        <w:rPr>
          <w:rFonts w:hint="eastAsia" w:ascii="宋体" w:hAnsi="宋体" w:eastAsia="宋体" w:cs="宋体"/>
          <w:color w:val="auto"/>
          <w:highlight w:val="none"/>
        </w:rPr>
        <w:t>8.2商务技术评审因素为客观评分项的，应在评分项目或评分标准中予以标注为“客观分”。对供应商的客观评分项目，各评审专家评分应当一致。</w:t>
      </w:r>
    </w:p>
    <w:p w14:paraId="6386F200">
      <w:pPr>
        <w:spacing w:line="360" w:lineRule="auto"/>
        <w:ind w:firstLine="420" w:firstLineChars="200"/>
        <w:rPr>
          <w:rFonts w:hint="eastAsia" w:ascii="宋体" w:hAnsi="宋体" w:eastAsia="宋体" w:cs="宋体"/>
          <w:color w:val="auto"/>
          <w:highlight w:val="none"/>
        </w:rPr>
      </w:pPr>
      <w:bookmarkStart w:id="132" w:name="_Toc80205935"/>
      <w:r>
        <w:rPr>
          <w:rFonts w:hint="eastAsia" w:ascii="宋体" w:hAnsi="宋体" w:cs="宋体"/>
          <w:color w:val="auto"/>
          <w:highlight w:val="none"/>
          <w:lang w:val="en-US" w:eastAsia="zh-CN"/>
        </w:rPr>
        <w:t>8</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rPr>
        <w:t>.终止竞争性磋商采购活动</w:t>
      </w:r>
    </w:p>
    <w:p w14:paraId="3CEDFF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835B1FA">
      <w:pPr>
        <w:pStyle w:val="3"/>
        <w:spacing w:before="0" w:after="0" w:line="360" w:lineRule="auto"/>
        <w:jc w:val="both"/>
        <w:rPr>
          <w:rFonts w:hint="eastAsia" w:ascii="宋体" w:hAnsi="宋体" w:eastAsia="宋体" w:cs="宋体"/>
          <w:b w:val="0"/>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79B3ADA">
      <w:pPr>
        <w:pStyle w:val="3"/>
        <w:spacing w:before="0" w:after="0" w:line="360" w:lineRule="auto"/>
        <w:ind w:firstLine="640" w:firstLineChars="200"/>
        <w:jc w:val="center"/>
        <w:rPr>
          <w:rFonts w:hint="eastAsia" w:ascii="宋体" w:hAnsi="宋体" w:eastAsia="宋体" w:cs="宋体"/>
          <w:b w:val="0"/>
          <w:color w:val="auto"/>
          <w:highlight w:val="none"/>
          <w:lang w:eastAsia="zh-CN"/>
        </w:rPr>
      </w:pPr>
      <w:bookmarkStart w:id="133" w:name="_Toc22098"/>
      <w:bookmarkStart w:id="134" w:name="_Toc25481"/>
      <w:bookmarkStart w:id="135" w:name="_Toc6406"/>
      <w:bookmarkStart w:id="136" w:name="_Toc498"/>
      <w:bookmarkStart w:id="137" w:name="_Toc18798"/>
      <w:bookmarkStart w:id="138" w:name="_Toc27005"/>
      <w:bookmarkStart w:id="139" w:name="_Toc1604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132"/>
      <w:bookmarkEnd w:id="133"/>
      <w:bookmarkEnd w:id="134"/>
      <w:bookmarkEnd w:id="135"/>
      <w:bookmarkEnd w:id="136"/>
      <w:bookmarkEnd w:id="137"/>
      <w:bookmarkEnd w:id="138"/>
      <w:bookmarkEnd w:id="139"/>
    </w:p>
    <w:p w14:paraId="3F344A10">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0251C117">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eastAsia="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需求偏离分由高到低排序）。评审得分、最后报价（不计算价格折扣）、技术得分、</w:t>
      </w:r>
      <w:r>
        <w:rPr>
          <w:rFonts w:hint="eastAsia" w:ascii="宋体" w:hAnsi="宋体" w:cs="宋体"/>
          <w:bCs/>
          <w:color w:val="auto"/>
          <w:szCs w:val="21"/>
          <w:highlight w:val="none"/>
          <w:lang w:val="en-US" w:eastAsia="zh-CN"/>
        </w:rPr>
        <w:t>技术</w:t>
      </w:r>
      <w:r>
        <w:rPr>
          <w:rFonts w:hint="eastAsia" w:ascii="宋体" w:hAnsi="宋体" w:eastAsia="宋体" w:cs="宋体"/>
          <w:bCs/>
          <w:color w:val="auto"/>
          <w:szCs w:val="21"/>
          <w:highlight w:val="none"/>
        </w:rPr>
        <w:t>需求偏离分均相同的，由磋商小组随机抽取推荐。</w:t>
      </w:r>
    </w:p>
    <w:p w14:paraId="3775D8D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DECA01F">
      <w:pPr>
        <w:pStyle w:val="34"/>
        <w:spacing w:before="0" w:line="360" w:lineRule="auto"/>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4E6F87">
      <w:pPr>
        <w:pStyle w:val="3"/>
        <w:spacing w:before="0" w:after="0" w:line="360" w:lineRule="auto"/>
        <w:ind w:firstLine="640" w:firstLineChars="200"/>
        <w:jc w:val="center"/>
        <w:rPr>
          <w:rFonts w:hint="eastAsia" w:ascii="宋体" w:hAnsi="宋体" w:eastAsia="宋体" w:cs="宋体"/>
          <w:b w:val="0"/>
          <w:color w:val="auto"/>
          <w:highlight w:val="none"/>
        </w:rPr>
      </w:pPr>
      <w:bookmarkStart w:id="140" w:name="_Toc80205936"/>
      <w:bookmarkStart w:id="141" w:name="_Toc3713"/>
      <w:bookmarkStart w:id="142" w:name="_Toc9233"/>
      <w:bookmarkStart w:id="143" w:name="_Toc13101"/>
      <w:bookmarkStart w:id="144" w:name="_Toc7265"/>
      <w:bookmarkStart w:id="145" w:name="_Toc3846"/>
      <w:bookmarkStart w:id="146" w:name="_Toc29016"/>
      <w:bookmarkStart w:id="147" w:name="_Toc30628"/>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140"/>
      <w:bookmarkEnd w:id="141"/>
      <w:bookmarkEnd w:id="142"/>
      <w:bookmarkEnd w:id="143"/>
      <w:bookmarkEnd w:id="144"/>
      <w:bookmarkEnd w:id="145"/>
      <w:bookmarkEnd w:id="146"/>
      <w:bookmarkEnd w:id="147"/>
    </w:p>
    <w:p w14:paraId="0CEF6E79">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1DDDD250">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cs="宋体"/>
          <w:color w:val="auto"/>
          <w:highlight w:val="none"/>
          <w:lang w:eastAsia="zh-CN"/>
        </w:rPr>
        <w:t>磋商小组</w:t>
      </w:r>
      <w:r>
        <w:rPr>
          <w:rFonts w:hint="eastAsia" w:ascii="宋体" w:hAnsi="宋体" w:eastAsia="宋体" w:cs="宋体"/>
          <w:color w:val="auto"/>
          <w:highlight w:val="none"/>
        </w:rPr>
        <w:t>成员、采购人和采购机构工作人员、相关监督人员等与评审有关的人员应当予以保密。</w:t>
      </w:r>
    </w:p>
    <w:p w14:paraId="2ABC667A">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63971B4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7FD346ED">
      <w:pPr>
        <w:spacing w:line="360" w:lineRule="auto"/>
        <w:ind w:firstLine="420" w:firstLineChars="200"/>
        <w:rPr>
          <w:rFonts w:hint="eastAsia" w:ascii="宋体" w:hAnsi="宋体" w:eastAsia="宋体" w:cs="宋体"/>
          <w:color w:val="auto"/>
          <w:highlight w:val="none"/>
        </w:rPr>
      </w:pPr>
    </w:p>
    <w:p w14:paraId="71AB80E1">
      <w:pPr>
        <w:spacing w:line="360" w:lineRule="auto"/>
        <w:ind w:firstLine="420" w:firstLineChars="200"/>
        <w:rPr>
          <w:rFonts w:hint="eastAsia" w:ascii="宋体" w:hAnsi="宋体" w:eastAsia="宋体" w:cs="宋体"/>
          <w:color w:val="auto"/>
          <w:highlight w:val="none"/>
        </w:rPr>
      </w:pPr>
    </w:p>
    <w:p w14:paraId="193AB427">
      <w:pPr>
        <w:spacing w:line="360" w:lineRule="auto"/>
        <w:rPr>
          <w:rFonts w:hint="eastAsia" w:ascii="宋体" w:hAnsi="宋体" w:eastAsia="宋体" w:cs="宋体"/>
          <w:color w:val="auto"/>
          <w:highlight w:val="none"/>
        </w:rPr>
      </w:pPr>
    </w:p>
    <w:p w14:paraId="4030AF8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5016462">
      <w:pPr>
        <w:pStyle w:val="12"/>
        <w:spacing w:line="360" w:lineRule="auto"/>
        <w:rPr>
          <w:rFonts w:hint="eastAsia" w:ascii="宋体" w:hAnsi="宋体" w:eastAsia="宋体" w:cs="宋体"/>
          <w:color w:val="auto"/>
          <w:highlight w:val="none"/>
        </w:rPr>
      </w:pPr>
    </w:p>
    <w:p w14:paraId="750A432E">
      <w:pPr>
        <w:pStyle w:val="12"/>
        <w:spacing w:line="360" w:lineRule="auto"/>
        <w:rPr>
          <w:rFonts w:hint="eastAsia" w:ascii="宋体" w:hAnsi="宋体" w:eastAsia="宋体" w:cs="宋体"/>
          <w:color w:val="auto"/>
          <w:highlight w:val="none"/>
        </w:rPr>
      </w:pPr>
    </w:p>
    <w:p w14:paraId="5211FB42">
      <w:pPr>
        <w:pStyle w:val="12"/>
        <w:spacing w:line="360" w:lineRule="auto"/>
        <w:rPr>
          <w:rFonts w:hint="eastAsia" w:ascii="宋体" w:hAnsi="宋体" w:eastAsia="宋体" w:cs="宋体"/>
          <w:color w:val="auto"/>
          <w:highlight w:val="none"/>
        </w:rPr>
      </w:pPr>
    </w:p>
    <w:p w14:paraId="02F2663B">
      <w:pPr>
        <w:pStyle w:val="12"/>
        <w:spacing w:line="360" w:lineRule="auto"/>
        <w:rPr>
          <w:rFonts w:hint="eastAsia" w:ascii="宋体" w:hAnsi="宋体" w:eastAsia="宋体" w:cs="宋体"/>
          <w:color w:val="auto"/>
          <w:highlight w:val="none"/>
        </w:rPr>
      </w:pPr>
    </w:p>
    <w:p w14:paraId="72B53756">
      <w:pPr>
        <w:pStyle w:val="12"/>
        <w:spacing w:line="360" w:lineRule="auto"/>
        <w:rPr>
          <w:rFonts w:hint="eastAsia" w:ascii="宋体" w:hAnsi="宋体" w:eastAsia="宋体" w:cs="宋体"/>
          <w:color w:val="auto"/>
          <w:highlight w:val="none"/>
        </w:rPr>
      </w:pPr>
    </w:p>
    <w:p w14:paraId="6CCA574E">
      <w:pPr>
        <w:pStyle w:val="12"/>
        <w:spacing w:line="360" w:lineRule="auto"/>
        <w:rPr>
          <w:rFonts w:hint="eastAsia" w:ascii="宋体" w:hAnsi="宋体" w:eastAsia="宋体" w:cs="宋体"/>
          <w:color w:val="auto"/>
          <w:highlight w:val="none"/>
        </w:rPr>
      </w:pPr>
    </w:p>
    <w:p w14:paraId="225508B8">
      <w:pPr>
        <w:pStyle w:val="12"/>
        <w:spacing w:line="360" w:lineRule="auto"/>
        <w:rPr>
          <w:rFonts w:hint="eastAsia" w:ascii="宋体" w:hAnsi="宋体" w:eastAsia="宋体" w:cs="宋体"/>
          <w:color w:val="auto"/>
          <w:highlight w:val="none"/>
        </w:rPr>
      </w:pPr>
    </w:p>
    <w:p w14:paraId="0C6CE18E">
      <w:pPr>
        <w:pStyle w:val="12"/>
        <w:spacing w:line="360" w:lineRule="auto"/>
        <w:rPr>
          <w:rFonts w:hint="eastAsia" w:ascii="宋体" w:hAnsi="宋体" w:eastAsia="宋体" w:cs="宋体"/>
          <w:color w:val="auto"/>
          <w:highlight w:val="none"/>
        </w:rPr>
      </w:pPr>
    </w:p>
    <w:p w14:paraId="69AC45D9">
      <w:pPr>
        <w:pStyle w:val="12"/>
        <w:spacing w:line="360" w:lineRule="auto"/>
        <w:rPr>
          <w:rFonts w:hint="eastAsia" w:ascii="宋体" w:hAnsi="宋体" w:eastAsia="宋体" w:cs="宋体"/>
          <w:color w:val="auto"/>
          <w:highlight w:val="none"/>
        </w:rPr>
      </w:pPr>
    </w:p>
    <w:p w14:paraId="2C309D7F">
      <w:pPr>
        <w:pStyle w:val="12"/>
        <w:spacing w:line="360" w:lineRule="auto"/>
        <w:rPr>
          <w:rFonts w:hint="eastAsia" w:ascii="宋体" w:hAnsi="宋体" w:eastAsia="宋体" w:cs="宋体"/>
          <w:color w:val="auto"/>
          <w:highlight w:val="none"/>
        </w:rPr>
      </w:pPr>
    </w:p>
    <w:p w14:paraId="3B83C059">
      <w:pPr>
        <w:pStyle w:val="12"/>
        <w:spacing w:line="360" w:lineRule="auto"/>
        <w:rPr>
          <w:rFonts w:hint="eastAsia" w:ascii="宋体" w:hAnsi="宋体" w:eastAsia="宋体" w:cs="宋体"/>
          <w:color w:val="auto"/>
          <w:highlight w:val="none"/>
        </w:rPr>
      </w:pPr>
    </w:p>
    <w:p w14:paraId="79B0DB22">
      <w:pPr>
        <w:pStyle w:val="2"/>
        <w:spacing w:line="360" w:lineRule="auto"/>
        <w:jc w:val="center"/>
        <w:rPr>
          <w:rFonts w:hint="eastAsia" w:ascii="宋体" w:hAnsi="宋体" w:eastAsia="宋体" w:cs="宋体"/>
          <w:b/>
          <w:bCs/>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148" w:name="_Toc14324"/>
      <w:bookmarkStart w:id="149" w:name="_Toc11732"/>
      <w:bookmarkStart w:id="150" w:name="_Toc22349"/>
      <w:bookmarkStart w:id="151" w:name="_Toc16991"/>
      <w:bookmarkStart w:id="152" w:name="_Toc8541"/>
      <w:bookmarkStart w:id="153" w:name="_Toc12700"/>
      <w:bookmarkStart w:id="154" w:name="_Toc29932"/>
      <w:r>
        <w:rPr>
          <w:rFonts w:hint="eastAsia" w:ascii="宋体" w:hAnsi="宋体" w:eastAsia="宋体" w:cs="宋体"/>
          <w:b/>
          <w:bCs/>
          <w:color w:val="auto"/>
          <w:highlight w:val="none"/>
        </w:rPr>
        <w:t>第五章 响应文件格式</w:t>
      </w:r>
      <w:bookmarkEnd w:id="148"/>
      <w:bookmarkEnd w:id="149"/>
      <w:bookmarkEnd w:id="150"/>
      <w:bookmarkEnd w:id="151"/>
      <w:bookmarkEnd w:id="152"/>
      <w:bookmarkEnd w:id="153"/>
      <w:bookmarkEnd w:id="154"/>
    </w:p>
    <w:p w14:paraId="79C217E3">
      <w:pPr>
        <w:pStyle w:val="3"/>
        <w:spacing w:line="360" w:lineRule="auto"/>
        <w:jc w:val="center"/>
        <w:rPr>
          <w:rFonts w:hint="eastAsia" w:ascii="宋体" w:hAnsi="宋体" w:eastAsia="宋体" w:cs="宋体"/>
          <w:b w:val="0"/>
          <w:color w:val="auto"/>
          <w:highlight w:val="none"/>
          <w:lang w:val="en-US" w:eastAsia="zh-CN"/>
        </w:rPr>
      </w:pPr>
      <w:bookmarkStart w:id="155" w:name="_Toc16580"/>
      <w:bookmarkStart w:id="156" w:name="_Toc26547"/>
      <w:bookmarkStart w:id="157" w:name="_Toc80205938"/>
      <w:bookmarkStart w:id="158" w:name="_Toc9368"/>
      <w:bookmarkStart w:id="159" w:name="_Toc23115"/>
      <w:bookmarkStart w:id="160" w:name="_Toc3747"/>
      <w:bookmarkStart w:id="161" w:name="_Toc3361"/>
      <w:bookmarkStart w:id="162" w:name="_Toc7703"/>
      <w:r>
        <w:rPr>
          <w:rFonts w:hint="eastAsia" w:ascii="宋体" w:hAnsi="宋体" w:eastAsia="宋体" w:cs="宋体"/>
          <w:b w:val="0"/>
          <w:color w:val="auto"/>
          <w:highlight w:val="none"/>
          <w:lang w:val="en-US" w:eastAsia="zh-CN"/>
        </w:rPr>
        <w:t>第一节 封面格式</w:t>
      </w:r>
      <w:bookmarkEnd w:id="155"/>
      <w:bookmarkEnd w:id="156"/>
      <w:bookmarkEnd w:id="157"/>
      <w:bookmarkEnd w:id="158"/>
      <w:bookmarkEnd w:id="159"/>
      <w:bookmarkEnd w:id="160"/>
      <w:bookmarkEnd w:id="161"/>
      <w:bookmarkEnd w:id="162"/>
    </w:p>
    <w:p w14:paraId="12385C0D">
      <w:pPr>
        <w:snapToGrid w:val="0"/>
        <w:spacing w:before="120" w:beforeLines="50" w:after="50" w:line="360" w:lineRule="auto"/>
        <w:rPr>
          <w:rFonts w:hint="eastAsia" w:ascii="宋体" w:hAnsi="宋体" w:eastAsia="宋体" w:cs="宋体"/>
          <w:color w:val="auto"/>
          <w:sz w:val="24"/>
          <w:szCs w:val="20"/>
          <w:highlight w:val="none"/>
        </w:rPr>
      </w:pPr>
    </w:p>
    <w:p w14:paraId="5683DB06">
      <w:pPr>
        <w:snapToGrid w:val="0"/>
        <w:spacing w:before="120" w:beforeLines="50" w:after="50" w:line="360" w:lineRule="auto"/>
        <w:jc w:val="center"/>
        <w:rPr>
          <w:rFonts w:hint="eastAsia" w:ascii="宋体" w:hAnsi="宋体" w:eastAsia="宋体" w:cs="宋体"/>
          <w:bCs/>
          <w:color w:val="auto"/>
          <w:sz w:val="24"/>
          <w:szCs w:val="20"/>
          <w:highlight w:val="none"/>
        </w:rPr>
      </w:pPr>
    </w:p>
    <w:p w14:paraId="63D6E4D5">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14:paraId="2222A45A">
      <w:pPr>
        <w:snapToGrid w:val="0"/>
        <w:spacing w:before="120" w:beforeLines="50" w:after="50" w:line="360" w:lineRule="auto"/>
        <w:jc w:val="center"/>
        <w:rPr>
          <w:rFonts w:hint="eastAsia" w:ascii="宋体" w:hAnsi="宋体" w:eastAsia="宋体" w:cs="宋体"/>
          <w:bCs/>
          <w:color w:val="auto"/>
          <w:sz w:val="44"/>
          <w:szCs w:val="44"/>
          <w:highlight w:val="none"/>
        </w:rPr>
      </w:pPr>
    </w:p>
    <w:p w14:paraId="55608707">
      <w:pPr>
        <w:snapToGrid w:val="0"/>
        <w:spacing w:before="120" w:beforeLines="50" w:after="50" w:line="360" w:lineRule="auto"/>
        <w:rPr>
          <w:rFonts w:hint="eastAsia" w:ascii="宋体" w:hAnsi="宋体" w:eastAsia="宋体" w:cs="宋体"/>
          <w:bCs/>
          <w:color w:val="auto"/>
          <w:sz w:val="32"/>
          <w:szCs w:val="32"/>
          <w:highlight w:val="none"/>
        </w:rPr>
      </w:pPr>
    </w:p>
    <w:p w14:paraId="38B610EF">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隆安县丁当镇保湾村农田水利设施项目（驮湾屯、农怀屯）</w:t>
      </w:r>
    </w:p>
    <w:p w14:paraId="28B36D6A">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8A4B97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项目编号：NNZC2026-C2-230056-JHGC</w:t>
      </w:r>
      <w:r>
        <w:rPr>
          <w:rFonts w:hint="eastAsia" w:ascii="宋体" w:hAnsi="宋体" w:cs="宋体"/>
          <w:bCs/>
          <w:color w:val="auto"/>
          <w:sz w:val="32"/>
          <w:szCs w:val="32"/>
          <w:highlight w:val="none"/>
          <w:lang w:eastAsia="zh-CN"/>
        </w:rPr>
        <w:t xml:space="preserve">   </w:t>
      </w:r>
    </w:p>
    <w:p w14:paraId="1D371524">
      <w:pPr>
        <w:snapToGrid w:val="0"/>
        <w:spacing w:before="120" w:beforeLines="50" w:after="50" w:line="360" w:lineRule="auto"/>
        <w:ind w:firstLine="480" w:firstLineChars="150"/>
        <w:rPr>
          <w:rFonts w:hint="eastAsia" w:ascii="宋体" w:hAnsi="宋体" w:eastAsia="宋体" w:cs="宋体"/>
          <w:bCs/>
          <w:color w:val="auto"/>
          <w:sz w:val="32"/>
          <w:szCs w:val="32"/>
          <w:highlight w:val="none"/>
        </w:rPr>
      </w:pPr>
    </w:p>
    <w:p w14:paraId="327F2A7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6B3EAD4">
      <w:pPr>
        <w:snapToGrid w:val="0"/>
        <w:spacing w:before="120" w:beforeLines="50" w:after="50" w:line="360" w:lineRule="auto"/>
        <w:rPr>
          <w:rFonts w:hint="eastAsia" w:ascii="宋体" w:hAnsi="宋体" w:eastAsia="宋体" w:cs="宋体"/>
          <w:bCs/>
          <w:color w:val="auto"/>
          <w:sz w:val="32"/>
          <w:szCs w:val="32"/>
          <w:highlight w:val="none"/>
        </w:rPr>
      </w:pPr>
    </w:p>
    <w:p w14:paraId="0DB4859A">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90BBDC9">
      <w:pPr>
        <w:snapToGrid w:val="0"/>
        <w:spacing w:before="120" w:beforeLines="50" w:after="50" w:line="360" w:lineRule="auto"/>
        <w:rPr>
          <w:rFonts w:hint="eastAsia" w:ascii="宋体" w:hAnsi="宋体" w:eastAsia="宋体" w:cs="宋体"/>
          <w:bCs/>
          <w:color w:val="auto"/>
          <w:sz w:val="32"/>
          <w:szCs w:val="32"/>
          <w:highlight w:val="none"/>
        </w:rPr>
      </w:pPr>
    </w:p>
    <w:p w14:paraId="56D41A1B">
      <w:pPr>
        <w:snapToGrid w:val="0"/>
        <w:spacing w:before="120" w:beforeLines="50" w:after="50"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2AB763CD">
      <w:pPr>
        <w:snapToGrid w:val="0"/>
        <w:spacing w:before="120" w:beforeLines="50" w:after="50" w:line="360" w:lineRule="auto"/>
        <w:ind w:firstLine="5440" w:firstLineChars="1700"/>
        <w:jc w:val="center"/>
        <w:rPr>
          <w:rFonts w:hint="eastAsia" w:ascii="宋体" w:hAnsi="宋体" w:eastAsia="宋体" w:cs="宋体"/>
          <w:bCs/>
          <w:color w:val="auto"/>
          <w:sz w:val="32"/>
          <w:szCs w:val="32"/>
          <w:highlight w:val="none"/>
        </w:rPr>
      </w:pPr>
    </w:p>
    <w:p w14:paraId="235D5267">
      <w:pPr>
        <w:snapToGrid w:val="0"/>
        <w:spacing w:before="120" w:beforeLines="50" w:after="50"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A283DA9">
      <w:pPr>
        <w:spacing w:line="360" w:lineRule="auto"/>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76B12B69">
      <w:pPr>
        <w:pStyle w:val="3"/>
        <w:spacing w:line="360" w:lineRule="auto"/>
        <w:jc w:val="center"/>
        <w:rPr>
          <w:rFonts w:hint="eastAsia" w:ascii="宋体" w:hAnsi="宋体" w:eastAsia="宋体" w:cs="宋体"/>
          <w:bCs w:val="0"/>
          <w:color w:val="auto"/>
          <w:highlight w:val="none"/>
        </w:rPr>
      </w:pPr>
      <w:bookmarkStart w:id="163" w:name="_Toc21695"/>
      <w:bookmarkStart w:id="164" w:name="_Toc80205939"/>
      <w:bookmarkStart w:id="165" w:name="_Toc30309"/>
      <w:bookmarkStart w:id="166" w:name="_Toc7860"/>
      <w:bookmarkStart w:id="167" w:name="_Toc25039"/>
      <w:bookmarkStart w:id="168" w:name="_Toc1031"/>
      <w:bookmarkStart w:id="169" w:name="_Toc1270"/>
      <w:bookmarkStart w:id="170" w:name="_Toc25717"/>
      <w:r>
        <w:rPr>
          <w:rFonts w:hint="eastAsia" w:ascii="宋体" w:hAnsi="宋体" w:eastAsia="宋体" w:cs="宋体"/>
          <w:bCs w:val="0"/>
          <w:color w:val="auto"/>
          <w:highlight w:val="none"/>
        </w:rPr>
        <w:t>第二节 资格证明文件格式</w:t>
      </w:r>
      <w:bookmarkEnd w:id="163"/>
      <w:bookmarkEnd w:id="164"/>
      <w:bookmarkEnd w:id="165"/>
      <w:bookmarkEnd w:id="166"/>
      <w:bookmarkEnd w:id="167"/>
      <w:bookmarkEnd w:id="168"/>
      <w:bookmarkEnd w:id="169"/>
      <w:bookmarkEnd w:id="170"/>
    </w:p>
    <w:p w14:paraId="51E81CB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2F07178">
      <w:pPr>
        <w:snapToGrid w:val="0"/>
        <w:spacing w:before="120" w:beforeLines="50" w:after="50" w:line="360" w:lineRule="auto"/>
        <w:rPr>
          <w:rFonts w:hint="eastAsia" w:ascii="宋体" w:hAnsi="宋体" w:eastAsia="宋体" w:cs="宋体"/>
          <w:color w:val="auto"/>
          <w:sz w:val="24"/>
          <w:szCs w:val="20"/>
          <w:highlight w:val="none"/>
        </w:rPr>
      </w:pPr>
    </w:p>
    <w:p w14:paraId="6CE5F902">
      <w:pPr>
        <w:snapToGrid w:val="0"/>
        <w:spacing w:before="120" w:beforeLines="50" w:after="50" w:line="360" w:lineRule="auto"/>
        <w:rPr>
          <w:rFonts w:hint="eastAsia" w:ascii="宋体" w:hAnsi="宋体" w:eastAsia="宋体" w:cs="宋体"/>
          <w:color w:val="auto"/>
          <w:sz w:val="24"/>
          <w:szCs w:val="20"/>
          <w:highlight w:val="none"/>
        </w:rPr>
      </w:pPr>
    </w:p>
    <w:p w14:paraId="16262445">
      <w:pPr>
        <w:snapToGrid w:val="0"/>
        <w:spacing w:before="120" w:beforeLines="50" w:after="50" w:line="360" w:lineRule="auto"/>
        <w:jc w:val="center"/>
        <w:rPr>
          <w:rFonts w:hint="eastAsia" w:ascii="宋体" w:hAnsi="宋体" w:eastAsia="宋体" w:cs="宋体"/>
          <w:bCs/>
          <w:color w:val="auto"/>
          <w:sz w:val="24"/>
          <w:szCs w:val="20"/>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14:paraId="6DFADDE7">
      <w:pPr>
        <w:snapToGrid w:val="0"/>
        <w:spacing w:before="120" w:beforeLines="50" w:after="50" w:line="360" w:lineRule="auto"/>
        <w:rPr>
          <w:rFonts w:hint="eastAsia" w:ascii="宋体" w:hAnsi="宋体" w:eastAsia="宋体" w:cs="宋体"/>
          <w:bCs/>
          <w:color w:val="auto"/>
          <w:sz w:val="24"/>
          <w:szCs w:val="20"/>
          <w:highlight w:val="none"/>
        </w:rPr>
      </w:pPr>
    </w:p>
    <w:p w14:paraId="4E198C96">
      <w:pPr>
        <w:snapToGrid w:val="0"/>
        <w:spacing w:before="120" w:beforeLines="50" w:after="50" w:line="360" w:lineRule="auto"/>
        <w:rPr>
          <w:rFonts w:hint="eastAsia" w:ascii="宋体" w:hAnsi="宋体" w:eastAsia="宋体" w:cs="宋体"/>
          <w:bCs/>
          <w:color w:val="auto"/>
          <w:sz w:val="24"/>
          <w:szCs w:val="20"/>
          <w:highlight w:val="none"/>
        </w:rPr>
      </w:pPr>
    </w:p>
    <w:p w14:paraId="05652E92">
      <w:pPr>
        <w:snapToGrid w:val="0"/>
        <w:spacing w:before="120" w:beforeLines="50" w:after="50" w:line="360" w:lineRule="auto"/>
        <w:rPr>
          <w:rFonts w:hint="eastAsia" w:ascii="宋体" w:hAnsi="宋体" w:eastAsia="宋体" w:cs="宋体"/>
          <w:bCs/>
          <w:color w:val="auto"/>
          <w:sz w:val="24"/>
          <w:szCs w:val="20"/>
          <w:highlight w:val="none"/>
        </w:rPr>
      </w:pPr>
    </w:p>
    <w:p w14:paraId="57037B79">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隆安县丁当镇保湾村农田水利设施项目（驮湾屯、农怀屯）</w:t>
      </w:r>
    </w:p>
    <w:p w14:paraId="6C093912">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2457ACB3">
      <w:pPr>
        <w:snapToGrid w:val="0"/>
        <w:spacing w:before="120" w:beforeLines="50" w:after="50" w:line="360" w:lineRule="auto"/>
        <w:ind w:firstLine="720" w:firstLineChars="225"/>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项目编号：NNZC2026-C2-230056-JHGC</w:t>
      </w:r>
      <w:r>
        <w:rPr>
          <w:rFonts w:hint="eastAsia" w:ascii="宋体" w:hAnsi="宋体" w:cs="宋体"/>
          <w:bCs/>
          <w:color w:val="auto"/>
          <w:sz w:val="32"/>
          <w:szCs w:val="32"/>
          <w:highlight w:val="none"/>
          <w:lang w:eastAsia="zh-CN"/>
        </w:rPr>
        <w:t xml:space="preserve">   </w:t>
      </w:r>
    </w:p>
    <w:p w14:paraId="25B1930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0BC14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139767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398C1CF7">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69D94F4">
      <w:pPr>
        <w:pStyle w:val="7"/>
        <w:snapToGrid w:val="0"/>
        <w:spacing w:before="50" w:after="50" w:line="360" w:lineRule="auto"/>
        <w:ind w:left="0" w:leftChars="0" w:firstLine="0" w:firstLineChars="0"/>
        <w:rPr>
          <w:rFonts w:hint="eastAsia" w:ascii="宋体" w:hAnsi="宋体" w:eastAsia="宋体" w:cs="宋体"/>
          <w:bCs/>
          <w:color w:val="auto"/>
          <w:sz w:val="32"/>
          <w:szCs w:val="32"/>
          <w:highlight w:val="none"/>
        </w:rPr>
      </w:pPr>
    </w:p>
    <w:p w14:paraId="117167FA">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F32CACE">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r>
        <w:rPr>
          <w:rFonts w:hint="eastAsia" w:ascii="宋体" w:hAnsi="宋体" w:eastAsia="宋体" w:cs="宋体"/>
          <w:b/>
          <w:color w:val="auto"/>
          <w:kern w:val="0"/>
          <w:sz w:val="36"/>
          <w:szCs w:val="36"/>
          <w:highlight w:val="none"/>
        </w:rPr>
        <w:t>资格证明文件目录</w:t>
      </w:r>
    </w:p>
    <w:p w14:paraId="63E40B71">
      <w:pPr>
        <w:snapToGrid w:val="0"/>
        <w:spacing w:line="360" w:lineRule="auto"/>
        <w:rPr>
          <w:rFonts w:hint="eastAsia" w:ascii="宋体" w:hAnsi="宋体" w:eastAsia="宋体" w:cs="宋体"/>
          <w:color w:val="auto"/>
          <w:kern w:val="0"/>
          <w:sz w:val="24"/>
          <w:highlight w:val="none"/>
        </w:rPr>
      </w:pPr>
    </w:p>
    <w:p w14:paraId="47ABE1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一、</w:t>
      </w:r>
      <w:r>
        <w:rPr>
          <w:rFonts w:hint="eastAsia" w:ascii="仿宋" w:hAnsi="仿宋" w:eastAsia="仿宋" w:cs="仿宋"/>
          <w:color w:val="auto"/>
          <w:sz w:val="24"/>
          <w:highlight w:val="none"/>
        </w:rPr>
        <w:t>营业执照</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或事业法人登记证或其他工商等登记证明材料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复印件（供应商为自然人的，须提供</w:t>
      </w:r>
      <w:r>
        <w:rPr>
          <w:rFonts w:hint="eastAsia" w:ascii="仿宋" w:hAnsi="仿宋" w:eastAsia="仿宋" w:cs="仿宋"/>
          <w:color w:val="auto"/>
          <w:kern w:val="0"/>
          <w:sz w:val="24"/>
          <w:highlight w:val="none"/>
        </w:rPr>
        <w:t>自然人的身份证明</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4143365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二、符合参与政府采购活动的资格条件依法缴纳税收、社会保障资金等方面的材料………………………………………………………………………………</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（页码）</w:t>
      </w:r>
    </w:p>
    <w:p w14:paraId="5286544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三、财务状况报告方面的材料…………………………………………………（页码）</w:t>
      </w:r>
    </w:p>
    <w:p w14:paraId="4B56FB2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四、供应商直接控股股东信息</w:t>
      </w:r>
      <w:r>
        <w:rPr>
          <w:rFonts w:hint="eastAsia" w:ascii="仿宋" w:hAnsi="仿宋" w:eastAsia="仿宋" w:cs="仿宋"/>
          <w:color w:val="auto"/>
          <w:kern w:val="0"/>
          <w:sz w:val="24"/>
          <w:highlight w:val="none"/>
        </w:rPr>
        <w:t>…………………………………………………（页码）</w:t>
      </w:r>
    </w:p>
    <w:p w14:paraId="5F6FAE68">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五、供应商直接关联关系信息表</w:t>
      </w:r>
      <w:r>
        <w:rPr>
          <w:rFonts w:hint="eastAsia" w:ascii="仿宋" w:hAnsi="仿宋" w:eastAsia="仿宋" w:cs="仿宋"/>
          <w:color w:val="auto"/>
          <w:kern w:val="0"/>
          <w:sz w:val="24"/>
          <w:highlight w:val="none"/>
        </w:rPr>
        <w:t>………………………………………………（页码）</w:t>
      </w:r>
    </w:p>
    <w:p w14:paraId="238FD04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六、资格声明函…………………………………………………………………（页码）</w:t>
      </w:r>
    </w:p>
    <w:p w14:paraId="083926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七</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eastAsia="zh-CN"/>
        </w:rPr>
        <w:t>中小</w:t>
      </w:r>
      <w:r>
        <w:rPr>
          <w:rFonts w:hint="eastAsia" w:ascii="仿宋" w:hAnsi="仿宋" w:eastAsia="仿宋" w:cs="仿宋"/>
          <w:color w:val="auto"/>
          <w:sz w:val="24"/>
          <w:szCs w:val="24"/>
          <w:highlight w:val="none"/>
        </w:rPr>
        <w:t>企业声明函或残疾人福利性单位声明函或供应商属于监狱企业的证明材料</w:t>
      </w:r>
      <w:r>
        <w:rPr>
          <w:rFonts w:hint="eastAsia" w:ascii="仿宋" w:hAnsi="仿宋" w:eastAsia="仿宋" w:cs="仿宋"/>
          <w:color w:val="auto"/>
          <w:kern w:val="0"/>
          <w:sz w:val="24"/>
          <w:highlight w:val="none"/>
        </w:rPr>
        <w:t>………………………………………………（页码）</w:t>
      </w:r>
    </w:p>
    <w:p w14:paraId="57DCAE23">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、符合特定资格条件的有关证明材料</w:t>
      </w:r>
      <w:r>
        <w:rPr>
          <w:rFonts w:hint="eastAsia" w:ascii="仿宋" w:hAnsi="仿宋" w:eastAsia="仿宋" w:cs="仿宋"/>
          <w:color w:val="auto"/>
          <w:kern w:val="0"/>
          <w:sz w:val="24"/>
          <w:highlight w:val="none"/>
        </w:rPr>
        <w:t>………………………………………（页码）</w:t>
      </w:r>
    </w:p>
    <w:p w14:paraId="6EC24C7A">
      <w:pPr>
        <w:spacing w:line="36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九</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项目经理无在建项目承诺书………………………………………………（页码）</w:t>
      </w:r>
    </w:p>
    <w:p w14:paraId="1EE05F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十、</w:t>
      </w:r>
      <w:r>
        <w:rPr>
          <w:rFonts w:hint="eastAsia" w:ascii="仿宋" w:hAnsi="仿宋" w:eastAsia="仿宋" w:cs="仿宋"/>
          <w:color w:val="auto"/>
          <w:sz w:val="24"/>
          <w:highlight w:val="none"/>
        </w:rPr>
        <w:t>除磋商文件规定必须提供以外，供应商认为需要提供的其他证明材料。</w:t>
      </w:r>
      <w:r>
        <w:rPr>
          <w:rFonts w:hint="eastAsia" w:ascii="仿宋" w:hAnsi="仿宋" w:eastAsia="仿宋" w:cs="仿宋"/>
          <w:color w:val="auto"/>
          <w:kern w:val="0"/>
          <w:sz w:val="24"/>
          <w:highlight w:val="none"/>
        </w:rPr>
        <w:t>…</w:t>
      </w:r>
    </w:p>
    <w:p w14:paraId="7A60D51B">
      <w:pPr>
        <w:snapToGrid w:val="0"/>
        <w:spacing w:line="360" w:lineRule="auto"/>
        <w:rPr>
          <w:rFonts w:hint="eastAsia" w:ascii="仿宋" w:hAnsi="仿宋" w:eastAsia="仿宋" w:cs="仿宋"/>
          <w:color w:val="auto"/>
          <w:sz w:val="24"/>
          <w:highlight w:val="none"/>
          <w:lang w:eastAsia="zh-CN"/>
        </w:rPr>
      </w:pPr>
      <w:r>
        <w:rPr>
          <w:rFonts w:hint="eastAsia" w:ascii="仿宋" w:hAnsi="仿宋" w:eastAsia="仿宋" w:cs="仿宋"/>
          <w:color w:val="auto"/>
          <w:kern w:val="0"/>
          <w:sz w:val="24"/>
          <w:highlight w:val="none"/>
        </w:rPr>
        <w:t>……………………………………………………………………………………（页码）</w:t>
      </w:r>
    </w:p>
    <w:p w14:paraId="4222945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注：以上目录是编制供应商响应文件的基本格式要求，各供应商可根据自身情况进一步细化。</w:t>
      </w:r>
    </w:p>
    <w:p w14:paraId="4F1A9191">
      <w:pPr>
        <w:snapToGrid w:val="0"/>
        <w:spacing w:before="120" w:beforeLines="50" w:after="50" w:line="360" w:lineRule="auto"/>
        <w:ind w:left="142" w:firstLine="420" w:firstLineChars="200"/>
        <w:jc w:val="left"/>
        <w:rPr>
          <w:rFonts w:hint="eastAsia" w:ascii="宋体" w:hAnsi="宋体" w:eastAsia="宋体" w:cs="宋体"/>
          <w:color w:val="auto"/>
          <w:szCs w:val="21"/>
          <w:highlight w:val="none"/>
        </w:rPr>
      </w:pPr>
    </w:p>
    <w:p w14:paraId="5274AAA6">
      <w:pPr>
        <w:spacing w:line="360" w:lineRule="auto"/>
        <w:rPr>
          <w:rFonts w:hint="eastAsia" w:ascii="宋体" w:hAnsi="宋体" w:eastAsia="宋体" w:cs="宋体"/>
          <w:color w:val="auto"/>
          <w:szCs w:val="21"/>
          <w:highlight w:val="none"/>
        </w:rPr>
      </w:pPr>
    </w:p>
    <w:p w14:paraId="71377856">
      <w:pPr>
        <w:spacing w:line="360" w:lineRule="auto"/>
        <w:rPr>
          <w:rFonts w:hint="eastAsia" w:ascii="宋体" w:hAnsi="宋体" w:eastAsia="宋体" w:cs="宋体"/>
          <w:color w:val="auto"/>
          <w:szCs w:val="21"/>
          <w:highlight w:val="none"/>
        </w:rPr>
      </w:pPr>
    </w:p>
    <w:p w14:paraId="457E475A">
      <w:pPr>
        <w:spacing w:line="360" w:lineRule="auto"/>
        <w:rPr>
          <w:rFonts w:hint="eastAsia" w:ascii="宋体" w:hAnsi="宋体" w:eastAsia="宋体" w:cs="宋体"/>
          <w:color w:val="auto"/>
          <w:szCs w:val="21"/>
          <w:highlight w:val="none"/>
        </w:rPr>
      </w:pPr>
    </w:p>
    <w:p w14:paraId="51E42A90">
      <w:pPr>
        <w:spacing w:line="360" w:lineRule="auto"/>
        <w:rPr>
          <w:rFonts w:hint="eastAsia" w:ascii="宋体" w:hAnsi="宋体" w:eastAsia="宋体" w:cs="宋体"/>
          <w:color w:val="auto"/>
          <w:szCs w:val="21"/>
          <w:highlight w:val="none"/>
        </w:rPr>
      </w:pPr>
    </w:p>
    <w:p w14:paraId="6F0A0A04">
      <w:pPr>
        <w:spacing w:line="360" w:lineRule="auto"/>
        <w:rPr>
          <w:rFonts w:hint="eastAsia" w:ascii="宋体" w:hAnsi="宋体" w:eastAsia="宋体" w:cs="宋体"/>
          <w:color w:val="auto"/>
          <w:szCs w:val="21"/>
          <w:highlight w:val="none"/>
        </w:rPr>
      </w:pPr>
    </w:p>
    <w:p w14:paraId="6FF4A2F8">
      <w:pPr>
        <w:spacing w:line="360" w:lineRule="auto"/>
        <w:rPr>
          <w:rFonts w:hint="eastAsia" w:ascii="宋体" w:hAnsi="宋体" w:eastAsia="宋体" w:cs="宋体"/>
          <w:color w:val="auto"/>
          <w:szCs w:val="21"/>
          <w:highlight w:val="none"/>
        </w:rPr>
      </w:pPr>
    </w:p>
    <w:p w14:paraId="26F9708C">
      <w:pPr>
        <w:spacing w:line="360" w:lineRule="auto"/>
        <w:rPr>
          <w:rFonts w:hint="eastAsia" w:ascii="宋体" w:hAnsi="宋体" w:eastAsia="宋体" w:cs="宋体"/>
          <w:color w:val="auto"/>
          <w:szCs w:val="21"/>
          <w:highlight w:val="none"/>
        </w:rPr>
      </w:pPr>
    </w:p>
    <w:p w14:paraId="4E988B1E">
      <w:pPr>
        <w:spacing w:line="360" w:lineRule="auto"/>
        <w:rPr>
          <w:rFonts w:hint="eastAsia" w:ascii="宋体" w:hAnsi="宋体" w:eastAsia="宋体" w:cs="宋体"/>
          <w:color w:val="auto"/>
          <w:szCs w:val="21"/>
          <w:highlight w:val="none"/>
        </w:rPr>
      </w:pPr>
    </w:p>
    <w:p w14:paraId="3143F6FA">
      <w:pPr>
        <w:spacing w:line="360" w:lineRule="auto"/>
        <w:rPr>
          <w:rFonts w:hint="eastAsia" w:ascii="宋体" w:hAnsi="宋体" w:eastAsia="宋体" w:cs="宋体"/>
          <w:color w:val="auto"/>
          <w:szCs w:val="21"/>
          <w:highlight w:val="none"/>
        </w:rPr>
      </w:pPr>
    </w:p>
    <w:p w14:paraId="33F76577">
      <w:pPr>
        <w:pStyle w:val="16"/>
        <w:spacing w:line="360" w:lineRule="auto"/>
        <w:ind w:firstLine="400" w:firstLineChars="200"/>
        <w:rPr>
          <w:rFonts w:hint="eastAsia" w:ascii="仿宋" w:hAnsi="仿宋" w:eastAsia="仿宋" w:cs="仿宋"/>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color w:val="auto"/>
          <w:sz w:val="30"/>
          <w:szCs w:val="30"/>
          <w:highlight w:val="none"/>
        </w:rPr>
        <w:t>一、营业执照</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或事业法人登记证或其他工商等登记证明材料</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复印件（</w:t>
      </w:r>
      <w:r>
        <w:rPr>
          <w:rFonts w:hint="eastAsia" w:ascii="仿宋" w:hAnsi="仿宋" w:eastAsia="仿宋" w:cs="仿宋"/>
          <w:b/>
          <w:color w:val="auto"/>
          <w:sz w:val="30"/>
          <w:szCs w:val="30"/>
          <w:highlight w:val="none"/>
          <w:lang w:eastAsia="zh-CN"/>
        </w:rPr>
        <w:t>供应商</w:t>
      </w:r>
      <w:r>
        <w:rPr>
          <w:rFonts w:hint="eastAsia" w:ascii="仿宋" w:hAnsi="仿宋" w:eastAsia="仿宋" w:cs="仿宋"/>
          <w:b/>
          <w:color w:val="auto"/>
          <w:sz w:val="30"/>
          <w:szCs w:val="30"/>
          <w:highlight w:val="none"/>
        </w:rPr>
        <w:t>为自然人的，提供自然人的身份证明）</w:t>
      </w:r>
    </w:p>
    <w:p w14:paraId="4FFC55EB">
      <w:pPr>
        <w:pStyle w:val="16"/>
        <w:spacing w:line="360" w:lineRule="auto"/>
        <w:ind w:firstLine="602" w:firstLineChars="200"/>
        <w:rPr>
          <w:rFonts w:hint="eastAsia" w:ascii="仿宋" w:hAnsi="仿宋" w:eastAsia="仿宋" w:cs="仿宋"/>
          <w:b/>
          <w:color w:val="auto"/>
          <w:sz w:val="30"/>
          <w:szCs w:val="30"/>
          <w:highlight w:val="none"/>
        </w:rPr>
      </w:pPr>
    </w:p>
    <w:p w14:paraId="7AEC0708">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6E1BC32">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75249010">
      <w:pPr>
        <w:snapToGrid w:val="0"/>
        <w:spacing w:before="120" w:beforeLines="50" w:after="50" w:line="360" w:lineRule="auto"/>
        <w:rPr>
          <w:rFonts w:hint="eastAsia" w:ascii="仿宋" w:hAnsi="仿宋" w:eastAsia="仿宋" w:cs="仿宋"/>
          <w:color w:val="auto"/>
          <w:sz w:val="24"/>
          <w:szCs w:val="20"/>
          <w:highlight w:val="none"/>
        </w:rPr>
      </w:pPr>
    </w:p>
    <w:p w14:paraId="38D5C353">
      <w:pPr>
        <w:pStyle w:val="16"/>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二、</w:t>
      </w:r>
      <w:r>
        <w:rPr>
          <w:rFonts w:hint="eastAsia" w:ascii="仿宋" w:hAnsi="仿宋" w:eastAsia="仿宋" w:cs="仿宋"/>
          <w:b/>
          <w:color w:val="auto"/>
          <w:sz w:val="30"/>
          <w:szCs w:val="30"/>
          <w:highlight w:val="none"/>
        </w:rPr>
        <w:t>符合参与政府采购活动的资格条件依法缴纳税收、社会保障资金等方面的材料</w:t>
      </w:r>
    </w:p>
    <w:p w14:paraId="5BF3C7BF">
      <w:pPr>
        <w:spacing w:line="360" w:lineRule="auto"/>
        <w:rPr>
          <w:rFonts w:hint="eastAsia" w:ascii="仿宋" w:hAnsi="仿宋" w:eastAsia="仿宋" w:cs="仿宋"/>
          <w:color w:val="auto"/>
          <w:szCs w:val="21"/>
          <w:highlight w:val="none"/>
        </w:rPr>
      </w:pPr>
    </w:p>
    <w:p w14:paraId="196FBAB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69080F1">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40D74755">
      <w:pPr>
        <w:spacing w:line="360" w:lineRule="auto"/>
        <w:rPr>
          <w:rFonts w:hint="eastAsia" w:ascii="仿宋" w:hAnsi="仿宋" w:eastAsia="仿宋" w:cs="仿宋"/>
          <w:color w:val="auto"/>
          <w:szCs w:val="21"/>
          <w:highlight w:val="none"/>
        </w:rPr>
      </w:pPr>
    </w:p>
    <w:p w14:paraId="153CA521">
      <w:pPr>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三、财务状况报告方面的材料</w:t>
      </w:r>
    </w:p>
    <w:p w14:paraId="2B692D0A">
      <w:pPr>
        <w:spacing w:line="360" w:lineRule="auto"/>
        <w:rPr>
          <w:rFonts w:hint="eastAsia" w:ascii="仿宋" w:hAnsi="仿宋" w:eastAsia="仿宋" w:cs="仿宋"/>
          <w:color w:val="auto"/>
          <w:szCs w:val="21"/>
          <w:highlight w:val="none"/>
        </w:rPr>
      </w:pPr>
    </w:p>
    <w:p w14:paraId="580FFF85">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BFEF024">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0F0A40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75B92450">
      <w:pPr>
        <w:snapToGrid w:val="0"/>
        <w:spacing w:before="120" w:beforeLines="50" w:after="50" w:line="360" w:lineRule="auto"/>
        <w:jc w:val="center"/>
        <w:rPr>
          <w:rFonts w:hint="eastAsia" w:ascii="仿宋" w:hAnsi="仿宋" w:eastAsia="仿宋" w:cs="仿宋"/>
          <w:b/>
          <w:color w:val="auto"/>
          <w:sz w:val="24"/>
          <w:highlight w:val="none"/>
        </w:rPr>
      </w:pPr>
    </w:p>
    <w:p w14:paraId="49111B82">
      <w:pPr>
        <w:spacing w:line="360" w:lineRule="auto"/>
        <w:ind w:firstLine="596" w:firstLineChars="198"/>
        <w:contextualSpacing/>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39EB971C">
      <w:pPr>
        <w:spacing w:line="360" w:lineRule="auto"/>
        <w:ind w:firstLine="596" w:firstLineChars="198"/>
        <w:contextualSpacing/>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四、供应商直接控股股东信息</w:t>
      </w:r>
    </w:p>
    <w:p w14:paraId="79360E61">
      <w:pPr>
        <w:spacing w:line="360" w:lineRule="auto"/>
        <w:contextualSpacing/>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58BAF2E">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8BDC3A">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7C8AE9">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B2617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9F8FE5">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91616C">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22D8807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9E4B3D">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FE6F3D">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4C9CAB">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75A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8F0D4">
            <w:pPr>
              <w:widowControl/>
              <w:spacing w:line="360" w:lineRule="auto"/>
              <w:contextualSpacing/>
              <w:jc w:val="center"/>
              <w:rPr>
                <w:rFonts w:hint="eastAsia" w:ascii="仿宋" w:hAnsi="仿宋" w:eastAsia="仿宋" w:cs="仿宋"/>
                <w:color w:val="auto"/>
                <w:kern w:val="0"/>
                <w:sz w:val="24"/>
                <w:highlight w:val="none"/>
              </w:rPr>
            </w:pPr>
          </w:p>
        </w:tc>
      </w:tr>
      <w:tr w14:paraId="6B4F0BA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373B0F">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4A514">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33F83">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39F5F0A">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5E6CAE">
            <w:pPr>
              <w:widowControl/>
              <w:spacing w:line="360" w:lineRule="auto"/>
              <w:contextualSpacing/>
              <w:jc w:val="center"/>
              <w:rPr>
                <w:rFonts w:hint="eastAsia" w:ascii="仿宋" w:hAnsi="仿宋" w:eastAsia="仿宋" w:cs="仿宋"/>
                <w:color w:val="auto"/>
                <w:kern w:val="0"/>
                <w:sz w:val="24"/>
                <w:highlight w:val="none"/>
              </w:rPr>
            </w:pPr>
          </w:p>
        </w:tc>
      </w:tr>
      <w:tr w14:paraId="6B1EAB7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0093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517041">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F41C9F">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5547E9">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A0F605">
            <w:pPr>
              <w:widowControl/>
              <w:spacing w:line="360" w:lineRule="auto"/>
              <w:contextualSpacing/>
              <w:jc w:val="center"/>
              <w:rPr>
                <w:rFonts w:hint="eastAsia" w:ascii="仿宋" w:hAnsi="仿宋" w:eastAsia="仿宋" w:cs="仿宋"/>
                <w:color w:val="auto"/>
                <w:kern w:val="0"/>
                <w:sz w:val="24"/>
                <w:highlight w:val="none"/>
              </w:rPr>
            </w:pPr>
          </w:p>
        </w:tc>
      </w:tr>
      <w:tr w14:paraId="286412D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992F1C">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6D1186F">
            <w:pPr>
              <w:widowControl/>
              <w:spacing w:line="360" w:lineRule="auto"/>
              <w:contextualSpacing/>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2AF5B41">
            <w:pPr>
              <w:widowControl/>
              <w:spacing w:line="360" w:lineRule="auto"/>
              <w:contextualSpacing/>
              <w:jc w:val="center"/>
              <w:rPr>
                <w:rFonts w:hint="eastAsia" w:ascii="仿宋" w:hAnsi="仿宋" w:eastAsia="仿宋" w:cs="仿宋"/>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589788">
            <w:pPr>
              <w:widowControl/>
              <w:spacing w:line="360" w:lineRule="auto"/>
              <w:contextualSpacing/>
              <w:jc w:val="center"/>
              <w:rPr>
                <w:rFonts w:hint="eastAsia" w:ascii="仿宋" w:hAnsi="仿宋" w:eastAsia="仿宋" w:cs="仿宋"/>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9E54BB5">
            <w:pPr>
              <w:widowControl/>
              <w:spacing w:line="360" w:lineRule="auto"/>
              <w:contextualSpacing/>
              <w:jc w:val="center"/>
              <w:rPr>
                <w:rFonts w:hint="eastAsia" w:ascii="仿宋" w:hAnsi="仿宋" w:eastAsia="仿宋" w:cs="仿宋"/>
                <w:color w:val="auto"/>
                <w:kern w:val="0"/>
                <w:sz w:val="24"/>
                <w:highlight w:val="none"/>
              </w:rPr>
            </w:pPr>
          </w:p>
        </w:tc>
      </w:tr>
    </w:tbl>
    <w:p w14:paraId="074501DD">
      <w:pPr>
        <w:spacing w:line="360" w:lineRule="auto"/>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127F3871">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F04740">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2.本表所指的控股关系仅限于直接控股关系，不包括间接的控股关系。公司实际控制人与公司之间的关系不属于本表所指的直接控股关系。</w:t>
      </w:r>
    </w:p>
    <w:p w14:paraId="7ED917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3.供应商不存在直接控股股东的，则填“无”。</w:t>
      </w:r>
    </w:p>
    <w:p w14:paraId="7CF156FD">
      <w:pPr>
        <w:snapToGrid w:val="0"/>
        <w:spacing w:line="360" w:lineRule="auto"/>
        <w:jc w:val="left"/>
        <w:rPr>
          <w:rFonts w:hint="eastAsia" w:ascii="仿宋" w:hAnsi="仿宋" w:eastAsia="仿宋" w:cs="仿宋"/>
          <w:color w:val="auto"/>
          <w:sz w:val="24"/>
          <w:highlight w:val="none"/>
        </w:rPr>
      </w:pPr>
    </w:p>
    <w:p w14:paraId="77BE3AF3">
      <w:pPr>
        <w:snapToGrid w:val="0"/>
        <w:spacing w:line="360" w:lineRule="auto"/>
        <w:jc w:val="left"/>
        <w:rPr>
          <w:rFonts w:hint="eastAsia" w:ascii="仿宋" w:hAnsi="仿宋" w:eastAsia="仿宋" w:cs="仿宋"/>
          <w:color w:val="auto"/>
          <w:sz w:val="24"/>
          <w:highlight w:val="none"/>
        </w:rPr>
      </w:pPr>
    </w:p>
    <w:p w14:paraId="690AF496">
      <w:pPr>
        <w:snapToGrid w:val="0"/>
        <w:spacing w:line="360" w:lineRule="auto"/>
        <w:jc w:val="left"/>
        <w:rPr>
          <w:rFonts w:hint="eastAsia" w:ascii="仿宋" w:hAnsi="仿宋" w:eastAsia="仿宋" w:cs="仿宋"/>
          <w:color w:val="auto"/>
          <w:sz w:val="24"/>
          <w:highlight w:val="none"/>
        </w:rPr>
      </w:pPr>
    </w:p>
    <w:p w14:paraId="27A7836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772F03F">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57914A47">
      <w:pPr>
        <w:snapToGrid w:val="0"/>
        <w:spacing w:line="360" w:lineRule="auto"/>
        <w:rPr>
          <w:rFonts w:hint="eastAsia" w:ascii="仿宋" w:hAnsi="仿宋" w:eastAsia="仿宋" w:cs="仿宋"/>
          <w:b/>
          <w:color w:val="auto"/>
          <w:kern w:val="0"/>
          <w:sz w:val="30"/>
          <w:szCs w:val="30"/>
          <w:highlight w:val="none"/>
        </w:rPr>
      </w:pPr>
    </w:p>
    <w:p w14:paraId="7B0E5BC7">
      <w:pPr>
        <w:snapToGrid w:val="0"/>
        <w:spacing w:line="360" w:lineRule="auto"/>
        <w:ind w:firstLine="596" w:firstLineChars="198"/>
        <w:rPr>
          <w:rFonts w:hint="eastAsia" w:ascii="仿宋" w:hAnsi="仿宋" w:eastAsia="仿宋" w:cs="仿宋"/>
          <w:b/>
          <w:color w:val="auto"/>
          <w:kern w:val="0"/>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78936C8">
      <w:pPr>
        <w:snapToGrid w:val="0"/>
        <w:spacing w:line="360" w:lineRule="auto"/>
        <w:ind w:firstLine="596" w:firstLineChars="198"/>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五、供应商直接管理关系信息表</w:t>
      </w:r>
    </w:p>
    <w:p w14:paraId="5413DF84">
      <w:pPr>
        <w:snapToGrid w:val="0"/>
        <w:spacing w:line="360" w:lineRule="auto"/>
        <w:jc w:val="center"/>
        <w:rPr>
          <w:rFonts w:hint="eastAsia" w:ascii="仿宋" w:hAnsi="仿宋" w:eastAsia="仿宋" w:cs="仿宋"/>
          <w:b/>
          <w:color w:val="auto"/>
          <w:sz w:val="24"/>
          <w:highlight w:val="none"/>
        </w:rPr>
      </w:pPr>
    </w:p>
    <w:tbl>
      <w:tblPr>
        <w:tblStyle w:val="27"/>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859347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7AE89D3">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99BD9E">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61D600">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7567ED">
            <w:pPr>
              <w:widowControl/>
              <w:spacing w:line="360" w:lineRule="auto"/>
              <w:contextualSpacing/>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7F3E30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5446AA">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0449E4">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C1F5A5">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7BE470">
            <w:pPr>
              <w:widowControl/>
              <w:spacing w:line="360" w:lineRule="auto"/>
              <w:contextualSpacing/>
              <w:jc w:val="center"/>
              <w:rPr>
                <w:rFonts w:hint="eastAsia" w:ascii="仿宋" w:hAnsi="仿宋" w:eastAsia="仿宋" w:cs="仿宋"/>
                <w:color w:val="auto"/>
                <w:kern w:val="0"/>
                <w:sz w:val="24"/>
                <w:highlight w:val="none"/>
              </w:rPr>
            </w:pPr>
          </w:p>
        </w:tc>
      </w:tr>
      <w:tr w14:paraId="20042C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89E291">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06B3AF">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75F67A">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735FDA">
            <w:pPr>
              <w:widowControl/>
              <w:spacing w:line="360" w:lineRule="auto"/>
              <w:contextualSpacing/>
              <w:jc w:val="center"/>
              <w:rPr>
                <w:rFonts w:hint="eastAsia" w:ascii="仿宋" w:hAnsi="仿宋" w:eastAsia="仿宋" w:cs="仿宋"/>
                <w:color w:val="auto"/>
                <w:kern w:val="0"/>
                <w:sz w:val="24"/>
                <w:highlight w:val="none"/>
              </w:rPr>
            </w:pPr>
          </w:p>
        </w:tc>
      </w:tr>
      <w:tr w14:paraId="42A26B4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25152B">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161346">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3AD860">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3E3F50">
            <w:pPr>
              <w:widowControl/>
              <w:spacing w:line="360" w:lineRule="auto"/>
              <w:contextualSpacing/>
              <w:jc w:val="center"/>
              <w:rPr>
                <w:rFonts w:hint="eastAsia" w:ascii="仿宋" w:hAnsi="仿宋" w:eastAsia="仿宋" w:cs="仿宋"/>
                <w:color w:val="auto"/>
                <w:kern w:val="0"/>
                <w:sz w:val="24"/>
                <w:highlight w:val="none"/>
              </w:rPr>
            </w:pPr>
          </w:p>
        </w:tc>
      </w:tr>
      <w:tr w14:paraId="05F0753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56C314">
            <w:pPr>
              <w:widowControl/>
              <w:spacing w:line="360" w:lineRule="auto"/>
              <w:contextualSpacing/>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10383AE">
            <w:pPr>
              <w:widowControl/>
              <w:spacing w:line="360" w:lineRule="auto"/>
              <w:contextualSpacing/>
              <w:jc w:val="center"/>
              <w:rPr>
                <w:rFonts w:hint="eastAsia" w:ascii="仿宋" w:hAnsi="仿宋" w:eastAsia="仿宋" w:cs="仿宋"/>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468F6">
            <w:pPr>
              <w:widowControl/>
              <w:spacing w:line="360" w:lineRule="auto"/>
              <w:contextualSpacing/>
              <w:jc w:val="center"/>
              <w:rPr>
                <w:rFonts w:hint="eastAsia" w:ascii="仿宋" w:hAnsi="仿宋" w:eastAsia="仿宋" w:cs="仿宋"/>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AEA172">
            <w:pPr>
              <w:widowControl/>
              <w:spacing w:line="360" w:lineRule="auto"/>
              <w:contextualSpacing/>
              <w:jc w:val="center"/>
              <w:rPr>
                <w:rFonts w:hint="eastAsia" w:ascii="仿宋" w:hAnsi="仿宋" w:eastAsia="仿宋" w:cs="仿宋"/>
                <w:color w:val="auto"/>
                <w:kern w:val="0"/>
                <w:sz w:val="24"/>
                <w:highlight w:val="none"/>
              </w:rPr>
            </w:pPr>
          </w:p>
        </w:tc>
      </w:tr>
    </w:tbl>
    <w:p w14:paraId="16E77EB8">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w:t>
      </w:r>
    </w:p>
    <w:p w14:paraId="494C571C">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1.管理关系：是指不具有出资持股关系的其他单位之间存在的管理与被管理关系，如一些上下级关系的事业单位和团体组织。</w:t>
      </w:r>
    </w:p>
    <w:p w14:paraId="5DA38B89">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2.本表所指的管理关系仅限于直接管理关系，不包括间接的管理关系。</w:t>
      </w:r>
    </w:p>
    <w:p w14:paraId="736DAF44">
      <w:pPr>
        <w:spacing w:line="360" w:lineRule="auto"/>
        <w:ind w:firstLine="480" w:firstLineChars="200"/>
        <w:contextualSpacing/>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3.供应商不存在直接管理关系的，则填“无”。</w:t>
      </w:r>
    </w:p>
    <w:p w14:paraId="74331254">
      <w:pPr>
        <w:spacing w:line="360" w:lineRule="auto"/>
        <w:contextualSpacing/>
        <w:jc w:val="left"/>
        <w:rPr>
          <w:rFonts w:hint="eastAsia" w:ascii="仿宋" w:hAnsi="仿宋" w:eastAsia="仿宋" w:cs="仿宋"/>
          <w:color w:val="auto"/>
          <w:sz w:val="24"/>
          <w:highlight w:val="none"/>
        </w:rPr>
      </w:pPr>
    </w:p>
    <w:p w14:paraId="22FFAC03">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2BBFC4A">
      <w:pPr>
        <w:autoSpaceDE w:val="0"/>
        <w:autoSpaceDN w:val="0"/>
        <w:spacing w:line="360" w:lineRule="auto"/>
        <w:ind w:firstLine="6120" w:firstLineChars="255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1EB41CD3">
      <w:pPr>
        <w:spacing w:line="360" w:lineRule="auto"/>
        <w:ind w:right="480" w:firstLine="240" w:firstLineChars="100"/>
        <w:contextualSpacing/>
        <w:jc w:val="cente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p>
    <w:p w14:paraId="706B3E5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r>
        <w:rPr>
          <w:rFonts w:hint="eastAsia" w:ascii="仿宋" w:hAnsi="仿宋" w:eastAsia="仿宋" w:cs="仿宋"/>
          <w:b/>
          <w:color w:val="auto"/>
          <w:kern w:val="0"/>
          <w:sz w:val="30"/>
          <w:szCs w:val="30"/>
          <w:highlight w:val="none"/>
        </w:rPr>
        <w:t>六、资格声明函</w:t>
      </w:r>
    </w:p>
    <w:p w14:paraId="2488DF68">
      <w:pPr>
        <w:spacing w:line="360" w:lineRule="auto"/>
        <w:jc w:val="center"/>
        <w:rPr>
          <w:rFonts w:hint="eastAsia" w:ascii="仿宋" w:hAnsi="仿宋" w:eastAsia="仿宋" w:cs="仿宋"/>
          <w:b/>
          <w:color w:val="auto"/>
          <w:sz w:val="32"/>
          <w:szCs w:val="32"/>
          <w:highlight w:val="none"/>
        </w:rPr>
      </w:pPr>
    </w:p>
    <w:p w14:paraId="0187C062">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资格声明函</w:t>
      </w:r>
    </w:p>
    <w:p w14:paraId="62503EF8">
      <w:pPr>
        <w:spacing w:line="360" w:lineRule="auto"/>
        <w:jc w:val="center"/>
        <w:rPr>
          <w:rFonts w:hint="eastAsia" w:ascii="仿宋" w:hAnsi="仿宋" w:eastAsia="仿宋" w:cs="仿宋"/>
          <w:color w:val="auto"/>
          <w:sz w:val="24"/>
          <w:szCs w:val="20"/>
          <w:highlight w:val="none"/>
        </w:rPr>
      </w:pPr>
    </w:p>
    <w:p w14:paraId="279A4A47">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（采购代理机构名称）</w:t>
      </w:r>
      <w:r>
        <w:rPr>
          <w:rFonts w:hint="eastAsia" w:ascii="仿宋" w:hAnsi="仿宋" w:eastAsia="仿宋" w:cs="仿宋"/>
          <w:color w:val="auto"/>
          <w:sz w:val="24"/>
          <w:highlight w:val="none"/>
        </w:rPr>
        <w:t>：</w:t>
      </w:r>
    </w:p>
    <w:p w14:paraId="5FB55F3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（供应商名称）</w:t>
      </w:r>
      <w:r>
        <w:rPr>
          <w:rFonts w:hint="eastAsia" w:ascii="仿宋" w:hAnsi="仿宋" w:eastAsia="仿宋" w:cs="仿宋"/>
          <w:color w:val="auto"/>
          <w:sz w:val="24"/>
          <w:highlight w:val="none"/>
        </w:rPr>
        <w:t>系中华人民共和国合法供应商，经营地址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88805B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我方愿意参加贵方组织的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lang w:eastAsia="zh-CN"/>
        </w:rPr>
        <w:t>隆安县丁当镇保湾村农田水利设施项目（驮湾屯、农怀屯）</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项目的竞标，为便于贵方公正、择优</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确定成交供应商及其竞标产品和服务，我方就本次竞标有关事项郑重声明如下：</w:t>
      </w:r>
    </w:p>
    <w:p w14:paraId="5A4D9F7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1.我方向贵方提交的所有响应文件、资料都是准确的和真实的。</w:t>
      </w:r>
    </w:p>
    <w:p w14:paraId="44D3D0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2.我方不是为本次采购项目提供整体设计、规范编制或者项目管理、监理、检测等服务的供应商；在获知本项目采购信息后，与采购人聘请的为此项目提供咨询服务的公司及其附属机构没有任何联系。</w:t>
      </w:r>
    </w:p>
    <w:p w14:paraId="11C89362">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3.在此，我方宣布同意如下：</w:t>
      </w:r>
    </w:p>
    <w:p w14:paraId="79169C2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（1）将按磋商文件的约定履行合同责任和义务；</w:t>
      </w:r>
    </w:p>
    <w:p w14:paraId="5937F53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（2）已详细审查全部磋商文件，包括澄清或者更正公告（如有）；</w:t>
      </w:r>
    </w:p>
    <w:p w14:paraId="7FE017C4">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（3）同意提供按照贵方可能要求的与谈判有关的一切数据或者资料；</w:t>
      </w:r>
    </w:p>
    <w:p w14:paraId="18C015CC">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（4）响应磋商文件规定的竞标有效期。</w:t>
      </w:r>
    </w:p>
    <w:p w14:paraId="7FFC3D8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4.我方承诺符合《中华人民共和国政府采购法》第二十二条规定：</w:t>
      </w:r>
    </w:p>
    <w:p w14:paraId="7750DA97">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6C2452D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14:paraId="6CA067E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65920A2A">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4654CA1F">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297DB296">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（6）法律、行政法规规定的其他条件。</w:t>
      </w:r>
    </w:p>
    <w:p w14:paraId="511C9200">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4670E11">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C5A3B33">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内容中</w:t>
      </w:r>
      <w:r>
        <w:rPr>
          <w:rFonts w:hint="eastAsia" w:ascii="仿宋" w:hAnsi="仿宋" w:eastAsia="仿宋" w:cs="仿宋"/>
          <w:color w:val="auto"/>
          <w:sz w:val="24"/>
          <w:highlight w:val="none"/>
        </w:rPr>
        <w:t>未</w:t>
      </w:r>
      <w:r>
        <w:rPr>
          <w:rFonts w:hint="eastAsia" w:ascii="仿宋" w:hAnsi="仿宋" w:eastAsia="仿宋" w:cs="仿宋"/>
          <w:color w:val="auto"/>
          <w:kern w:val="0"/>
          <w:sz w:val="24"/>
          <w:highlight w:val="none"/>
        </w:rPr>
        <w:t>涉及商业秘密；</w:t>
      </w:r>
    </w:p>
    <w:p w14:paraId="62AA5D1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□我方本次响应文件</w:t>
      </w:r>
      <w:r>
        <w:rPr>
          <w:rFonts w:hint="eastAsia" w:ascii="仿宋" w:hAnsi="仿宋" w:eastAsia="仿宋" w:cs="仿宋"/>
          <w:color w:val="auto"/>
          <w:kern w:val="0"/>
          <w:sz w:val="24"/>
          <w:highlight w:val="none"/>
        </w:rPr>
        <w:t>涉及商业秘密的内容有：</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9EA14F">
      <w:pPr>
        <w:pStyle w:val="16"/>
        <w:spacing w:line="360" w:lineRule="auto"/>
        <w:ind w:firstLine="480" w:firstLineChars="200"/>
        <w:contextualSpacing/>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7.与本</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有关的一切正式往来信函请寄：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邮政编号：</w:t>
      </w:r>
      <w:r>
        <w:rPr>
          <w:rFonts w:hint="eastAsia" w:ascii="仿宋" w:hAnsi="仿宋" w:eastAsia="仿宋" w:cs="仿宋"/>
          <w:color w:val="auto"/>
          <w:sz w:val="24"/>
          <w:szCs w:val="24"/>
          <w:highlight w:val="none"/>
          <w:u w:val="single"/>
        </w:rPr>
        <w:t xml:space="preserve">        </w:t>
      </w:r>
    </w:p>
    <w:p w14:paraId="49B79D66">
      <w:pPr>
        <w:pStyle w:val="16"/>
        <w:spacing w:line="360" w:lineRule="auto"/>
        <w:ind w:firstLine="480" w:firstLineChars="200"/>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电话/传真：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电子函件：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165801F">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帐号：</w:t>
      </w:r>
      <w:r>
        <w:rPr>
          <w:rFonts w:hint="eastAsia" w:ascii="仿宋" w:hAnsi="仿宋" w:eastAsia="仿宋" w:cs="仿宋"/>
          <w:color w:val="auto"/>
          <w:sz w:val="24"/>
          <w:highlight w:val="none"/>
          <w:u w:val="single"/>
        </w:rPr>
        <w:t xml:space="preserve">                               </w:t>
      </w:r>
    </w:p>
    <w:p w14:paraId="330F7602">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8.以上事项如有虚假或者隐瞒，我方愿意承担一切后果，并不再寻求任何旨在减轻或者免除法律责任的辩解。</w:t>
      </w:r>
    </w:p>
    <w:p w14:paraId="3C7144D9">
      <w:pPr>
        <w:pStyle w:val="14"/>
        <w:tabs>
          <w:tab w:val="left" w:pos="939"/>
        </w:tabs>
        <w:spacing w:line="360" w:lineRule="auto"/>
        <w:ind w:left="141" w:leftChars="67"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1256CEAD">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注：如为联合体竞标，盖章处须加盖联合体各方公章并由联合体各方法定代表人签署，否则其响应文件按无效响应处理。</w:t>
      </w:r>
    </w:p>
    <w:p w14:paraId="580781B0">
      <w:pPr>
        <w:pStyle w:val="14"/>
        <w:tabs>
          <w:tab w:val="left" w:pos="939"/>
        </w:tabs>
        <w:spacing w:line="360" w:lineRule="auto"/>
        <w:ind w:left="0" w:leftChars="0" w:firstLine="480" w:firstLineChars="200"/>
        <w:rPr>
          <w:rFonts w:hint="eastAsia" w:ascii="仿宋" w:hAnsi="仿宋" w:eastAsia="仿宋" w:cs="仿宋"/>
          <w:color w:val="auto"/>
          <w:sz w:val="24"/>
          <w:highlight w:val="none"/>
        </w:rPr>
      </w:pPr>
    </w:p>
    <w:p w14:paraId="13EF0EEE">
      <w:pPr>
        <w:autoSpaceDE w:val="0"/>
        <w:autoSpaceDN w:val="0"/>
        <w:spacing w:line="360" w:lineRule="auto"/>
        <w:ind w:left="4365" w:leftChars="1850" w:hanging="480" w:hanging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3334B15">
      <w:pPr>
        <w:autoSpaceDE w:val="0"/>
        <w:autoSpaceDN w:val="0"/>
        <w:spacing w:line="360" w:lineRule="auto"/>
        <w:ind w:firstLine="6120" w:firstLineChars="2550"/>
        <w:rPr>
          <w:rFonts w:hint="eastAsia" w:ascii="仿宋" w:hAnsi="仿宋" w:eastAsia="仿宋" w:cs="仿宋"/>
          <w:color w:val="auto"/>
          <w:kern w:val="0"/>
          <w:sz w:val="24"/>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仿宋" w:hAnsi="仿宋" w:eastAsia="仿宋" w:cs="仿宋"/>
          <w:color w:val="auto"/>
          <w:kern w:val="0"/>
          <w:sz w:val="24"/>
          <w:highlight w:val="none"/>
          <w:lang w:val="zh-CN"/>
        </w:rPr>
        <w:t>日期：  年  月   日</w:t>
      </w:r>
    </w:p>
    <w:p w14:paraId="0B149AEF">
      <w:pPr>
        <w:pStyle w:val="16"/>
        <w:spacing w:line="360" w:lineRule="auto"/>
        <w:ind w:firstLine="0" w:firstLineChars="0"/>
        <w:rPr>
          <w:rFonts w:hint="default" w:ascii="宋体" w:hAnsi="宋体" w:eastAsia="宋体" w:cs="宋体"/>
          <w:b/>
          <w:color w:val="auto"/>
          <w:kern w:val="2"/>
          <w:sz w:val="30"/>
          <w:szCs w:val="30"/>
          <w:highlight w:val="none"/>
          <w:lang w:val="en-US" w:eastAsia="zh-CN"/>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、中小企业声明函或残疾人福利性单位声明函或供应商属于监狱企业的证明材料</w:t>
      </w:r>
    </w:p>
    <w:p w14:paraId="5F420B41">
      <w:pPr>
        <w:spacing w:line="360" w:lineRule="auto"/>
        <w:ind w:firstLine="2200" w:firstLineChars="5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r>
        <w:rPr>
          <w:rFonts w:hint="eastAsia" w:ascii="宋体" w:hAnsi="宋体" w:cs="宋体"/>
          <w:color w:val="auto"/>
          <w:sz w:val="44"/>
          <w:szCs w:val="44"/>
          <w:highlight w:val="none"/>
          <w:lang w:val="en-US" w:eastAsia="zh-CN"/>
        </w:rPr>
        <w:t>工程</w:t>
      </w:r>
      <w:r>
        <w:rPr>
          <w:rFonts w:hint="eastAsia" w:ascii="宋体" w:hAnsi="宋体" w:eastAsia="宋体" w:cs="宋体"/>
          <w:color w:val="auto"/>
          <w:sz w:val="44"/>
          <w:szCs w:val="44"/>
          <w:highlight w:val="none"/>
        </w:rPr>
        <w:t>）</w:t>
      </w:r>
    </w:p>
    <w:p w14:paraId="5F24BB0A">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本公司（联合体）郑重声明，根据《政府采购促进中小企业发展管理办法》（财库﹝2020﹞46 号）的规定，本公司（联合体）参加</w:t>
      </w:r>
      <w:r>
        <w:rPr>
          <w:rFonts w:hint="eastAsia" w:ascii="仿宋" w:hAnsi="仿宋" w:eastAsia="仿宋" w:cs="仿宋"/>
          <w:color w:val="auto"/>
          <w:kern w:val="2"/>
          <w:sz w:val="24"/>
          <w:szCs w:val="24"/>
          <w:highlight w:val="none"/>
          <w:u w:val="single"/>
          <w:shd w:val="clear" w:color="auto" w:fill="FFFFFF"/>
          <w:lang w:val="en-US" w:eastAsia="zh-CN"/>
        </w:rPr>
        <w:t xml:space="preserve"> 隆安县丁当镇人民政府 </w:t>
      </w:r>
      <w:r>
        <w:rPr>
          <w:rFonts w:hint="eastAsia" w:ascii="仿宋" w:hAnsi="仿宋" w:eastAsia="仿宋" w:cs="仿宋"/>
          <w:color w:val="auto"/>
          <w:kern w:val="2"/>
          <w:sz w:val="24"/>
          <w:szCs w:val="24"/>
          <w:highlight w:val="none"/>
          <w:shd w:val="clear" w:color="auto" w:fill="FFFFFF"/>
          <w:lang w:val="en-US" w:eastAsia="zh-CN"/>
        </w:rPr>
        <w:t>的</w:t>
      </w:r>
      <w:r>
        <w:rPr>
          <w:rFonts w:hint="eastAsia" w:ascii="仿宋" w:hAnsi="仿宋" w:eastAsia="仿宋" w:cs="仿宋"/>
          <w:color w:val="auto"/>
          <w:kern w:val="2"/>
          <w:sz w:val="24"/>
          <w:szCs w:val="24"/>
          <w:highlight w:val="none"/>
          <w:u w:val="single"/>
          <w:shd w:val="clear" w:color="auto" w:fill="FFFFFF"/>
          <w:lang w:val="en-US" w:eastAsia="zh-CN"/>
        </w:rPr>
        <w:t xml:space="preserve"> 隆安县丁当镇保湾村农田水利设施项目（驮湾屯、农怀屯） </w:t>
      </w:r>
      <w:r>
        <w:rPr>
          <w:rFonts w:hint="eastAsia" w:ascii="仿宋" w:hAnsi="仿宋" w:eastAsia="仿宋" w:cs="仿宋"/>
          <w:color w:val="auto"/>
          <w:kern w:val="2"/>
          <w:sz w:val="24"/>
          <w:szCs w:val="24"/>
          <w:highlight w:val="none"/>
          <w:shd w:val="clear" w:color="auto" w:fill="FFFFFF"/>
          <w:lang w:val="en-US" w:eastAsia="zh-CN"/>
        </w:rPr>
        <w:t>采购活动，工程的施工单位全部为符合政策要求的中小企业承接。相关企业（含联合体中的中小企业、签订分包意向协议的中小企业）的具体情况如下：</w:t>
      </w:r>
    </w:p>
    <w:p w14:paraId="64FBACD3">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1.</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w:t>
      </w:r>
      <w:r>
        <w:rPr>
          <w:rFonts w:hint="eastAsia" w:ascii="仿宋" w:hAnsi="仿宋" w:eastAsia="仿宋" w:cs="仿宋"/>
          <w:color w:val="auto"/>
          <w:kern w:val="2"/>
          <w:sz w:val="24"/>
          <w:szCs w:val="24"/>
          <w:highlight w:val="none"/>
          <w:u w:val="single"/>
          <w:shd w:val="clear" w:color="auto" w:fill="FFFFFF"/>
          <w:lang w:val="en-US" w:eastAsia="zh-CN"/>
        </w:rPr>
        <w:t>（中型企业、小型企业、微型企业）</w:t>
      </w:r>
      <w:r>
        <w:rPr>
          <w:rFonts w:hint="eastAsia" w:ascii="仿宋" w:hAnsi="仿宋" w:eastAsia="仿宋" w:cs="仿宋"/>
          <w:color w:val="auto"/>
          <w:kern w:val="2"/>
          <w:sz w:val="24"/>
          <w:szCs w:val="24"/>
          <w:highlight w:val="none"/>
          <w:shd w:val="clear" w:color="auto" w:fill="FFFFFF"/>
          <w:lang w:val="en-US" w:eastAsia="zh-CN"/>
        </w:rPr>
        <w:t>；</w:t>
      </w:r>
    </w:p>
    <w:p w14:paraId="6E1C9C74">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2.</w:t>
      </w:r>
      <w:r>
        <w:rPr>
          <w:rFonts w:hint="eastAsia" w:ascii="仿宋" w:hAnsi="仿宋" w:eastAsia="仿宋" w:cs="仿宋"/>
          <w:color w:val="auto"/>
          <w:kern w:val="2"/>
          <w:sz w:val="24"/>
          <w:szCs w:val="24"/>
          <w:highlight w:val="none"/>
          <w:u w:val="single"/>
          <w:shd w:val="clear" w:color="auto" w:fill="FFFFFF"/>
          <w:lang w:val="en-US" w:eastAsia="zh-CN"/>
        </w:rPr>
        <w:t>（标的名称）</w:t>
      </w:r>
      <w:r>
        <w:rPr>
          <w:rFonts w:hint="eastAsia" w:ascii="仿宋" w:hAnsi="仿宋" w:eastAsia="仿宋" w:cs="仿宋"/>
          <w:color w:val="auto"/>
          <w:kern w:val="2"/>
          <w:sz w:val="24"/>
          <w:szCs w:val="24"/>
          <w:highlight w:val="none"/>
          <w:shd w:val="clear" w:color="auto" w:fill="FFFFFF"/>
          <w:lang w:val="en-US" w:eastAsia="zh-CN"/>
        </w:rPr>
        <w:t>，属于</w:t>
      </w:r>
      <w:r>
        <w:rPr>
          <w:rFonts w:hint="eastAsia" w:ascii="仿宋" w:hAnsi="仿宋" w:eastAsia="仿宋" w:cs="仿宋"/>
          <w:color w:val="auto"/>
          <w:kern w:val="2"/>
          <w:sz w:val="24"/>
          <w:szCs w:val="24"/>
          <w:highlight w:val="none"/>
          <w:u w:val="single"/>
          <w:shd w:val="clear" w:color="auto" w:fill="FFFFFF"/>
          <w:lang w:val="en-US" w:eastAsia="zh-CN"/>
        </w:rPr>
        <w:t>（采购文件列明的行业）</w:t>
      </w:r>
      <w:r>
        <w:rPr>
          <w:rFonts w:hint="eastAsia" w:ascii="仿宋" w:hAnsi="仿宋" w:eastAsia="仿宋" w:cs="仿宋"/>
          <w:color w:val="auto"/>
          <w:kern w:val="2"/>
          <w:sz w:val="24"/>
          <w:szCs w:val="24"/>
          <w:highlight w:val="none"/>
          <w:shd w:val="clear" w:color="auto" w:fill="FFFFFF"/>
          <w:lang w:val="en-US" w:eastAsia="zh-CN"/>
        </w:rPr>
        <w:t>；承建（承接）企业为</w:t>
      </w:r>
      <w:r>
        <w:rPr>
          <w:rFonts w:hint="eastAsia" w:ascii="仿宋" w:hAnsi="仿宋" w:eastAsia="仿宋" w:cs="仿宋"/>
          <w:color w:val="auto"/>
          <w:kern w:val="2"/>
          <w:sz w:val="24"/>
          <w:szCs w:val="24"/>
          <w:highlight w:val="none"/>
          <w:u w:val="single"/>
          <w:shd w:val="clear" w:color="auto" w:fill="FFFFFF"/>
          <w:lang w:val="en-US" w:eastAsia="zh-CN"/>
        </w:rPr>
        <w:t>（企业名称）</w:t>
      </w:r>
      <w:r>
        <w:rPr>
          <w:rFonts w:hint="eastAsia" w:ascii="仿宋" w:hAnsi="仿宋" w:eastAsia="仿宋" w:cs="仿宋"/>
          <w:color w:val="auto"/>
          <w:kern w:val="2"/>
          <w:sz w:val="24"/>
          <w:szCs w:val="24"/>
          <w:highlight w:val="none"/>
          <w:shd w:val="clear" w:color="auto" w:fill="FFFFFF"/>
          <w:lang w:val="en-US" w:eastAsia="zh-CN"/>
        </w:rPr>
        <w:t>，从业人员</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人，营业收入为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万元，资产总额为</w:t>
      </w:r>
      <w:r>
        <w:rPr>
          <w:rFonts w:hint="eastAsia" w:ascii="仿宋" w:hAnsi="仿宋" w:eastAsia="仿宋" w:cs="仿宋"/>
          <w:color w:val="auto"/>
          <w:kern w:val="2"/>
          <w:sz w:val="24"/>
          <w:szCs w:val="24"/>
          <w:highlight w:val="none"/>
          <w:u w:val="single"/>
          <w:shd w:val="clear" w:color="auto" w:fill="FFFFFF"/>
          <w:lang w:val="en-US" w:eastAsia="zh-CN"/>
        </w:rPr>
        <w:t>_____</w:t>
      </w:r>
      <w:r>
        <w:rPr>
          <w:rFonts w:hint="eastAsia" w:ascii="仿宋" w:hAnsi="仿宋" w:eastAsia="仿宋" w:cs="仿宋"/>
          <w:color w:val="auto"/>
          <w:kern w:val="2"/>
          <w:sz w:val="24"/>
          <w:szCs w:val="24"/>
          <w:highlight w:val="none"/>
          <w:shd w:val="clear" w:color="auto" w:fill="FFFFFF"/>
          <w:lang w:val="en-US" w:eastAsia="zh-CN"/>
        </w:rPr>
        <w:t>万元，属于（中型企业、小型企业、微型企业）；</w:t>
      </w:r>
    </w:p>
    <w:p w14:paraId="2C96254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w:t>
      </w:r>
    </w:p>
    <w:p w14:paraId="7EA70AAE">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以上企业，不属于大企业的分支机构，不存在控股股东为大企业的情形，也不存在与大企业的负责人为同一人的情形。</w:t>
      </w:r>
    </w:p>
    <w:p w14:paraId="35FEB9D2">
      <w:pPr>
        <w:widowControl/>
        <w:shd w:val="clear" w:color="auto" w:fill="FFFFFF"/>
        <w:spacing w:line="360" w:lineRule="auto"/>
        <w:ind w:firstLine="480"/>
        <w:jc w:val="left"/>
        <w:rPr>
          <w:rFonts w:hint="eastAsia" w:ascii="仿宋" w:hAnsi="仿宋" w:eastAsia="仿宋" w:cs="仿宋"/>
          <w:color w:val="auto"/>
          <w:kern w:val="2"/>
          <w:sz w:val="24"/>
          <w:szCs w:val="24"/>
          <w:highlight w:val="none"/>
          <w:shd w:val="clear" w:color="auto" w:fill="FFFFFF"/>
          <w:lang w:val="en-US" w:eastAsia="zh-CN"/>
        </w:rPr>
      </w:pPr>
      <w:r>
        <w:rPr>
          <w:rFonts w:hint="eastAsia" w:ascii="仿宋" w:hAnsi="仿宋" w:eastAsia="仿宋" w:cs="仿宋"/>
          <w:color w:val="auto"/>
          <w:kern w:val="2"/>
          <w:sz w:val="24"/>
          <w:szCs w:val="24"/>
          <w:highlight w:val="none"/>
          <w:shd w:val="clear" w:color="auto" w:fill="FFFFFF"/>
          <w:lang w:val="en-US" w:eastAsia="zh-CN"/>
        </w:rPr>
        <w:t>本企业对上述声明内容的真实性负责。如有虚假，将依法承担相应责任。</w:t>
      </w:r>
    </w:p>
    <w:p w14:paraId="1BF30995">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313F55D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ADEC89F">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4819A9EE">
      <w:pPr>
        <w:pStyle w:val="12"/>
        <w:spacing w:after="0" w:line="360" w:lineRule="auto"/>
        <w:ind w:left="3960" w:right="1808"/>
        <w:contextualSpacing/>
        <w:rPr>
          <w:rFonts w:hint="eastAsia" w:ascii="仿宋" w:hAnsi="仿宋" w:eastAsia="仿宋" w:cs="仿宋"/>
          <w:color w:val="auto"/>
          <w:highlight w:val="none"/>
        </w:rPr>
      </w:pPr>
    </w:p>
    <w:p w14:paraId="2C5A6559">
      <w:pPr>
        <w:pStyle w:val="7"/>
        <w:overflowPunct w:val="0"/>
        <w:spacing w:line="360" w:lineRule="auto"/>
        <w:ind w:firstLine="0"/>
        <w:jc w:val="left"/>
        <w:rPr>
          <w:rFonts w:hint="eastAsia" w:ascii="仿宋" w:hAnsi="仿宋" w:eastAsia="仿宋" w:cs="仿宋"/>
          <w:b/>
          <w:color w:val="auto"/>
          <w:sz w:val="30"/>
          <w:szCs w:val="30"/>
          <w:highlight w:val="none"/>
        </w:rPr>
      </w:pPr>
      <w:r>
        <w:rPr>
          <w:rFonts w:hint="eastAsia" w:ascii="仿宋" w:hAnsi="仿宋" w:eastAsia="仿宋" w:cs="仿宋"/>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DCC43C">
      <w:pPr>
        <w:pStyle w:val="7"/>
        <w:overflowPunct w:val="0"/>
        <w:spacing w:line="360" w:lineRule="auto"/>
        <w:ind w:firstLine="0"/>
        <w:jc w:val="left"/>
        <w:rPr>
          <w:rFonts w:hint="eastAsia" w:ascii="仿宋" w:hAnsi="仿宋" w:eastAsia="仿宋" w:cs="仿宋"/>
          <w:b/>
          <w:color w:val="auto"/>
          <w:sz w:val="30"/>
          <w:szCs w:val="30"/>
          <w:highlight w:val="none"/>
        </w:rPr>
      </w:pPr>
    </w:p>
    <w:p w14:paraId="73771043">
      <w:pPr>
        <w:pStyle w:val="7"/>
        <w:overflowPunct w:val="0"/>
        <w:spacing w:line="360" w:lineRule="auto"/>
        <w:ind w:firstLine="0"/>
        <w:jc w:val="left"/>
        <w:rPr>
          <w:rFonts w:hint="eastAsia" w:ascii="仿宋" w:hAnsi="仿宋" w:eastAsia="仿宋" w:cs="仿宋"/>
          <w:b/>
          <w:color w:val="auto"/>
          <w:sz w:val="30"/>
          <w:szCs w:val="30"/>
          <w:highlight w:val="none"/>
        </w:rPr>
      </w:pPr>
    </w:p>
    <w:p w14:paraId="489A27C6">
      <w:pPr>
        <w:pStyle w:val="7"/>
        <w:overflowPunct w:val="0"/>
        <w:spacing w:line="360" w:lineRule="auto"/>
        <w:ind w:firstLine="0"/>
        <w:jc w:val="left"/>
        <w:rPr>
          <w:rFonts w:hint="eastAsia" w:ascii="仿宋" w:hAnsi="仿宋" w:eastAsia="仿宋" w:cs="仿宋"/>
          <w:b/>
          <w:color w:val="auto"/>
          <w:sz w:val="30"/>
          <w:szCs w:val="30"/>
          <w:highlight w:val="none"/>
        </w:rPr>
      </w:pPr>
    </w:p>
    <w:p w14:paraId="7232DF33">
      <w:pPr>
        <w:pStyle w:val="7"/>
        <w:overflowPunct w:val="0"/>
        <w:spacing w:line="360" w:lineRule="auto"/>
        <w:ind w:firstLine="0"/>
        <w:jc w:val="left"/>
        <w:rPr>
          <w:rFonts w:hint="eastAsia" w:ascii="仿宋" w:hAnsi="仿宋" w:eastAsia="仿宋" w:cs="仿宋"/>
          <w:b/>
          <w:color w:val="auto"/>
          <w:sz w:val="30"/>
          <w:szCs w:val="30"/>
          <w:highlight w:val="none"/>
        </w:rPr>
      </w:pPr>
    </w:p>
    <w:p w14:paraId="50A3E5E4">
      <w:pPr>
        <w:spacing w:line="360" w:lineRule="auto"/>
        <w:jc w:val="center"/>
        <w:rPr>
          <w:rFonts w:hint="eastAsia"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25F26969">
      <w:pPr>
        <w:spacing w:line="360" w:lineRule="auto"/>
        <w:rPr>
          <w:rFonts w:hint="eastAsia" w:ascii="宋体" w:hAnsi="宋体" w:cs="宋体"/>
          <w:color w:val="auto"/>
          <w:sz w:val="32"/>
          <w:szCs w:val="32"/>
          <w:highlight w:val="none"/>
        </w:rPr>
      </w:pPr>
    </w:p>
    <w:p w14:paraId="0CEE4BD8">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项目采购活动由本单位提供服务。</w:t>
      </w:r>
    </w:p>
    <w:p w14:paraId="1ED6634E">
      <w:pPr>
        <w:spacing w:line="360" w:lineRule="auto"/>
        <w:ind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64A67762">
      <w:pPr>
        <w:spacing w:line="360" w:lineRule="auto"/>
        <w:contextualSpacing/>
        <w:rPr>
          <w:rFonts w:hint="eastAsia" w:ascii="仿宋" w:hAnsi="仿宋" w:eastAsia="仿宋" w:cs="仿宋"/>
          <w:color w:val="auto"/>
          <w:sz w:val="24"/>
          <w:highlight w:val="none"/>
        </w:rPr>
      </w:pPr>
    </w:p>
    <w:p w14:paraId="22B9C8A3">
      <w:pPr>
        <w:spacing w:line="360" w:lineRule="auto"/>
        <w:contextualSpacing/>
        <w:rPr>
          <w:rFonts w:hint="eastAsia" w:ascii="仿宋" w:hAnsi="仿宋" w:eastAsia="仿宋" w:cs="仿宋"/>
          <w:color w:val="auto"/>
          <w:sz w:val="24"/>
          <w:highlight w:val="none"/>
        </w:rPr>
      </w:pPr>
    </w:p>
    <w:p w14:paraId="43F4C60B">
      <w:pPr>
        <w:spacing w:line="360" w:lineRule="auto"/>
        <w:ind w:firstLine="2400" w:firstLineChars="10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供应商名称（电子签章）：</w:t>
      </w:r>
    </w:p>
    <w:p w14:paraId="2E191612">
      <w:pPr>
        <w:spacing w:line="360" w:lineRule="auto"/>
        <w:ind w:firstLine="4320" w:firstLineChars="18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62A55DD">
      <w:pPr>
        <w:spacing w:line="360" w:lineRule="auto"/>
        <w:contextualSpacing/>
        <w:rPr>
          <w:rFonts w:hint="eastAsia" w:ascii="仿宋" w:hAnsi="仿宋" w:eastAsia="仿宋" w:cs="仿宋"/>
          <w:color w:val="auto"/>
          <w:sz w:val="24"/>
          <w:highlight w:val="none"/>
        </w:rPr>
      </w:pPr>
    </w:p>
    <w:p w14:paraId="4271397A">
      <w:pPr>
        <w:spacing w:line="360" w:lineRule="auto"/>
        <w:contextualSpacing/>
        <w:rPr>
          <w:rFonts w:hint="eastAsia" w:ascii="仿宋" w:hAnsi="仿宋" w:eastAsia="仿宋" w:cs="仿宋"/>
          <w:color w:val="auto"/>
          <w:sz w:val="24"/>
          <w:highlight w:val="none"/>
        </w:rPr>
      </w:pPr>
    </w:p>
    <w:p w14:paraId="09E61FA0">
      <w:pPr>
        <w:spacing w:line="360" w:lineRule="auto"/>
        <w:contextualSpacing/>
        <w:rPr>
          <w:rFonts w:hint="eastAsia" w:ascii="仿宋" w:hAnsi="仿宋" w:eastAsia="仿宋" w:cs="仿宋"/>
          <w:color w:val="auto"/>
          <w:sz w:val="24"/>
          <w:highlight w:val="none"/>
        </w:rPr>
      </w:pPr>
    </w:p>
    <w:p w14:paraId="0746E440">
      <w:pPr>
        <w:spacing w:line="360" w:lineRule="auto"/>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0A52ACE4">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2D6D107">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F2200F3">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28B32061">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685F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0000786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03CCF1E">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8FF7BF8">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444FEC42">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58928CAD">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p>
    <w:p w14:paraId="777EF70E">
      <w:pPr>
        <w:pStyle w:val="7"/>
        <w:overflowPunct w:val="0"/>
        <w:spacing w:line="360" w:lineRule="auto"/>
        <w:ind w:firstLine="0"/>
        <w:jc w:val="left"/>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符合特定资格</w:t>
      </w:r>
      <w:r>
        <w:rPr>
          <w:rFonts w:hint="eastAsia" w:ascii="仿宋" w:hAnsi="仿宋" w:eastAsia="仿宋" w:cs="仿宋"/>
          <w:b/>
          <w:color w:val="auto"/>
          <w:sz w:val="30"/>
          <w:szCs w:val="30"/>
          <w:highlight w:val="none"/>
          <w:lang w:eastAsia="zh-CN"/>
        </w:rPr>
        <w:t>要求和特定</w:t>
      </w:r>
      <w:r>
        <w:rPr>
          <w:rFonts w:hint="eastAsia" w:ascii="仿宋" w:hAnsi="仿宋" w:eastAsia="仿宋" w:cs="仿宋"/>
          <w:b/>
          <w:color w:val="auto"/>
          <w:sz w:val="30"/>
          <w:szCs w:val="30"/>
          <w:highlight w:val="none"/>
        </w:rPr>
        <w:t>条件的有关证明材料</w:t>
      </w:r>
      <w:r>
        <w:rPr>
          <w:rFonts w:hint="eastAsia" w:ascii="仿宋" w:hAnsi="仿宋" w:eastAsia="仿宋" w:cs="仿宋"/>
          <w:b/>
          <w:color w:val="auto"/>
          <w:sz w:val="30"/>
          <w:szCs w:val="30"/>
          <w:highlight w:val="none"/>
          <w:lang w:eastAsia="zh-CN"/>
        </w:rPr>
        <w:t>：</w:t>
      </w:r>
    </w:p>
    <w:p w14:paraId="45A502C8">
      <w:pPr>
        <w:snapToGrid w:val="0"/>
        <w:spacing w:line="360" w:lineRule="auto"/>
        <w:ind w:firstLine="602" w:firstLineChars="200"/>
        <w:rPr>
          <w:rFonts w:hint="eastAsia" w:ascii="仿宋" w:hAnsi="仿宋" w:eastAsia="仿宋" w:cs="仿宋"/>
          <w:b/>
          <w:color w:val="auto"/>
          <w:sz w:val="30"/>
          <w:szCs w:val="30"/>
          <w:highlight w:val="none"/>
        </w:rPr>
      </w:pPr>
    </w:p>
    <w:p w14:paraId="043C22B1">
      <w:pPr>
        <w:snapToGrid w:val="0"/>
        <w:spacing w:line="360" w:lineRule="auto"/>
        <w:ind w:firstLine="602" w:firstLineChars="200"/>
        <w:rPr>
          <w:rFonts w:hint="eastAsia" w:ascii="仿宋" w:hAnsi="仿宋" w:eastAsia="仿宋" w:cs="仿宋"/>
          <w:b/>
          <w:color w:val="auto"/>
          <w:sz w:val="30"/>
          <w:szCs w:val="30"/>
          <w:highlight w:val="none"/>
        </w:rPr>
      </w:pPr>
    </w:p>
    <w:p w14:paraId="5C6711B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9F79B4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072C0E2B">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10B5E1A8">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52A8EB51">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p>
    <w:p w14:paraId="0072151A">
      <w:pPr>
        <w:pStyle w:val="7"/>
        <w:overflowPunct w:val="0"/>
        <w:spacing w:line="360" w:lineRule="auto"/>
        <w:ind w:firstLine="0"/>
        <w:jc w:val="left"/>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val="en-US" w:eastAsia="zh-CN"/>
        </w:rPr>
        <w:t>九、项目经理无在建项目承诺书</w:t>
      </w:r>
    </w:p>
    <w:p w14:paraId="6CB72512">
      <w:pPr>
        <w:autoSpaceDE w:val="0"/>
        <w:autoSpaceDN w:val="0"/>
        <w:spacing w:line="360" w:lineRule="auto"/>
        <w:rPr>
          <w:rFonts w:hint="eastAsia" w:ascii="仿宋" w:hAnsi="仿宋" w:eastAsia="仿宋" w:cs="仿宋"/>
          <w:color w:val="auto"/>
          <w:kern w:val="0"/>
          <w:sz w:val="24"/>
          <w:highlight w:val="none"/>
          <w:lang w:val="zh-CN"/>
        </w:rPr>
      </w:pPr>
    </w:p>
    <w:p w14:paraId="0DC0F2BE">
      <w:pPr>
        <w:autoSpaceDE w:val="0"/>
        <w:autoSpaceDN w:val="0"/>
        <w:spacing w:line="360" w:lineRule="auto"/>
        <w:rPr>
          <w:rFonts w:hint="eastAsia" w:ascii="仿宋" w:hAnsi="仿宋" w:eastAsia="仿宋" w:cs="仿宋"/>
          <w:color w:val="auto"/>
          <w:kern w:val="0"/>
          <w:sz w:val="24"/>
          <w:highlight w:val="none"/>
          <w:lang w:val="zh-CN"/>
        </w:rPr>
      </w:pPr>
    </w:p>
    <w:p w14:paraId="369358EB">
      <w:pPr>
        <w:widowControl w:val="0"/>
        <w:autoSpaceDE w:val="0"/>
        <w:autoSpaceDN w:val="0"/>
        <w:adjustRightInd w:val="0"/>
        <w:spacing w:line="360" w:lineRule="exact"/>
        <w:jc w:val="center"/>
        <w:rPr>
          <w:rFonts w:hint="eastAsia" w:ascii="宋体" w:hAnsi="宋体" w:eastAsia="宋体" w:cs="Cambria"/>
          <w:b/>
          <w:color w:val="auto"/>
          <w:sz w:val="32"/>
          <w:szCs w:val="32"/>
          <w:highlight w:val="none"/>
          <w:lang w:val="en-US" w:eastAsia="zh-CN" w:bidi="ar-SA"/>
        </w:rPr>
      </w:pPr>
      <w:r>
        <w:rPr>
          <w:rFonts w:hint="eastAsia" w:ascii="宋体" w:hAnsi="宋体" w:eastAsia="宋体" w:cs="Cambria"/>
          <w:b/>
          <w:color w:val="auto"/>
          <w:sz w:val="32"/>
          <w:szCs w:val="32"/>
          <w:highlight w:val="none"/>
          <w:lang w:val="en-US" w:eastAsia="zh-CN" w:bidi="ar-SA"/>
        </w:rPr>
        <w:t>项目经理无在建项目承诺书</w:t>
      </w:r>
    </w:p>
    <w:p w14:paraId="5A97FFFE">
      <w:pPr>
        <w:widowControl w:val="0"/>
        <w:autoSpaceDE w:val="0"/>
        <w:autoSpaceDN w:val="0"/>
        <w:adjustRightInd w:val="0"/>
        <w:spacing w:line="360" w:lineRule="exact"/>
        <w:jc w:val="both"/>
        <w:rPr>
          <w:rFonts w:hint="eastAsia" w:ascii="宋体" w:hAnsi="宋体" w:eastAsia="宋体" w:cs="Cambria"/>
          <w:color w:val="auto"/>
          <w:sz w:val="24"/>
          <w:highlight w:val="none"/>
          <w:lang w:val="en-US" w:eastAsia="zh-CN" w:bidi="ar-SA"/>
        </w:rPr>
      </w:pPr>
    </w:p>
    <w:p w14:paraId="23D12333">
      <w:pPr>
        <w:widowControl w:val="0"/>
        <w:autoSpaceDE w:val="0"/>
        <w:autoSpaceDN w:val="0"/>
        <w:adjustRightInd w:val="0"/>
        <w:spacing w:line="360" w:lineRule="exact"/>
        <w:jc w:val="both"/>
        <w:rPr>
          <w:rFonts w:ascii="宋体" w:hAnsi="宋体" w:eastAsia="宋体" w:cs="Cambria"/>
          <w:color w:val="auto"/>
          <w:sz w:val="24"/>
          <w:highlight w:val="none"/>
          <w:lang w:val="en-US" w:eastAsia="zh-CN" w:bidi="ar-SA"/>
        </w:rPr>
      </w:pPr>
    </w:p>
    <w:p w14:paraId="78E45929">
      <w:pPr>
        <w:widowControl w:val="0"/>
        <w:autoSpaceDE w:val="0"/>
        <w:autoSpaceDN w:val="0"/>
        <w:adjustRightInd w:val="0"/>
        <w:spacing w:line="360" w:lineRule="auto"/>
        <w:jc w:val="both"/>
        <w:rPr>
          <w:rFonts w:hint="eastAsia" w:ascii="仿宋" w:hAnsi="仿宋" w:eastAsia="仿宋" w:cs="仿宋"/>
          <w:color w:val="auto"/>
          <w:sz w:val="28"/>
          <w:szCs w:val="21"/>
          <w:highlight w:val="none"/>
          <w:u w:val="single"/>
          <w:lang w:val="en-US" w:eastAsia="zh-CN" w:bidi="ar-SA"/>
        </w:rPr>
      </w:pPr>
      <w:r>
        <w:rPr>
          <w:rFonts w:hint="eastAsia" w:ascii="仿宋" w:hAnsi="仿宋" w:eastAsia="仿宋" w:cs="仿宋"/>
          <w:color w:val="auto"/>
          <w:sz w:val="28"/>
          <w:szCs w:val="21"/>
          <w:highlight w:val="none"/>
          <w:lang w:val="en-US" w:eastAsia="zh-CN" w:bidi="ar-SA"/>
        </w:rPr>
        <w:t>致：</w:t>
      </w:r>
      <w:r>
        <w:rPr>
          <w:rFonts w:hint="eastAsia" w:ascii="仿宋" w:hAnsi="仿宋" w:eastAsia="仿宋" w:cs="仿宋"/>
          <w:color w:val="auto"/>
          <w:sz w:val="28"/>
          <w:szCs w:val="21"/>
          <w:highlight w:val="none"/>
          <w:u w:val="single"/>
          <w:lang w:val="en-US" w:eastAsia="zh-CN" w:bidi="ar-SA"/>
        </w:rPr>
        <w:t>广西佳鸿工程技术有限公司</w:t>
      </w:r>
    </w:p>
    <w:p w14:paraId="30453A7F">
      <w:pPr>
        <w:widowControl w:val="0"/>
        <w:autoSpaceDE w:val="0"/>
        <w:autoSpaceDN w:val="0"/>
        <w:adjustRightInd w:val="0"/>
        <w:spacing w:line="360" w:lineRule="auto"/>
        <w:jc w:val="both"/>
        <w:rPr>
          <w:rFonts w:hint="eastAsia" w:ascii="仿宋" w:hAnsi="仿宋" w:eastAsia="仿宋" w:cs="仿宋"/>
          <w:color w:val="auto"/>
          <w:sz w:val="28"/>
          <w:szCs w:val="21"/>
          <w:highlight w:val="none"/>
          <w:lang w:val="en-US" w:eastAsia="zh-CN" w:bidi="ar-SA"/>
        </w:rPr>
      </w:pPr>
    </w:p>
    <w:p w14:paraId="7BA43A35">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我公司参加贵单位组织的</w:t>
      </w:r>
      <w:r>
        <w:rPr>
          <w:rFonts w:hint="eastAsia" w:ascii="仿宋" w:hAnsi="仿宋" w:eastAsia="仿宋" w:cs="仿宋"/>
          <w:b/>
          <w:color w:val="auto"/>
          <w:sz w:val="28"/>
          <w:szCs w:val="21"/>
          <w:highlight w:val="none"/>
          <w:u w:val="single"/>
          <w:lang w:val="en-US" w:eastAsia="zh-CN" w:bidi="ar-SA"/>
        </w:rPr>
        <w:t xml:space="preserve">                  （项目名称）</w:t>
      </w:r>
      <w:r>
        <w:rPr>
          <w:rFonts w:hint="eastAsia" w:ascii="仿宋" w:hAnsi="仿宋" w:eastAsia="仿宋" w:cs="仿宋"/>
          <w:color w:val="auto"/>
          <w:sz w:val="28"/>
          <w:szCs w:val="21"/>
          <w:highlight w:val="none"/>
          <w:lang w:val="en-US" w:eastAsia="zh-CN" w:bidi="ar-SA"/>
        </w:rPr>
        <w:t>的磋商活动。我公司在此承诺，我公司拟投入的项目经理</w:t>
      </w:r>
      <w:r>
        <w:rPr>
          <w:rFonts w:hint="eastAsia" w:ascii="仿宋" w:hAnsi="仿宋" w:eastAsia="仿宋" w:cs="仿宋"/>
          <w:b/>
          <w:color w:val="auto"/>
          <w:sz w:val="28"/>
          <w:szCs w:val="21"/>
          <w:highlight w:val="none"/>
          <w:u w:val="single"/>
          <w:lang w:val="en-US" w:eastAsia="zh-CN" w:bidi="ar-SA"/>
        </w:rPr>
        <w:t xml:space="preserve">  （姓名） （身份证号）</w:t>
      </w:r>
      <w:r>
        <w:rPr>
          <w:rFonts w:hint="eastAsia" w:ascii="仿宋" w:hAnsi="仿宋" w:eastAsia="仿宋" w:cs="仿宋"/>
          <w:color w:val="auto"/>
          <w:sz w:val="28"/>
          <w:szCs w:val="21"/>
          <w:highlight w:val="none"/>
          <w:lang w:val="en-US" w:eastAsia="zh-CN" w:bidi="ar-SA"/>
        </w:rPr>
        <w:t>目前无在建项目（在建项目是指担任项目经理的在建、已中标未开工或已列为中标候选人第一名的项目）。</w:t>
      </w:r>
    </w:p>
    <w:p w14:paraId="74C95BD7">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若有虚假一经查实，愿意承担一切责任，并承担由此造成的一切损失。</w:t>
      </w:r>
    </w:p>
    <w:p w14:paraId="53B79010">
      <w:pPr>
        <w:widowControl w:val="0"/>
        <w:autoSpaceDE w:val="0"/>
        <w:autoSpaceDN w:val="0"/>
        <w:adjustRightInd w:val="0"/>
        <w:spacing w:line="360" w:lineRule="auto"/>
        <w:ind w:firstLine="565" w:firstLineChars="202"/>
        <w:jc w:val="both"/>
        <w:rPr>
          <w:rFonts w:hint="eastAsia" w:ascii="仿宋" w:hAnsi="仿宋" w:eastAsia="仿宋" w:cs="仿宋"/>
          <w:color w:val="auto"/>
          <w:sz w:val="28"/>
          <w:szCs w:val="21"/>
          <w:highlight w:val="none"/>
          <w:lang w:val="en-US" w:eastAsia="zh-CN" w:bidi="ar-SA"/>
        </w:rPr>
      </w:pPr>
      <w:r>
        <w:rPr>
          <w:rFonts w:hint="eastAsia" w:ascii="仿宋" w:hAnsi="仿宋" w:eastAsia="仿宋" w:cs="仿宋"/>
          <w:color w:val="auto"/>
          <w:sz w:val="28"/>
          <w:szCs w:val="21"/>
          <w:highlight w:val="none"/>
          <w:lang w:val="en-US" w:eastAsia="zh-CN" w:bidi="ar-SA"/>
        </w:rPr>
        <w:t>特此承诺！</w:t>
      </w:r>
    </w:p>
    <w:p w14:paraId="4DE23AC6">
      <w:pPr>
        <w:widowControl w:val="0"/>
        <w:autoSpaceDE w:val="0"/>
        <w:autoSpaceDN w:val="0"/>
        <w:adjustRightInd w:val="0"/>
        <w:spacing w:line="360" w:lineRule="auto"/>
        <w:ind w:firstLine="484" w:firstLineChars="202"/>
        <w:jc w:val="both"/>
        <w:rPr>
          <w:rFonts w:ascii="宋体" w:hAnsi="宋体" w:eastAsia="宋体" w:cs="Cambria"/>
          <w:color w:val="auto"/>
          <w:sz w:val="24"/>
          <w:highlight w:val="none"/>
          <w:lang w:val="en-US" w:eastAsia="zh-CN" w:bidi="ar-SA"/>
        </w:rPr>
      </w:pPr>
    </w:p>
    <w:p w14:paraId="78DE3B4B">
      <w:pPr>
        <w:pStyle w:val="12"/>
        <w:rPr>
          <w:rFonts w:hint="eastAsia" w:ascii="仿宋" w:hAnsi="仿宋" w:eastAsia="仿宋" w:cs="仿宋"/>
          <w:color w:val="auto"/>
          <w:highlight w:val="none"/>
          <w:lang w:val="zh-CN"/>
        </w:rPr>
      </w:pPr>
    </w:p>
    <w:p w14:paraId="4817ECE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CC932C5">
      <w:pPr>
        <w:autoSpaceDE w:val="0"/>
        <w:autoSpaceDN w:val="0"/>
        <w:spacing w:line="360" w:lineRule="auto"/>
        <w:ind w:left="0" w:leftChars="0" w:firstLine="6391" w:firstLineChars="266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6FADB230">
      <w:pPr>
        <w:rPr>
          <w:rFonts w:hint="eastAsia"/>
          <w:color w:val="auto"/>
          <w:highlight w:val="none"/>
          <w:lang w:val="zh-CN"/>
        </w:rPr>
      </w:pPr>
    </w:p>
    <w:p w14:paraId="5F1C4F6F">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en-US" w:eastAsia="zh-CN"/>
        </w:rPr>
      </w:pPr>
      <w:r>
        <w:rPr>
          <w:rFonts w:ascii="宋体" w:hAnsi="宋体" w:eastAsia="宋体" w:cs="宋体"/>
          <w:color w:val="auto"/>
          <w:kern w:val="0"/>
          <w:sz w:val="24"/>
          <w:szCs w:val="21"/>
          <w:highlight w:val="none"/>
        </w:rPr>
        <w:br w:type="page"/>
      </w:r>
    </w:p>
    <w:p w14:paraId="6E4E85AC">
      <w:pPr>
        <w:rPr>
          <w:rFonts w:hint="eastAsia" w:ascii="仿宋" w:hAnsi="仿宋" w:eastAsia="仿宋" w:cs="仿宋"/>
          <w:color w:val="auto"/>
          <w:kern w:val="0"/>
          <w:sz w:val="24"/>
          <w:highlight w:val="none"/>
          <w:lang w:val="zh-CN"/>
        </w:rPr>
      </w:pPr>
    </w:p>
    <w:p w14:paraId="5D91F9D5">
      <w:pPr>
        <w:pStyle w:val="12"/>
        <w:rPr>
          <w:rFonts w:hint="eastAsia" w:ascii="仿宋" w:hAnsi="仿宋" w:eastAsia="仿宋" w:cs="仿宋"/>
          <w:color w:val="auto"/>
          <w:kern w:val="0"/>
          <w:sz w:val="24"/>
          <w:highlight w:val="none"/>
          <w:lang w:val="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rPr>
        <w:t>、除磋商文件规定必须提供以外，供应商认为需要提供的其他证明材料</w:t>
      </w:r>
    </w:p>
    <w:p w14:paraId="29B66ED9">
      <w:pPr>
        <w:rPr>
          <w:rFonts w:hint="eastAsia" w:ascii="仿宋" w:hAnsi="仿宋" w:eastAsia="仿宋" w:cs="仿宋"/>
          <w:color w:val="auto"/>
          <w:kern w:val="0"/>
          <w:sz w:val="24"/>
          <w:highlight w:val="none"/>
          <w:lang w:val="zh-CN"/>
        </w:rPr>
      </w:pPr>
    </w:p>
    <w:p w14:paraId="420AA784">
      <w:pPr>
        <w:pStyle w:val="12"/>
        <w:rPr>
          <w:rFonts w:hint="eastAsia" w:ascii="仿宋" w:hAnsi="仿宋" w:eastAsia="仿宋" w:cs="仿宋"/>
          <w:color w:val="auto"/>
          <w:highlight w:val="none"/>
          <w:lang w:val="zh-CN"/>
        </w:rPr>
      </w:pPr>
    </w:p>
    <w:p w14:paraId="0D76CE50">
      <w:pPr>
        <w:rPr>
          <w:rFonts w:hint="eastAsia" w:ascii="仿宋" w:hAnsi="仿宋" w:eastAsia="仿宋" w:cs="仿宋"/>
          <w:color w:val="auto"/>
          <w:highlight w:val="none"/>
          <w:lang w:val="zh-CN"/>
        </w:rPr>
      </w:pPr>
    </w:p>
    <w:p w14:paraId="3EA1B28E">
      <w:pPr>
        <w:pStyle w:val="12"/>
        <w:rPr>
          <w:rFonts w:hint="eastAsia" w:ascii="仿宋" w:hAnsi="仿宋" w:eastAsia="仿宋" w:cs="仿宋"/>
          <w:color w:val="auto"/>
          <w:highlight w:val="none"/>
          <w:lang w:val="zh-CN"/>
        </w:rPr>
      </w:pPr>
    </w:p>
    <w:p w14:paraId="056636E6">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172D1895">
      <w:pPr>
        <w:autoSpaceDE w:val="0"/>
        <w:autoSpaceDN w:val="0"/>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D37A7D4">
      <w:pPr>
        <w:rPr>
          <w:rFonts w:hint="eastAsia"/>
          <w:color w:val="auto"/>
          <w:highlight w:val="none"/>
          <w:lang w:val="zh-CN"/>
        </w:rPr>
      </w:pPr>
    </w:p>
    <w:p w14:paraId="366C7F53">
      <w:pPr>
        <w:pStyle w:val="12"/>
        <w:rPr>
          <w:rFonts w:hint="eastAsia"/>
          <w:color w:val="auto"/>
          <w:highlight w:val="none"/>
          <w:lang w:val="zh-CN"/>
        </w:rPr>
      </w:pPr>
    </w:p>
    <w:p w14:paraId="18F063B7">
      <w:pPr>
        <w:rPr>
          <w:rFonts w:hint="eastAsia"/>
          <w:color w:val="auto"/>
          <w:highlight w:val="none"/>
          <w:lang w:val="zh-CN"/>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24B35">
      <w:pPr>
        <w:pStyle w:val="3"/>
        <w:spacing w:line="360" w:lineRule="auto"/>
        <w:jc w:val="center"/>
        <w:rPr>
          <w:rFonts w:hint="eastAsia" w:ascii="宋体" w:hAnsi="宋体" w:eastAsia="宋体" w:cs="宋体"/>
          <w:b w:val="0"/>
          <w:color w:val="auto"/>
          <w:highlight w:val="none"/>
        </w:rPr>
      </w:pPr>
      <w:bookmarkStart w:id="171" w:name="_Toc25946"/>
      <w:bookmarkStart w:id="172" w:name="_Toc7889"/>
      <w:bookmarkStart w:id="173" w:name="_Toc80205940"/>
      <w:bookmarkStart w:id="174" w:name="_Toc24675"/>
      <w:bookmarkStart w:id="175" w:name="_Toc8220"/>
      <w:bookmarkStart w:id="176" w:name="_Toc14159"/>
      <w:bookmarkStart w:id="177" w:name="_Toc22872"/>
      <w:bookmarkStart w:id="178" w:name="_Toc1171"/>
      <w:r>
        <w:rPr>
          <w:rFonts w:hint="eastAsia" w:ascii="宋体" w:hAnsi="宋体" w:eastAsia="宋体" w:cs="宋体"/>
          <w:b w:val="0"/>
          <w:bCs w:val="0"/>
          <w:color w:val="auto"/>
          <w:highlight w:val="none"/>
        </w:rPr>
        <w:t>第</w:t>
      </w:r>
      <w:r>
        <w:rPr>
          <w:rFonts w:hint="eastAsia" w:ascii="宋体" w:hAnsi="宋体" w:eastAsia="宋体" w:cs="宋体"/>
          <w:b w:val="0"/>
          <w:bCs w:val="0"/>
          <w:color w:val="auto"/>
          <w:highlight w:val="none"/>
          <w:lang w:eastAsia="zh-CN"/>
        </w:rPr>
        <w:t>三</w:t>
      </w:r>
      <w:r>
        <w:rPr>
          <w:rFonts w:hint="eastAsia" w:ascii="宋体" w:hAnsi="宋体" w:eastAsia="宋体" w:cs="宋体"/>
          <w:b w:val="0"/>
          <w:bCs w:val="0"/>
          <w:color w:val="auto"/>
          <w:highlight w:val="none"/>
        </w:rPr>
        <w:t xml:space="preserve">节 </w:t>
      </w:r>
      <w:r>
        <w:rPr>
          <w:rFonts w:hint="eastAsia" w:ascii="宋体" w:hAnsi="宋体" w:eastAsia="宋体" w:cs="宋体"/>
          <w:b w:val="0"/>
          <w:color w:val="auto"/>
          <w:highlight w:val="none"/>
        </w:rPr>
        <w:t>商务技术文件格式</w:t>
      </w:r>
      <w:bookmarkEnd w:id="171"/>
      <w:bookmarkEnd w:id="172"/>
      <w:bookmarkEnd w:id="173"/>
      <w:bookmarkEnd w:id="174"/>
      <w:bookmarkEnd w:id="175"/>
      <w:bookmarkEnd w:id="176"/>
      <w:bookmarkEnd w:id="177"/>
      <w:bookmarkEnd w:id="178"/>
    </w:p>
    <w:p w14:paraId="40BD499D">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6743CBC">
      <w:pPr>
        <w:snapToGrid w:val="0"/>
        <w:spacing w:before="120" w:beforeLines="50" w:after="50" w:line="360" w:lineRule="auto"/>
        <w:rPr>
          <w:rFonts w:hint="eastAsia" w:ascii="宋体" w:hAnsi="宋体" w:eastAsia="宋体" w:cs="宋体"/>
          <w:color w:val="auto"/>
          <w:sz w:val="24"/>
          <w:szCs w:val="20"/>
          <w:highlight w:val="none"/>
        </w:rPr>
      </w:pPr>
    </w:p>
    <w:p w14:paraId="0ACAB217">
      <w:pPr>
        <w:snapToGrid w:val="0"/>
        <w:spacing w:before="120" w:beforeLines="50" w:after="50" w:line="360" w:lineRule="auto"/>
        <w:rPr>
          <w:rFonts w:hint="eastAsia" w:ascii="宋体" w:hAnsi="宋体" w:eastAsia="宋体" w:cs="宋体"/>
          <w:color w:val="auto"/>
          <w:sz w:val="24"/>
          <w:szCs w:val="20"/>
          <w:highlight w:val="none"/>
        </w:rPr>
      </w:pPr>
    </w:p>
    <w:p w14:paraId="5844395D">
      <w:pPr>
        <w:snapToGrid w:val="0"/>
        <w:spacing w:before="120" w:beforeLines="50" w:after="50" w:line="360" w:lineRule="auto"/>
        <w:rPr>
          <w:rFonts w:hint="eastAsia" w:ascii="宋体" w:hAnsi="宋体" w:eastAsia="宋体" w:cs="宋体"/>
          <w:color w:val="auto"/>
          <w:sz w:val="24"/>
          <w:szCs w:val="20"/>
          <w:highlight w:val="none"/>
        </w:rPr>
      </w:pPr>
    </w:p>
    <w:p w14:paraId="19B4A5C2">
      <w:pPr>
        <w:snapToGrid w:val="0"/>
        <w:spacing w:before="120" w:beforeLines="50" w:after="50" w:line="360" w:lineRule="auto"/>
        <w:jc w:val="center"/>
        <w:rPr>
          <w:rFonts w:hint="eastAsia" w:ascii="宋体" w:hAnsi="宋体" w:eastAsia="宋体" w:cs="宋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14:paraId="59474BCC">
      <w:pPr>
        <w:snapToGrid w:val="0"/>
        <w:spacing w:before="120" w:beforeLines="50" w:after="50" w:line="360" w:lineRule="auto"/>
        <w:rPr>
          <w:rFonts w:hint="eastAsia" w:ascii="宋体" w:hAnsi="宋体" w:eastAsia="宋体" w:cs="宋体"/>
          <w:bCs/>
          <w:color w:val="auto"/>
          <w:sz w:val="24"/>
          <w:szCs w:val="20"/>
          <w:highlight w:val="none"/>
        </w:rPr>
      </w:pPr>
    </w:p>
    <w:p w14:paraId="75460B99">
      <w:pPr>
        <w:snapToGrid w:val="0"/>
        <w:spacing w:before="120" w:beforeLines="50" w:after="50" w:line="360" w:lineRule="auto"/>
        <w:rPr>
          <w:rFonts w:hint="eastAsia" w:ascii="宋体" w:hAnsi="宋体" w:eastAsia="宋体" w:cs="宋体"/>
          <w:bCs/>
          <w:color w:val="auto"/>
          <w:sz w:val="24"/>
          <w:szCs w:val="20"/>
          <w:highlight w:val="none"/>
        </w:rPr>
      </w:pPr>
    </w:p>
    <w:p w14:paraId="30DBEE55">
      <w:pPr>
        <w:snapToGrid w:val="0"/>
        <w:spacing w:before="120" w:beforeLines="50" w:after="50" w:line="360" w:lineRule="auto"/>
        <w:rPr>
          <w:rFonts w:hint="eastAsia" w:ascii="宋体" w:hAnsi="宋体" w:eastAsia="宋体" w:cs="宋体"/>
          <w:bCs/>
          <w:color w:val="auto"/>
          <w:sz w:val="24"/>
          <w:szCs w:val="20"/>
          <w:highlight w:val="none"/>
        </w:rPr>
      </w:pPr>
    </w:p>
    <w:p w14:paraId="6639D117">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隆安县丁当镇保湾村农田水利设施项目（驮湾屯、农怀屯）</w:t>
      </w:r>
    </w:p>
    <w:p w14:paraId="197DDCEC">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71C542D4">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项目编号：NNZC2026-C2-230056-JHGC</w:t>
      </w:r>
      <w:r>
        <w:rPr>
          <w:rFonts w:hint="eastAsia" w:ascii="宋体" w:hAnsi="宋体" w:cs="宋体"/>
          <w:bCs/>
          <w:color w:val="auto"/>
          <w:sz w:val="32"/>
          <w:szCs w:val="32"/>
          <w:highlight w:val="none"/>
          <w:lang w:eastAsia="zh-CN"/>
        </w:rPr>
        <w:t xml:space="preserve">   </w:t>
      </w:r>
    </w:p>
    <w:p w14:paraId="15619E14">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02367D4">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7621E">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E3F93A2">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0BE071A">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2D67DD46">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AB481A9">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4E305FD">
      <w:pPr>
        <w:snapToGrid w:val="0"/>
        <w:spacing w:before="120" w:beforeLines="50" w:after="50" w:line="360" w:lineRule="auto"/>
        <w:ind w:left="142" w:firstLine="643" w:firstLineChars="200"/>
        <w:jc w:val="left"/>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E076DF5">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商务技术文件目录</w:t>
      </w:r>
    </w:p>
    <w:p w14:paraId="0AF3BE3E">
      <w:pPr>
        <w:spacing w:line="360" w:lineRule="auto"/>
        <w:jc w:val="center"/>
        <w:rPr>
          <w:rFonts w:hint="eastAsia" w:ascii="宋体" w:hAnsi="宋体" w:eastAsia="宋体" w:cs="宋体"/>
          <w:b/>
          <w:color w:val="auto"/>
          <w:kern w:val="0"/>
          <w:sz w:val="28"/>
          <w:szCs w:val="28"/>
          <w:highlight w:val="none"/>
        </w:rPr>
      </w:pPr>
    </w:p>
    <w:p w14:paraId="1927384C">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一、无串通竞标行为的承诺函……………………………………………………（页码）</w:t>
      </w:r>
    </w:p>
    <w:p w14:paraId="28E487CA">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二、法定代表人身份证明书及法定代表人有效身份证正反面复印件…………（页码）</w:t>
      </w:r>
    </w:p>
    <w:p w14:paraId="14109F18">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三、法定代表人授权委托书及委托代理人有效身份证正反面复印件（如有委托时）……………………………（页码）</w:t>
      </w:r>
    </w:p>
    <w:p w14:paraId="793448A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四、</w:t>
      </w:r>
      <w:r>
        <w:rPr>
          <w:rFonts w:hint="eastAsia" w:ascii="仿宋" w:hAnsi="仿宋" w:eastAsia="仿宋" w:cs="仿宋"/>
          <w:color w:val="auto"/>
          <w:highlight w:val="none"/>
          <w:lang w:val="zh-CN"/>
        </w:rPr>
        <w:t>商务条款偏离表………………………………</w:t>
      </w:r>
      <w:r>
        <w:rPr>
          <w:rFonts w:hint="eastAsia" w:ascii="仿宋" w:hAnsi="仿宋" w:eastAsia="仿宋" w:cs="仿宋"/>
          <w:color w:val="auto"/>
          <w:highlight w:val="none"/>
        </w:rPr>
        <w:t>………………………………（页码）</w:t>
      </w:r>
    </w:p>
    <w:p w14:paraId="74374EA5">
      <w:pPr>
        <w:pStyle w:val="35"/>
        <w:spacing w:line="360" w:lineRule="auto"/>
        <w:rPr>
          <w:rFonts w:hint="eastAsia" w:ascii="仿宋" w:hAnsi="仿宋" w:eastAsia="仿宋" w:cs="仿宋"/>
          <w:color w:val="auto"/>
          <w:highlight w:val="none"/>
        </w:rPr>
      </w:pPr>
      <w:bookmarkStart w:id="179" w:name="OLE_LINK6"/>
      <w:bookmarkStart w:id="180" w:name="OLE_LINK7"/>
      <w:bookmarkStart w:id="181" w:name="OLE_LINK5"/>
      <w:r>
        <w:rPr>
          <w:rFonts w:hint="eastAsia" w:ascii="仿宋" w:hAnsi="仿宋" w:eastAsia="仿宋" w:cs="仿宋"/>
          <w:color w:val="auto"/>
          <w:highlight w:val="none"/>
        </w:rPr>
        <w:t>五、竞标人情况介绍</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4F3D08A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六、建设工程项目管理承诺书</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67C17A3">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七</w:t>
      </w:r>
      <w:r>
        <w:rPr>
          <w:rFonts w:hint="eastAsia" w:ascii="仿宋" w:hAnsi="仿宋" w:eastAsia="仿宋" w:cs="仿宋"/>
          <w:color w:val="auto"/>
          <w:highlight w:val="none"/>
        </w:rPr>
        <w:t>、供应商类似业绩的证明文件</w:t>
      </w:r>
      <w:r>
        <w:rPr>
          <w:rFonts w:hint="eastAsia" w:ascii="仿宋" w:hAnsi="仿宋" w:eastAsia="仿宋" w:cs="仿宋"/>
          <w:color w:val="auto"/>
          <w:highlight w:val="none"/>
          <w:lang w:val="zh-CN"/>
        </w:rPr>
        <w:t>…………………………………………………</w:t>
      </w:r>
      <w:r>
        <w:rPr>
          <w:rFonts w:hint="eastAsia" w:ascii="仿宋" w:hAnsi="仿宋" w:eastAsia="仿宋" w:cs="仿宋"/>
          <w:color w:val="auto"/>
          <w:highlight w:val="none"/>
        </w:rPr>
        <w:t>（页码）</w:t>
      </w:r>
    </w:p>
    <w:p w14:paraId="53C1106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八</w:t>
      </w:r>
      <w:r>
        <w:rPr>
          <w:rFonts w:hint="eastAsia" w:ascii="仿宋" w:hAnsi="仿宋" w:eastAsia="仿宋" w:cs="仿宋"/>
          <w:color w:val="auto"/>
          <w:highlight w:val="none"/>
          <w:lang w:val="en-US" w:eastAsia="zh-CN"/>
        </w:rPr>
        <w:t>、供应商认为需要提供的其他有关资料</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val="en-US" w:eastAsia="zh-CN"/>
        </w:rPr>
        <w:t>（页码）</w:t>
      </w:r>
      <w:bookmarkEnd w:id="179"/>
      <w:bookmarkEnd w:id="180"/>
    </w:p>
    <w:bookmarkEnd w:id="181"/>
    <w:p w14:paraId="57D6B97B">
      <w:pPr>
        <w:pStyle w:val="35"/>
        <w:spacing w:line="360" w:lineRule="auto"/>
        <w:ind w:left="0"/>
        <w:rPr>
          <w:rFonts w:hint="eastAsia" w:ascii="仿宋" w:hAnsi="仿宋" w:eastAsia="仿宋" w:cs="仿宋"/>
          <w:color w:val="auto"/>
          <w:highlight w:val="none"/>
          <w:lang w:val="en-US" w:eastAsia="zh-CN"/>
        </w:rPr>
      </w:pPr>
      <w:r>
        <w:rPr>
          <w:rFonts w:hint="eastAsia" w:ascii="仿宋" w:eastAsia="仿宋" w:cs="仿宋"/>
          <w:color w:val="auto"/>
          <w:highlight w:val="none"/>
          <w:lang w:val="en-US" w:eastAsia="zh-CN"/>
        </w:rPr>
        <w:t>九</w:t>
      </w:r>
      <w:r>
        <w:rPr>
          <w:rFonts w:hint="eastAsia" w:ascii="仿宋" w:hAnsi="仿宋" w:eastAsia="仿宋" w:cs="仿宋"/>
          <w:color w:val="auto"/>
          <w:highlight w:val="none"/>
          <w:lang w:val="en-US" w:eastAsia="zh-CN"/>
        </w:rPr>
        <w:t>、技术需求偏离表</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6D096C9F">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十、施工组织设计…………………………………………………………</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（页码）</w:t>
      </w:r>
    </w:p>
    <w:p w14:paraId="50DFCAEB">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十一、项目管理机构配备情况表…………………………………………………（页码）</w:t>
      </w:r>
    </w:p>
    <w:p w14:paraId="30E8147A">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二</w:t>
      </w:r>
      <w:r>
        <w:rPr>
          <w:rFonts w:hint="eastAsia" w:ascii="仿宋" w:hAnsi="仿宋" w:eastAsia="仿宋" w:cs="仿宋"/>
          <w:color w:val="auto"/>
          <w:highlight w:val="none"/>
          <w:lang w:val="en-US" w:eastAsia="zh-CN"/>
        </w:rPr>
        <w:t>、项目经理简历表……………………………………………………………（页码）</w:t>
      </w:r>
    </w:p>
    <w:p w14:paraId="4F40A6DD">
      <w:pPr>
        <w:pStyle w:val="35"/>
        <w:spacing w:line="360" w:lineRule="auto"/>
        <w:ind w:left="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十</w:t>
      </w:r>
      <w:r>
        <w:rPr>
          <w:rFonts w:hint="eastAsia" w:ascii="仿宋" w:eastAsia="仿宋" w:cs="仿宋"/>
          <w:color w:val="auto"/>
          <w:highlight w:val="none"/>
          <w:lang w:val="en-US" w:eastAsia="zh-CN"/>
        </w:rPr>
        <w:t>三</w:t>
      </w:r>
      <w:r>
        <w:rPr>
          <w:rFonts w:hint="eastAsia" w:ascii="仿宋" w:hAnsi="仿宋" w:eastAsia="仿宋" w:cs="仿宋"/>
          <w:color w:val="auto"/>
          <w:highlight w:val="none"/>
          <w:lang w:val="en-US" w:eastAsia="zh-CN"/>
        </w:rPr>
        <w:t>、供应商认为需要提供的其他有关资料……………………………………（页码）</w:t>
      </w:r>
    </w:p>
    <w:p w14:paraId="35A370BC">
      <w:pPr>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24384478">
      <w:pPr>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一、无串通竞标行为的承诺函</w:t>
      </w:r>
    </w:p>
    <w:p w14:paraId="5C6EA8B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44"/>
          <w:szCs w:val="44"/>
          <w:highlight w:val="none"/>
        </w:rPr>
        <w:t>无串通竞标行为的承诺函</w:t>
      </w:r>
    </w:p>
    <w:p w14:paraId="21ECB1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AA53AC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39AA7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1000C8A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6C81793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536DC2C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44F1FFB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675511E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447CF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3D057F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3E0F17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D37A8C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031A5E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9F1D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1203E1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69040AEA">
      <w:pPr>
        <w:spacing w:line="360" w:lineRule="auto"/>
        <w:ind w:firstLine="480" w:firstLineChars="200"/>
        <w:contextualSpacing/>
        <w:rPr>
          <w:rFonts w:hint="eastAsia" w:ascii="宋体" w:hAnsi="宋体" w:eastAsia="宋体" w:cs="宋体"/>
          <w:color w:val="auto"/>
          <w:sz w:val="24"/>
          <w:highlight w:val="none"/>
        </w:rPr>
      </w:pPr>
    </w:p>
    <w:p w14:paraId="614E02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5B90AD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5731C6F4">
      <w:pPr>
        <w:spacing w:line="360" w:lineRule="auto"/>
        <w:ind w:left="237" w:leftChars="113" w:firstLine="5860" w:firstLineChars="2442"/>
        <w:jc w:val="left"/>
        <w:rPr>
          <w:rFonts w:hint="eastAsia" w:ascii="仿宋" w:hAnsi="仿宋" w:eastAsia="仿宋" w:cs="仿宋"/>
          <w:bCs/>
          <w:color w:val="auto"/>
          <w:sz w:val="44"/>
          <w:szCs w:val="44"/>
          <w:highlight w:val="none"/>
        </w:rPr>
      </w:pPr>
      <w:r>
        <w:rPr>
          <w:rFonts w:hint="eastAsia" w:ascii="仿宋" w:hAnsi="仿宋" w:eastAsia="仿宋" w:cs="仿宋"/>
          <w:color w:val="auto"/>
          <w:kern w:val="0"/>
          <w:sz w:val="24"/>
          <w:highlight w:val="none"/>
          <w:lang w:val="zh-CN"/>
        </w:rPr>
        <w:t xml:space="preserve">日期：  年  月   日  </w:t>
      </w:r>
      <w:r>
        <w:rPr>
          <w:rFonts w:hint="eastAsia" w:ascii="宋体" w:hAnsi="宋体" w:eastAsia="宋体" w:cs="宋体"/>
          <w:color w:val="auto"/>
          <w:kern w:val="0"/>
          <w:sz w:val="24"/>
          <w:highlight w:val="none"/>
          <w:lang w:val="zh-CN"/>
        </w:rPr>
        <w:t xml:space="preserve"> </w:t>
      </w:r>
      <w:r>
        <w:rPr>
          <w:rFonts w:hint="eastAsia" w:ascii="宋体" w:hAnsi="宋体" w:eastAsia="宋体" w:cs="宋体"/>
          <w:b/>
          <w:bCs/>
          <w:color w:val="auto"/>
          <w:sz w:val="32"/>
          <w:szCs w:val="32"/>
          <w:highlight w:val="none"/>
        </w:rPr>
        <w:br w:type="page"/>
      </w:r>
      <w:r>
        <w:rPr>
          <w:rFonts w:hint="eastAsia" w:ascii="仿宋" w:hAnsi="仿宋" w:eastAsia="仿宋" w:cs="仿宋"/>
          <w:b/>
          <w:color w:val="auto"/>
          <w:sz w:val="30"/>
          <w:szCs w:val="30"/>
          <w:highlight w:val="none"/>
        </w:rPr>
        <w:t>二、法定代表人身份证明及法定代表人有效身份证正反面复印件</w:t>
      </w:r>
    </w:p>
    <w:p w14:paraId="7C4F380D">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44"/>
          <w:szCs w:val="44"/>
          <w:highlight w:val="none"/>
        </w:rPr>
        <w:t>法定代表人证明书</w:t>
      </w:r>
    </w:p>
    <w:p w14:paraId="61E1D720">
      <w:pPr>
        <w:spacing w:line="360" w:lineRule="auto"/>
        <w:ind w:left="540"/>
        <w:contextualSpacing/>
        <w:rPr>
          <w:rFonts w:hint="eastAsia" w:ascii="宋体" w:hAnsi="宋体" w:eastAsia="宋体" w:cs="宋体"/>
          <w:color w:val="auto"/>
          <w:sz w:val="32"/>
          <w:szCs w:val="32"/>
          <w:highlight w:val="none"/>
        </w:rPr>
      </w:pPr>
    </w:p>
    <w:p w14:paraId="0E82AA1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4340A6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65A8E01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AE42040">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DC54EEA">
      <w:pPr>
        <w:spacing w:line="360" w:lineRule="auto"/>
        <w:ind w:left="540"/>
        <w:contextualSpacing/>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70FA7F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38B7F3D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5AD2C1F">
      <w:pPr>
        <w:spacing w:line="360" w:lineRule="auto"/>
        <w:ind w:left="540"/>
        <w:contextualSpacing/>
        <w:rPr>
          <w:rFonts w:hint="eastAsia" w:ascii="宋体" w:hAnsi="宋体" w:eastAsia="宋体" w:cs="宋体"/>
          <w:color w:val="auto"/>
          <w:sz w:val="24"/>
          <w:highlight w:val="none"/>
        </w:rPr>
      </w:pPr>
    </w:p>
    <w:p w14:paraId="6DA60646">
      <w:pPr>
        <w:spacing w:line="360" w:lineRule="auto"/>
        <w:ind w:left="540"/>
        <w:contextualSpacing/>
        <w:rPr>
          <w:rFonts w:hint="eastAsia" w:ascii="宋体" w:hAnsi="宋体" w:eastAsia="宋体" w:cs="宋体"/>
          <w:color w:val="auto"/>
          <w:sz w:val="24"/>
          <w:highlight w:val="none"/>
        </w:rPr>
      </w:pPr>
    </w:p>
    <w:p w14:paraId="7E8059B8">
      <w:pPr>
        <w:spacing w:line="360" w:lineRule="auto"/>
        <w:ind w:left="540"/>
        <w:contextualSpacing/>
        <w:rPr>
          <w:rFonts w:hint="eastAsia" w:ascii="宋体" w:hAnsi="宋体" w:eastAsia="宋体" w:cs="宋体"/>
          <w:color w:val="auto"/>
          <w:sz w:val="24"/>
          <w:highlight w:val="none"/>
        </w:rPr>
      </w:pPr>
    </w:p>
    <w:p w14:paraId="17F05EA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BC375AB">
      <w:pPr>
        <w:spacing w:line="360" w:lineRule="auto"/>
        <w:ind w:left="540"/>
        <w:contextualSpacing/>
        <w:rPr>
          <w:rFonts w:hint="eastAsia" w:ascii="宋体" w:hAnsi="宋体" w:eastAsia="宋体" w:cs="宋体"/>
          <w:color w:val="auto"/>
          <w:sz w:val="24"/>
          <w:highlight w:val="none"/>
        </w:rPr>
      </w:pPr>
    </w:p>
    <w:p w14:paraId="02D622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2E6BFA69">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1479AA40">
      <w:pPr>
        <w:spacing w:line="360" w:lineRule="auto"/>
        <w:contextualSpacing/>
        <w:jc w:val="left"/>
        <w:rPr>
          <w:rFonts w:hint="eastAsia" w:ascii="宋体" w:hAnsi="宋体" w:eastAsia="宋体" w:cs="宋体"/>
          <w:color w:val="auto"/>
          <w:sz w:val="24"/>
          <w:highlight w:val="none"/>
        </w:rPr>
      </w:pPr>
    </w:p>
    <w:p w14:paraId="4751F89C">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DEE0E1D">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7"/>
        <w:tblpPr w:leftFromText="180" w:rightFromText="180" w:vertAnchor="text" w:horzAnchor="page" w:tblpX="1078" w:tblpY="9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2AE5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0" w:hRule="atLeast"/>
        </w:trPr>
        <w:tc>
          <w:tcPr>
            <w:tcW w:w="9400" w:type="dxa"/>
            <w:noWrap w:val="0"/>
            <w:vAlign w:val="top"/>
          </w:tcPr>
          <w:p w14:paraId="6B2B9910">
            <w:pPr>
              <w:spacing w:line="360" w:lineRule="auto"/>
              <w:rPr>
                <w:rFonts w:hint="eastAsia" w:ascii="宋体" w:hAnsi="宋体" w:eastAsia="宋体" w:cs="宋体"/>
                <w:b/>
                <w:color w:val="auto"/>
                <w:sz w:val="24"/>
                <w:highlight w:val="none"/>
              </w:rPr>
            </w:pPr>
          </w:p>
          <w:p w14:paraId="714D4EB4">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eastAsia="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63097CE8">
      <w:pPr>
        <w:spacing w:line="360" w:lineRule="auto"/>
        <w:ind w:firstLine="482" w:firstLineChars="200"/>
        <w:contextualSpacing/>
        <w:jc w:val="left"/>
        <w:rPr>
          <w:rFonts w:hint="eastAsia" w:ascii="仿宋" w:hAnsi="仿宋" w:eastAsia="仿宋" w:cs="仿宋"/>
          <w:bCs/>
          <w:color w:val="auto"/>
          <w:sz w:val="44"/>
          <w:szCs w:val="44"/>
          <w:highlight w:val="none"/>
        </w:rPr>
      </w:pPr>
      <w:r>
        <w:rPr>
          <w:rFonts w:hint="eastAsia" w:ascii="宋体" w:hAnsi="宋体" w:eastAsia="宋体" w:cs="宋体"/>
          <w:b/>
          <w:color w:val="auto"/>
          <w:sz w:val="24"/>
          <w:highlight w:val="none"/>
        </w:rPr>
        <w:t>附件：</w:t>
      </w:r>
      <w:r>
        <w:rPr>
          <w:rFonts w:hint="eastAsia" w:ascii="宋体" w:hAnsi="宋体" w:eastAsia="宋体" w:cs="宋体"/>
          <w:color w:val="auto"/>
          <w:sz w:val="44"/>
          <w:szCs w:val="44"/>
          <w:highlight w:val="none"/>
        </w:rPr>
        <w:br w:type="page"/>
      </w:r>
      <w:r>
        <w:rPr>
          <w:rFonts w:hint="eastAsia" w:ascii="仿宋" w:hAnsi="仿宋" w:eastAsia="仿宋" w:cs="仿宋"/>
          <w:b/>
          <w:color w:val="auto"/>
          <w:sz w:val="30"/>
          <w:szCs w:val="30"/>
          <w:highlight w:val="none"/>
        </w:rPr>
        <w:t>三、法定代表人授权委托书及委托代理人有效身份证正反面复印件</w:t>
      </w:r>
    </w:p>
    <w:p w14:paraId="4261678E">
      <w:pPr>
        <w:spacing w:line="360" w:lineRule="auto"/>
        <w:jc w:val="center"/>
        <w:rPr>
          <w:rFonts w:hint="eastAsia" w:ascii="宋体" w:hAnsi="宋体" w:eastAsia="宋体" w:cs="宋体"/>
          <w:color w:val="auto"/>
          <w:sz w:val="44"/>
          <w:szCs w:val="44"/>
          <w:highlight w:val="none"/>
        </w:rPr>
      </w:pPr>
    </w:p>
    <w:p w14:paraId="72F10E5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授权委托书（非联合体竞标格式）</w:t>
      </w:r>
    </w:p>
    <w:p w14:paraId="45B2D117">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72741FA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40A45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474143D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60408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3A4142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7EA17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76CCDDAB">
      <w:pPr>
        <w:spacing w:line="360" w:lineRule="auto"/>
        <w:rPr>
          <w:rFonts w:hint="eastAsia" w:ascii="宋体" w:hAnsi="宋体" w:eastAsia="宋体" w:cs="宋体"/>
          <w:color w:val="auto"/>
          <w:sz w:val="24"/>
          <w:highlight w:val="none"/>
        </w:rPr>
      </w:pPr>
    </w:p>
    <w:p w14:paraId="7D3A17B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法定代表人（签字或盖章）：                    </w:t>
      </w:r>
    </w:p>
    <w:p w14:paraId="710444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AEAEAD7">
      <w:pPr>
        <w:spacing w:line="360" w:lineRule="auto"/>
        <w:rPr>
          <w:rFonts w:hint="eastAsia" w:ascii="仿宋" w:hAnsi="仿宋" w:eastAsia="仿宋" w:cs="仿宋"/>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kern w:val="0"/>
          <w:sz w:val="24"/>
          <w:highlight w:val="none"/>
        </w:rPr>
        <w:t>供应商名称（电子签章）：</w:t>
      </w:r>
    </w:p>
    <w:p w14:paraId="6EBD6511">
      <w:pPr>
        <w:spacing w:line="360" w:lineRule="auto"/>
        <w:contextualSpacing/>
        <w:jc w:val="center"/>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 xml:space="preserve">                                                   日期：  年  月   日</w:t>
      </w:r>
    </w:p>
    <w:p w14:paraId="5D41356B">
      <w:pPr>
        <w:spacing w:line="360" w:lineRule="auto"/>
        <w:rPr>
          <w:rFonts w:hint="eastAsia" w:ascii="宋体" w:hAnsi="宋体" w:eastAsia="宋体" w:cs="宋体"/>
          <w:color w:val="auto"/>
          <w:sz w:val="24"/>
          <w:highlight w:val="none"/>
        </w:rPr>
      </w:pPr>
    </w:p>
    <w:p w14:paraId="076998F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1A4E9F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6928214">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F101C0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44"/>
          <w:szCs w:val="44"/>
          <w:highlight w:val="none"/>
        </w:rPr>
        <w:t>授权委托书（联合体竞标格式）</w:t>
      </w:r>
    </w:p>
    <w:p w14:paraId="72F315D9">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bCs/>
          <w:color w:val="auto"/>
          <w:sz w:val="44"/>
          <w:szCs w:val="44"/>
          <w:highlight w:val="none"/>
        </w:rPr>
        <w:t>（如有委托时）</w:t>
      </w:r>
    </w:p>
    <w:p w14:paraId="5005A99C">
      <w:pPr>
        <w:spacing w:line="360" w:lineRule="auto"/>
        <w:jc w:val="center"/>
        <w:rPr>
          <w:rFonts w:hint="eastAsia" w:ascii="宋体" w:hAnsi="宋体" w:eastAsia="宋体" w:cs="宋体"/>
          <w:color w:val="auto"/>
          <w:sz w:val="32"/>
          <w:szCs w:val="32"/>
          <w:highlight w:val="none"/>
        </w:rPr>
      </w:pPr>
    </w:p>
    <w:p w14:paraId="19F389D9">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（联合体其他成员名称）签订的《联合体竞标协议书》的内容，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0D02D0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34FF85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9A375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5CA3972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5D53987">
      <w:pPr>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23AA4338">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11008F20">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3414543">
      <w:pPr>
        <w:spacing w:line="360" w:lineRule="auto"/>
        <w:rPr>
          <w:rFonts w:hint="eastAsia" w:ascii="宋体" w:hAnsi="宋体" w:eastAsia="宋体" w:cs="宋体"/>
          <w:color w:val="auto"/>
          <w:sz w:val="24"/>
          <w:highlight w:val="none"/>
        </w:rPr>
      </w:pPr>
    </w:p>
    <w:p w14:paraId="65AB6ABA">
      <w:pPr>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w:t>
      </w:r>
    </w:p>
    <w:p w14:paraId="28BEA3D5">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B619111">
      <w:pPr>
        <w:spacing w:line="360" w:lineRule="auto"/>
        <w:rPr>
          <w:rFonts w:hint="eastAsia" w:ascii="宋体" w:hAnsi="宋体" w:eastAsia="宋体" w:cs="宋体"/>
          <w:color w:val="auto"/>
          <w:sz w:val="24"/>
          <w:highlight w:val="none"/>
        </w:rPr>
      </w:pPr>
    </w:p>
    <w:p w14:paraId="6D4D63F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3F8A64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3187C2A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5CE8089">
      <w:pPr>
        <w:spacing w:line="360" w:lineRule="auto"/>
        <w:ind w:firstLine="480" w:firstLineChars="200"/>
        <w:jc w:val="left"/>
        <w:rPr>
          <w:rFonts w:hint="eastAsia" w:ascii="宋体" w:hAnsi="宋体" w:eastAsia="宋体" w:cs="宋体"/>
          <w:b/>
          <w:color w:val="auto"/>
          <w:sz w:val="30"/>
          <w:szCs w:val="30"/>
          <w:highlight w:val="none"/>
        </w:rPr>
      </w:pPr>
      <w:r>
        <w:rPr>
          <w:rFonts w:hint="eastAsia" w:ascii="宋体" w:hAnsi="宋体" w:eastAsia="宋体" w:cs="宋体"/>
          <w:color w:val="auto"/>
          <w:sz w:val="24"/>
          <w:highlight w:val="none"/>
        </w:rPr>
        <w:t>4.法人、其他组织竞标时“我方”是指“我单位”，自然人竞标时“我方”是指“本人”。</w:t>
      </w:r>
      <w:r>
        <w:rPr>
          <w:rFonts w:hint="eastAsia" w:ascii="宋体" w:hAnsi="宋体" w:eastAsia="宋体" w:cs="宋体"/>
          <w:color w:val="auto"/>
          <w:sz w:val="32"/>
          <w:szCs w:val="32"/>
          <w:highlight w:val="none"/>
        </w:rPr>
        <w:br w:type="page"/>
      </w:r>
      <w:r>
        <w:rPr>
          <w:rFonts w:hint="eastAsia" w:ascii="仿宋" w:hAnsi="仿宋" w:eastAsia="仿宋" w:cs="仿宋"/>
          <w:b/>
          <w:color w:val="auto"/>
          <w:sz w:val="30"/>
          <w:szCs w:val="30"/>
          <w:highlight w:val="none"/>
        </w:rPr>
        <w:t>四、商务条款偏离表</w:t>
      </w:r>
    </w:p>
    <w:p w14:paraId="6FBF0422">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
          <w:bCs w:val="0"/>
          <w:color w:val="auto"/>
          <w:sz w:val="44"/>
          <w:szCs w:val="44"/>
          <w:highlight w:val="none"/>
        </w:rPr>
        <w:t>商务条款偏离表</w:t>
      </w:r>
    </w:p>
    <w:p w14:paraId="56D87784">
      <w:pPr>
        <w:spacing w:line="360" w:lineRule="auto"/>
        <w:contextualSpacing/>
        <w:rPr>
          <w:rFonts w:hint="default" w:ascii="宋体" w:hAnsi="宋体" w:eastAsia="宋体" w:cs="宋体"/>
          <w:color w:val="auto"/>
          <w:sz w:val="24"/>
          <w:highlight w:val="none"/>
          <w:u w:val="single"/>
          <w:lang w:val="en-US"/>
        </w:rPr>
      </w:pPr>
      <w:r>
        <w:rPr>
          <w:rFonts w:hint="eastAsia" w:ascii="宋体" w:hAnsi="宋体" w:eastAsia="宋体" w:cs="宋体"/>
          <w:color w:val="auto"/>
          <w:sz w:val="24"/>
          <w:highlight w:val="none"/>
        </w:rPr>
        <w:t>采购项目编号：</w:t>
      </w:r>
      <w:r>
        <w:rPr>
          <w:rFonts w:hint="eastAsia" w:ascii="宋体" w:hAnsi="宋体" w:cs="宋体"/>
          <w:color w:val="auto"/>
          <w:sz w:val="24"/>
          <w:highlight w:val="none"/>
          <w:u w:val="single"/>
          <w:lang w:val="en-US" w:eastAsia="zh-CN"/>
        </w:rPr>
        <w:t>NNZC2026-C2-230056-JHGC</w:t>
      </w:r>
    </w:p>
    <w:p w14:paraId="24DB78D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cs="宋体"/>
          <w:color w:val="auto"/>
          <w:sz w:val="24"/>
          <w:highlight w:val="none"/>
          <w:u w:val="single"/>
          <w:lang w:eastAsia="zh-CN"/>
        </w:rPr>
        <w:t>隆安县丁当镇保湾村农田水利设施项目（驮湾屯、农怀屯）</w:t>
      </w:r>
      <w:r>
        <w:rPr>
          <w:rFonts w:hint="eastAsia" w:ascii="宋体" w:hAnsi="宋体" w:eastAsia="宋体" w:cs="宋体"/>
          <w:color w:val="auto"/>
          <w:sz w:val="24"/>
          <w:highlight w:val="none"/>
          <w:u w:val="single"/>
        </w:rPr>
        <w:t xml:space="preserve"> </w:t>
      </w:r>
    </w:p>
    <w:tbl>
      <w:tblPr>
        <w:tblStyle w:val="27"/>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248"/>
        <w:gridCol w:w="1615"/>
      </w:tblGrid>
      <w:tr w14:paraId="198C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25741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3C0A5E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竞争性磋商文件的商务需求</w:t>
            </w:r>
          </w:p>
        </w:tc>
        <w:tc>
          <w:tcPr>
            <w:tcW w:w="3248" w:type="dxa"/>
            <w:tcBorders>
              <w:top w:val="single" w:color="auto" w:sz="4" w:space="0"/>
              <w:left w:val="single" w:color="auto" w:sz="4" w:space="0"/>
              <w:bottom w:val="single" w:color="auto" w:sz="4" w:space="0"/>
              <w:right w:val="single" w:color="auto" w:sz="4" w:space="0"/>
            </w:tcBorders>
            <w:noWrap w:val="0"/>
            <w:vAlign w:val="center"/>
          </w:tcPr>
          <w:p w14:paraId="3F049CB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2C8CD18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7A59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11B33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BF3EC7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B3000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77C6E5F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D3FEB7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1409CE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898F7C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9A0464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7DDBBA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78B543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3614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0212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1066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C8987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BAE41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268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4AA4916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B1CF0F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CED7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557B5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510ADD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r w14:paraId="535F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ED1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5F303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B4FA1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B1F75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6987D6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48" w:type="dxa"/>
            <w:tcBorders>
              <w:top w:val="single" w:color="auto" w:sz="4" w:space="0"/>
              <w:left w:val="single" w:color="auto" w:sz="4" w:space="0"/>
              <w:bottom w:val="single" w:color="auto" w:sz="4" w:space="0"/>
              <w:right w:val="single" w:color="auto" w:sz="4" w:space="0"/>
            </w:tcBorders>
            <w:noWrap w:val="0"/>
            <w:vAlign w:val="top"/>
          </w:tcPr>
          <w:p w14:paraId="621D21A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B05D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7303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088D49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15" w:type="dxa"/>
            <w:tcBorders>
              <w:top w:val="single" w:color="auto" w:sz="4" w:space="0"/>
              <w:left w:val="single" w:color="auto" w:sz="4" w:space="0"/>
              <w:bottom w:val="single" w:color="auto" w:sz="4" w:space="0"/>
              <w:right w:val="single" w:color="auto" w:sz="4" w:space="0"/>
            </w:tcBorders>
            <w:noWrap w:val="0"/>
            <w:vAlign w:val="top"/>
          </w:tcPr>
          <w:p w14:paraId="18BB76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正偏离（负偏离或无偏离）</w:t>
            </w:r>
          </w:p>
        </w:tc>
      </w:tr>
    </w:tbl>
    <w:p w14:paraId="24D8192D">
      <w:pPr>
        <w:pStyle w:val="13"/>
        <w:keepNext w:val="0"/>
        <w:keepLines w:val="0"/>
        <w:pageBreakBefore w:val="0"/>
        <w:widowControl w:val="0"/>
        <w:kinsoku/>
        <w:wordWrap/>
        <w:overflowPunct/>
        <w:topLinePunct w:val="0"/>
        <w:autoSpaceDE/>
        <w:autoSpaceDN/>
        <w:bidi w:val="0"/>
        <w:adjustRightInd/>
        <w:snapToGrid/>
        <w:spacing w:line="400" w:lineRule="exact"/>
        <w:ind w:firstLine="0" w:firstLineChars="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AB24C9A">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1.说明：应对照磋商文件“第二章 采购需求”中的商务条款逐条作出明确响应，并</w:t>
      </w:r>
      <w:r>
        <w:rPr>
          <w:rFonts w:hint="eastAsia" w:hAnsi="宋体" w:eastAsia="宋体" w:cs="宋体"/>
          <w:color w:val="auto"/>
          <w:sz w:val="22"/>
          <w:szCs w:val="22"/>
          <w:highlight w:val="none"/>
          <w:lang w:eastAsia="zh-CN"/>
        </w:rPr>
        <w:t>做出</w:t>
      </w:r>
      <w:r>
        <w:rPr>
          <w:rFonts w:hint="eastAsia" w:ascii="宋体" w:hAnsi="宋体" w:eastAsia="宋体" w:cs="宋体"/>
          <w:color w:val="auto"/>
          <w:sz w:val="22"/>
          <w:szCs w:val="22"/>
          <w:highlight w:val="none"/>
          <w:lang w:eastAsia="zh-CN"/>
        </w:rPr>
        <w:t>偏离说明。</w:t>
      </w:r>
    </w:p>
    <w:p w14:paraId="57A358F8">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2.供应商应根据自身的承诺，对照磋商文件要求，在“偏离说明”中注明“正偏离”、“负偏离”或者“无偏离”。既不属于“正偏离”也不属于“负偏离”即为“无偏离”。</w:t>
      </w:r>
      <w:r>
        <w:rPr>
          <w:rFonts w:hint="eastAsia" w:ascii="宋体" w:hAnsi="宋体" w:eastAsia="宋体" w:cs="宋体"/>
          <w:b/>
          <w:bCs/>
          <w:color w:val="auto"/>
          <w:sz w:val="22"/>
          <w:szCs w:val="22"/>
          <w:highlight w:val="none"/>
          <w:lang w:eastAsia="zh-CN"/>
        </w:rPr>
        <w:t>当响应文件的</w:t>
      </w:r>
      <w:r>
        <w:rPr>
          <w:rFonts w:hint="eastAsia" w:ascii="宋体" w:hAnsi="宋体" w:eastAsia="宋体" w:cs="宋体"/>
          <w:color w:val="auto"/>
          <w:sz w:val="22"/>
          <w:szCs w:val="22"/>
          <w:highlight w:val="none"/>
          <w:lang w:eastAsia="zh-CN"/>
        </w:rPr>
        <w:t>商务内容低于竞争性磋商文件要求时，竞标人应当如实写明“负偏离”，否则视为虚假应标</w:t>
      </w:r>
    </w:p>
    <w:p w14:paraId="7A6441B9">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3.表格内容均需按要求填写，不得留空，否则按竞标无效处理。</w:t>
      </w:r>
    </w:p>
    <w:p w14:paraId="2EA3FD56">
      <w:pPr>
        <w:pStyle w:val="16"/>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3FB79BA1">
      <w:pPr>
        <w:pStyle w:val="16"/>
        <w:spacing w:line="360" w:lineRule="auto"/>
        <w:contextualSpacing/>
        <w:rPr>
          <w:rFonts w:hint="eastAsia" w:ascii="宋体" w:hAnsi="宋体" w:eastAsia="宋体" w:cs="宋体"/>
          <w:color w:val="auto"/>
          <w:sz w:val="24"/>
          <w:highlight w:val="none"/>
          <w:lang w:eastAsia="zh-CN"/>
        </w:rPr>
      </w:pPr>
    </w:p>
    <w:p w14:paraId="74F1C112">
      <w:pPr>
        <w:spacing w:line="360" w:lineRule="auto"/>
        <w:ind w:firstLine="3840" w:firstLineChars="16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供应商名称（电子签章）：</w:t>
      </w:r>
    </w:p>
    <w:p w14:paraId="6D96A5E4">
      <w:pPr>
        <w:spacing w:line="360" w:lineRule="auto"/>
        <w:contextualSpacing/>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27A9955A">
      <w:pPr>
        <w:spacing w:line="360" w:lineRule="auto"/>
        <w:contextualSpacing/>
        <w:jc w:val="center"/>
        <w:rPr>
          <w:rFonts w:hint="eastAsia" w:ascii="仿宋" w:hAnsi="仿宋" w:eastAsia="仿宋" w:cs="仿宋"/>
          <w:color w:val="auto"/>
          <w:kern w:val="0"/>
          <w:sz w:val="24"/>
          <w:highlight w:val="none"/>
          <w:lang w:val="zh-CN"/>
        </w:rPr>
      </w:pPr>
    </w:p>
    <w:p w14:paraId="3D2984D3">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五、竞标人情况介绍</w:t>
      </w:r>
    </w:p>
    <w:p w14:paraId="39B53B81">
      <w:pPr>
        <w:snapToGrid w:val="0"/>
        <w:spacing w:line="360" w:lineRule="auto"/>
        <w:ind w:firstLine="602" w:firstLineChars="200"/>
        <w:rPr>
          <w:rFonts w:hint="eastAsia" w:ascii="宋体" w:hAnsi="宋体" w:eastAsia="宋体" w:cs="宋体"/>
          <w:b/>
          <w:color w:val="auto"/>
          <w:sz w:val="30"/>
          <w:szCs w:val="30"/>
          <w:highlight w:val="none"/>
        </w:rPr>
      </w:pPr>
    </w:p>
    <w:p w14:paraId="695CB866">
      <w:pPr>
        <w:pStyle w:val="12"/>
        <w:spacing w:line="360" w:lineRule="auto"/>
        <w:rPr>
          <w:rFonts w:hint="eastAsia" w:ascii="宋体" w:hAnsi="宋体" w:eastAsia="宋体" w:cs="宋体"/>
          <w:b/>
          <w:color w:val="auto"/>
          <w:sz w:val="30"/>
          <w:szCs w:val="30"/>
          <w:highlight w:val="none"/>
        </w:rPr>
      </w:pPr>
    </w:p>
    <w:p w14:paraId="3AEEA94E">
      <w:pPr>
        <w:pStyle w:val="12"/>
        <w:spacing w:line="360" w:lineRule="auto"/>
        <w:rPr>
          <w:rFonts w:hint="eastAsia" w:ascii="仿宋" w:hAnsi="仿宋" w:eastAsia="仿宋" w:cs="仿宋"/>
          <w:b/>
          <w:color w:val="auto"/>
          <w:sz w:val="30"/>
          <w:szCs w:val="30"/>
          <w:highlight w:val="none"/>
        </w:rPr>
      </w:pPr>
    </w:p>
    <w:p w14:paraId="134C06BE">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FC4FCDC">
      <w:pPr>
        <w:spacing w:line="360" w:lineRule="auto"/>
        <w:ind w:left="0" w:leftChars="0" w:firstLine="6098" w:firstLineChars="2541"/>
        <w:contextualSpacing/>
        <w:jc w:val="both"/>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209EF38C">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71894C43">
      <w:pPr>
        <w:snapToGrid w:val="0"/>
        <w:spacing w:before="120" w:beforeLines="50" w:after="50" w:line="360" w:lineRule="auto"/>
        <w:ind w:firstLine="602" w:firstLineChars="200"/>
        <w:rPr>
          <w:rFonts w:hint="eastAsia" w:ascii="宋体" w:hAnsi="宋体" w:eastAsia="宋体" w:cs="宋体"/>
          <w:b/>
          <w:color w:val="auto"/>
          <w:sz w:val="30"/>
          <w:szCs w:val="30"/>
          <w:highlight w:val="none"/>
        </w:rPr>
      </w:pPr>
    </w:p>
    <w:p w14:paraId="3212A641">
      <w:pPr>
        <w:snapToGrid w:val="0"/>
        <w:spacing w:before="120" w:beforeLines="50" w:after="50" w:line="360" w:lineRule="auto"/>
        <w:ind w:firstLine="602" w:firstLineChars="200"/>
        <w:rPr>
          <w:rFonts w:hint="eastAsia" w:ascii="宋体" w:hAnsi="宋体" w:eastAsia="宋体" w:cs="宋体"/>
          <w:b/>
          <w:color w:val="auto"/>
          <w:sz w:val="30"/>
          <w:szCs w:val="30"/>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D77AAAD">
      <w:pPr>
        <w:tabs>
          <w:tab w:val="left" w:pos="826"/>
        </w:tabs>
        <w:snapToGrid w:val="0"/>
        <w:ind w:firstLine="602" w:firstLineChars="200"/>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六</w:t>
      </w:r>
      <w:r>
        <w:rPr>
          <w:rFonts w:hint="eastAsia" w:ascii="仿宋" w:hAnsi="仿宋" w:eastAsia="仿宋" w:cs="仿宋"/>
          <w:b/>
          <w:color w:val="auto"/>
          <w:sz w:val="30"/>
          <w:szCs w:val="30"/>
          <w:highlight w:val="none"/>
          <w:lang w:eastAsia="zh-CN"/>
        </w:rPr>
        <w:t>、建设工程项目管理承诺书</w:t>
      </w:r>
    </w:p>
    <w:p w14:paraId="6263918E">
      <w:pPr>
        <w:jc w:val="center"/>
        <w:rPr>
          <w:rFonts w:ascii="宋体" w:hAnsi="宋体" w:eastAsia="宋体" w:cs="宋体"/>
          <w:color w:val="auto"/>
          <w:sz w:val="32"/>
          <w:szCs w:val="32"/>
          <w:highlight w:val="none"/>
        </w:rPr>
      </w:pPr>
    </w:p>
    <w:p w14:paraId="07923581">
      <w:pPr>
        <w:jc w:val="center"/>
        <w:rPr>
          <w:rFonts w:ascii="宋体" w:hAnsi="宋体" w:eastAsia="宋体" w:cs="宋体"/>
          <w:color w:val="auto"/>
          <w:sz w:val="24"/>
          <w:szCs w:val="24"/>
          <w:highlight w:val="none"/>
        </w:rPr>
      </w:pPr>
      <w:r>
        <w:rPr>
          <w:rFonts w:ascii="宋体" w:hAnsi="宋体" w:eastAsia="宋体" w:cs="宋体"/>
          <w:color w:val="auto"/>
          <w:sz w:val="32"/>
          <w:szCs w:val="32"/>
          <w:highlight w:val="none"/>
        </w:rPr>
        <w:t>建设工程项目管理承诺书</w:t>
      </w:r>
    </w:p>
    <w:p w14:paraId="274C77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p>
    <w:p w14:paraId="6CC26072">
      <w:pPr>
        <w:pStyle w:val="36"/>
        <w:spacing w:line="480" w:lineRule="auto"/>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致</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w:t>
      </w:r>
      <w:r>
        <w:rPr>
          <w:rStyle w:val="29"/>
          <w:rFonts w:hint="eastAsia" w:ascii="宋体" w:hAnsi="宋体" w:eastAsia="宋体" w:cs="宋体"/>
          <w:color w:val="auto"/>
          <w:szCs w:val="21"/>
          <w:highlight w:val="none"/>
          <w:lang w:eastAsia="zh-CN"/>
        </w:rPr>
        <w:t>采购人</w:t>
      </w:r>
      <w:r>
        <w:rPr>
          <w:rStyle w:val="29"/>
          <w:rFonts w:hint="eastAsia" w:ascii="宋体" w:hAnsi="宋体" w:eastAsia="宋体" w:cs="宋体"/>
          <w:color w:val="auto"/>
          <w:szCs w:val="21"/>
          <w:highlight w:val="none"/>
        </w:rPr>
        <w:t>名称）：</w:t>
      </w:r>
    </w:p>
    <w:p w14:paraId="27B86ECE">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作为参与</w:t>
      </w:r>
      <w:r>
        <w:rPr>
          <w:rStyle w:val="29"/>
          <w:rFonts w:hint="eastAsia" w:ascii="宋体" w:hAnsi="宋体" w:eastAsia="宋体" w:cs="宋体"/>
          <w:color w:val="auto"/>
          <w:szCs w:val="21"/>
          <w:highlight w:val="none"/>
          <w:u w:val="single"/>
        </w:rPr>
        <w:t xml:space="preserve">                  </w:t>
      </w:r>
      <w:r>
        <w:rPr>
          <w:rStyle w:val="29"/>
          <w:rFonts w:hint="eastAsia" w:ascii="宋体" w:hAnsi="宋体" w:eastAsia="宋体" w:cs="宋体"/>
          <w:color w:val="auto"/>
          <w:szCs w:val="21"/>
          <w:highlight w:val="none"/>
        </w:rPr>
        <w:t>（工程名称）项目的投标方，根据国家、自治区相关文件规定，我方在此向招标人承诺：</w:t>
      </w:r>
    </w:p>
    <w:p w14:paraId="1FCAD463">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1、一旦中标，我方保证按照</w:t>
      </w:r>
      <w:r>
        <w:rPr>
          <w:rStyle w:val="29"/>
          <w:rFonts w:hint="eastAsia" w:ascii="宋体" w:hAnsi="宋体" w:eastAsia="宋体" w:cs="宋体"/>
          <w:color w:val="auto"/>
          <w:szCs w:val="21"/>
          <w:highlight w:val="none"/>
          <w:lang w:val="zh-CN" w:eastAsia="zh-CN"/>
        </w:rPr>
        <w:t>《广西壮族自治区人力资源和社会保障厅等8部门关于印发广西壮族自治区工程建设领域农民工工资专用账广管理暂行办法实施顺的通知》（桂人社规〔2022〕5号）</w:t>
      </w:r>
      <w:r>
        <w:rPr>
          <w:rStyle w:val="29"/>
          <w:rFonts w:hint="eastAsia" w:ascii="宋体" w:hAnsi="宋体" w:cs="宋体"/>
          <w:color w:val="auto"/>
          <w:szCs w:val="21"/>
          <w:highlight w:val="none"/>
          <w:lang w:val="zh-CN" w:eastAsia="zh-CN"/>
        </w:rPr>
        <w:t>的</w:t>
      </w:r>
      <w:r>
        <w:rPr>
          <w:rStyle w:val="29"/>
          <w:rFonts w:hint="eastAsia" w:ascii="宋体" w:hAnsi="宋体" w:eastAsia="宋体" w:cs="宋体"/>
          <w:color w:val="auto"/>
          <w:szCs w:val="21"/>
          <w:highlight w:val="none"/>
          <w:lang w:val="zh-CN" w:eastAsia="zh-CN"/>
        </w:rPr>
        <w:t>有关</w:t>
      </w:r>
      <w:r>
        <w:rPr>
          <w:rStyle w:val="29"/>
          <w:rFonts w:hint="eastAsia" w:ascii="宋体" w:hAnsi="宋体" w:cs="宋体"/>
          <w:color w:val="auto"/>
          <w:szCs w:val="21"/>
          <w:highlight w:val="none"/>
          <w:lang w:val="en-US" w:eastAsia="zh-CN"/>
        </w:rPr>
        <w:t>规定</w:t>
      </w:r>
      <w:r>
        <w:rPr>
          <w:rStyle w:val="29"/>
          <w:rFonts w:hint="eastAsia" w:ascii="宋体" w:hAnsi="宋体" w:eastAsia="宋体" w:cs="宋体"/>
          <w:color w:val="auto"/>
          <w:szCs w:val="21"/>
          <w:highlight w:val="none"/>
          <w:lang w:val="zh-CN" w:eastAsia="zh-CN"/>
        </w:rPr>
        <w:t>，将农民工工资直接支付到农民工本人的银行账户。</w:t>
      </w:r>
      <w:r>
        <w:rPr>
          <w:rStyle w:val="29"/>
          <w:rFonts w:hint="eastAsia" w:ascii="宋体" w:hAnsi="宋体" w:eastAsia="宋体" w:cs="宋体"/>
          <w:color w:val="auto"/>
          <w:szCs w:val="21"/>
          <w:highlight w:val="none"/>
        </w:rPr>
        <w:t>按照与农民工依法约定的工资支付周期和具体支付日期支付工资，保证每月至少向农民工足额支付一次工资。</w:t>
      </w:r>
    </w:p>
    <w:p w14:paraId="4B873F0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6CE6D198">
      <w:pPr>
        <w:pStyle w:val="36"/>
        <w:spacing w:line="520" w:lineRule="exact"/>
        <w:ind w:left="-2" w:leftChars="-1" w:firstLine="449" w:firstLineChars="214"/>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50C509C7">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73574DD">
      <w:pPr>
        <w:pStyle w:val="36"/>
        <w:spacing w:line="520" w:lineRule="exact"/>
        <w:ind w:left="-10" w:firstLine="455" w:firstLineChars="217"/>
        <w:jc w:val="left"/>
        <w:rPr>
          <w:rStyle w:val="29"/>
          <w:rFonts w:hint="eastAsia" w:ascii="宋体" w:hAnsi="宋体" w:eastAsia="宋体" w:cs="宋体"/>
          <w:color w:val="auto"/>
          <w:szCs w:val="21"/>
          <w:highlight w:val="none"/>
        </w:rPr>
      </w:pPr>
      <w:r>
        <w:rPr>
          <w:rStyle w:val="29"/>
          <w:rFonts w:hint="eastAsia" w:ascii="宋体" w:hAnsi="宋体" w:eastAsia="宋体" w:cs="宋体"/>
          <w:color w:val="auto"/>
          <w:szCs w:val="21"/>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69C840C8">
      <w:pPr>
        <w:pStyle w:val="36"/>
        <w:spacing w:line="520" w:lineRule="exact"/>
        <w:ind w:left="-10" w:firstLine="455" w:firstLineChars="217"/>
        <w:jc w:val="left"/>
        <w:rPr>
          <w:rStyle w:val="29"/>
          <w:rFonts w:hint="eastAsia" w:ascii="宋体" w:hAnsi="宋体" w:eastAsia="宋体" w:cs="宋体"/>
          <w:color w:val="auto"/>
          <w:szCs w:val="21"/>
          <w:highlight w:val="none"/>
        </w:rPr>
      </w:pPr>
    </w:p>
    <w:p w14:paraId="6D5147F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AFD8B17">
      <w:pPr>
        <w:snapToGrid w:val="0"/>
        <w:spacing w:before="120" w:beforeLines="50" w:after="50" w:line="360" w:lineRule="auto"/>
        <w:ind w:firstLine="6000" w:firstLineChars="2500"/>
        <w:rPr>
          <w:rFonts w:hint="eastAsia" w:ascii="仿宋" w:hAnsi="仿宋" w:eastAsia="仿宋" w:cs="仿宋"/>
          <w:b/>
          <w:color w:val="auto"/>
          <w:sz w:val="30"/>
          <w:szCs w:val="30"/>
          <w:highlight w:val="none"/>
          <w:lang w:eastAsia="zh-CN"/>
        </w:rPr>
      </w:pPr>
      <w:r>
        <w:rPr>
          <w:rFonts w:hint="eastAsia" w:ascii="仿宋" w:hAnsi="仿宋" w:eastAsia="仿宋" w:cs="仿宋"/>
          <w:color w:val="auto"/>
          <w:kern w:val="0"/>
          <w:sz w:val="24"/>
          <w:highlight w:val="none"/>
          <w:lang w:val="zh-CN"/>
        </w:rPr>
        <w:t>日期：  年  月   日</w:t>
      </w:r>
    </w:p>
    <w:p w14:paraId="17578940">
      <w:pPr>
        <w:tabs>
          <w:tab w:val="left" w:pos="826"/>
        </w:tabs>
        <w:snapToGrid w:val="0"/>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七、</w:t>
      </w:r>
      <w:r>
        <w:rPr>
          <w:rFonts w:hint="eastAsia" w:ascii="仿宋" w:hAnsi="仿宋" w:eastAsia="仿宋" w:cs="仿宋"/>
          <w:b/>
          <w:color w:val="auto"/>
          <w:sz w:val="30"/>
          <w:szCs w:val="30"/>
          <w:highlight w:val="none"/>
        </w:rPr>
        <w:t>供应商类似业绩的证明文件</w:t>
      </w:r>
    </w:p>
    <w:p w14:paraId="325C7972">
      <w:pPr>
        <w:tabs>
          <w:tab w:val="left" w:pos="826"/>
        </w:tabs>
        <w:snapToGrid w:val="0"/>
        <w:ind w:firstLine="602" w:firstLineChars="20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类似</w:t>
      </w:r>
      <w:r>
        <w:rPr>
          <w:rFonts w:hint="eastAsia" w:ascii="宋体" w:hAnsi="宋体" w:cs="宋体"/>
          <w:b/>
          <w:color w:val="auto"/>
          <w:sz w:val="30"/>
          <w:szCs w:val="30"/>
          <w:highlight w:val="none"/>
          <w:lang w:val="en-US" w:eastAsia="zh-CN"/>
        </w:rPr>
        <w:t>业绩</w:t>
      </w:r>
      <w:r>
        <w:rPr>
          <w:rFonts w:hint="eastAsia" w:ascii="宋体" w:hAnsi="宋体" w:cs="宋体"/>
          <w:b/>
          <w:color w:val="auto"/>
          <w:sz w:val="30"/>
          <w:szCs w:val="30"/>
          <w:highlight w:val="none"/>
        </w:rPr>
        <w:t>一览表</w:t>
      </w:r>
    </w:p>
    <w:p w14:paraId="5C882378">
      <w:pPr>
        <w:pStyle w:val="12"/>
        <w:rPr>
          <w:color w:val="auto"/>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846"/>
        <w:gridCol w:w="2850"/>
        <w:gridCol w:w="1519"/>
        <w:gridCol w:w="2013"/>
      </w:tblGrid>
      <w:tr w14:paraId="7F22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14F2313">
            <w:pPr>
              <w:jc w:val="center"/>
              <w:rPr>
                <w:rFonts w:ascii="宋体" w:hAnsi="宋体"/>
                <w:color w:val="auto"/>
                <w:sz w:val="24"/>
                <w:szCs w:val="24"/>
                <w:highlight w:val="none"/>
              </w:rPr>
            </w:pPr>
            <w:r>
              <w:rPr>
                <w:rFonts w:hint="eastAsia" w:ascii="宋体" w:hAnsi="宋体" w:cs="宋体"/>
                <w:color w:val="auto"/>
                <w:sz w:val="24"/>
                <w:szCs w:val="24"/>
                <w:highlight w:val="none"/>
              </w:rPr>
              <w:t>序号</w:t>
            </w: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791E031">
            <w:pPr>
              <w:jc w:val="center"/>
              <w:rPr>
                <w:rFonts w:ascii="宋体" w:hAnsi="宋体"/>
                <w:color w:val="auto"/>
                <w:sz w:val="24"/>
                <w:szCs w:val="24"/>
                <w:highlight w:val="none"/>
              </w:rPr>
            </w:pPr>
            <w:r>
              <w:rPr>
                <w:rFonts w:hint="eastAsia" w:ascii="宋体" w:hAnsi="宋体" w:cs="宋体"/>
                <w:color w:val="auto"/>
                <w:sz w:val="24"/>
                <w:szCs w:val="24"/>
                <w:highlight w:val="none"/>
              </w:rPr>
              <w:t>发包人名称</w:t>
            </w: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3C5A792">
            <w:pPr>
              <w:jc w:val="center"/>
              <w:rPr>
                <w:rFonts w:ascii="宋体" w:hAnsi="宋体"/>
                <w:color w:val="auto"/>
                <w:sz w:val="24"/>
                <w:szCs w:val="24"/>
                <w:highlight w:val="none"/>
              </w:rPr>
            </w:pPr>
            <w:r>
              <w:rPr>
                <w:rFonts w:hint="eastAsia" w:ascii="宋体" w:hAnsi="宋体" w:cs="宋体"/>
                <w:color w:val="auto"/>
                <w:sz w:val="24"/>
                <w:szCs w:val="24"/>
                <w:highlight w:val="none"/>
              </w:rPr>
              <w:t>工程名称</w:t>
            </w:r>
          </w:p>
          <w:p w14:paraId="72634EFF">
            <w:pPr>
              <w:jc w:val="center"/>
              <w:rPr>
                <w:rFonts w:ascii="宋体" w:hAnsi="宋体"/>
                <w:color w:val="auto"/>
                <w:sz w:val="24"/>
                <w:szCs w:val="24"/>
                <w:highlight w:val="none"/>
              </w:rPr>
            </w:pPr>
            <w:r>
              <w:rPr>
                <w:rFonts w:hint="eastAsia" w:ascii="宋体" w:hAnsi="宋体" w:cs="宋体"/>
                <w:color w:val="auto"/>
                <w:sz w:val="24"/>
                <w:szCs w:val="24"/>
                <w:highlight w:val="none"/>
              </w:rPr>
              <w:t>及建设地点</w:t>
            </w: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C69E9CB">
            <w:pPr>
              <w:jc w:val="center"/>
              <w:rPr>
                <w:rFonts w:ascii="宋体" w:hAnsi="宋体"/>
                <w:color w:val="auto"/>
                <w:sz w:val="24"/>
                <w:szCs w:val="24"/>
                <w:highlight w:val="none"/>
              </w:rPr>
            </w:pPr>
            <w:r>
              <w:rPr>
                <w:rFonts w:hint="eastAsia" w:ascii="宋体" w:hAnsi="宋体" w:cs="宋体"/>
                <w:color w:val="auto"/>
                <w:sz w:val="24"/>
                <w:szCs w:val="24"/>
                <w:highlight w:val="none"/>
              </w:rPr>
              <w:t>建设规模</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5639A92">
            <w:pPr>
              <w:jc w:val="center"/>
              <w:rPr>
                <w:rFonts w:ascii="宋体" w:hAnsi="宋体"/>
                <w:color w:val="auto"/>
                <w:sz w:val="24"/>
                <w:szCs w:val="24"/>
                <w:highlight w:val="none"/>
              </w:rPr>
            </w:pPr>
            <w:r>
              <w:rPr>
                <w:rFonts w:hint="eastAsia" w:ascii="宋体" w:hAnsi="宋体" w:cs="宋体"/>
                <w:color w:val="auto"/>
                <w:sz w:val="24"/>
                <w:szCs w:val="24"/>
                <w:highlight w:val="none"/>
              </w:rPr>
              <w:t>合同金额</w:t>
            </w:r>
          </w:p>
          <w:p w14:paraId="6B915338">
            <w:pPr>
              <w:jc w:val="center"/>
              <w:rPr>
                <w:rFonts w:ascii="宋体" w:hAnsi="宋体"/>
                <w:color w:val="auto"/>
                <w:sz w:val="24"/>
                <w:szCs w:val="24"/>
                <w:highlight w:val="none"/>
              </w:rPr>
            </w:pPr>
            <w:r>
              <w:rPr>
                <w:rFonts w:hint="eastAsia" w:ascii="宋体" w:hAnsi="宋体" w:cs="宋体"/>
                <w:color w:val="auto"/>
                <w:sz w:val="24"/>
                <w:szCs w:val="24"/>
                <w:highlight w:val="none"/>
              </w:rPr>
              <w:t>（万元）</w:t>
            </w:r>
          </w:p>
        </w:tc>
      </w:tr>
      <w:tr w14:paraId="309A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6C5A1B9D">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FAAD14F">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1DFFA4C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2289756D">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1B0F828">
            <w:pPr>
              <w:jc w:val="center"/>
              <w:rPr>
                <w:rFonts w:ascii="宋体" w:hAnsi="宋体"/>
                <w:color w:val="auto"/>
                <w:sz w:val="24"/>
                <w:szCs w:val="24"/>
                <w:highlight w:val="none"/>
              </w:rPr>
            </w:pPr>
          </w:p>
        </w:tc>
      </w:tr>
      <w:tr w14:paraId="5F64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FED4A46">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67F9DE">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05D054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C0E73">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030C0B22">
            <w:pPr>
              <w:jc w:val="center"/>
              <w:rPr>
                <w:rFonts w:ascii="宋体" w:hAnsi="宋体"/>
                <w:color w:val="auto"/>
                <w:sz w:val="24"/>
                <w:szCs w:val="24"/>
                <w:highlight w:val="none"/>
              </w:rPr>
            </w:pPr>
          </w:p>
        </w:tc>
      </w:tr>
      <w:tr w14:paraId="16A6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9F095D9">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EBAE04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DBA4F1">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4DD6902">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A9B4EC5">
            <w:pPr>
              <w:jc w:val="center"/>
              <w:rPr>
                <w:rFonts w:ascii="宋体" w:hAnsi="宋体"/>
                <w:color w:val="auto"/>
                <w:sz w:val="24"/>
                <w:szCs w:val="24"/>
                <w:highlight w:val="none"/>
              </w:rPr>
            </w:pPr>
          </w:p>
        </w:tc>
      </w:tr>
      <w:tr w14:paraId="4965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75943715">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5E43017C">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3669371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47F811EC">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6645A40">
            <w:pPr>
              <w:jc w:val="center"/>
              <w:rPr>
                <w:rFonts w:ascii="宋体" w:hAnsi="宋体"/>
                <w:color w:val="auto"/>
                <w:sz w:val="24"/>
                <w:szCs w:val="24"/>
                <w:highlight w:val="none"/>
              </w:rPr>
            </w:pPr>
          </w:p>
        </w:tc>
      </w:tr>
      <w:tr w14:paraId="18A6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18BD2A3A">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6008B0F8">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6878C160">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2C0E544">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69AB42B8">
            <w:pPr>
              <w:jc w:val="center"/>
              <w:rPr>
                <w:rFonts w:ascii="宋体" w:hAnsi="宋体"/>
                <w:color w:val="auto"/>
                <w:sz w:val="24"/>
                <w:szCs w:val="24"/>
                <w:highlight w:val="none"/>
              </w:rPr>
            </w:pPr>
          </w:p>
        </w:tc>
      </w:tr>
      <w:tr w14:paraId="1E7FC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282AA51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167B6C02">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2FD743C5">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1A0E9EEB">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CB995E2">
            <w:pPr>
              <w:jc w:val="center"/>
              <w:rPr>
                <w:rFonts w:ascii="宋体" w:hAnsi="宋体"/>
                <w:color w:val="auto"/>
                <w:sz w:val="24"/>
                <w:szCs w:val="24"/>
                <w:highlight w:val="none"/>
              </w:rPr>
            </w:pPr>
          </w:p>
        </w:tc>
      </w:tr>
      <w:tr w14:paraId="4F4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50" w:type="dxa"/>
            <w:tcBorders>
              <w:top w:val="single" w:color="auto" w:sz="4" w:space="0"/>
              <w:left w:val="single" w:color="auto" w:sz="4" w:space="0"/>
              <w:bottom w:val="single" w:color="auto" w:sz="4" w:space="0"/>
              <w:right w:val="single" w:color="auto" w:sz="4" w:space="0"/>
            </w:tcBorders>
            <w:noWrap w:val="0"/>
            <w:vAlign w:val="center"/>
          </w:tcPr>
          <w:p w14:paraId="056DC5AE">
            <w:pPr>
              <w:jc w:val="center"/>
              <w:rPr>
                <w:rFonts w:ascii="宋体" w:hAnsi="宋体"/>
                <w:color w:val="auto"/>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noWrap w:val="0"/>
            <w:vAlign w:val="center"/>
          </w:tcPr>
          <w:p w14:paraId="2453D4F0">
            <w:pPr>
              <w:jc w:val="center"/>
              <w:rPr>
                <w:rFonts w:ascii="宋体" w:hAnsi="宋体"/>
                <w:color w:val="auto"/>
                <w:sz w:val="24"/>
                <w:szCs w:val="24"/>
                <w:highlight w:val="none"/>
              </w:rPr>
            </w:pPr>
          </w:p>
        </w:tc>
        <w:tc>
          <w:tcPr>
            <w:tcW w:w="2850" w:type="dxa"/>
            <w:tcBorders>
              <w:top w:val="single" w:color="auto" w:sz="4" w:space="0"/>
              <w:left w:val="single" w:color="auto" w:sz="4" w:space="0"/>
              <w:bottom w:val="single" w:color="auto" w:sz="4" w:space="0"/>
              <w:right w:val="single" w:color="auto" w:sz="4" w:space="0"/>
            </w:tcBorders>
            <w:noWrap w:val="0"/>
            <w:vAlign w:val="center"/>
          </w:tcPr>
          <w:p w14:paraId="5CECC726">
            <w:pPr>
              <w:jc w:val="center"/>
              <w:rPr>
                <w:rFonts w:ascii="宋体" w:hAnsi="宋体"/>
                <w:color w:val="auto"/>
                <w:sz w:val="24"/>
                <w:szCs w:val="24"/>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center"/>
          </w:tcPr>
          <w:p w14:paraId="6D14E4F5">
            <w:pPr>
              <w:jc w:val="center"/>
              <w:rPr>
                <w:rFonts w:ascii="宋体" w:hAnsi="宋体"/>
                <w:color w:val="auto"/>
                <w:sz w:val="24"/>
                <w:szCs w:val="24"/>
                <w:highlight w:val="none"/>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461FBB9C">
            <w:pPr>
              <w:jc w:val="center"/>
              <w:rPr>
                <w:rFonts w:ascii="宋体" w:hAnsi="宋体"/>
                <w:color w:val="auto"/>
                <w:sz w:val="24"/>
                <w:szCs w:val="24"/>
                <w:highlight w:val="none"/>
              </w:rPr>
            </w:pPr>
          </w:p>
        </w:tc>
      </w:tr>
    </w:tbl>
    <w:p w14:paraId="66DF125B">
      <w:pPr>
        <w:ind w:firstLine="480" w:firstLineChars="200"/>
        <w:rPr>
          <w:rFonts w:hint="eastAsia" w:ascii="宋体" w:hAnsi="宋体" w:cs="楷体_GB2312"/>
          <w:color w:val="auto"/>
          <w:sz w:val="24"/>
          <w:szCs w:val="24"/>
          <w:highlight w:val="none"/>
        </w:rPr>
      </w:pPr>
    </w:p>
    <w:p w14:paraId="22A8D7C8">
      <w:pPr>
        <w:ind w:firstLine="480" w:firstLineChars="200"/>
        <w:rPr>
          <w:rFonts w:ascii="宋体" w:hAnsi="宋体"/>
          <w:color w:val="auto"/>
          <w:sz w:val="24"/>
          <w:szCs w:val="24"/>
          <w:highlight w:val="none"/>
        </w:rPr>
      </w:pPr>
      <w:r>
        <w:rPr>
          <w:rFonts w:hint="eastAsia" w:ascii="宋体" w:hAnsi="宋体" w:cs="楷体_GB2312"/>
          <w:color w:val="auto"/>
          <w:sz w:val="24"/>
          <w:szCs w:val="24"/>
          <w:highlight w:val="none"/>
        </w:rPr>
        <w:t>备注：</w:t>
      </w:r>
    </w:p>
    <w:p w14:paraId="1811FBCD">
      <w:pPr>
        <w:ind w:firstLine="720" w:firstLineChars="300"/>
        <w:rPr>
          <w:rFonts w:ascii="宋体" w:hAnsi="宋体"/>
          <w:color w:val="auto"/>
          <w:sz w:val="24"/>
          <w:szCs w:val="24"/>
          <w:highlight w:val="none"/>
        </w:rPr>
      </w:pPr>
      <w:bookmarkStart w:id="182" w:name="OLE_LINK26"/>
      <w:r>
        <w:rPr>
          <w:rFonts w:ascii="宋体" w:hAnsi="宋体"/>
          <w:color w:val="auto"/>
          <w:sz w:val="24"/>
          <w:szCs w:val="24"/>
          <w:highlight w:val="none"/>
        </w:rPr>
        <w:t>1</w:t>
      </w:r>
      <w:r>
        <w:rPr>
          <w:rFonts w:hint="eastAsia" w:ascii="宋体" w:hAnsi="宋体" w:cs="楷体_GB2312"/>
          <w:color w:val="auto"/>
          <w:sz w:val="24"/>
          <w:szCs w:val="24"/>
          <w:highlight w:val="none"/>
        </w:rPr>
        <w:t>、</w:t>
      </w:r>
      <w:r>
        <w:rPr>
          <w:rFonts w:hint="eastAsia" w:ascii="宋体" w:hAnsi="宋体" w:eastAsia="宋体" w:cs="楷体_GB2312"/>
          <w:color w:val="auto"/>
          <w:sz w:val="24"/>
          <w:szCs w:val="24"/>
          <w:highlight w:val="none"/>
        </w:rPr>
        <w:t>附以上类似工程的</w:t>
      </w:r>
      <w:r>
        <w:rPr>
          <w:rFonts w:hint="eastAsia" w:ascii="宋体" w:hAnsi="宋体" w:eastAsia="宋体" w:cs="Tahoma"/>
          <w:color w:val="auto"/>
          <w:kern w:val="0"/>
          <w:sz w:val="24"/>
          <w:szCs w:val="24"/>
          <w:highlight w:val="none"/>
          <w:lang w:val="en-US" w:eastAsia="zh-CN"/>
        </w:rPr>
        <w:t>中标（</w:t>
      </w:r>
      <w:r>
        <w:rPr>
          <w:rFonts w:ascii="宋体" w:hAnsi="宋体" w:eastAsia="宋体" w:cs="Tahoma"/>
          <w:color w:val="auto"/>
          <w:kern w:val="0"/>
          <w:sz w:val="24"/>
          <w:szCs w:val="24"/>
          <w:highlight w:val="none"/>
        </w:rPr>
        <w:t>成交</w:t>
      </w:r>
      <w:r>
        <w:rPr>
          <w:rFonts w:hint="eastAsia" w:ascii="宋体" w:hAnsi="宋体" w:eastAsia="宋体" w:cs="Tahoma"/>
          <w:color w:val="auto"/>
          <w:kern w:val="0"/>
          <w:sz w:val="24"/>
          <w:szCs w:val="24"/>
          <w:highlight w:val="none"/>
          <w:lang w:eastAsia="zh-CN"/>
        </w:rPr>
        <w:t>）</w:t>
      </w:r>
      <w:r>
        <w:rPr>
          <w:rFonts w:hint="eastAsia" w:ascii="宋体" w:hAnsi="宋体" w:eastAsia="宋体" w:cs="楷体_GB2312"/>
          <w:color w:val="auto"/>
          <w:sz w:val="24"/>
          <w:szCs w:val="24"/>
          <w:highlight w:val="none"/>
        </w:rPr>
        <w:t>通知书或工程合同</w:t>
      </w:r>
      <w:r>
        <w:rPr>
          <w:rFonts w:hint="eastAsia" w:ascii="宋体" w:hAnsi="宋体" w:cs="楷体_GB2312"/>
          <w:color w:val="auto"/>
          <w:sz w:val="24"/>
          <w:szCs w:val="24"/>
          <w:highlight w:val="none"/>
        </w:rPr>
        <w:t>。</w:t>
      </w:r>
    </w:p>
    <w:bookmarkEnd w:id="182"/>
    <w:p w14:paraId="14D7E0C0">
      <w:pPr>
        <w:jc w:val="center"/>
        <w:rPr>
          <w:rFonts w:ascii="宋体" w:hAnsi="宋体"/>
          <w:color w:val="auto"/>
          <w:sz w:val="24"/>
          <w:szCs w:val="24"/>
          <w:highlight w:val="none"/>
        </w:rPr>
      </w:pPr>
    </w:p>
    <w:p w14:paraId="60E1797B">
      <w:pPr>
        <w:widowControl/>
        <w:tabs>
          <w:tab w:val="center" w:pos="4153"/>
          <w:tab w:val="right" w:pos="8306"/>
        </w:tabs>
        <w:snapToGrid w:val="0"/>
        <w:jc w:val="left"/>
        <w:rPr>
          <w:rFonts w:ascii="宋体" w:hAnsi="宋体"/>
          <w:color w:val="auto"/>
          <w:kern w:val="0"/>
          <w:sz w:val="24"/>
          <w:szCs w:val="24"/>
          <w:highlight w:val="none"/>
        </w:rPr>
      </w:pPr>
    </w:p>
    <w:p w14:paraId="627B4B24">
      <w:pPr>
        <w:widowControl/>
        <w:tabs>
          <w:tab w:val="center" w:pos="4153"/>
          <w:tab w:val="right" w:pos="8306"/>
        </w:tabs>
        <w:snapToGrid w:val="0"/>
        <w:jc w:val="left"/>
        <w:rPr>
          <w:rFonts w:ascii="宋体" w:hAnsi="宋体"/>
          <w:color w:val="auto"/>
          <w:kern w:val="0"/>
          <w:sz w:val="24"/>
          <w:szCs w:val="24"/>
          <w:highlight w:val="none"/>
        </w:rPr>
      </w:pPr>
    </w:p>
    <w:p w14:paraId="32FA4567">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6E22177D">
      <w:pPr>
        <w:snapToGrid w:val="0"/>
        <w:spacing w:before="120" w:beforeLines="50" w:after="50" w:line="360" w:lineRule="auto"/>
        <w:ind w:firstLine="6720" w:firstLineChars="28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E81F2E1">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1A47DF79">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6913AD5">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7BD55874">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596F8CA6">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2D611C77">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p>
    <w:p w14:paraId="405940F3">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eastAsia="zh-CN"/>
        </w:rPr>
      </w:pPr>
    </w:p>
    <w:p w14:paraId="73DFFA35">
      <w:pPr>
        <w:pStyle w:val="23"/>
        <w:snapToGrid w:val="0"/>
        <w:spacing w:line="360" w:lineRule="auto"/>
        <w:ind w:left="480" w:hanging="480"/>
        <w:rPr>
          <w:rFonts w:hint="eastAsia" w:ascii="宋体" w:hAnsi="宋体" w:eastAsia="宋体" w:cs="宋体"/>
          <w:color w:val="auto"/>
          <w:sz w:val="24"/>
          <w:highlight w:val="none"/>
        </w:rPr>
      </w:pPr>
    </w:p>
    <w:p w14:paraId="4558E693">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八</w:t>
      </w:r>
      <w:r>
        <w:rPr>
          <w:rFonts w:hint="eastAsia" w:ascii="仿宋" w:hAnsi="仿宋" w:eastAsia="仿宋" w:cs="仿宋"/>
          <w:b/>
          <w:color w:val="auto"/>
          <w:sz w:val="30"/>
          <w:szCs w:val="30"/>
          <w:highlight w:val="none"/>
        </w:rPr>
        <w:t>、供应商认为需要提供的其他有关资料</w:t>
      </w:r>
    </w:p>
    <w:p w14:paraId="0FBB8168">
      <w:pPr>
        <w:jc w:val="center"/>
        <w:rPr>
          <w:rFonts w:hint="eastAsia" w:ascii="仿宋" w:hAnsi="仿宋" w:eastAsia="仿宋" w:cs="仿宋"/>
          <w:b/>
          <w:color w:val="auto"/>
          <w:sz w:val="30"/>
          <w:szCs w:val="30"/>
          <w:highlight w:val="none"/>
        </w:rPr>
      </w:pPr>
    </w:p>
    <w:p w14:paraId="77BA87F0">
      <w:pPr>
        <w:jc w:val="center"/>
        <w:rPr>
          <w:rFonts w:hint="eastAsia" w:ascii="仿宋" w:hAnsi="仿宋" w:eastAsia="仿宋" w:cs="仿宋"/>
          <w:b/>
          <w:color w:val="auto"/>
          <w:sz w:val="30"/>
          <w:szCs w:val="30"/>
          <w:highlight w:val="none"/>
        </w:rPr>
      </w:pPr>
    </w:p>
    <w:p w14:paraId="00E6E558">
      <w:pPr>
        <w:jc w:val="center"/>
        <w:rPr>
          <w:rFonts w:hint="eastAsia" w:ascii="仿宋" w:hAnsi="仿宋" w:eastAsia="仿宋" w:cs="仿宋"/>
          <w:b/>
          <w:color w:val="auto"/>
          <w:sz w:val="30"/>
          <w:szCs w:val="30"/>
          <w:highlight w:val="none"/>
        </w:rPr>
      </w:pPr>
    </w:p>
    <w:p w14:paraId="469768BB">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0F68406D">
      <w:pPr>
        <w:snapToGrid w:val="0"/>
        <w:spacing w:before="120" w:beforeLines="50" w:after="50" w:line="360" w:lineRule="auto"/>
        <w:ind w:firstLine="6720" w:firstLineChars="2800"/>
        <w:rPr>
          <w:rFonts w:hint="eastAsia" w:ascii="宋体" w:hAnsi="宋体" w:cs="仿宋_GB2312"/>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35865DFB">
      <w:pPr>
        <w:jc w:val="center"/>
        <w:rPr>
          <w:rFonts w:hint="eastAsia" w:ascii="宋体" w:hAnsi="宋体" w:cs="宋体"/>
          <w:b/>
          <w:color w:val="auto"/>
          <w:sz w:val="30"/>
          <w:szCs w:val="30"/>
          <w:highlight w:val="none"/>
        </w:rPr>
      </w:pPr>
    </w:p>
    <w:p w14:paraId="2B0523FA">
      <w:pPr>
        <w:jc w:val="center"/>
        <w:rPr>
          <w:rFonts w:hint="eastAsia" w:ascii="宋体" w:hAnsi="宋体" w:cs="宋体"/>
          <w:b/>
          <w:color w:val="auto"/>
          <w:sz w:val="30"/>
          <w:szCs w:val="30"/>
          <w:highlight w:val="none"/>
        </w:rPr>
      </w:pPr>
    </w:p>
    <w:p w14:paraId="0984CC12">
      <w:pPr>
        <w:jc w:val="center"/>
        <w:rPr>
          <w:rFonts w:hint="eastAsia" w:ascii="宋体" w:hAnsi="宋体" w:cs="宋体"/>
          <w:b/>
          <w:color w:val="auto"/>
          <w:sz w:val="30"/>
          <w:szCs w:val="30"/>
          <w:highlight w:val="none"/>
        </w:rPr>
      </w:pPr>
    </w:p>
    <w:p w14:paraId="1EA489F4">
      <w:pPr>
        <w:jc w:val="center"/>
        <w:rPr>
          <w:rFonts w:hint="eastAsia" w:ascii="宋体" w:hAnsi="宋体" w:cs="宋体"/>
          <w:b/>
          <w:color w:val="auto"/>
          <w:sz w:val="30"/>
          <w:szCs w:val="30"/>
          <w:highlight w:val="none"/>
        </w:rPr>
      </w:pPr>
    </w:p>
    <w:p w14:paraId="592FF357">
      <w:pPr>
        <w:pStyle w:val="43"/>
        <w:rPr>
          <w:rFonts w:hint="eastAsia" w:ascii="宋体" w:hAnsi="宋体" w:cs="宋体"/>
          <w:b/>
          <w:color w:val="auto"/>
          <w:sz w:val="30"/>
          <w:szCs w:val="30"/>
          <w:highlight w:val="none"/>
        </w:rPr>
      </w:pPr>
    </w:p>
    <w:p w14:paraId="54E2DFD4">
      <w:pPr>
        <w:pStyle w:val="43"/>
        <w:rPr>
          <w:rFonts w:hint="eastAsia" w:ascii="宋体" w:hAnsi="宋体" w:cs="宋体"/>
          <w:b/>
          <w:color w:val="auto"/>
          <w:sz w:val="30"/>
          <w:szCs w:val="30"/>
          <w:highlight w:val="none"/>
        </w:rPr>
      </w:pPr>
    </w:p>
    <w:p w14:paraId="615E49E3">
      <w:pPr>
        <w:pStyle w:val="43"/>
        <w:rPr>
          <w:rFonts w:hint="eastAsia" w:ascii="宋体" w:hAnsi="宋体" w:cs="宋体"/>
          <w:b/>
          <w:color w:val="auto"/>
          <w:sz w:val="30"/>
          <w:szCs w:val="30"/>
          <w:highlight w:val="none"/>
        </w:rPr>
      </w:pPr>
    </w:p>
    <w:p w14:paraId="12BFD1EB">
      <w:pPr>
        <w:pStyle w:val="43"/>
        <w:rPr>
          <w:rFonts w:hint="eastAsia" w:ascii="宋体" w:hAnsi="宋体" w:cs="宋体"/>
          <w:b/>
          <w:color w:val="auto"/>
          <w:sz w:val="30"/>
          <w:szCs w:val="30"/>
          <w:highlight w:val="none"/>
        </w:rPr>
      </w:pPr>
    </w:p>
    <w:p w14:paraId="7F7E2B6C">
      <w:pPr>
        <w:pStyle w:val="43"/>
        <w:rPr>
          <w:rFonts w:hint="eastAsia" w:ascii="宋体" w:hAnsi="宋体" w:cs="宋体"/>
          <w:b/>
          <w:color w:val="auto"/>
          <w:sz w:val="30"/>
          <w:szCs w:val="30"/>
          <w:highlight w:val="none"/>
        </w:rPr>
      </w:pPr>
    </w:p>
    <w:p w14:paraId="7A91B3EF">
      <w:pPr>
        <w:pStyle w:val="43"/>
        <w:rPr>
          <w:rFonts w:hint="eastAsia" w:ascii="宋体" w:hAnsi="宋体" w:cs="宋体"/>
          <w:b/>
          <w:color w:val="auto"/>
          <w:sz w:val="30"/>
          <w:szCs w:val="30"/>
          <w:highlight w:val="none"/>
        </w:rPr>
      </w:pPr>
    </w:p>
    <w:p w14:paraId="5EA63CB0">
      <w:pPr>
        <w:pStyle w:val="43"/>
        <w:rPr>
          <w:rFonts w:hint="eastAsia" w:ascii="宋体" w:hAnsi="宋体" w:cs="宋体"/>
          <w:b/>
          <w:color w:val="auto"/>
          <w:sz w:val="30"/>
          <w:szCs w:val="30"/>
          <w:highlight w:val="none"/>
        </w:rPr>
      </w:pPr>
    </w:p>
    <w:p w14:paraId="31638BDC">
      <w:pPr>
        <w:pStyle w:val="43"/>
        <w:rPr>
          <w:rFonts w:hint="eastAsia" w:ascii="宋体" w:hAnsi="宋体" w:cs="宋体"/>
          <w:b/>
          <w:color w:val="auto"/>
          <w:sz w:val="30"/>
          <w:szCs w:val="30"/>
          <w:highlight w:val="none"/>
        </w:rPr>
      </w:pPr>
    </w:p>
    <w:p w14:paraId="7C650750">
      <w:pPr>
        <w:pStyle w:val="43"/>
        <w:rPr>
          <w:rFonts w:hint="eastAsia" w:ascii="宋体" w:hAnsi="宋体" w:cs="宋体"/>
          <w:b/>
          <w:color w:val="auto"/>
          <w:sz w:val="30"/>
          <w:szCs w:val="30"/>
          <w:highlight w:val="none"/>
        </w:rPr>
      </w:pPr>
    </w:p>
    <w:p w14:paraId="3F07D017">
      <w:pPr>
        <w:pStyle w:val="43"/>
        <w:rPr>
          <w:rFonts w:hint="eastAsia" w:ascii="宋体" w:hAnsi="宋体" w:cs="宋体"/>
          <w:b/>
          <w:color w:val="auto"/>
          <w:sz w:val="30"/>
          <w:szCs w:val="30"/>
          <w:highlight w:val="none"/>
        </w:rPr>
      </w:pPr>
    </w:p>
    <w:p w14:paraId="7A3B62DE">
      <w:pPr>
        <w:pStyle w:val="43"/>
        <w:rPr>
          <w:rFonts w:hint="eastAsia" w:ascii="宋体" w:hAnsi="宋体" w:cs="宋体"/>
          <w:b/>
          <w:color w:val="auto"/>
          <w:sz w:val="30"/>
          <w:szCs w:val="30"/>
          <w:highlight w:val="none"/>
        </w:rPr>
      </w:pPr>
    </w:p>
    <w:p w14:paraId="2CA2D380">
      <w:pPr>
        <w:pStyle w:val="43"/>
        <w:rPr>
          <w:rFonts w:hint="eastAsia" w:ascii="宋体" w:hAnsi="宋体" w:cs="宋体"/>
          <w:b/>
          <w:color w:val="auto"/>
          <w:sz w:val="30"/>
          <w:szCs w:val="30"/>
          <w:highlight w:val="none"/>
        </w:rPr>
      </w:pPr>
    </w:p>
    <w:p w14:paraId="25359027">
      <w:pPr>
        <w:pStyle w:val="43"/>
        <w:rPr>
          <w:rFonts w:hint="eastAsia" w:ascii="宋体" w:hAnsi="宋体" w:cs="宋体"/>
          <w:b/>
          <w:color w:val="auto"/>
          <w:sz w:val="30"/>
          <w:szCs w:val="30"/>
          <w:highlight w:val="none"/>
        </w:rPr>
      </w:pPr>
    </w:p>
    <w:p w14:paraId="7EF9CF6E">
      <w:pPr>
        <w:pStyle w:val="43"/>
        <w:rPr>
          <w:rFonts w:hint="eastAsia" w:ascii="宋体" w:hAnsi="宋体" w:cs="宋体"/>
          <w:b/>
          <w:color w:val="auto"/>
          <w:sz w:val="30"/>
          <w:szCs w:val="30"/>
          <w:highlight w:val="none"/>
        </w:rPr>
      </w:pPr>
    </w:p>
    <w:p w14:paraId="5C2736C2">
      <w:pPr>
        <w:pStyle w:val="43"/>
        <w:rPr>
          <w:rFonts w:hint="eastAsia" w:ascii="宋体" w:hAnsi="宋体" w:cs="宋体"/>
          <w:b/>
          <w:color w:val="auto"/>
          <w:sz w:val="30"/>
          <w:szCs w:val="30"/>
          <w:highlight w:val="none"/>
        </w:rPr>
      </w:pPr>
    </w:p>
    <w:p w14:paraId="46B157F2">
      <w:pPr>
        <w:pStyle w:val="43"/>
        <w:rPr>
          <w:rFonts w:hint="eastAsia" w:ascii="宋体" w:hAnsi="宋体" w:cs="宋体"/>
          <w:b/>
          <w:color w:val="auto"/>
          <w:sz w:val="30"/>
          <w:szCs w:val="30"/>
          <w:highlight w:val="none"/>
        </w:rPr>
      </w:pPr>
    </w:p>
    <w:p w14:paraId="5AA7B7E8">
      <w:pPr>
        <w:pStyle w:val="43"/>
        <w:rPr>
          <w:rFonts w:hint="eastAsia" w:ascii="宋体" w:hAnsi="宋体" w:cs="宋体"/>
          <w:b/>
          <w:color w:val="auto"/>
          <w:sz w:val="30"/>
          <w:szCs w:val="30"/>
          <w:highlight w:val="none"/>
        </w:rPr>
      </w:pPr>
    </w:p>
    <w:p w14:paraId="0E8C2705">
      <w:pPr>
        <w:pStyle w:val="43"/>
        <w:rPr>
          <w:rFonts w:hint="eastAsia" w:ascii="宋体" w:hAnsi="宋体" w:cs="宋体"/>
          <w:b/>
          <w:color w:val="auto"/>
          <w:sz w:val="30"/>
          <w:szCs w:val="30"/>
          <w:highlight w:val="none"/>
        </w:rPr>
      </w:pPr>
    </w:p>
    <w:p w14:paraId="683FD001">
      <w:pPr>
        <w:pStyle w:val="43"/>
        <w:rPr>
          <w:rFonts w:hint="eastAsia" w:ascii="宋体" w:hAnsi="宋体" w:cs="宋体"/>
          <w:b/>
          <w:color w:val="auto"/>
          <w:sz w:val="30"/>
          <w:szCs w:val="30"/>
          <w:highlight w:val="none"/>
        </w:rPr>
      </w:pPr>
    </w:p>
    <w:p w14:paraId="01972F7D">
      <w:pPr>
        <w:pStyle w:val="43"/>
        <w:rPr>
          <w:rFonts w:hint="eastAsia" w:ascii="宋体" w:hAnsi="宋体" w:cs="宋体"/>
          <w:b/>
          <w:color w:val="auto"/>
          <w:sz w:val="30"/>
          <w:szCs w:val="30"/>
          <w:highlight w:val="none"/>
        </w:rPr>
      </w:pPr>
    </w:p>
    <w:p w14:paraId="00AFEFE3">
      <w:pPr>
        <w:pStyle w:val="43"/>
        <w:rPr>
          <w:rFonts w:hint="eastAsia" w:ascii="宋体" w:hAnsi="宋体" w:cs="宋体"/>
          <w:b/>
          <w:color w:val="auto"/>
          <w:sz w:val="30"/>
          <w:szCs w:val="30"/>
          <w:highlight w:val="none"/>
        </w:rPr>
      </w:pPr>
    </w:p>
    <w:p w14:paraId="26164BD2">
      <w:pPr>
        <w:pStyle w:val="43"/>
        <w:rPr>
          <w:rFonts w:hint="eastAsia" w:ascii="宋体" w:hAnsi="宋体" w:cs="宋体"/>
          <w:b/>
          <w:color w:val="auto"/>
          <w:sz w:val="30"/>
          <w:szCs w:val="30"/>
          <w:highlight w:val="none"/>
        </w:rPr>
      </w:pPr>
    </w:p>
    <w:p w14:paraId="50E68EBC">
      <w:pPr>
        <w:pStyle w:val="43"/>
        <w:rPr>
          <w:rFonts w:hint="eastAsia" w:ascii="宋体" w:hAnsi="宋体" w:cs="宋体"/>
          <w:b/>
          <w:color w:val="auto"/>
          <w:sz w:val="30"/>
          <w:szCs w:val="30"/>
          <w:highlight w:val="none"/>
        </w:rPr>
      </w:pPr>
    </w:p>
    <w:p w14:paraId="63ADE0F2">
      <w:pPr>
        <w:jc w:val="both"/>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val="en-US" w:eastAsia="zh-CN"/>
        </w:rPr>
        <w:t>九</w:t>
      </w:r>
      <w:r>
        <w:rPr>
          <w:rFonts w:hint="eastAsia" w:ascii="仿宋" w:hAnsi="仿宋" w:eastAsia="仿宋" w:cs="仿宋"/>
          <w:b/>
          <w:color w:val="auto"/>
          <w:sz w:val="30"/>
          <w:szCs w:val="30"/>
          <w:highlight w:val="none"/>
          <w:lang w:eastAsia="zh-CN"/>
        </w:rPr>
        <w:t>、技术需求偏离表</w:t>
      </w:r>
    </w:p>
    <w:p w14:paraId="299E6474">
      <w:pPr>
        <w:jc w:val="center"/>
        <w:rPr>
          <w:rFonts w:hint="eastAsia" w:ascii="宋体" w:hAnsi="宋体" w:cs="宋体"/>
          <w:b/>
          <w:color w:val="auto"/>
          <w:sz w:val="30"/>
          <w:szCs w:val="30"/>
          <w:highlight w:val="none"/>
          <w:lang w:eastAsia="zh-CN"/>
        </w:rPr>
      </w:pPr>
    </w:p>
    <w:p w14:paraId="3F31D698">
      <w:pPr>
        <w:spacing w:line="360" w:lineRule="auto"/>
        <w:jc w:val="center"/>
        <w:rPr>
          <w:rFonts w:hint="eastAsia" w:ascii="宋体" w:hAnsi="宋体" w:eastAsia="宋体" w:cs="宋体"/>
          <w:bCs/>
          <w:color w:val="auto"/>
          <w:sz w:val="36"/>
          <w:szCs w:val="36"/>
          <w:highlight w:val="none"/>
        </w:rPr>
      </w:pPr>
      <w:r>
        <w:rPr>
          <w:rFonts w:hint="eastAsia" w:ascii="方正小标宋简体" w:hAnsi="方正小标宋简体" w:eastAsia="方正小标宋简体" w:cs="方正小标宋简体"/>
          <w:bCs/>
          <w:color w:val="auto"/>
          <w:sz w:val="44"/>
          <w:szCs w:val="44"/>
          <w:highlight w:val="none"/>
          <w:lang w:eastAsia="zh-CN"/>
        </w:rPr>
        <w:t>技术</w:t>
      </w:r>
      <w:r>
        <w:rPr>
          <w:rFonts w:hint="eastAsia" w:ascii="方正小标宋简体" w:hAnsi="方正小标宋简体" w:eastAsia="方正小标宋简体" w:cs="方正小标宋简体"/>
          <w:bCs/>
          <w:color w:val="auto"/>
          <w:sz w:val="44"/>
          <w:szCs w:val="44"/>
          <w:highlight w:val="none"/>
        </w:rPr>
        <w:t>需求偏离表</w:t>
      </w:r>
    </w:p>
    <w:p w14:paraId="7FED677F">
      <w:pPr>
        <w:pStyle w:val="11"/>
        <w:pageBreakBefore w:val="0"/>
        <w:kinsoku/>
        <w:overflowPunct/>
        <w:topLinePunct w:val="0"/>
        <w:bidi w:val="0"/>
        <w:spacing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kern w:val="0"/>
          <w:sz w:val="21"/>
          <w:szCs w:val="21"/>
          <w:highlight w:val="none"/>
        </w:rPr>
        <w:t>分标号（此处有分标时填写具体分标号，无分标时填写“无”）：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502"/>
        <w:gridCol w:w="790"/>
        <w:gridCol w:w="1692"/>
        <w:gridCol w:w="1318"/>
        <w:gridCol w:w="763"/>
        <w:gridCol w:w="1400"/>
        <w:gridCol w:w="1225"/>
      </w:tblGrid>
      <w:tr w14:paraId="2751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14:paraId="023D731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84" w:type="dxa"/>
            <w:gridSpan w:val="3"/>
            <w:tcBorders>
              <w:top w:val="single" w:color="auto" w:sz="4" w:space="0"/>
              <w:left w:val="single" w:color="auto" w:sz="4" w:space="0"/>
              <w:bottom w:val="single" w:color="auto" w:sz="4" w:space="0"/>
              <w:right w:val="single" w:color="auto" w:sz="4" w:space="0"/>
            </w:tcBorders>
            <w:noWrap w:val="0"/>
            <w:vAlign w:val="center"/>
          </w:tcPr>
          <w:p w14:paraId="65F8CC7C">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竞争性磋商采购文件需求</w:t>
            </w:r>
          </w:p>
        </w:tc>
        <w:tc>
          <w:tcPr>
            <w:tcW w:w="3481" w:type="dxa"/>
            <w:gridSpan w:val="3"/>
            <w:tcBorders>
              <w:top w:val="single" w:color="auto" w:sz="4" w:space="0"/>
              <w:left w:val="single" w:color="auto" w:sz="4" w:space="0"/>
              <w:bottom w:val="single" w:color="auto" w:sz="4" w:space="0"/>
              <w:right w:val="single" w:color="auto" w:sz="4" w:space="0"/>
            </w:tcBorders>
            <w:noWrap w:val="0"/>
            <w:vAlign w:val="center"/>
          </w:tcPr>
          <w:p w14:paraId="4437CAE2">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14:paraId="590FF24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CD5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center"/>
          </w:tcPr>
          <w:p w14:paraId="12DE5EB1">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14:paraId="53467249">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0FDE8250">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561735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工程概况及采购范围</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21F98783">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标的的名称</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0FC65DDB">
            <w:pPr>
              <w:spacing w:line="240" w:lineRule="auto"/>
              <w:jc w:val="center"/>
              <w:rPr>
                <w:rFonts w:hint="eastAsia" w:ascii="宋体" w:hAnsi="宋体" w:eastAsia="宋体" w:cs="宋体"/>
                <w:color w:val="auto"/>
                <w:szCs w:val="21"/>
                <w:highlight w:val="none"/>
              </w:rPr>
            </w:pPr>
            <w:r>
              <w:rPr>
                <w:rFonts w:hint="eastAsia" w:ascii="宋体" w:hAnsi="宋体" w:cs="宋体"/>
                <w:color w:val="auto"/>
                <w:szCs w:val="21"/>
                <w:highlight w:val="none"/>
              </w:rPr>
              <w:t>数量</w:t>
            </w:r>
            <w:r>
              <w:rPr>
                <w:rFonts w:ascii="宋体" w:hAnsi="宋体" w:cs="宋体"/>
                <w:color w:val="auto"/>
                <w:szCs w:val="21"/>
                <w:highlight w:val="none"/>
              </w:rPr>
              <w:t>及单位</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AC8D11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承诺的工程概况及采购范围</w:t>
            </w:r>
          </w:p>
        </w:tc>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14:paraId="6B1C72ED">
            <w:pPr>
              <w:pageBreakBefore w:val="0"/>
              <w:widowControl/>
              <w:kinsoku/>
              <w:overflowPunct/>
              <w:topLinePunct w:val="0"/>
              <w:bidi w:val="0"/>
              <w:spacing w:line="360" w:lineRule="auto"/>
              <w:jc w:val="left"/>
              <w:rPr>
                <w:rFonts w:hint="eastAsia" w:ascii="宋体" w:hAnsi="宋体" w:eastAsia="宋体" w:cs="宋体"/>
                <w:color w:val="auto"/>
                <w:szCs w:val="21"/>
                <w:highlight w:val="none"/>
              </w:rPr>
            </w:pPr>
          </w:p>
        </w:tc>
      </w:tr>
      <w:tr w14:paraId="48BF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1FACD36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4DE6F23E">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4B799D3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B62925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FD662B">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B63463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420A43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501A917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547E994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F81EA3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3E4A99A">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A03B52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2D7734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344BA80">
            <w:pPr>
              <w:pageBreakBefore w:val="0"/>
              <w:kinsoku/>
              <w:overflowPunct/>
              <w:topLinePunct w:val="0"/>
              <w:bidi w:val="0"/>
              <w:spacing w:line="360" w:lineRule="auto"/>
              <w:rPr>
                <w:rFonts w:hint="eastAsia" w:ascii="宋体" w:hAnsi="宋体" w:eastAsia="宋体" w:cs="宋体"/>
                <w:color w:val="auto"/>
                <w:szCs w:val="21"/>
                <w:highlight w:val="none"/>
              </w:rPr>
            </w:pPr>
          </w:p>
        </w:tc>
      </w:tr>
      <w:tr w14:paraId="5E1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7BE81AEF">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DC8531C">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90" w:type="dxa"/>
            <w:tcBorders>
              <w:top w:val="single" w:color="auto" w:sz="4" w:space="0"/>
              <w:left w:val="single" w:color="auto" w:sz="4" w:space="0"/>
              <w:bottom w:val="single" w:color="auto" w:sz="4" w:space="0"/>
              <w:right w:val="single" w:color="auto" w:sz="4" w:space="0"/>
            </w:tcBorders>
            <w:noWrap w:val="0"/>
            <w:vAlign w:val="center"/>
          </w:tcPr>
          <w:p w14:paraId="586CC254">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786BCF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2C3740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F85331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835BC9D">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0EF182E6">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3479FE81">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736F77">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4FBA482">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671E5565">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1B8AB8">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0D825C4E">
            <w:pPr>
              <w:pageBreakBefore w:val="0"/>
              <w:kinsoku/>
              <w:overflowPunct/>
              <w:topLinePunct w:val="0"/>
              <w:bidi w:val="0"/>
              <w:spacing w:line="360" w:lineRule="auto"/>
              <w:rPr>
                <w:rFonts w:hint="eastAsia" w:ascii="宋体" w:hAnsi="宋体" w:eastAsia="宋体" w:cs="宋体"/>
                <w:color w:val="auto"/>
                <w:szCs w:val="21"/>
                <w:highlight w:val="none"/>
              </w:rPr>
            </w:pPr>
          </w:p>
        </w:tc>
      </w:tr>
      <w:tr w14:paraId="4BC0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14:paraId="5ABD3A43">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02" w:type="dxa"/>
            <w:tcBorders>
              <w:top w:val="single" w:color="auto" w:sz="4" w:space="0"/>
              <w:left w:val="single" w:color="auto" w:sz="4" w:space="0"/>
              <w:bottom w:val="single" w:color="auto" w:sz="4" w:space="0"/>
              <w:right w:val="single" w:color="auto" w:sz="4" w:space="0"/>
            </w:tcBorders>
            <w:noWrap w:val="0"/>
            <w:vAlign w:val="center"/>
          </w:tcPr>
          <w:p w14:paraId="024C835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noWrap w:val="0"/>
            <w:vAlign w:val="center"/>
          </w:tcPr>
          <w:p w14:paraId="6DC232DA">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692" w:type="dxa"/>
            <w:tcBorders>
              <w:top w:val="single" w:color="auto" w:sz="4" w:space="0"/>
              <w:left w:val="single" w:color="auto" w:sz="4" w:space="0"/>
              <w:bottom w:val="single" w:color="auto" w:sz="4" w:space="0"/>
              <w:right w:val="single" w:color="auto" w:sz="4" w:space="0"/>
            </w:tcBorders>
            <w:noWrap w:val="0"/>
            <w:vAlign w:val="center"/>
          </w:tcPr>
          <w:p w14:paraId="4039026D">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28AEF2">
            <w:pPr>
              <w:pageBreakBefore w:val="0"/>
              <w:kinsoku/>
              <w:overflowPunct/>
              <w:topLinePunct w:val="0"/>
              <w:bidi w:val="0"/>
              <w:spacing w:line="360" w:lineRule="auto"/>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078CAB26">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7317677">
            <w:pPr>
              <w:pageBreakBefore w:val="0"/>
              <w:kinsoku/>
              <w:overflowPunct/>
              <w:topLinePunct w:val="0"/>
              <w:bidi w:val="0"/>
              <w:spacing w:line="360" w:lineRule="auto"/>
              <w:rPr>
                <w:rFonts w:hint="eastAsia" w:ascii="宋体" w:hAnsi="宋体" w:eastAsia="宋体" w:cs="宋体"/>
                <w:color w:val="auto"/>
                <w:szCs w:val="21"/>
                <w:highlight w:val="none"/>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CD29EDF">
            <w:pPr>
              <w:pageBreakBefore w:val="0"/>
              <w:kinsoku/>
              <w:overflowPunct/>
              <w:topLinePunct w:val="0"/>
              <w:bidi w:val="0"/>
              <w:spacing w:line="360" w:lineRule="auto"/>
              <w:rPr>
                <w:rFonts w:hint="eastAsia" w:ascii="宋体" w:hAnsi="宋体" w:eastAsia="宋体" w:cs="宋体"/>
                <w:color w:val="auto"/>
                <w:szCs w:val="21"/>
                <w:highlight w:val="none"/>
              </w:rPr>
            </w:pPr>
          </w:p>
        </w:tc>
      </w:tr>
    </w:tbl>
    <w:p w14:paraId="74CF010D">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w:t>
      </w:r>
    </w:p>
    <w:p w14:paraId="7C6F9B57">
      <w:pPr>
        <w:pStyle w:val="11"/>
        <w:pageBreakBefore w:val="0"/>
        <w:kinsoku/>
        <w:overflowPunct/>
        <w:topLinePunct w:val="0"/>
        <w:bidi w:val="0"/>
        <w:spacing w:after="0" w:line="360" w:lineRule="auto"/>
        <w:contextualSpacing/>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1.说明：应对照磋商文件</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第二章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采购</w:t>
      </w:r>
      <w:r>
        <w:rPr>
          <w:rFonts w:hint="eastAsia" w:ascii="宋体" w:hAnsi="宋体" w:eastAsia="宋体" w:cs="宋体"/>
          <w:color w:val="auto"/>
          <w:kern w:val="0"/>
          <w:sz w:val="21"/>
          <w:szCs w:val="21"/>
          <w:highlight w:val="none"/>
        </w:rPr>
        <w:t>需求</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的工程概况及采购范围逐条作出明确响应，并作出偏离说明。</w:t>
      </w:r>
    </w:p>
    <w:p w14:paraId="2FF6A21E">
      <w:pPr>
        <w:pStyle w:val="13"/>
        <w:pageBreakBefore w:val="0"/>
        <w:kinsoku/>
        <w:overflowPunct/>
        <w:topLinePunct w:val="0"/>
        <w:bidi w:val="0"/>
        <w:spacing w:line="360" w:lineRule="auto"/>
        <w:ind w:firstLine="0" w:firstLineChars="0"/>
        <w:contextualSpacing/>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2.供应商应根据自身的承诺，对照磋商文件要求，在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偏离说明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中注明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。既不属于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正偏离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也不属于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即为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当响应文件的商务内容低于竞争性磋商采购文件要求时，竞标人应当如实写明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负偏离</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，否则视为虚假应标</w:t>
      </w:r>
      <w:r>
        <w:rPr>
          <w:rFonts w:hint="eastAsia" w:ascii="宋体" w:hAnsi="宋体" w:eastAsia="宋体" w:cs="宋体"/>
          <w:color w:val="auto"/>
          <w:sz w:val="21"/>
          <w:szCs w:val="21"/>
          <w:highlight w:val="none"/>
          <w:lang w:eastAsia="zh-CN"/>
        </w:rPr>
        <w:t>。</w:t>
      </w:r>
    </w:p>
    <w:p w14:paraId="15D8CDB8">
      <w:pPr>
        <w:pageBreakBefore w:val="0"/>
        <w:kinsoku/>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3.表格内容均需按要求填写并盖章，不得留空，否则按竞标无效处理。</w:t>
      </w:r>
    </w:p>
    <w:p w14:paraId="3052DAC2">
      <w:pPr>
        <w:pageBreakBefore w:val="0"/>
        <w:kinsoku/>
        <w:overflowPunct/>
        <w:topLinePunct w:val="0"/>
        <w:bidi w:val="0"/>
        <w:spacing w:line="360" w:lineRule="auto"/>
        <w:contextualSpacing/>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2832BCA4">
      <w:pPr>
        <w:pageBreakBefore w:val="0"/>
        <w:kinsoku/>
        <w:overflowPunct/>
        <w:topLinePunct w:val="0"/>
        <w:bidi w:val="0"/>
        <w:spacing w:line="360" w:lineRule="auto"/>
        <w:contextualSpacing/>
        <w:rPr>
          <w:rFonts w:hint="eastAsia" w:ascii="宋体" w:hAnsi="宋体" w:eastAsia="宋体" w:cs="宋体"/>
          <w:b/>
          <w:color w:val="auto"/>
          <w:sz w:val="30"/>
          <w:szCs w:val="30"/>
          <w:highlight w:val="none"/>
        </w:rPr>
      </w:pPr>
      <w:r>
        <w:rPr>
          <w:rFonts w:hint="eastAsia" w:ascii="宋体" w:hAnsi="宋体" w:eastAsia="宋体" w:cs="宋体"/>
          <w:color w:val="auto"/>
          <w:kern w:val="0"/>
          <w:szCs w:val="21"/>
          <w:highlight w:val="none"/>
        </w:rPr>
        <w:t>5. 如技术偏离表中的竞标响应与佐证材料不一致的，以佐证材料为准。</w:t>
      </w:r>
    </w:p>
    <w:p w14:paraId="3BB852F3">
      <w:pPr>
        <w:pageBreakBefore w:val="0"/>
        <w:kinsoku/>
        <w:overflowPunct/>
        <w:topLinePunct w:val="0"/>
        <w:autoSpaceDE w:val="0"/>
        <w:autoSpaceDN w:val="0"/>
        <w:bidi w:val="0"/>
        <w:spacing w:line="360" w:lineRule="auto"/>
        <w:ind w:left="4334" w:leftChars="2064" w:firstLine="720" w:firstLineChars="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5608812">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11A2ECCE">
      <w:pPr>
        <w:pageBreakBefore w:val="0"/>
        <w:kinsoku/>
        <w:overflowPunct/>
        <w:topLinePunct w:val="0"/>
        <w:autoSpaceDE w:val="0"/>
        <w:autoSpaceDN w:val="0"/>
        <w:bidi w:val="0"/>
        <w:spacing w:line="360" w:lineRule="auto"/>
        <w:ind w:firstLine="7440" w:firstLineChars="3100"/>
        <w:rPr>
          <w:rFonts w:hint="eastAsia" w:ascii="仿宋" w:hAnsi="仿宋" w:eastAsia="仿宋" w:cs="仿宋"/>
          <w:color w:val="auto"/>
          <w:kern w:val="0"/>
          <w:sz w:val="24"/>
          <w:highlight w:val="none"/>
          <w:lang w:val="zh-CN"/>
        </w:rPr>
      </w:pPr>
    </w:p>
    <w:p w14:paraId="5DE58A48">
      <w:pPr>
        <w:jc w:val="center"/>
        <w:rPr>
          <w:rFonts w:hint="eastAsia" w:ascii="宋体" w:hAnsi="宋体" w:cs="宋体"/>
          <w:b/>
          <w:color w:val="auto"/>
          <w:sz w:val="30"/>
          <w:szCs w:val="30"/>
          <w:highlight w:val="none"/>
          <w:lang w:eastAsia="zh-CN"/>
        </w:rPr>
      </w:pPr>
      <w:r>
        <w:rPr>
          <w:rFonts w:hint="eastAsia" w:ascii="仿宋" w:hAnsi="仿宋" w:eastAsia="仿宋" w:cs="仿宋"/>
          <w:b/>
          <w:color w:val="auto"/>
          <w:sz w:val="30"/>
          <w:szCs w:val="30"/>
          <w:highlight w:val="none"/>
          <w:lang w:val="en-US" w:eastAsia="zh-CN"/>
        </w:rPr>
        <w:t>十</w:t>
      </w:r>
      <w:r>
        <w:rPr>
          <w:rFonts w:hint="eastAsia" w:ascii="仿宋" w:hAnsi="仿宋" w:eastAsia="仿宋" w:cs="仿宋"/>
          <w:b/>
          <w:color w:val="auto"/>
          <w:sz w:val="30"/>
          <w:szCs w:val="30"/>
          <w:highlight w:val="none"/>
          <w:lang w:eastAsia="zh-CN"/>
        </w:rPr>
        <w:t>、施工组织设计</w:t>
      </w:r>
    </w:p>
    <w:p w14:paraId="34E66877">
      <w:pPr>
        <w:autoSpaceDE w:val="0"/>
        <w:autoSpaceDN w:val="0"/>
        <w:spacing w:line="360" w:lineRule="auto"/>
        <w:jc w:val="center"/>
        <w:outlineLvl w:val="9"/>
        <w:rPr>
          <w:rFonts w:hint="eastAsia" w:ascii="宋体" w:hAnsi="宋体" w:eastAsia="宋体" w:cs="仿宋_GB2312"/>
          <w:color w:val="auto"/>
          <w:sz w:val="24"/>
          <w:highlight w:val="none"/>
        </w:rPr>
      </w:pPr>
      <w:r>
        <w:rPr>
          <w:rFonts w:hint="eastAsia" w:ascii="宋体" w:hAnsi="宋体" w:eastAsia="宋体" w:cs="仿宋_GB2312"/>
          <w:color w:val="auto"/>
          <w:sz w:val="24"/>
          <w:highlight w:val="none"/>
        </w:rPr>
        <w:t>（格式自拟</w:t>
      </w:r>
      <w:r>
        <w:rPr>
          <w:rFonts w:hint="eastAsia" w:ascii="宋体" w:hAnsi="宋体" w:eastAsia="宋体" w:cs="仿宋_GB2312"/>
          <w:color w:val="auto"/>
          <w:sz w:val="24"/>
          <w:highlight w:val="none"/>
          <w:lang w:eastAsia="zh-CN"/>
        </w:rPr>
        <w:t>，</w:t>
      </w:r>
      <w:r>
        <w:rPr>
          <w:rFonts w:hint="eastAsia" w:ascii="宋体" w:hAnsi="宋体" w:eastAsia="宋体" w:cs="仿宋_GB2312"/>
          <w:color w:val="auto"/>
          <w:sz w:val="24"/>
          <w:highlight w:val="none"/>
        </w:rPr>
        <w:t>由供应商根据采购需求及采购文件要求编制）</w:t>
      </w:r>
    </w:p>
    <w:p w14:paraId="71E6CC9A">
      <w:pPr>
        <w:spacing w:line="500" w:lineRule="exact"/>
        <w:rPr>
          <w:rFonts w:ascii="宋体" w:hAnsi="宋体" w:cs="仿宋_GB2312"/>
          <w:color w:val="auto"/>
          <w:sz w:val="32"/>
          <w:szCs w:val="32"/>
          <w:highlight w:val="none"/>
        </w:rPr>
      </w:pPr>
    </w:p>
    <w:p w14:paraId="5C0412CE">
      <w:pPr>
        <w:pStyle w:val="51"/>
        <w:rPr>
          <w:color w:val="auto"/>
          <w:highlight w:val="none"/>
        </w:rPr>
      </w:pPr>
    </w:p>
    <w:p w14:paraId="797183C7">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860FB77">
      <w:pPr>
        <w:autoSpaceDE w:val="0"/>
        <w:autoSpaceDN w:val="0"/>
        <w:spacing w:line="360" w:lineRule="auto"/>
        <w:ind w:firstLine="6480" w:firstLineChars="2700"/>
        <w:rPr>
          <w:rFonts w:hint="eastAsia" w:ascii="仿宋" w:hAnsi="仿宋" w:eastAsia="仿宋" w:cs="仿宋"/>
          <w:b/>
          <w:bCs/>
          <w:color w:val="auto"/>
          <w:sz w:val="24"/>
          <w:highlight w:val="none"/>
        </w:rPr>
      </w:pPr>
      <w:r>
        <w:rPr>
          <w:rFonts w:hint="eastAsia" w:ascii="仿宋" w:hAnsi="仿宋" w:eastAsia="仿宋" w:cs="仿宋"/>
          <w:color w:val="auto"/>
          <w:kern w:val="0"/>
          <w:sz w:val="24"/>
          <w:highlight w:val="none"/>
          <w:lang w:val="zh-CN"/>
        </w:rPr>
        <w:t>日期：  年  月   日</w:t>
      </w:r>
    </w:p>
    <w:p w14:paraId="343EB2D8">
      <w:pPr>
        <w:jc w:val="center"/>
        <w:rPr>
          <w:rFonts w:hint="eastAsia" w:ascii="宋体" w:hAnsi="宋体" w:cs="宋体"/>
          <w:b/>
          <w:color w:val="auto"/>
          <w:sz w:val="30"/>
          <w:szCs w:val="30"/>
          <w:highlight w:val="none"/>
          <w:lang w:eastAsia="zh-CN"/>
        </w:rPr>
      </w:pPr>
    </w:p>
    <w:p w14:paraId="421F2BD6">
      <w:pPr>
        <w:jc w:val="center"/>
        <w:rPr>
          <w:rFonts w:hint="eastAsia" w:ascii="宋体" w:hAnsi="宋体" w:cs="宋体"/>
          <w:b/>
          <w:color w:val="auto"/>
          <w:sz w:val="30"/>
          <w:szCs w:val="30"/>
          <w:highlight w:val="none"/>
          <w:lang w:eastAsia="zh-CN"/>
        </w:rPr>
      </w:pPr>
    </w:p>
    <w:p w14:paraId="3F2438D5">
      <w:pPr>
        <w:jc w:val="center"/>
        <w:rPr>
          <w:rFonts w:hint="eastAsia" w:ascii="宋体" w:hAnsi="宋体" w:cs="宋体"/>
          <w:b/>
          <w:color w:val="auto"/>
          <w:sz w:val="30"/>
          <w:szCs w:val="30"/>
          <w:highlight w:val="none"/>
          <w:lang w:eastAsia="zh-CN"/>
        </w:rPr>
      </w:pPr>
    </w:p>
    <w:p w14:paraId="5F91C901">
      <w:pPr>
        <w:snapToGrid w:val="0"/>
        <w:spacing w:line="360" w:lineRule="auto"/>
        <w:ind w:left="480" w:firstLine="0" w:firstLineChars="0"/>
        <w:jc w:val="center"/>
        <w:rPr>
          <w:rFonts w:hint="eastAsia" w:ascii="宋体" w:hAnsi="宋体" w:eastAsia="宋体" w:cs="宋体"/>
          <w:b/>
          <w:color w:val="auto"/>
          <w:sz w:val="30"/>
          <w:szCs w:val="30"/>
          <w:highlight w:val="none"/>
          <w:lang w:val="en-US"/>
        </w:rPr>
      </w:pPr>
      <w:r>
        <w:rPr>
          <w:rFonts w:hint="eastAsia" w:ascii="仿宋" w:hAnsi="仿宋" w:eastAsia="仿宋" w:cs="仿宋"/>
          <w:b/>
          <w:color w:val="auto"/>
          <w:sz w:val="28"/>
          <w:szCs w:val="28"/>
          <w:highlight w:val="none"/>
          <w:lang w:val="en-US" w:eastAsia="zh-CN"/>
        </w:rPr>
        <w:t>十一</w:t>
      </w:r>
      <w:r>
        <w:rPr>
          <w:rFonts w:hint="eastAsia" w:ascii="仿宋" w:hAnsi="仿宋" w:eastAsia="仿宋" w:cs="仿宋"/>
          <w:b/>
          <w:color w:val="auto"/>
          <w:sz w:val="28"/>
          <w:szCs w:val="28"/>
          <w:highlight w:val="none"/>
        </w:rPr>
        <w:t>、项目管理机构配备情况表</w:t>
      </w:r>
    </w:p>
    <w:p w14:paraId="16BC4453">
      <w:pPr>
        <w:widowControl/>
        <w:rPr>
          <w:rFonts w:hint="eastAsia" w:ascii="宋体" w:hAnsi="宋体" w:cs="宋体"/>
          <w:color w:val="auto"/>
          <w:szCs w:val="21"/>
          <w:highlight w:val="none"/>
          <w:u w:val="single"/>
        </w:rPr>
      </w:pPr>
    </w:p>
    <w:p w14:paraId="5388B40C">
      <w:pPr>
        <w:widowControl/>
        <w:ind w:firstLine="210" w:firstLineChars="100"/>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rPr>
        <w:t>项目名称</w:t>
      </w:r>
      <w:r>
        <w:rPr>
          <w:rFonts w:hint="eastAsia" w:ascii="宋体" w:hAnsi="宋体" w:cs="宋体"/>
          <w:color w:val="auto"/>
          <w:szCs w:val="21"/>
          <w:highlight w:val="none"/>
          <w:u w:val="single"/>
          <w:lang w:eastAsia="zh-CN"/>
        </w:rPr>
        <w:t>：隆安县丁当镇保湾村农田水利设施项目（驮湾屯、农怀屯）</w:t>
      </w:r>
    </w:p>
    <w:p w14:paraId="37C194E0">
      <w:pPr>
        <w:widowControl/>
        <w:ind w:firstLine="210" w:firstLineChars="100"/>
        <w:rPr>
          <w:rFonts w:hint="eastAsia" w:ascii="宋体" w:hAnsi="宋体" w:cs="宋体"/>
          <w:color w:val="auto"/>
          <w:szCs w:val="21"/>
          <w:highlight w:val="none"/>
          <w:u w:val="single"/>
          <w:lang w:val="en-US" w:eastAsia="zh-CN"/>
        </w:rPr>
      </w:pPr>
    </w:p>
    <w:p w14:paraId="59F6AD35">
      <w:pPr>
        <w:widowControl/>
        <w:ind w:firstLine="210" w:firstLineChars="100"/>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项目编号：NNZC2026-C2-230056-JHGC</w:t>
      </w:r>
    </w:p>
    <w:p w14:paraId="68DF7F99">
      <w:pPr>
        <w:widowControl/>
        <w:ind w:firstLine="210" w:firstLineChars="100"/>
        <w:rPr>
          <w:rFonts w:hint="default" w:ascii="宋体" w:hAnsi="宋体" w:cs="宋体"/>
          <w:color w:val="auto"/>
          <w:szCs w:val="21"/>
          <w:highlight w:val="none"/>
          <w:u w:val="single"/>
          <w:lang w:val="en-US" w:eastAsia="zh-CN"/>
        </w:rPr>
      </w:pPr>
    </w:p>
    <w:tbl>
      <w:tblPr>
        <w:tblStyle w:val="2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830"/>
        <w:gridCol w:w="817"/>
        <w:gridCol w:w="1148"/>
        <w:gridCol w:w="1148"/>
        <w:gridCol w:w="1148"/>
        <w:gridCol w:w="1148"/>
        <w:gridCol w:w="850"/>
        <w:gridCol w:w="1277"/>
      </w:tblGrid>
      <w:tr w14:paraId="0890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auto" w:sz="4" w:space="0"/>
              <w:left w:val="single" w:color="auto" w:sz="4" w:space="0"/>
              <w:bottom w:val="single" w:color="auto" w:sz="4" w:space="0"/>
              <w:right w:val="single" w:color="auto" w:sz="4" w:space="0"/>
            </w:tcBorders>
            <w:noWrap w:val="0"/>
            <w:vAlign w:val="center"/>
          </w:tcPr>
          <w:p w14:paraId="52069857">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岗位</w:t>
            </w:r>
          </w:p>
        </w:tc>
        <w:tc>
          <w:tcPr>
            <w:tcW w:w="829" w:type="dxa"/>
            <w:vMerge w:val="restart"/>
            <w:tcBorders>
              <w:top w:val="single" w:color="auto" w:sz="4" w:space="0"/>
              <w:left w:val="single" w:color="auto" w:sz="4" w:space="0"/>
              <w:bottom w:val="single" w:color="auto" w:sz="4" w:space="0"/>
              <w:right w:val="single" w:color="auto" w:sz="4" w:space="0"/>
            </w:tcBorders>
            <w:noWrap w:val="0"/>
            <w:vAlign w:val="center"/>
          </w:tcPr>
          <w:p w14:paraId="793C16E0">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姓名</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1AFD9B6C">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职称</w:t>
            </w:r>
          </w:p>
        </w:tc>
        <w:tc>
          <w:tcPr>
            <w:tcW w:w="4592" w:type="dxa"/>
            <w:gridSpan w:val="4"/>
            <w:tcBorders>
              <w:top w:val="single" w:color="auto" w:sz="4" w:space="0"/>
              <w:left w:val="single" w:color="auto" w:sz="4" w:space="0"/>
              <w:bottom w:val="single" w:color="auto" w:sz="4" w:space="0"/>
              <w:right w:val="single" w:color="auto" w:sz="4" w:space="0"/>
            </w:tcBorders>
            <w:noWrap w:val="0"/>
            <w:vAlign w:val="center"/>
          </w:tcPr>
          <w:p w14:paraId="4AA3992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执业或职业资格证明</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2E2F93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承担完工工程情况</w:t>
            </w:r>
          </w:p>
        </w:tc>
      </w:tr>
      <w:tr w14:paraId="209D6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auto" w:sz="4" w:space="0"/>
              <w:left w:val="single" w:color="auto" w:sz="4" w:space="0"/>
              <w:bottom w:val="single" w:color="auto" w:sz="4" w:space="0"/>
              <w:right w:val="single" w:color="auto" w:sz="4" w:space="0"/>
            </w:tcBorders>
            <w:noWrap w:val="0"/>
            <w:vAlign w:val="center"/>
          </w:tcPr>
          <w:p w14:paraId="642C6136">
            <w:pPr>
              <w:rPr>
                <w:rFonts w:ascii="宋体" w:hAnsi="宋体"/>
                <w:color w:val="auto"/>
                <w:szCs w:val="21"/>
                <w:highlight w:val="none"/>
              </w:rPr>
            </w:pPr>
          </w:p>
        </w:tc>
        <w:tc>
          <w:tcPr>
            <w:tcW w:w="829" w:type="dxa"/>
            <w:vMerge w:val="continue"/>
            <w:tcBorders>
              <w:top w:val="single" w:color="auto" w:sz="4" w:space="0"/>
              <w:left w:val="single" w:color="auto" w:sz="4" w:space="0"/>
              <w:bottom w:val="single" w:color="auto" w:sz="4" w:space="0"/>
              <w:right w:val="single" w:color="auto" w:sz="4" w:space="0"/>
            </w:tcBorders>
            <w:noWrap w:val="0"/>
            <w:vAlign w:val="center"/>
          </w:tcPr>
          <w:p w14:paraId="52BE22EB">
            <w:pPr>
              <w:rPr>
                <w:rFonts w:ascii="宋体" w:hAnsi="宋体"/>
                <w:color w:val="auto"/>
                <w:szCs w:val="21"/>
                <w:highlight w:val="none"/>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30D196D">
            <w:pP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3119F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证书名称</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16662C9">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级别</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0B0F98F">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证号</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3F4A6D8">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专业</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120A5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项目数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4DDED1E">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主要项目</w:t>
            </w:r>
          </w:p>
          <w:p w14:paraId="7A0DC0BB">
            <w:pPr>
              <w:ind w:left="223" w:hanging="222" w:hangingChars="106"/>
              <w:jc w:val="center"/>
              <w:rPr>
                <w:rFonts w:ascii="宋体" w:hAnsi="宋体"/>
                <w:color w:val="auto"/>
                <w:szCs w:val="21"/>
                <w:highlight w:val="none"/>
              </w:rPr>
            </w:pPr>
            <w:r>
              <w:rPr>
                <w:rFonts w:hint="eastAsia" w:ascii="宋体" w:hAnsi="宋体" w:cs="宋体"/>
                <w:color w:val="auto"/>
                <w:szCs w:val="21"/>
                <w:highlight w:val="none"/>
              </w:rPr>
              <w:t>名称</w:t>
            </w:r>
          </w:p>
        </w:tc>
      </w:tr>
      <w:tr w14:paraId="3294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FB3FCF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33F06A2">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4B87B6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53566C9">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98758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D327CF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3D185B4">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637D4A">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FD60E7C">
            <w:pPr>
              <w:ind w:left="223" w:hanging="222" w:hangingChars="106"/>
              <w:jc w:val="center"/>
              <w:rPr>
                <w:rFonts w:ascii="宋体" w:hAnsi="宋体"/>
                <w:color w:val="auto"/>
                <w:szCs w:val="21"/>
                <w:highlight w:val="none"/>
              </w:rPr>
            </w:pPr>
          </w:p>
        </w:tc>
      </w:tr>
      <w:tr w14:paraId="5413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C8243F4">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78EF5F5A">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831FB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7128341">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E47205C">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25D117">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CEE73D9">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ACC907">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C3F4CCC">
            <w:pPr>
              <w:ind w:left="223" w:hanging="222" w:hangingChars="106"/>
              <w:jc w:val="center"/>
              <w:rPr>
                <w:rFonts w:ascii="宋体" w:hAnsi="宋体"/>
                <w:color w:val="auto"/>
                <w:szCs w:val="21"/>
                <w:highlight w:val="none"/>
              </w:rPr>
            </w:pPr>
          </w:p>
        </w:tc>
      </w:tr>
      <w:tr w14:paraId="2A54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6EB2E2BE">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115358AB">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0564B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F14124">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948EA3">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E53D62">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127232">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798D3F">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E71C594">
            <w:pPr>
              <w:ind w:left="223" w:hanging="222" w:hangingChars="106"/>
              <w:jc w:val="center"/>
              <w:rPr>
                <w:rFonts w:ascii="宋体" w:hAnsi="宋体"/>
                <w:color w:val="auto"/>
                <w:szCs w:val="21"/>
                <w:highlight w:val="none"/>
              </w:rPr>
            </w:pPr>
          </w:p>
        </w:tc>
      </w:tr>
      <w:tr w14:paraId="20F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2F3BA33">
            <w:pPr>
              <w:ind w:left="223" w:hanging="222" w:hangingChars="106"/>
              <w:jc w:val="center"/>
              <w:rPr>
                <w:rFonts w:ascii="宋体" w:hAnsi="宋体"/>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noWrap w:val="0"/>
            <w:vAlign w:val="center"/>
          </w:tcPr>
          <w:p w14:paraId="2E287989">
            <w:pPr>
              <w:ind w:left="223" w:hanging="222" w:hangingChars="106"/>
              <w:jc w:val="center"/>
              <w:rPr>
                <w:rFonts w:ascii="宋体" w:hAnsi="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noWrap w:val="0"/>
            <w:vAlign w:val="center"/>
          </w:tcPr>
          <w:p w14:paraId="347F64A5">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573308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5B8A08">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7E97DC0">
            <w:pPr>
              <w:ind w:left="223" w:hanging="222" w:hangingChars="106"/>
              <w:jc w:val="center"/>
              <w:rPr>
                <w:rFonts w:ascii="宋体" w:hAnsi="宋体"/>
                <w:color w:val="auto"/>
                <w:szCs w:val="21"/>
                <w:highlight w:val="none"/>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CC2DF6A">
            <w:pPr>
              <w:ind w:left="223" w:hanging="222" w:hangingChars="106"/>
              <w:jc w:val="center"/>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46C1AC">
            <w:pPr>
              <w:ind w:left="223" w:hanging="222" w:hangingChars="106"/>
              <w:jc w:val="center"/>
              <w:rPr>
                <w:rFonts w:ascii="宋体" w:hAnsi="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4ACE6A">
            <w:pPr>
              <w:ind w:left="223" w:hanging="222" w:hangingChars="106"/>
              <w:jc w:val="center"/>
              <w:rPr>
                <w:rFonts w:ascii="宋体" w:hAnsi="宋体"/>
                <w:color w:val="auto"/>
                <w:szCs w:val="21"/>
                <w:highlight w:val="none"/>
              </w:rPr>
            </w:pPr>
          </w:p>
        </w:tc>
      </w:tr>
    </w:tbl>
    <w:p w14:paraId="7939C71D">
      <w:pPr>
        <w:jc w:val="center"/>
        <w:rPr>
          <w:rFonts w:ascii="宋体" w:hAnsi="宋体"/>
          <w:b/>
          <w:color w:val="auto"/>
          <w:szCs w:val="21"/>
          <w:highlight w:val="none"/>
        </w:rPr>
      </w:pPr>
    </w:p>
    <w:p w14:paraId="7AA78EA8">
      <w:pPr>
        <w:tabs>
          <w:tab w:val="left" w:pos="0"/>
        </w:tabs>
        <w:spacing w:line="360" w:lineRule="auto"/>
        <w:ind w:right="-210"/>
        <w:rPr>
          <w:rFonts w:ascii="宋体" w:hAnsi="宋体"/>
          <w:color w:val="auto"/>
          <w:szCs w:val="21"/>
          <w:highlight w:val="none"/>
        </w:rPr>
      </w:pPr>
      <w:r>
        <w:rPr>
          <w:rFonts w:hint="eastAsia" w:ascii="宋体" w:hAnsi="宋体" w:cs="楷体_GB2312"/>
          <w:color w:val="auto"/>
          <w:szCs w:val="21"/>
          <w:highlight w:val="none"/>
        </w:rPr>
        <w:t>【备注：附各岗位人员资格证件（如有）扫描件。以上扫描件均为原件的扫描件】</w:t>
      </w:r>
    </w:p>
    <w:p w14:paraId="5AE5B407">
      <w:pPr>
        <w:spacing w:line="440" w:lineRule="exact"/>
        <w:jc w:val="center"/>
        <w:rPr>
          <w:rFonts w:ascii="宋体" w:hAnsi="宋体"/>
          <w:b/>
          <w:color w:val="auto"/>
          <w:szCs w:val="21"/>
          <w:highlight w:val="none"/>
        </w:rPr>
      </w:pPr>
    </w:p>
    <w:p w14:paraId="48D04A66">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1CBF92E6">
      <w:pPr>
        <w:pStyle w:val="12"/>
        <w:snapToGrid w:val="0"/>
        <w:spacing w:line="360" w:lineRule="auto"/>
        <w:ind w:left="480" w:firstLine="6960" w:firstLineChars="2900"/>
        <w:rPr>
          <w:rFonts w:hint="eastAsia" w:ascii="仿宋" w:hAnsi="仿宋" w:eastAsia="仿宋" w:cs="仿宋"/>
          <w:b/>
          <w:color w:val="auto"/>
          <w:sz w:val="24"/>
          <w:szCs w:val="24"/>
          <w:highlight w:val="none"/>
          <w:lang w:val="en-US"/>
        </w:rPr>
      </w:pPr>
      <w:r>
        <w:rPr>
          <w:rFonts w:hint="eastAsia" w:ascii="仿宋" w:hAnsi="仿宋" w:eastAsia="仿宋" w:cs="仿宋"/>
          <w:color w:val="auto"/>
          <w:kern w:val="0"/>
          <w:sz w:val="24"/>
          <w:szCs w:val="24"/>
          <w:highlight w:val="none"/>
          <w:lang w:val="zh-CN"/>
        </w:rPr>
        <w:t>日期：  年  月   日</w:t>
      </w:r>
    </w:p>
    <w:p w14:paraId="3053DF64">
      <w:pPr>
        <w:jc w:val="center"/>
        <w:rPr>
          <w:rFonts w:hint="eastAsia" w:ascii="宋体" w:hAnsi="宋体" w:cs="宋体"/>
          <w:b/>
          <w:color w:val="auto"/>
          <w:sz w:val="30"/>
          <w:szCs w:val="30"/>
          <w:highlight w:val="none"/>
          <w:lang w:eastAsia="zh-CN"/>
        </w:rPr>
      </w:pPr>
    </w:p>
    <w:p w14:paraId="2738D370">
      <w:pPr>
        <w:jc w:val="center"/>
        <w:rPr>
          <w:rFonts w:hint="eastAsia" w:ascii="宋体" w:hAnsi="宋体" w:cs="宋体"/>
          <w:b/>
          <w:color w:val="auto"/>
          <w:sz w:val="30"/>
          <w:szCs w:val="30"/>
          <w:highlight w:val="none"/>
          <w:lang w:eastAsia="zh-CN"/>
        </w:rPr>
      </w:pPr>
    </w:p>
    <w:p w14:paraId="127A9F90">
      <w:pPr>
        <w:pStyle w:val="26"/>
        <w:rPr>
          <w:rFonts w:hint="eastAsia" w:ascii="宋体" w:hAnsi="宋体" w:cs="宋体"/>
          <w:b/>
          <w:color w:val="auto"/>
          <w:sz w:val="30"/>
          <w:szCs w:val="30"/>
          <w:highlight w:val="none"/>
          <w:lang w:eastAsia="zh-CN"/>
        </w:rPr>
      </w:pPr>
    </w:p>
    <w:p w14:paraId="66C9BE94">
      <w:pPr>
        <w:pStyle w:val="26"/>
        <w:rPr>
          <w:rFonts w:hint="eastAsia" w:ascii="宋体" w:hAnsi="宋体" w:cs="宋体"/>
          <w:b/>
          <w:color w:val="auto"/>
          <w:sz w:val="30"/>
          <w:szCs w:val="30"/>
          <w:highlight w:val="none"/>
          <w:lang w:eastAsia="zh-CN"/>
        </w:rPr>
      </w:pPr>
    </w:p>
    <w:p w14:paraId="448130C0">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eastAsia="zh-CN"/>
        </w:rPr>
        <w:t>十</w:t>
      </w:r>
      <w:r>
        <w:rPr>
          <w:rFonts w:hint="eastAsia" w:ascii="仿宋" w:hAnsi="仿宋" w:eastAsia="仿宋" w:cs="仿宋"/>
          <w:b/>
          <w:color w:val="auto"/>
          <w:sz w:val="30"/>
          <w:szCs w:val="30"/>
          <w:highlight w:val="none"/>
          <w:lang w:val="en-US" w:eastAsia="zh-CN"/>
        </w:rPr>
        <w:t>二</w:t>
      </w: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none"/>
        </w:rPr>
        <w:t>项目经理简历表</w:t>
      </w:r>
    </w:p>
    <w:p w14:paraId="1528ED7E">
      <w:pPr>
        <w:jc w:val="center"/>
        <w:rPr>
          <w:rFonts w:ascii="宋体" w:hAnsi="宋体"/>
          <w:color w:val="auto"/>
          <w:highlight w:val="none"/>
        </w:rPr>
      </w:pPr>
    </w:p>
    <w:tbl>
      <w:tblPr>
        <w:tblStyle w:val="27"/>
        <w:tblW w:w="0" w:type="auto"/>
        <w:jc w:val="center"/>
        <w:tblLayout w:type="fixed"/>
        <w:tblCellMar>
          <w:top w:w="0" w:type="dxa"/>
          <w:left w:w="0" w:type="dxa"/>
          <w:bottom w:w="0" w:type="dxa"/>
          <w:right w:w="0" w:type="dxa"/>
        </w:tblCellMar>
      </w:tblPr>
      <w:tblGrid>
        <w:gridCol w:w="1158"/>
        <w:gridCol w:w="2005"/>
        <w:gridCol w:w="1292"/>
        <w:gridCol w:w="1428"/>
        <w:gridCol w:w="1060"/>
        <w:gridCol w:w="1670"/>
      </w:tblGrid>
      <w:tr w14:paraId="1CE70890">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1CAFC35">
            <w:pPr>
              <w:jc w:val="center"/>
              <w:rPr>
                <w:rFonts w:ascii="宋体" w:hAnsi="宋体"/>
                <w:color w:val="auto"/>
                <w:szCs w:val="21"/>
                <w:highlight w:val="none"/>
              </w:rPr>
            </w:pPr>
            <w:r>
              <w:rPr>
                <w:rFonts w:hint="eastAsia" w:ascii="宋体" w:hAnsi="宋体" w:cs="宋体"/>
                <w:color w:val="auto"/>
                <w:szCs w:val="21"/>
                <w:highlight w:val="none"/>
              </w:rPr>
              <w:t>姓名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515B1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0880907">
            <w:pPr>
              <w:jc w:val="center"/>
              <w:rPr>
                <w:rFonts w:ascii="宋体" w:hAnsi="宋体"/>
                <w:color w:val="auto"/>
                <w:szCs w:val="21"/>
                <w:highlight w:val="none"/>
              </w:rPr>
            </w:pPr>
            <w:r>
              <w:rPr>
                <w:rFonts w:hint="eastAsia" w:ascii="宋体" w:hAnsi="宋体" w:cs="宋体"/>
                <w:color w:val="auto"/>
                <w:szCs w:val="21"/>
                <w:highlight w:val="none"/>
              </w:rPr>
              <w:t>性别</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134AD0">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986BFB">
            <w:pPr>
              <w:jc w:val="center"/>
              <w:rPr>
                <w:rFonts w:ascii="宋体" w:hAnsi="宋体"/>
                <w:color w:val="auto"/>
                <w:szCs w:val="21"/>
                <w:highlight w:val="none"/>
              </w:rPr>
            </w:pPr>
            <w:r>
              <w:rPr>
                <w:rFonts w:hint="eastAsia" w:ascii="宋体" w:hAnsi="宋体" w:cs="宋体"/>
                <w:color w:val="auto"/>
                <w:szCs w:val="21"/>
                <w:highlight w:val="none"/>
              </w:rPr>
              <w:t>年龄</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5417931">
            <w:pPr>
              <w:jc w:val="center"/>
              <w:rPr>
                <w:rFonts w:ascii="宋体" w:hAnsi="宋体"/>
                <w:color w:val="auto"/>
                <w:szCs w:val="21"/>
                <w:highlight w:val="none"/>
              </w:rPr>
            </w:pPr>
          </w:p>
        </w:tc>
      </w:tr>
      <w:tr w14:paraId="2A792B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1E9EE06">
            <w:pPr>
              <w:jc w:val="center"/>
              <w:rPr>
                <w:rFonts w:ascii="宋体" w:hAnsi="宋体"/>
                <w:color w:val="auto"/>
                <w:szCs w:val="21"/>
                <w:highlight w:val="none"/>
              </w:rPr>
            </w:pPr>
            <w:r>
              <w:rPr>
                <w:rFonts w:hint="eastAsia" w:ascii="宋体" w:hAnsi="宋体" w:cs="宋体"/>
                <w:color w:val="auto"/>
                <w:szCs w:val="21"/>
                <w:highlight w:val="none"/>
              </w:rPr>
              <w:t>职务</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D97630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A8EB340">
            <w:pPr>
              <w:jc w:val="center"/>
              <w:rPr>
                <w:rFonts w:ascii="宋体" w:hAnsi="宋体"/>
                <w:color w:val="auto"/>
                <w:szCs w:val="21"/>
                <w:highlight w:val="none"/>
              </w:rPr>
            </w:pPr>
            <w:r>
              <w:rPr>
                <w:rFonts w:hint="eastAsia" w:ascii="宋体" w:hAnsi="宋体" w:cs="宋体"/>
                <w:color w:val="auto"/>
                <w:szCs w:val="21"/>
                <w:highlight w:val="none"/>
              </w:rPr>
              <w:t>职称</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B9061C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B72A7F">
            <w:pPr>
              <w:jc w:val="center"/>
              <w:rPr>
                <w:rFonts w:ascii="宋体" w:hAnsi="宋体"/>
                <w:color w:val="auto"/>
                <w:szCs w:val="21"/>
                <w:highlight w:val="none"/>
              </w:rPr>
            </w:pPr>
            <w:r>
              <w:rPr>
                <w:rFonts w:hint="eastAsia" w:ascii="宋体" w:hAnsi="宋体" w:cs="宋体"/>
                <w:color w:val="auto"/>
                <w:szCs w:val="21"/>
                <w:highlight w:val="none"/>
              </w:rPr>
              <w:t>学历</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086C2C4">
            <w:pPr>
              <w:jc w:val="center"/>
              <w:rPr>
                <w:rFonts w:ascii="宋体" w:hAnsi="宋体"/>
                <w:color w:val="auto"/>
                <w:szCs w:val="21"/>
                <w:highlight w:val="none"/>
              </w:rPr>
            </w:pPr>
          </w:p>
        </w:tc>
      </w:tr>
      <w:tr w14:paraId="0D10A5C8">
        <w:tblPrEx>
          <w:tblCellMar>
            <w:top w:w="0" w:type="dxa"/>
            <w:left w:w="0" w:type="dxa"/>
            <w:bottom w:w="0" w:type="dxa"/>
            <w:right w:w="0" w:type="dxa"/>
          </w:tblCellMar>
        </w:tblPrEx>
        <w:trPr>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89FC4F">
            <w:pPr>
              <w:jc w:val="center"/>
              <w:rPr>
                <w:rFonts w:ascii="宋体" w:hAnsi="宋体"/>
                <w:color w:val="auto"/>
                <w:szCs w:val="21"/>
                <w:highlight w:val="none"/>
              </w:rPr>
            </w:pPr>
            <w:r>
              <w:rPr>
                <w:rFonts w:hint="eastAsia" w:ascii="宋体" w:hAnsi="宋体" w:cs="宋体"/>
                <w:color w:val="auto"/>
                <w:szCs w:val="21"/>
                <w:highlight w:val="none"/>
              </w:rPr>
              <w:t>参加工作时间</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1A4FD0D">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24616F4">
            <w:pPr>
              <w:jc w:val="center"/>
              <w:rPr>
                <w:rFonts w:ascii="宋体" w:hAnsi="宋体"/>
                <w:color w:val="auto"/>
                <w:szCs w:val="21"/>
                <w:highlight w:val="none"/>
              </w:rPr>
            </w:pPr>
            <w:r>
              <w:rPr>
                <w:rFonts w:hint="eastAsia" w:ascii="宋体" w:hAnsi="宋体" w:cs="宋体"/>
                <w:color w:val="auto"/>
                <w:szCs w:val="21"/>
                <w:highlight w:val="none"/>
              </w:rPr>
              <w:t>从事项目经理（或建造师）年限</w:t>
            </w:r>
          </w:p>
        </w:tc>
        <w:tc>
          <w:tcPr>
            <w:tcW w:w="142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2C7B11E">
            <w:pPr>
              <w:jc w:val="center"/>
              <w:rPr>
                <w:rFonts w:ascii="宋体" w:hAnsi="宋体"/>
                <w:color w:val="auto"/>
                <w:szCs w:val="21"/>
                <w:highlight w:val="none"/>
              </w:rPr>
            </w:pPr>
          </w:p>
        </w:tc>
        <w:tc>
          <w:tcPr>
            <w:tcW w:w="106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ECAFF3">
            <w:pPr>
              <w:jc w:val="center"/>
              <w:rPr>
                <w:rFonts w:ascii="宋体" w:hAnsi="宋体"/>
                <w:color w:val="auto"/>
                <w:szCs w:val="21"/>
                <w:highlight w:val="none"/>
              </w:rPr>
            </w:pPr>
            <w:r>
              <w:rPr>
                <w:rFonts w:hint="eastAsia" w:ascii="宋体" w:hAnsi="宋体" w:cs="宋体"/>
                <w:color w:val="auto"/>
                <w:szCs w:val="21"/>
                <w:highlight w:val="none"/>
              </w:rPr>
              <w:t>资质等级</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44951F">
            <w:pPr>
              <w:jc w:val="center"/>
              <w:rPr>
                <w:rFonts w:ascii="宋体" w:hAnsi="宋体"/>
                <w:color w:val="auto"/>
                <w:szCs w:val="21"/>
                <w:highlight w:val="none"/>
              </w:rPr>
            </w:pPr>
          </w:p>
        </w:tc>
      </w:tr>
      <w:tr w14:paraId="22F8F716">
        <w:tblPrEx>
          <w:tblCellMar>
            <w:top w:w="0" w:type="dxa"/>
            <w:left w:w="0" w:type="dxa"/>
            <w:bottom w:w="0" w:type="dxa"/>
            <w:right w:w="0" w:type="dxa"/>
          </w:tblCellMar>
        </w:tblPrEx>
        <w:trPr>
          <w:trHeight w:val="500" w:hRule="exact"/>
          <w:jc w:val="center"/>
        </w:trPr>
        <w:tc>
          <w:tcPr>
            <w:tcW w:w="4455"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63F2AB">
            <w:pPr>
              <w:jc w:val="center"/>
              <w:rPr>
                <w:rFonts w:ascii="宋体" w:hAnsi="宋体"/>
                <w:color w:val="auto"/>
                <w:szCs w:val="21"/>
                <w:highlight w:val="none"/>
              </w:rPr>
            </w:pPr>
            <w:r>
              <w:rPr>
                <w:rFonts w:hint="eastAsia" w:ascii="宋体" w:hAnsi="宋体" w:cs="宋体"/>
                <w:color w:val="auto"/>
                <w:szCs w:val="21"/>
                <w:highlight w:val="none"/>
              </w:rPr>
              <w:t>拟在本工程中担任的工作和职务</w:t>
            </w:r>
          </w:p>
        </w:tc>
        <w:tc>
          <w:tcPr>
            <w:tcW w:w="4158" w:type="dxa"/>
            <w:gridSpan w:val="3"/>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C9A4DC">
            <w:pPr>
              <w:jc w:val="center"/>
              <w:rPr>
                <w:rFonts w:ascii="宋体" w:hAnsi="宋体"/>
                <w:color w:val="auto"/>
                <w:szCs w:val="21"/>
                <w:highlight w:val="none"/>
              </w:rPr>
            </w:pPr>
          </w:p>
        </w:tc>
      </w:tr>
      <w:tr w14:paraId="099FC57E">
        <w:tblPrEx>
          <w:tblCellMar>
            <w:top w:w="0" w:type="dxa"/>
            <w:left w:w="0" w:type="dxa"/>
            <w:bottom w:w="0" w:type="dxa"/>
            <w:right w:w="0" w:type="dxa"/>
          </w:tblCellMar>
        </w:tblPrEx>
        <w:trPr>
          <w:trHeight w:val="500" w:hRule="atLeast"/>
          <w:jc w:val="center"/>
        </w:trPr>
        <w:tc>
          <w:tcPr>
            <w:tcW w:w="8613"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D3E198">
            <w:pPr>
              <w:jc w:val="center"/>
              <w:rPr>
                <w:rFonts w:ascii="宋体" w:hAnsi="宋体"/>
                <w:color w:val="auto"/>
                <w:szCs w:val="21"/>
                <w:highlight w:val="none"/>
              </w:rPr>
            </w:pPr>
            <w:r>
              <w:rPr>
                <w:rFonts w:hint="eastAsia" w:ascii="宋体" w:hAnsi="宋体" w:cs="宋体"/>
                <w:color w:val="auto"/>
                <w:szCs w:val="21"/>
                <w:highlight w:val="none"/>
              </w:rPr>
              <w:t>已完工程项目情况</w:t>
            </w:r>
          </w:p>
        </w:tc>
      </w:tr>
      <w:tr w14:paraId="71F0406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3C1CDF5">
            <w:pPr>
              <w:jc w:val="center"/>
              <w:rPr>
                <w:rFonts w:ascii="宋体" w:hAnsi="宋体"/>
                <w:color w:val="auto"/>
                <w:szCs w:val="21"/>
                <w:highlight w:val="none"/>
              </w:rPr>
            </w:pPr>
            <w:r>
              <w:rPr>
                <w:rFonts w:hint="eastAsia" w:ascii="宋体" w:hAnsi="宋体" w:cs="宋体"/>
                <w:color w:val="auto"/>
                <w:szCs w:val="21"/>
                <w:highlight w:val="none"/>
              </w:rPr>
              <w:t>建设单位</w:t>
            </w: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AEBB39">
            <w:pPr>
              <w:jc w:val="center"/>
              <w:rPr>
                <w:rFonts w:ascii="宋体" w:hAnsi="宋体"/>
                <w:color w:val="auto"/>
                <w:szCs w:val="21"/>
                <w:highlight w:val="none"/>
              </w:rPr>
            </w:pPr>
            <w:r>
              <w:rPr>
                <w:rFonts w:hint="eastAsia" w:ascii="宋体" w:hAnsi="宋体" w:cs="宋体"/>
                <w:color w:val="auto"/>
                <w:szCs w:val="21"/>
                <w:highlight w:val="none"/>
              </w:rPr>
              <w:t>项目名称</w:t>
            </w: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7E55BDD">
            <w:pPr>
              <w:jc w:val="center"/>
              <w:rPr>
                <w:rFonts w:ascii="宋体" w:hAnsi="宋体"/>
                <w:color w:val="auto"/>
                <w:szCs w:val="21"/>
                <w:highlight w:val="none"/>
              </w:rPr>
            </w:pPr>
            <w:r>
              <w:rPr>
                <w:rFonts w:hint="eastAsia" w:ascii="宋体" w:hAnsi="宋体" w:cs="宋体"/>
                <w:color w:val="auto"/>
                <w:szCs w:val="21"/>
                <w:highlight w:val="none"/>
              </w:rPr>
              <w:t>建筑规模</w:t>
            </w: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3B63356">
            <w:pPr>
              <w:jc w:val="center"/>
              <w:rPr>
                <w:rFonts w:ascii="宋体" w:hAnsi="宋体"/>
                <w:color w:val="auto"/>
                <w:szCs w:val="21"/>
                <w:highlight w:val="none"/>
              </w:rPr>
            </w:pPr>
            <w:r>
              <w:rPr>
                <w:rFonts w:hint="eastAsia" w:ascii="宋体" w:hAnsi="宋体" w:cs="宋体"/>
                <w:color w:val="auto"/>
                <w:szCs w:val="21"/>
                <w:highlight w:val="none"/>
              </w:rPr>
              <w:t>开竣工日期</w:t>
            </w: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B72AB51">
            <w:pPr>
              <w:jc w:val="center"/>
              <w:rPr>
                <w:rFonts w:ascii="宋体" w:hAnsi="宋体"/>
                <w:color w:val="auto"/>
                <w:szCs w:val="21"/>
                <w:highlight w:val="none"/>
              </w:rPr>
            </w:pPr>
            <w:r>
              <w:rPr>
                <w:rFonts w:hint="eastAsia" w:ascii="宋体" w:hAnsi="宋体" w:cs="宋体"/>
                <w:color w:val="auto"/>
                <w:szCs w:val="21"/>
                <w:highlight w:val="none"/>
              </w:rPr>
              <w:t>质量等级</w:t>
            </w:r>
          </w:p>
        </w:tc>
      </w:tr>
      <w:tr w14:paraId="2D2808A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300020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9B8E517">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00F6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8CF487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06B506">
            <w:pPr>
              <w:jc w:val="center"/>
              <w:rPr>
                <w:rFonts w:ascii="宋体" w:hAnsi="宋体"/>
                <w:color w:val="auto"/>
                <w:szCs w:val="21"/>
                <w:highlight w:val="none"/>
              </w:rPr>
            </w:pPr>
          </w:p>
        </w:tc>
      </w:tr>
      <w:tr w14:paraId="3508B75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A28A8E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7DC391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86CCD7D">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524F1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DE95471">
            <w:pPr>
              <w:jc w:val="center"/>
              <w:rPr>
                <w:rFonts w:ascii="宋体" w:hAnsi="宋体"/>
                <w:color w:val="auto"/>
                <w:szCs w:val="21"/>
                <w:highlight w:val="none"/>
              </w:rPr>
            </w:pPr>
          </w:p>
        </w:tc>
      </w:tr>
      <w:tr w14:paraId="7115196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D4CE23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FD25191">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8B2032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5254BDD">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193F320">
            <w:pPr>
              <w:jc w:val="center"/>
              <w:rPr>
                <w:rFonts w:ascii="宋体" w:hAnsi="宋体"/>
                <w:color w:val="auto"/>
                <w:szCs w:val="21"/>
                <w:highlight w:val="none"/>
              </w:rPr>
            </w:pPr>
          </w:p>
        </w:tc>
      </w:tr>
      <w:tr w14:paraId="327447DE">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2239D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DE07D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E39DC9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AAC4980">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FCA3187">
            <w:pPr>
              <w:jc w:val="center"/>
              <w:rPr>
                <w:rFonts w:ascii="宋体" w:hAnsi="宋体"/>
                <w:color w:val="auto"/>
                <w:szCs w:val="21"/>
                <w:highlight w:val="none"/>
              </w:rPr>
            </w:pPr>
          </w:p>
        </w:tc>
      </w:tr>
      <w:tr w14:paraId="3F7767F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020511B">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E155FD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C119B7">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0ABB774">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4270BCD">
            <w:pPr>
              <w:jc w:val="center"/>
              <w:rPr>
                <w:rFonts w:ascii="宋体" w:hAnsi="宋体"/>
                <w:color w:val="auto"/>
                <w:szCs w:val="21"/>
                <w:highlight w:val="none"/>
              </w:rPr>
            </w:pPr>
          </w:p>
        </w:tc>
      </w:tr>
      <w:tr w14:paraId="07AD4D83">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C6609E">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EFBAAE6">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018787A">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EF94A97">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5D35BA6">
            <w:pPr>
              <w:jc w:val="center"/>
              <w:rPr>
                <w:rFonts w:ascii="宋体" w:hAnsi="宋体"/>
                <w:color w:val="auto"/>
                <w:szCs w:val="21"/>
                <w:highlight w:val="none"/>
              </w:rPr>
            </w:pPr>
          </w:p>
        </w:tc>
      </w:tr>
      <w:tr w14:paraId="1D01F578">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54BF788">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FEF02C9">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84C8905">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9EFAF21">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2E678DE">
            <w:pPr>
              <w:jc w:val="center"/>
              <w:rPr>
                <w:rFonts w:ascii="宋体" w:hAnsi="宋体"/>
                <w:color w:val="auto"/>
                <w:szCs w:val="21"/>
                <w:highlight w:val="none"/>
              </w:rPr>
            </w:pPr>
          </w:p>
        </w:tc>
      </w:tr>
      <w:tr w14:paraId="2A6A2B31">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17CE52C">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C55C18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43CBE3">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C6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BD81C33">
            <w:pPr>
              <w:jc w:val="center"/>
              <w:rPr>
                <w:rFonts w:ascii="宋体" w:hAnsi="宋体"/>
                <w:color w:val="auto"/>
                <w:szCs w:val="21"/>
                <w:highlight w:val="none"/>
              </w:rPr>
            </w:pPr>
          </w:p>
        </w:tc>
      </w:tr>
      <w:tr w14:paraId="3BBF5AF7">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C7621F">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99EA42C">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89F2C1E">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20C43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7F471C">
            <w:pPr>
              <w:jc w:val="center"/>
              <w:rPr>
                <w:rFonts w:ascii="宋体" w:hAnsi="宋体"/>
                <w:color w:val="auto"/>
                <w:szCs w:val="21"/>
                <w:highlight w:val="none"/>
              </w:rPr>
            </w:pPr>
          </w:p>
        </w:tc>
      </w:tr>
      <w:tr w14:paraId="6AC7AF06">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E6A77A5">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DB8A403">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7A324B4F">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16757F6">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2AB0DD92">
            <w:pPr>
              <w:jc w:val="center"/>
              <w:rPr>
                <w:rFonts w:ascii="宋体" w:hAnsi="宋体"/>
                <w:color w:val="auto"/>
                <w:szCs w:val="21"/>
                <w:highlight w:val="none"/>
              </w:rPr>
            </w:pPr>
          </w:p>
        </w:tc>
      </w:tr>
      <w:tr w14:paraId="552BABAA">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3E960C2">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FDD57CE">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3E91291B">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FC7588C">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16962C57">
            <w:pPr>
              <w:jc w:val="center"/>
              <w:rPr>
                <w:rFonts w:ascii="宋体" w:hAnsi="宋体"/>
                <w:color w:val="auto"/>
                <w:szCs w:val="21"/>
                <w:highlight w:val="none"/>
              </w:rPr>
            </w:pPr>
          </w:p>
        </w:tc>
      </w:tr>
      <w:tr w14:paraId="7B898625">
        <w:tblPrEx>
          <w:tblCellMar>
            <w:top w:w="0" w:type="dxa"/>
            <w:left w:w="0" w:type="dxa"/>
            <w:bottom w:w="0" w:type="dxa"/>
            <w:right w:w="0" w:type="dxa"/>
          </w:tblCellMar>
        </w:tblPrEx>
        <w:trPr>
          <w:trHeight w:val="500" w:hRule="exact"/>
          <w:jc w:val="center"/>
        </w:trPr>
        <w:tc>
          <w:tcPr>
            <w:tcW w:w="1158"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0BD5D49D">
            <w:pPr>
              <w:jc w:val="center"/>
              <w:rPr>
                <w:rFonts w:ascii="宋体" w:hAnsi="宋体"/>
                <w:color w:val="auto"/>
                <w:szCs w:val="21"/>
                <w:highlight w:val="none"/>
              </w:rPr>
            </w:pPr>
          </w:p>
        </w:tc>
        <w:tc>
          <w:tcPr>
            <w:tcW w:w="2005"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6F9C9AFF">
            <w:pPr>
              <w:jc w:val="center"/>
              <w:rPr>
                <w:rFonts w:ascii="宋体" w:hAnsi="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2A15976">
            <w:pPr>
              <w:jc w:val="center"/>
              <w:rPr>
                <w:rFonts w:ascii="宋体" w:hAnsi="宋体"/>
                <w:color w:val="auto"/>
                <w:szCs w:val="21"/>
                <w:highlight w:val="none"/>
              </w:rPr>
            </w:pPr>
          </w:p>
        </w:tc>
        <w:tc>
          <w:tcPr>
            <w:tcW w:w="248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4C96E525">
            <w:pPr>
              <w:jc w:val="center"/>
              <w:rPr>
                <w:rFonts w:ascii="宋体" w:hAnsi="宋体"/>
                <w:color w:val="auto"/>
                <w:szCs w:val="21"/>
                <w:highlight w:val="none"/>
              </w:rPr>
            </w:pPr>
          </w:p>
        </w:tc>
        <w:tc>
          <w:tcPr>
            <w:tcW w:w="1670"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14:paraId="5B2E26C5">
            <w:pPr>
              <w:jc w:val="center"/>
              <w:rPr>
                <w:rFonts w:ascii="宋体" w:hAnsi="宋体"/>
                <w:color w:val="auto"/>
                <w:szCs w:val="21"/>
                <w:highlight w:val="none"/>
              </w:rPr>
            </w:pPr>
          </w:p>
        </w:tc>
      </w:tr>
    </w:tbl>
    <w:p w14:paraId="218A9D95">
      <w:pPr>
        <w:rPr>
          <w:rFonts w:ascii="宋体" w:hAnsi="宋体"/>
          <w:color w:val="auto"/>
          <w:szCs w:val="21"/>
          <w:highlight w:val="none"/>
        </w:rPr>
      </w:pPr>
    </w:p>
    <w:p w14:paraId="09E727ED">
      <w:pPr>
        <w:ind w:firstLine="422" w:firstLineChars="200"/>
        <w:rPr>
          <w:rFonts w:ascii="宋体" w:hAnsi="宋体"/>
          <w:b/>
          <w:color w:val="auto"/>
          <w:szCs w:val="21"/>
          <w:highlight w:val="none"/>
        </w:rPr>
      </w:pPr>
      <w:r>
        <w:rPr>
          <w:rFonts w:hint="eastAsia" w:ascii="宋体" w:hAnsi="宋体" w:cs="宋体"/>
          <w:b/>
          <w:color w:val="auto"/>
          <w:szCs w:val="21"/>
          <w:highlight w:val="none"/>
        </w:rPr>
        <w:t>附：项目经理</w:t>
      </w:r>
      <w:r>
        <w:rPr>
          <w:rFonts w:hint="eastAsia" w:ascii="宋体" w:hAnsi="宋体" w:cs="宋体"/>
          <w:b/>
          <w:color w:val="auto"/>
          <w:szCs w:val="21"/>
          <w:highlight w:val="none"/>
          <w:lang w:val="en-US" w:eastAsia="zh-CN"/>
        </w:rPr>
        <w:t>相关</w:t>
      </w:r>
      <w:r>
        <w:rPr>
          <w:rFonts w:hint="eastAsia" w:ascii="宋体" w:hAnsi="宋体" w:cs="宋体"/>
          <w:b/>
          <w:color w:val="auto"/>
          <w:szCs w:val="21"/>
          <w:highlight w:val="none"/>
        </w:rPr>
        <w:t>证书扫描件。</w:t>
      </w:r>
    </w:p>
    <w:p w14:paraId="0565E059">
      <w:pPr>
        <w:rPr>
          <w:rFonts w:ascii="宋体" w:hAnsi="宋体"/>
          <w:b/>
          <w:color w:val="auto"/>
          <w:szCs w:val="21"/>
          <w:highlight w:val="none"/>
        </w:rPr>
      </w:pPr>
    </w:p>
    <w:p w14:paraId="16659761">
      <w:pPr>
        <w:rPr>
          <w:rFonts w:ascii="宋体" w:hAnsi="宋体"/>
          <w:b/>
          <w:color w:val="auto"/>
          <w:szCs w:val="21"/>
          <w:highlight w:val="none"/>
        </w:rPr>
      </w:pPr>
    </w:p>
    <w:p w14:paraId="5ED65E26">
      <w:pPr>
        <w:rPr>
          <w:rFonts w:ascii="宋体" w:hAnsi="宋体"/>
          <w:b/>
          <w:color w:val="auto"/>
          <w:szCs w:val="21"/>
          <w:highlight w:val="none"/>
        </w:rPr>
      </w:pPr>
    </w:p>
    <w:p w14:paraId="06AD0049">
      <w:pPr>
        <w:rPr>
          <w:rFonts w:ascii="宋体" w:hAnsi="宋体"/>
          <w:b/>
          <w:color w:val="auto"/>
          <w:szCs w:val="21"/>
          <w:highlight w:val="none"/>
        </w:rPr>
      </w:pPr>
    </w:p>
    <w:p w14:paraId="1E1C393A">
      <w:pPr>
        <w:autoSpaceDE w:val="0"/>
        <w:autoSpaceDN w:val="0"/>
        <w:spacing w:line="360" w:lineRule="auto"/>
        <w:ind w:left="4335" w:leftChars="1950" w:hanging="240" w:hangingChars="1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供应商名称（电子签章）：</w:t>
      </w:r>
    </w:p>
    <w:p w14:paraId="39CCB8C0">
      <w:pPr>
        <w:pStyle w:val="23"/>
        <w:snapToGrid w:val="0"/>
        <w:spacing w:line="360" w:lineRule="auto"/>
        <w:ind w:left="409" w:leftChars="195"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zh-CN"/>
        </w:rPr>
        <w:t>日期：  年  月   日</w:t>
      </w:r>
    </w:p>
    <w:p w14:paraId="435B2EA4">
      <w:pPr>
        <w:pStyle w:val="23"/>
        <w:snapToGrid w:val="0"/>
        <w:spacing w:line="360" w:lineRule="auto"/>
        <w:ind w:left="480" w:hanging="480"/>
        <w:rPr>
          <w:rFonts w:hint="eastAsia" w:ascii="宋体" w:hAnsi="宋体" w:eastAsia="宋体" w:cs="宋体"/>
          <w:color w:val="auto"/>
          <w:sz w:val="24"/>
          <w:highlight w:val="none"/>
        </w:rPr>
      </w:pPr>
    </w:p>
    <w:p w14:paraId="43BFFECF">
      <w:pPr>
        <w:pStyle w:val="23"/>
        <w:snapToGrid w:val="0"/>
        <w:spacing w:line="360" w:lineRule="auto"/>
        <w:ind w:left="480" w:hanging="480"/>
        <w:rPr>
          <w:rFonts w:hint="eastAsia" w:ascii="宋体" w:hAnsi="宋体" w:eastAsia="宋体" w:cs="宋体"/>
          <w:color w:val="auto"/>
          <w:sz w:val="24"/>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1F96DB66">
      <w:pPr>
        <w:numPr>
          <w:ilvl w:val="0"/>
          <w:numId w:val="0"/>
        </w:numPr>
        <w:snapToGrid w:val="0"/>
        <w:spacing w:line="360" w:lineRule="auto"/>
        <w:ind w:left="480" w:leftChars="0"/>
        <w:jc w:val="left"/>
        <w:rPr>
          <w:rFonts w:hint="eastAsia" w:ascii="仿宋" w:hAnsi="仿宋" w:eastAsia="仿宋" w:cs="仿宋"/>
          <w:b/>
          <w:color w:val="auto"/>
          <w:sz w:val="28"/>
          <w:szCs w:val="28"/>
          <w:highlight w:val="none"/>
          <w:lang w:val="en-US" w:eastAsia="zh-CN"/>
        </w:rPr>
      </w:pPr>
      <w:bookmarkStart w:id="183" w:name="_Toc2647"/>
      <w:r>
        <w:rPr>
          <w:rFonts w:hint="eastAsia" w:ascii="仿宋" w:hAnsi="仿宋" w:eastAsia="仿宋" w:cs="仿宋"/>
          <w:b/>
          <w:color w:val="auto"/>
          <w:sz w:val="28"/>
          <w:szCs w:val="28"/>
          <w:highlight w:val="none"/>
          <w:lang w:val="en-US" w:eastAsia="zh-CN"/>
        </w:rPr>
        <w:t>十</w:t>
      </w:r>
      <w:bookmarkEnd w:id="183"/>
      <w:r>
        <w:rPr>
          <w:rFonts w:hint="eastAsia" w:ascii="仿宋" w:hAnsi="仿宋" w:eastAsia="仿宋" w:cs="仿宋"/>
          <w:b/>
          <w:color w:val="auto"/>
          <w:sz w:val="28"/>
          <w:szCs w:val="28"/>
          <w:highlight w:val="none"/>
          <w:lang w:val="en-US" w:eastAsia="zh-CN"/>
        </w:rPr>
        <w:t>三、供应商认为需要提供的其他有关资料</w:t>
      </w:r>
    </w:p>
    <w:p w14:paraId="792FA459">
      <w:pPr>
        <w:numPr>
          <w:ilvl w:val="0"/>
          <w:numId w:val="0"/>
        </w:numPr>
        <w:outlineLvl w:val="9"/>
        <w:rPr>
          <w:rFonts w:hint="eastAsia" w:ascii="仿宋" w:hAnsi="仿宋" w:eastAsia="仿宋" w:cs="仿宋"/>
          <w:color w:val="auto"/>
          <w:highlight w:val="none"/>
          <w:lang w:val="en-US" w:eastAsia="zh-CN"/>
        </w:rPr>
      </w:pPr>
    </w:p>
    <w:p w14:paraId="093D55E0">
      <w:pPr>
        <w:outlineLvl w:val="9"/>
        <w:rPr>
          <w:rFonts w:hint="eastAsia" w:ascii="仿宋" w:hAnsi="仿宋" w:eastAsia="仿宋" w:cs="仿宋"/>
          <w:color w:val="auto"/>
          <w:highlight w:val="none"/>
          <w:lang w:val="en-US" w:eastAsia="zh-CN"/>
        </w:rPr>
      </w:pPr>
    </w:p>
    <w:p w14:paraId="1C5A6927">
      <w:pPr>
        <w:outlineLvl w:val="9"/>
        <w:rPr>
          <w:rFonts w:hint="eastAsia" w:ascii="仿宋" w:hAnsi="仿宋" w:eastAsia="仿宋" w:cs="仿宋"/>
          <w:color w:val="auto"/>
          <w:highlight w:val="none"/>
          <w:lang w:val="en-US" w:eastAsia="zh-CN"/>
        </w:rPr>
      </w:pPr>
    </w:p>
    <w:p w14:paraId="0F925D5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98114CD">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00B587C0">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75D68259">
      <w:pPr>
        <w:pStyle w:val="1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日期：  年  月   日</w:t>
      </w:r>
    </w:p>
    <w:p w14:paraId="053690B2">
      <w:pPr>
        <w:pStyle w:val="19"/>
        <w:rPr>
          <w:rFonts w:hint="eastAsia" w:ascii="宋体" w:hAnsi="宋体" w:eastAsia="宋体" w:cs="宋体"/>
          <w:color w:val="auto"/>
          <w:kern w:val="0"/>
          <w:sz w:val="24"/>
          <w:highlight w:val="none"/>
          <w:lang w:val="zh-CN"/>
        </w:rPr>
      </w:pPr>
    </w:p>
    <w:p w14:paraId="50D57C5F">
      <w:pPr>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5FBC81A0">
      <w:pPr>
        <w:autoSpaceDE w:val="0"/>
        <w:autoSpaceDN w:val="0"/>
        <w:spacing w:line="360" w:lineRule="auto"/>
        <w:ind w:firstLine="6505" w:firstLineChars="2700"/>
        <w:rPr>
          <w:rFonts w:hint="eastAsia" w:ascii="宋体" w:hAnsi="宋体" w:eastAsia="宋体" w:cs="宋体"/>
          <w:b/>
          <w:bCs/>
          <w:color w:val="auto"/>
          <w:sz w:val="24"/>
          <w:highlight w:val="none"/>
        </w:rPr>
      </w:pPr>
    </w:p>
    <w:p w14:paraId="2D6B3043">
      <w:pPr>
        <w:pStyle w:val="3"/>
        <w:spacing w:line="360" w:lineRule="auto"/>
        <w:jc w:val="center"/>
        <w:rPr>
          <w:rFonts w:hint="eastAsia" w:ascii="宋体" w:hAnsi="宋体" w:eastAsia="宋体" w:cs="宋体"/>
          <w:color w:val="auto"/>
          <w:highlight w:val="none"/>
          <w:lang w:val="en-US" w:eastAsia="zh-CN"/>
        </w:rPr>
      </w:pPr>
      <w:bookmarkStart w:id="184" w:name="_Toc21302"/>
      <w:bookmarkStart w:id="185" w:name="_Toc4162"/>
      <w:bookmarkStart w:id="186" w:name="_Toc23387"/>
      <w:bookmarkStart w:id="187" w:name="_Toc14497"/>
      <w:bookmarkStart w:id="188" w:name="_Toc7838"/>
      <w:bookmarkStart w:id="189" w:name="_Toc9136"/>
      <w:bookmarkStart w:id="190" w:name="_Toc12752"/>
      <w:bookmarkStart w:id="191" w:name="_Toc80205941"/>
      <w:r>
        <w:rPr>
          <w:rFonts w:hint="eastAsia" w:ascii="宋体" w:hAnsi="宋体" w:eastAsia="宋体" w:cs="宋体"/>
          <w:color w:val="auto"/>
          <w:highlight w:val="none"/>
          <w:lang w:val="en-US" w:eastAsia="zh-CN"/>
        </w:rPr>
        <w:t>第四节 报价文件格式</w:t>
      </w:r>
      <w:bookmarkEnd w:id="184"/>
      <w:bookmarkEnd w:id="185"/>
      <w:bookmarkEnd w:id="186"/>
      <w:bookmarkEnd w:id="187"/>
      <w:bookmarkEnd w:id="188"/>
      <w:bookmarkEnd w:id="189"/>
      <w:bookmarkEnd w:id="190"/>
      <w:bookmarkEnd w:id="191"/>
    </w:p>
    <w:p w14:paraId="6C5A60EC">
      <w:pPr>
        <w:snapToGrid w:val="0"/>
        <w:spacing w:before="120" w:beforeLines="50" w:after="50"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BB75EE6">
      <w:pPr>
        <w:snapToGrid w:val="0"/>
        <w:spacing w:before="120" w:beforeLines="50" w:after="50" w:line="360" w:lineRule="auto"/>
        <w:rPr>
          <w:rFonts w:hint="eastAsia" w:ascii="宋体" w:hAnsi="宋体" w:eastAsia="宋体" w:cs="宋体"/>
          <w:color w:val="auto"/>
          <w:sz w:val="24"/>
          <w:szCs w:val="20"/>
          <w:highlight w:val="none"/>
        </w:rPr>
      </w:pPr>
    </w:p>
    <w:p w14:paraId="0A6A81C8">
      <w:pPr>
        <w:snapToGrid w:val="0"/>
        <w:spacing w:before="120" w:beforeLines="50" w:after="50" w:line="360" w:lineRule="auto"/>
        <w:rPr>
          <w:rFonts w:hint="eastAsia" w:ascii="宋体" w:hAnsi="宋体" w:eastAsia="宋体" w:cs="宋体"/>
          <w:color w:val="auto"/>
          <w:sz w:val="24"/>
          <w:szCs w:val="20"/>
          <w:highlight w:val="none"/>
        </w:rPr>
      </w:pPr>
    </w:p>
    <w:p w14:paraId="693AD203">
      <w:pPr>
        <w:snapToGrid w:val="0"/>
        <w:spacing w:before="120" w:beforeLines="50" w:after="50" w:line="360" w:lineRule="auto"/>
        <w:rPr>
          <w:rFonts w:hint="eastAsia" w:ascii="宋体" w:hAnsi="宋体" w:eastAsia="宋体" w:cs="宋体"/>
          <w:color w:val="auto"/>
          <w:sz w:val="24"/>
          <w:szCs w:val="20"/>
          <w:highlight w:val="none"/>
        </w:rPr>
      </w:pPr>
    </w:p>
    <w:p w14:paraId="3042B4E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件（封面）</w:t>
      </w:r>
    </w:p>
    <w:p w14:paraId="612116BE">
      <w:pPr>
        <w:snapToGrid w:val="0"/>
        <w:spacing w:before="120" w:beforeLines="50" w:after="50" w:line="360" w:lineRule="auto"/>
        <w:rPr>
          <w:rFonts w:hint="eastAsia" w:ascii="宋体" w:hAnsi="宋体" w:eastAsia="宋体" w:cs="宋体"/>
          <w:bCs/>
          <w:color w:val="auto"/>
          <w:sz w:val="24"/>
          <w:szCs w:val="20"/>
          <w:highlight w:val="none"/>
        </w:rPr>
      </w:pPr>
    </w:p>
    <w:p w14:paraId="4035CA5B">
      <w:pPr>
        <w:snapToGrid w:val="0"/>
        <w:spacing w:before="120" w:beforeLines="50" w:after="50" w:line="360" w:lineRule="auto"/>
        <w:rPr>
          <w:rFonts w:hint="eastAsia" w:ascii="宋体" w:hAnsi="宋体" w:eastAsia="宋体" w:cs="宋体"/>
          <w:bCs/>
          <w:color w:val="auto"/>
          <w:sz w:val="24"/>
          <w:szCs w:val="20"/>
          <w:highlight w:val="none"/>
        </w:rPr>
      </w:pPr>
    </w:p>
    <w:p w14:paraId="4F60BFD1">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r>
        <w:rPr>
          <w:rFonts w:hint="eastAsia" w:ascii="宋体" w:hAnsi="宋体" w:cs="宋体"/>
          <w:bCs/>
          <w:color w:val="auto"/>
          <w:sz w:val="32"/>
          <w:szCs w:val="32"/>
          <w:highlight w:val="none"/>
          <w:lang w:eastAsia="zh-CN"/>
        </w:rPr>
        <w:t>隆安县丁当镇保湾村农田水利设施项目（驮湾屯、农怀屯）</w:t>
      </w:r>
    </w:p>
    <w:p w14:paraId="16EFDFCA">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457D3B5B">
      <w:pPr>
        <w:snapToGrid w:val="0"/>
        <w:spacing w:before="120" w:beforeLines="50" w:after="50"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项目编号：NNZC2026-C2-230056-JHGC</w:t>
      </w:r>
      <w:r>
        <w:rPr>
          <w:rFonts w:hint="eastAsia" w:ascii="宋体" w:hAnsi="宋体" w:cs="宋体"/>
          <w:bCs/>
          <w:color w:val="auto"/>
          <w:sz w:val="32"/>
          <w:szCs w:val="32"/>
          <w:highlight w:val="none"/>
          <w:lang w:eastAsia="zh-CN"/>
        </w:rPr>
        <w:t xml:space="preserve">   </w:t>
      </w:r>
    </w:p>
    <w:p w14:paraId="64F30529">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9A10037">
      <w:pPr>
        <w:snapToGrid w:val="0"/>
        <w:spacing w:before="120" w:beforeLines="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06024B67">
      <w:pPr>
        <w:snapToGrid w:val="0"/>
        <w:spacing w:before="120" w:beforeLines="50" w:after="50" w:line="360" w:lineRule="auto"/>
        <w:ind w:firstLine="720" w:firstLineChars="225"/>
        <w:rPr>
          <w:rFonts w:hint="eastAsia" w:ascii="宋体" w:hAnsi="宋体" w:eastAsia="宋体" w:cs="宋体"/>
          <w:bCs/>
          <w:color w:val="auto"/>
          <w:sz w:val="32"/>
          <w:szCs w:val="32"/>
          <w:highlight w:val="none"/>
        </w:rPr>
      </w:pPr>
    </w:p>
    <w:p w14:paraId="0715A65C">
      <w:pPr>
        <w:pStyle w:val="7"/>
        <w:snapToGrid w:val="0"/>
        <w:spacing w:before="50" w:after="50"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68BBD29">
      <w:pPr>
        <w:pStyle w:val="7"/>
        <w:snapToGrid w:val="0"/>
        <w:spacing w:before="50" w:after="50" w:line="360" w:lineRule="auto"/>
        <w:ind w:firstLine="720" w:firstLineChars="225"/>
        <w:rPr>
          <w:rFonts w:hint="eastAsia" w:ascii="宋体" w:hAnsi="宋体" w:eastAsia="宋体" w:cs="宋体"/>
          <w:bCs/>
          <w:color w:val="auto"/>
          <w:sz w:val="32"/>
          <w:szCs w:val="32"/>
          <w:highlight w:val="none"/>
        </w:rPr>
      </w:pPr>
    </w:p>
    <w:p w14:paraId="129385F8">
      <w:pPr>
        <w:pStyle w:val="7"/>
        <w:snapToGrid w:val="0"/>
        <w:spacing w:before="50" w:after="50" w:line="360" w:lineRule="auto"/>
        <w:ind w:firstLine="1280" w:firstLineChars="400"/>
        <w:rPr>
          <w:rFonts w:hint="eastAsia" w:ascii="宋体" w:hAnsi="宋体" w:eastAsia="宋体" w:cs="宋体"/>
          <w:bCs/>
          <w:color w:val="auto"/>
          <w:sz w:val="32"/>
          <w:szCs w:val="32"/>
          <w:highlight w:val="none"/>
        </w:rPr>
      </w:pPr>
    </w:p>
    <w:p w14:paraId="55319AC0">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270559F">
      <w:pPr>
        <w:snapToGrid w:val="0"/>
        <w:spacing w:before="120" w:beforeLines="50" w:after="50"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报价文件目录</w:t>
      </w:r>
    </w:p>
    <w:p w14:paraId="37D2D047">
      <w:pPr>
        <w:spacing w:line="360" w:lineRule="auto"/>
        <w:rPr>
          <w:rFonts w:hint="eastAsia" w:ascii="宋体" w:hAnsi="宋体" w:eastAsia="宋体" w:cs="宋体"/>
          <w:color w:val="auto"/>
          <w:highlight w:val="none"/>
        </w:rPr>
      </w:pPr>
    </w:p>
    <w:p w14:paraId="129BD5C9">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一、响应函………………………………………………………（页码）</w:t>
      </w:r>
    </w:p>
    <w:p w14:paraId="18F1F12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二、响应报价表…………………………………………………（页码）</w:t>
      </w:r>
    </w:p>
    <w:p w14:paraId="476C6432">
      <w:pPr>
        <w:pStyle w:val="35"/>
        <w:spacing w:line="360" w:lineRule="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已标价工程量清单</w:t>
      </w:r>
      <w:r>
        <w:rPr>
          <w:rFonts w:hint="eastAsia" w:ascii="仿宋" w:hAnsi="仿宋" w:eastAsia="仿宋" w:cs="仿宋"/>
          <w:color w:val="auto"/>
          <w:highlight w:val="none"/>
        </w:rPr>
        <w:t>…………………………………………（页码）</w:t>
      </w:r>
    </w:p>
    <w:p w14:paraId="36A1E0F2">
      <w:pPr>
        <w:pStyle w:val="35"/>
        <w:spacing w:line="360" w:lineRule="auto"/>
        <w:rPr>
          <w:rFonts w:hint="eastAsia" w:ascii="仿宋" w:hAnsi="仿宋" w:eastAsia="仿宋" w:cs="仿宋"/>
          <w:color w:val="auto"/>
          <w:highlight w:val="none"/>
        </w:rPr>
      </w:pPr>
      <w:r>
        <w:rPr>
          <w:rFonts w:hint="eastAsia" w:ascii="仿宋" w:eastAsia="仿宋" w:cs="仿宋"/>
          <w:color w:val="auto"/>
          <w:highlight w:val="none"/>
          <w:lang w:val="en-US" w:eastAsia="zh-CN"/>
        </w:rPr>
        <w:t>四、</w:t>
      </w:r>
      <w:r>
        <w:rPr>
          <w:rFonts w:hint="eastAsia" w:ascii="仿宋" w:hAnsi="仿宋" w:eastAsia="仿宋" w:cs="仿宋"/>
          <w:color w:val="auto"/>
          <w:highlight w:val="none"/>
        </w:rPr>
        <w:t>供应商认为需要提供的其他有关资料……………………（页码）</w:t>
      </w:r>
    </w:p>
    <w:p w14:paraId="652DF995">
      <w:pPr>
        <w:snapToGrid w:val="0"/>
        <w:spacing w:before="120" w:beforeLines="50" w:after="50" w:line="360" w:lineRule="auto"/>
        <w:ind w:left="0" w:firstLine="0" w:firstLineChars="0"/>
        <w:jc w:val="left"/>
        <w:rPr>
          <w:rFonts w:hint="eastAsia" w:ascii="仿宋" w:hAnsi="仿宋" w:eastAsia="仿宋" w:cs="仿宋"/>
          <w:color w:val="auto"/>
          <w:sz w:val="32"/>
          <w:szCs w:val="32"/>
          <w:highlight w:val="none"/>
        </w:rPr>
      </w:pPr>
      <w:r>
        <w:rPr>
          <w:rFonts w:hint="eastAsia" w:ascii="仿宋" w:hAnsi="仿宋" w:eastAsia="仿宋" w:cs="仿宋"/>
          <w:b/>
          <w:bCs/>
          <w:color w:val="auto"/>
          <w:sz w:val="24"/>
          <w:highlight w:val="none"/>
        </w:rPr>
        <w:t>注：以上目录是基本格式要求，各供应商可根据自身情况进一步向下增加内容或细化。</w:t>
      </w:r>
    </w:p>
    <w:p w14:paraId="7539C10D">
      <w:pPr>
        <w:snapToGrid w:val="0"/>
        <w:spacing w:before="120" w:beforeLines="50" w:after="50"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仿宋" w:hAnsi="仿宋" w:eastAsia="仿宋" w:cs="仿宋"/>
          <w:b/>
          <w:bCs/>
          <w:color w:val="auto"/>
          <w:sz w:val="32"/>
          <w:szCs w:val="32"/>
          <w:highlight w:val="none"/>
        </w:rPr>
        <w:t>一、响应函</w:t>
      </w:r>
    </w:p>
    <w:p w14:paraId="1E23DC53">
      <w:pPr>
        <w:pStyle w:val="16"/>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75B875AF">
      <w:pPr>
        <w:pStyle w:val="16"/>
        <w:spacing w:line="360" w:lineRule="auto"/>
        <w:rPr>
          <w:rFonts w:hint="eastAsia" w:ascii="宋体" w:hAnsi="宋体" w:eastAsia="宋体" w:cs="宋体"/>
          <w:color w:val="auto"/>
          <w:sz w:val="32"/>
          <w:highlight w:val="none"/>
        </w:rPr>
      </w:pPr>
    </w:p>
    <w:p w14:paraId="42C1D78E">
      <w:pPr>
        <w:pStyle w:val="16"/>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（采购代理机构名称）</w:t>
      </w:r>
    </w:p>
    <w:p w14:paraId="4B3F2375">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hAnsi="宋体" w:cs="宋体"/>
          <w:color w:val="auto"/>
          <w:sz w:val="21"/>
          <w:szCs w:val="21"/>
          <w:highlight w:val="none"/>
          <w:u w:val="single"/>
          <w:lang w:eastAsia="zh-CN"/>
        </w:rPr>
        <w:t>隆安县丁当镇保湾村农田水利设施项目（驮湾屯、农怀屯）</w:t>
      </w:r>
      <w:r>
        <w:rPr>
          <w:rFonts w:hint="eastAsia" w:ascii="宋体" w:hAnsi="宋体" w:eastAsia="宋体" w:cs="宋体"/>
          <w:color w:val="auto"/>
          <w:sz w:val="21"/>
          <w:szCs w:val="21"/>
          <w:highlight w:val="none"/>
        </w:rPr>
        <w:t>项目（项目编号：</w:t>
      </w:r>
      <w:r>
        <w:rPr>
          <w:rFonts w:hint="eastAsia" w:hAnsi="宋体" w:cs="宋体"/>
          <w:color w:val="auto"/>
          <w:sz w:val="21"/>
          <w:szCs w:val="21"/>
          <w:highlight w:val="none"/>
          <w:u w:val="single"/>
          <w:lang w:val="en-US" w:eastAsia="zh-CN"/>
        </w:rPr>
        <w:t>NNZC2026-C2-230056-JHGC</w:t>
      </w:r>
      <w:r>
        <w:rPr>
          <w:rFonts w:hint="eastAsia" w:ascii="宋体" w:hAnsi="宋体" w:eastAsia="宋体" w:cs="宋体"/>
          <w:color w:val="auto"/>
          <w:sz w:val="21"/>
          <w:szCs w:val="21"/>
          <w:highlight w:val="none"/>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 xml:space="preserve">文件的全部内容，现正式递交下述文件参加贵方组织的本次政府采购活动： </w:t>
      </w:r>
    </w:p>
    <w:p w14:paraId="1893162A">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一、首次报价文件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p>
    <w:p w14:paraId="322B0062">
      <w:pPr>
        <w:pStyle w:val="16"/>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二、技术文件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提交的全部文件）；商务文件</w:t>
      </w:r>
      <w:r>
        <w:rPr>
          <w:rFonts w:hint="eastAsia" w:ascii="宋体" w:hAnsi="宋体" w:eastAsia="宋体" w:cs="宋体"/>
          <w:color w:val="auto"/>
          <w:sz w:val="21"/>
          <w:szCs w:val="21"/>
          <w:highlight w:val="none"/>
          <w:lang w:eastAsia="zh-CN"/>
        </w:rPr>
        <w:t>电子版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份（包含按</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提交的全部文件）；</w:t>
      </w:r>
      <w:r>
        <w:rPr>
          <w:rFonts w:hint="eastAsia" w:ascii="宋体" w:hAnsi="宋体" w:eastAsia="宋体" w:cs="宋体"/>
          <w:color w:val="auto"/>
          <w:sz w:val="21"/>
          <w:szCs w:val="21"/>
          <w:highlight w:val="none"/>
          <w:lang w:eastAsia="zh-CN"/>
        </w:rPr>
        <w:t>（商务技术文件已合并装订成册）</w:t>
      </w:r>
    </w:p>
    <w:p w14:paraId="0113C122">
      <w:pPr>
        <w:pStyle w:val="16"/>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5B4A1732">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1、我单位经考察现场和研究上述工程竞争性磋商文件的</w:t>
      </w:r>
      <w:r>
        <w:rPr>
          <w:rFonts w:hint="eastAsia"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须知、合同条件、技术规范、图纸和其他有关文件后，我方承接本项目</w:t>
      </w:r>
      <w:r>
        <w:rPr>
          <w:rFonts w:hint="eastAsia" w:ascii="宋体" w:hAnsi="宋体"/>
          <w:color w:val="auto"/>
          <w:spacing w:val="8"/>
          <w:sz w:val="21"/>
          <w:szCs w:val="21"/>
          <w:highlight w:val="none"/>
        </w:rPr>
        <w:t>磋商</w:t>
      </w:r>
      <w:r>
        <w:rPr>
          <w:rFonts w:hint="eastAsia" w:ascii="宋体" w:hAnsi="宋体" w:eastAsia="宋体" w:cs="宋体"/>
          <w:color w:val="auto"/>
          <w:sz w:val="21"/>
          <w:szCs w:val="21"/>
          <w:highlight w:val="none"/>
        </w:rPr>
        <w:t>报价为人民币（大写）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）。按上述合同条件、技术规范、图纸的条件承包本采购范围内全部工程的施工、竣工和保修。</w:t>
      </w:r>
    </w:p>
    <w:p w14:paraId="7AA90E76">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2、一旦我方中标，我方保证按合同书中规定的工期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r>
        <w:rPr>
          <w:rFonts w:hint="eastAsia" w:ascii="宋体" w:hAnsi="宋体" w:eastAsia="宋体" w:cs="宋体"/>
          <w:color w:val="auto"/>
          <w:sz w:val="21"/>
          <w:szCs w:val="21"/>
          <w:highlight w:val="none"/>
          <w:lang w:eastAsia="zh-CN"/>
        </w:rPr>
        <w:t>，</w:t>
      </w:r>
      <w:r>
        <w:rPr>
          <w:rFonts w:hint="eastAsia" w:ascii="宋体" w:hAnsi="宋体"/>
          <w:color w:val="auto"/>
          <w:sz w:val="21"/>
          <w:szCs w:val="21"/>
          <w:highlight w:val="none"/>
        </w:rPr>
        <w:t>并保证工程质量</w:t>
      </w:r>
      <w:r>
        <w:rPr>
          <w:rFonts w:hint="eastAsia" w:ascii="宋体" w:hAnsi="Courier New"/>
          <w:color w:val="auto"/>
          <w:sz w:val="21"/>
          <w:szCs w:val="21"/>
          <w:highlight w:val="none"/>
          <w:u w:val="single"/>
        </w:rPr>
        <w:t xml:space="preserve">      </w:t>
      </w:r>
      <w:r>
        <w:rPr>
          <w:rFonts w:hint="eastAsia" w:ascii="宋体" w:hAnsi="宋体" w:eastAsia="宋体" w:cs="宋体"/>
          <w:color w:val="auto"/>
          <w:sz w:val="21"/>
          <w:szCs w:val="21"/>
          <w:highlight w:val="none"/>
        </w:rPr>
        <w:t>。</w:t>
      </w:r>
    </w:p>
    <w:p w14:paraId="14A4E97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、我方同意自本项目竞争性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采购公告</w:t>
      </w:r>
      <w:r>
        <w:rPr>
          <w:rFonts w:hint="eastAsia" w:ascii="宋体" w:hAnsi="宋体" w:eastAsia="宋体" w:cs="宋体"/>
          <w:color w:val="auto"/>
          <w:sz w:val="21"/>
          <w:szCs w:val="21"/>
          <w:highlight w:val="none"/>
        </w:rPr>
        <w:t>规定的递交响应文件截止时间起遵循本响应函，并承诺在</w:t>
      </w:r>
      <w:r>
        <w:rPr>
          <w:rFonts w:hint="eastAsia" w:ascii="宋体" w:hAnsi="宋体" w:eastAsia="宋体" w:cs="宋体"/>
          <w:color w:val="auto"/>
          <w:sz w:val="21"/>
          <w:szCs w:val="21"/>
          <w:highlight w:val="none"/>
          <w:lang w:eastAsia="zh-CN"/>
        </w:rPr>
        <w:t>“第三章 供应商须知”</w:t>
      </w:r>
      <w:r>
        <w:rPr>
          <w:rFonts w:hint="eastAsia" w:ascii="宋体" w:hAnsi="宋体" w:eastAsia="宋体" w:cs="宋体"/>
          <w:color w:val="auto"/>
          <w:sz w:val="21"/>
          <w:szCs w:val="21"/>
          <w:highlight w:val="none"/>
        </w:rPr>
        <w:t>规定的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有效期内不修改、撤销</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4138BFE8">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、我方在此声明，所递交的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文件及有关资料内容完整、真实和准确。</w:t>
      </w:r>
    </w:p>
    <w:p w14:paraId="29870644">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、如本项目采购内容涉及须符合国家强制规定的，我方承诺我方本次竞标均符合国家有关强制规定。</w:t>
      </w:r>
    </w:p>
    <w:p w14:paraId="116A39F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、我方承诺未被列入失信被执行人、重大税收违法失信主体、政府采购严重违法失信行为记录名单，并已经具备《中华人民共和国政府采购法》中规定的参加政府采购活动的供应商应当具备的条件：</w:t>
      </w:r>
    </w:p>
    <w:p w14:paraId="3CDA8CED">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6C7F4687">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12C7949">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1C537241">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D2681E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2083B826">
      <w:pPr>
        <w:pStyle w:val="16"/>
        <w:numPr>
          <w:ilvl w:val="0"/>
          <w:numId w:val="2"/>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7C5AD1C1">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、如我方成交，我方承诺在收到成交通知书后，在成交通知书规定的期限内，根据竞争性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文件、我方的</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”与采购人订立书面合同，并按照合同约定承担完成合同的责任和义务。</w:t>
      </w:r>
    </w:p>
    <w:p w14:paraId="2DFC7A0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、我方已详细审核竞争性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文件，我方知道必须放弃提出含糊不清或误解问题的权利。</w:t>
      </w:r>
    </w:p>
    <w:p w14:paraId="2422AE0A">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、我方承诺满足竞争性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eastAsia="zh-CN"/>
        </w:rPr>
        <w:t>合同文本</w:t>
      </w:r>
      <w:r>
        <w:rPr>
          <w:rFonts w:hint="eastAsia" w:ascii="宋体" w:hAnsi="宋体" w:eastAsia="宋体" w:cs="宋体"/>
          <w:color w:val="auto"/>
          <w:sz w:val="21"/>
          <w:szCs w:val="21"/>
          <w:highlight w:val="none"/>
        </w:rPr>
        <w:t>”的条款，承担完成合同的责任和义务。</w:t>
      </w:r>
    </w:p>
    <w:p w14:paraId="4157D612">
      <w:pPr>
        <w:pStyle w:val="16"/>
        <w:spacing w:line="360" w:lineRule="auto"/>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、我方同意应贵方要求提供与本竞标有关的任何数据或资料。若贵方需要，我方愿意提供我方作出的一切承诺的证明材料。</w:t>
      </w:r>
    </w:p>
    <w:p w14:paraId="4078C869">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、我方完全理解贵方不一定接受响应报价最低的竞标人为成交供应商的行为。</w:t>
      </w:r>
    </w:p>
    <w:p w14:paraId="451158B7">
      <w:pPr>
        <w:pStyle w:val="16"/>
        <w:spacing w:line="360" w:lineRule="auto"/>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8F82F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43F3CFE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采取不正当手段诋毁、排挤其他供应商的；</w:t>
      </w:r>
    </w:p>
    <w:p w14:paraId="329BAA98">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与采购人、其他供应商或者采购代理机构恶意串通的；</w:t>
      </w:r>
    </w:p>
    <w:p w14:paraId="7E3344F7">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2EBC5EC">
      <w:pPr>
        <w:pStyle w:val="16"/>
        <w:numPr>
          <w:ilvl w:val="0"/>
          <w:numId w:val="3"/>
        </w:numPr>
        <w:tabs>
          <w:tab w:val="left" w:pos="945"/>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在采购过程中与采购人进行协商谈判的；</w:t>
      </w:r>
    </w:p>
    <w:p w14:paraId="269729D9">
      <w:pPr>
        <w:pStyle w:val="16"/>
        <w:numPr>
          <w:ilvl w:val="0"/>
          <w:numId w:val="3"/>
        </w:numPr>
        <w:tabs>
          <w:tab w:val="left" w:pos="945"/>
        </w:tabs>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拒绝有关部门监督检查或提供虚假情况的。</w:t>
      </w:r>
    </w:p>
    <w:p w14:paraId="5C5034FE">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.与本</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有关的一切正式往来信函请寄：</w:t>
      </w:r>
    </w:p>
    <w:p w14:paraId="53F3652F">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5AA0699">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7D7B8505">
      <w:pPr>
        <w:pStyle w:val="16"/>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w:t>
      </w:r>
    </w:p>
    <w:p w14:paraId="1A63F655">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FE7DDB0">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开户名称：</w:t>
      </w:r>
      <w:r>
        <w:rPr>
          <w:rFonts w:hint="eastAsia" w:ascii="宋体" w:hAnsi="宋体" w:eastAsia="宋体" w:cs="宋体"/>
          <w:color w:val="auto"/>
          <w:sz w:val="21"/>
          <w:szCs w:val="21"/>
          <w:highlight w:val="none"/>
          <w:u w:val="single"/>
        </w:rPr>
        <w:t xml:space="preserve">                                                    </w:t>
      </w:r>
    </w:p>
    <w:p w14:paraId="33C3EF3D">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p w14:paraId="0B388761">
      <w:pPr>
        <w:pStyle w:val="16"/>
        <w:spacing w:line="360" w:lineRule="auto"/>
        <w:ind w:firstLine="4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                                                    </w:t>
      </w:r>
    </w:p>
    <w:p w14:paraId="13983B81">
      <w:pPr>
        <w:pStyle w:val="14"/>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特此承诺。</w:t>
      </w:r>
    </w:p>
    <w:p w14:paraId="6FC16685">
      <w:pPr>
        <w:spacing w:line="360" w:lineRule="auto"/>
        <w:contextualSpacing/>
        <w:jc w:val="left"/>
        <w:rPr>
          <w:rFonts w:hint="eastAsia" w:ascii="宋体" w:hAnsi="宋体" w:eastAsia="宋体" w:cs="宋体"/>
          <w:color w:val="auto"/>
          <w:szCs w:val="21"/>
          <w:highlight w:val="none"/>
        </w:rPr>
      </w:pPr>
    </w:p>
    <w:p w14:paraId="2D65909A">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065777E9">
      <w:pPr>
        <w:autoSpaceDE w:val="0"/>
        <w:autoSpaceDN w:val="0"/>
        <w:spacing w:line="360" w:lineRule="auto"/>
        <w:ind w:left="0" w:leftChars="0" w:firstLine="5880" w:firstLineChars="24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5A08D3E8">
      <w:pPr>
        <w:spacing w:line="360" w:lineRule="auto"/>
        <w:ind w:firstLine="420" w:firstLineChars="200"/>
        <w:rPr>
          <w:rFonts w:hint="eastAsia" w:ascii="宋体" w:hAnsi="宋体" w:eastAsia="宋体" w:cs="宋体"/>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68F75F7F">
      <w:pPr>
        <w:snapToGrid w:val="0"/>
        <w:spacing w:before="120" w:beforeLines="50" w:after="50" w:line="360" w:lineRule="auto"/>
        <w:ind w:left="142" w:firstLine="643" w:firstLineChars="200"/>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二、响应报价表</w:t>
      </w:r>
    </w:p>
    <w:p w14:paraId="797262CA">
      <w:pPr>
        <w:snapToGrid w:val="0"/>
        <w:spacing w:before="50" w:after="50" w:line="360" w:lineRule="auto"/>
        <w:rPr>
          <w:rFonts w:hint="eastAsia" w:ascii="宋体" w:hAnsi="宋体" w:eastAsia="宋体" w:cs="宋体"/>
          <w:color w:val="auto"/>
          <w:sz w:val="24"/>
          <w:highlight w:val="none"/>
        </w:rPr>
      </w:pPr>
    </w:p>
    <w:p w14:paraId="3B46BA7E">
      <w:pPr>
        <w:snapToGrid w:val="0"/>
        <w:spacing w:before="50" w:after="50"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cs="宋体"/>
          <w:color w:val="auto"/>
          <w:sz w:val="24"/>
          <w:highlight w:val="none"/>
          <w:u w:val="single"/>
          <w:lang w:eastAsia="zh-CN"/>
        </w:rPr>
        <w:t>隆安县丁当镇保湾村农田水利设施项目（驮湾屯、农怀屯）</w:t>
      </w:r>
    </w:p>
    <w:p w14:paraId="78932C27">
      <w:pPr>
        <w:snapToGrid w:val="0"/>
        <w:spacing w:before="50" w:after="50" w:line="360" w:lineRule="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u w:val="single"/>
          <w:lang w:val="en-US" w:eastAsia="zh-CN"/>
        </w:rPr>
        <w:t>NNZC2026-C2-230056-JHGC</w:t>
      </w:r>
    </w:p>
    <w:p w14:paraId="2F47B0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7"/>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3303"/>
        <w:gridCol w:w="1466"/>
        <w:gridCol w:w="2165"/>
        <w:gridCol w:w="1124"/>
      </w:tblGrid>
      <w:tr w14:paraId="5C0F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F28B46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303" w:type="dxa"/>
            <w:tcBorders>
              <w:top w:val="single" w:color="auto" w:sz="4" w:space="0"/>
              <w:left w:val="single" w:color="auto" w:sz="4" w:space="0"/>
              <w:bottom w:val="single" w:color="auto" w:sz="4" w:space="0"/>
              <w:right w:val="single" w:color="auto" w:sz="4" w:space="0"/>
            </w:tcBorders>
            <w:noWrap w:val="0"/>
            <w:vAlign w:val="center"/>
          </w:tcPr>
          <w:p w14:paraId="6A52BF1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名称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AA8C1B0">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及单位</w:t>
            </w:r>
          </w:p>
        </w:tc>
        <w:tc>
          <w:tcPr>
            <w:tcW w:w="2165" w:type="dxa"/>
            <w:tcBorders>
              <w:top w:val="single" w:color="auto" w:sz="4" w:space="0"/>
              <w:left w:val="single" w:color="auto" w:sz="4" w:space="0"/>
              <w:bottom w:val="single" w:color="auto" w:sz="4" w:space="0"/>
              <w:right w:val="single" w:color="auto" w:sz="4" w:space="0"/>
            </w:tcBorders>
            <w:noWrap w:val="0"/>
            <w:vAlign w:val="center"/>
          </w:tcPr>
          <w:p w14:paraId="36B7F83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总价（元）</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630743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F34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2C245BD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03" w:type="dxa"/>
            <w:tcBorders>
              <w:top w:val="single" w:color="auto" w:sz="4" w:space="0"/>
              <w:left w:val="single" w:color="auto" w:sz="4" w:space="0"/>
              <w:bottom w:val="single" w:color="auto" w:sz="4" w:space="0"/>
              <w:right w:val="single" w:color="auto" w:sz="4" w:space="0"/>
            </w:tcBorders>
            <w:noWrap w:val="0"/>
            <w:vAlign w:val="center"/>
          </w:tcPr>
          <w:p w14:paraId="2592BFAF">
            <w:pPr>
              <w:jc w:val="center"/>
              <w:rPr>
                <w:rFonts w:hint="eastAsia" w:ascii="宋体" w:hAnsi="宋体" w:eastAsia="宋体" w:cs="宋体"/>
                <w:color w:val="auto"/>
                <w:sz w:val="24"/>
                <w:szCs w:val="24"/>
                <w:highlight w:val="none"/>
              </w:rPr>
            </w:pPr>
            <w:r>
              <w:rPr>
                <w:rFonts w:hint="eastAsia" w:ascii="宋体" w:hAnsi="宋体" w:cs="宋体"/>
                <w:color w:val="auto"/>
                <w:sz w:val="24"/>
                <w:highlight w:val="none"/>
                <w:lang w:eastAsia="zh-CN"/>
              </w:rPr>
              <w:t>隆安县丁当镇保湾村农田水利设施项目（驮湾屯、农怀屯）</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17A1B38">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2165" w:type="dxa"/>
            <w:tcBorders>
              <w:top w:val="single" w:color="auto" w:sz="4" w:space="0"/>
              <w:left w:val="single" w:color="auto" w:sz="4" w:space="0"/>
              <w:bottom w:val="single" w:color="auto" w:sz="4" w:space="0"/>
              <w:right w:val="single" w:color="auto" w:sz="4" w:space="0"/>
            </w:tcBorders>
            <w:noWrap w:val="0"/>
            <w:vAlign w:val="center"/>
          </w:tcPr>
          <w:p w14:paraId="0FCA9DE8">
            <w:pPr>
              <w:jc w:val="center"/>
              <w:rPr>
                <w:rFonts w:hint="eastAsia" w:ascii="宋体" w:hAnsi="宋体" w:eastAsia="宋体" w:cs="宋体"/>
                <w:color w:val="auto"/>
                <w:sz w:val="24"/>
                <w:szCs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747462B">
            <w:pPr>
              <w:jc w:val="center"/>
              <w:rPr>
                <w:rFonts w:hint="eastAsia" w:ascii="宋体" w:hAnsi="宋体" w:eastAsia="宋体" w:cs="宋体"/>
                <w:color w:val="auto"/>
                <w:sz w:val="24"/>
                <w:szCs w:val="24"/>
                <w:highlight w:val="none"/>
              </w:rPr>
            </w:pPr>
          </w:p>
        </w:tc>
      </w:tr>
      <w:tr w14:paraId="4523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5ACB109A">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报价合计（包含税费等所有费用）：（大写）人民币             （¥        元）</w:t>
            </w:r>
          </w:p>
        </w:tc>
      </w:tr>
      <w:tr w14:paraId="626B3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28D79032">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合同履行期限（工期）：</w:t>
            </w:r>
          </w:p>
        </w:tc>
      </w:tr>
      <w:tr w14:paraId="2C33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823" w:type="dxa"/>
            <w:gridSpan w:val="5"/>
            <w:tcBorders>
              <w:top w:val="single" w:color="auto" w:sz="4" w:space="0"/>
              <w:left w:val="single" w:color="auto" w:sz="4" w:space="0"/>
              <w:bottom w:val="single" w:color="auto" w:sz="4" w:space="0"/>
              <w:right w:val="single" w:color="auto" w:sz="4" w:space="0"/>
            </w:tcBorders>
            <w:noWrap w:val="0"/>
            <w:vAlign w:val="center"/>
          </w:tcPr>
          <w:p w14:paraId="0115B96D">
            <w:pP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工程质量要求</w:t>
            </w:r>
            <w:r>
              <w:rPr>
                <w:rFonts w:hint="eastAsia" w:ascii="宋体" w:hAnsi="宋体" w:eastAsia="宋体" w:cs="宋体"/>
                <w:color w:val="auto"/>
                <w:sz w:val="24"/>
                <w:szCs w:val="24"/>
                <w:highlight w:val="none"/>
              </w:rPr>
              <w:t>：</w:t>
            </w:r>
          </w:p>
        </w:tc>
      </w:tr>
    </w:tbl>
    <w:p w14:paraId="27E90ED8">
      <w:pPr>
        <w:snapToGrid w:val="0"/>
        <w:spacing w:before="50" w:after="50"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6009C93">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r>
        <w:rPr>
          <w:rFonts w:hint="eastAsia" w:ascii="宋体" w:hAnsi="宋体" w:cs="仿宋_GB2312"/>
          <w:color w:val="auto"/>
          <w:kern w:val="0"/>
          <w:sz w:val="24"/>
          <w:szCs w:val="22"/>
          <w:highlight w:val="none"/>
          <w:lang w:val="zh-CN"/>
        </w:rPr>
        <w:t>注</w:t>
      </w:r>
      <w:r>
        <w:rPr>
          <w:rFonts w:ascii="宋体" w:hAnsi="宋体" w:cs="仿宋_GB2312"/>
          <w:color w:val="auto"/>
          <w:kern w:val="0"/>
          <w:sz w:val="24"/>
          <w:szCs w:val="22"/>
          <w:highlight w:val="none"/>
          <w:lang w:val="zh-CN"/>
        </w:rPr>
        <w:t>：</w:t>
      </w:r>
      <w:r>
        <w:rPr>
          <w:rFonts w:hint="eastAsia" w:ascii="宋体" w:hAnsi="宋体" w:cs="仿宋_GB2312"/>
          <w:color w:val="auto"/>
          <w:kern w:val="0"/>
          <w:sz w:val="24"/>
          <w:szCs w:val="22"/>
          <w:highlight w:val="none"/>
          <w:lang w:val="en-US" w:eastAsia="zh-CN"/>
        </w:rPr>
        <w:t>1.</w:t>
      </w:r>
      <w:r>
        <w:rPr>
          <w:rFonts w:hint="eastAsia" w:ascii="宋体" w:hAnsi="宋体" w:cs="仿宋_GB2312"/>
          <w:color w:val="auto"/>
          <w:kern w:val="0"/>
          <w:sz w:val="24"/>
          <w:highlight w:val="none"/>
          <w:lang w:val="zh-CN"/>
        </w:rPr>
        <w:t>符合采购文件中列明的可享受中小企业扶持政策的供应商，请填写中小企业声明函。注：供应商</w:t>
      </w:r>
      <w:r>
        <w:rPr>
          <w:rFonts w:ascii="宋体" w:hAnsi="宋体" w:cs="仿宋_GB2312"/>
          <w:color w:val="auto"/>
          <w:kern w:val="0"/>
          <w:sz w:val="24"/>
          <w:highlight w:val="none"/>
          <w:lang w:val="zh-CN"/>
        </w:rPr>
        <w:t>提供</w:t>
      </w:r>
      <w:r>
        <w:rPr>
          <w:rFonts w:hint="eastAsia" w:ascii="宋体" w:hAnsi="宋体" w:cs="仿宋_GB2312"/>
          <w:color w:val="auto"/>
          <w:kern w:val="0"/>
          <w:sz w:val="24"/>
          <w:highlight w:val="none"/>
          <w:lang w:val="zh-CN"/>
        </w:rPr>
        <w:t>的中小企业</w:t>
      </w:r>
      <w:r>
        <w:rPr>
          <w:rFonts w:ascii="宋体" w:hAnsi="宋体" w:cs="仿宋_GB2312"/>
          <w:color w:val="auto"/>
          <w:kern w:val="0"/>
          <w:sz w:val="24"/>
          <w:highlight w:val="none"/>
          <w:lang w:val="zh-CN"/>
        </w:rPr>
        <w:t>声明函内容不实的，属于提供虚假材料谋取中标、成交，依照《中华人民共和国政府采购法》等国家有关规定追究相应责任</w:t>
      </w:r>
      <w:r>
        <w:rPr>
          <w:rFonts w:hint="eastAsia" w:ascii="宋体" w:hAnsi="宋体" w:eastAsia="宋体" w:cs="宋体"/>
          <w:color w:val="auto"/>
          <w:kern w:val="0"/>
          <w:sz w:val="24"/>
          <w:highlight w:val="none"/>
          <w:lang w:val="zh-CN"/>
        </w:rPr>
        <w:t>。</w:t>
      </w:r>
    </w:p>
    <w:p w14:paraId="4230AF2F">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eastAsia="zh-CN"/>
        </w:rPr>
        <w:t>根据《关于推动解决政府采购异常低价问题的通知》财库〔2026〕2号文的规定，若供应商投标报价属于采购文件规定的异常低价情况情形之一的，应按</w:t>
      </w:r>
      <w:r>
        <w:rPr>
          <w:rFonts w:hint="eastAsia" w:ascii="宋体" w:hAnsi="宋体" w:cs="宋体"/>
          <w:color w:val="auto"/>
          <w:kern w:val="0"/>
          <w:sz w:val="24"/>
          <w:highlight w:val="none"/>
          <w:lang w:val="en-US" w:eastAsia="zh-CN"/>
        </w:rPr>
        <w:t>竞争性磋商文件</w:t>
      </w:r>
      <w:r>
        <w:rPr>
          <w:rFonts w:hint="eastAsia" w:ascii="宋体" w:hAnsi="宋体" w:eastAsia="宋体" w:cs="宋体"/>
          <w:color w:val="auto"/>
          <w:kern w:val="0"/>
          <w:sz w:val="24"/>
          <w:highlight w:val="none"/>
          <w:lang w:val="zh-CN" w:eastAsia="zh-CN"/>
        </w:rPr>
        <w:t>及</w:t>
      </w:r>
      <w:r>
        <w:rPr>
          <w:rFonts w:hint="eastAsia" w:ascii="宋体" w:hAnsi="宋体" w:cs="宋体"/>
          <w:color w:val="auto"/>
          <w:kern w:val="0"/>
          <w:sz w:val="24"/>
          <w:highlight w:val="none"/>
          <w:lang w:val="en-US" w:eastAsia="zh-CN"/>
        </w:rPr>
        <w:t>磋商</w:t>
      </w:r>
      <w:r>
        <w:rPr>
          <w:rFonts w:hint="eastAsia" w:ascii="宋体" w:hAnsi="宋体" w:eastAsia="宋体" w:cs="宋体"/>
          <w:color w:val="auto"/>
          <w:kern w:val="0"/>
          <w:sz w:val="24"/>
          <w:highlight w:val="none"/>
          <w:lang w:val="zh-CN" w:eastAsia="zh-CN"/>
        </w:rPr>
        <w:t>小组要求在规定时间内提供书面证明及必要的证明材料，否则</w:t>
      </w:r>
      <w:r>
        <w:rPr>
          <w:rFonts w:hint="eastAsia" w:ascii="宋体" w:hAnsi="宋体" w:cs="宋体"/>
          <w:color w:val="auto"/>
          <w:kern w:val="0"/>
          <w:sz w:val="24"/>
          <w:highlight w:val="none"/>
          <w:lang w:val="en-US" w:eastAsia="zh-CN"/>
        </w:rPr>
        <w:t>竞标</w:t>
      </w:r>
      <w:r>
        <w:rPr>
          <w:rFonts w:hint="eastAsia" w:ascii="宋体" w:hAnsi="宋体" w:eastAsia="宋体" w:cs="宋体"/>
          <w:color w:val="auto"/>
          <w:kern w:val="0"/>
          <w:sz w:val="24"/>
          <w:highlight w:val="none"/>
          <w:lang w:val="zh-CN" w:eastAsia="zh-CN"/>
        </w:rPr>
        <w:t>无效。</w:t>
      </w:r>
    </w:p>
    <w:p w14:paraId="5BD817EF">
      <w:pPr>
        <w:autoSpaceDE/>
        <w:autoSpaceDN/>
        <w:snapToGrid w:val="0"/>
        <w:spacing w:line="360" w:lineRule="auto"/>
        <w:ind w:left="0" w:leftChars="0" w:firstLine="480" w:firstLineChars="200"/>
        <w:jc w:val="left"/>
        <w:rPr>
          <w:rFonts w:hint="eastAsia" w:ascii="宋体" w:hAnsi="宋体" w:eastAsia="宋体" w:cs="宋体"/>
          <w:color w:val="auto"/>
          <w:kern w:val="0"/>
          <w:sz w:val="24"/>
          <w:highlight w:val="none"/>
          <w:lang w:val="zh-CN"/>
        </w:rPr>
      </w:pPr>
    </w:p>
    <w:p w14:paraId="77A3B2E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4F1B1B0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3E4ED4CC">
      <w:pPr>
        <w:pStyle w:val="16"/>
        <w:spacing w:line="360" w:lineRule="auto"/>
        <w:ind w:left="0" w:leftChars="0" w:firstLine="5678" w:firstLineChars="2366"/>
        <w:rPr>
          <w:rFonts w:hint="eastAsia" w:ascii="仿宋" w:hAnsi="仿宋" w:eastAsia="仿宋" w:cs="仿宋"/>
          <w:color w:val="auto"/>
          <w:highlight w:val="none"/>
          <w:lang w:val="zh-CN"/>
        </w:rPr>
      </w:pPr>
      <w:r>
        <w:rPr>
          <w:rFonts w:hint="eastAsia" w:ascii="仿宋" w:hAnsi="仿宋" w:eastAsia="仿宋" w:cs="仿宋"/>
          <w:color w:val="auto"/>
          <w:sz w:val="24"/>
          <w:highlight w:val="none"/>
          <w:lang w:val="zh-CN"/>
        </w:rPr>
        <w:t>日期：  年  月   日</w:t>
      </w:r>
    </w:p>
    <w:p w14:paraId="6127A6BF">
      <w:pPr>
        <w:rPr>
          <w:rFonts w:hint="eastAsia"/>
          <w:color w:val="auto"/>
          <w:highlight w:val="none"/>
          <w:lang w:val="zh-CN"/>
        </w:rPr>
      </w:pPr>
    </w:p>
    <w:p w14:paraId="5A64D066">
      <w:pPr>
        <w:pStyle w:val="26"/>
        <w:rPr>
          <w:rFonts w:hint="eastAsia"/>
          <w:color w:val="auto"/>
          <w:highlight w:val="none"/>
          <w:lang w:val="zh-CN"/>
        </w:rPr>
      </w:pPr>
    </w:p>
    <w:p w14:paraId="6A4C38AF">
      <w:pPr>
        <w:rPr>
          <w:rFonts w:hint="eastAsia"/>
          <w:color w:val="auto"/>
          <w:highlight w:val="none"/>
          <w:lang w:val="zh-CN"/>
        </w:rPr>
      </w:pPr>
    </w:p>
    <w:p w14:paraId="580B5B12">
      <w:pPr>
        <w:pStyle w:val="26"/>
        <w:rPr>
          <w:rFonts w:hint="eastAsia"/>
          <w:color w:val="auto"/>
          <w:highlight w:val="none"/>
          <w:lang w:val="zh-CN"/>
        </w:rPr>
      </w:pPr>
    </w:p>
    <w:p w14:paraId="57E57B03">
      <w:pPr>
        <w:rPr>
          <w:rFonts w:hint="eastAsia"/>
          <w:color w:val="auto"/>
          <w:highlight w:val="none"/>
          <w:lang w:val="zh-CN"/>
        </w:rPr>
      </w:pPr>
    </w:p>
    <w:p w14:paraId="4170BD95">
      <w:pPr>
        <w:snapToGrid w:val="0"/>
        <w:spacing w:line="360" w:lineRule="auto"/>
        <w:ind w:firstLine="602" w:firstLineChars="200"/>
        <w:rPr>
          <w:rFonts w:hint="eastAsia" w:ascii="宋体" w:hAnsi="宋体" w:cs="仿宋_GB2312"/>
          <w:b/>
          <w:color w:val="auto"/>
          <w:sz w:val="24"/>
          <w:szCs w:val="24"/>
          <w:highlight w:val="none"/>
          <w:lang w:val="en-US" w:eastAsia="zh-CN"/>
        </w:rPr>
      </w:pPr>
      <w:r>
        <w:rPr>
          <w:rFonts w:hint="eastAsia" w:ascii="仿宋" w:hAnsi="仿宋" w:eastAsia="仿宋" w:cs="仿宋"/>
          <w:b/>
          <w:color w:val="auto"/>
          <w:sz w:val="30"/>
          <w:szCs w:val="30"/>
          <w:highlight w:val="none"/>
        </w:rPr>
        <w:t>三、已标价工程量清单</w:t>
      </w:r>
    </w:p>
    <w:p w14:paraId="4986E8B3">
      <w:pPr>
        <w:snapToGrid w:val="0"/>
        <w:spacing w:line="360" w:lineRule="auto"/>
        <w:ind w:firstLine="482" w:firstLineChars="200"/>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24"/>
          <w:szCs w:val="24"/>
          <w:highlight w:val="none"/>
          <w:lang w:val="en-US" w:eastAsia="zh-CN"/>
        </w:rPr>
        <w:t>说明：最后报价与首次报价相比有调整的，供应商提交的最后报价必须包含已标价的工程量清单（上传格式必须为PDF格式），请供应商提前准备好调整后的已标价工程量清单（已标价工程量清单合计金额须与相对应的竞标总报价金额保持一致），如未在规定时间内提供调整后的已标价工程量清单，由此造成的后果供应商自行承担</w:t>
      </w:r>
      <w:r>
        <w:rPr>
          <w:rFonts w:hint="eastAsia" w:ascii="仿宋" w:hAnsi="仿宋" w:eastAsia="仿宋" w:cs="仿宋"/>
          <w:b/>
          <w:bCs w:val="0"/>
          <w:color w:val="auto"/>
          <w:kern w:val="2"/>
          <w:sz w:val="24"/>
          <w:szCs w:val="24"/>
          <w:highlight w:val="none"/>
          <w:lang w:val="en-US" w:eastAsia="zh-CN"/>
        </w:rPr>
        <w:t>。</w:t>
      </w:r>
    </w:p>
    <w:p w14:paraId="3E0CA52D">
      <w:pPr>
        <w:snapToGrid w:val="0"/>
        <w:spacing w:line="360" w:lineRule="auto"/>
        <w:ind w:firstLine="602" w:firstLineChars="200"/>
        <w:rPr>
          <w:rFonts w:hint="eastAsia" w:ascii="宋体" w:hAnsi="宋体" w:eastAsia="宋体" w:cs="宋体"/>
          <w:b/>
          <w:color w:val="auto"/>
          <w:sz w:val="30"/>
          <w:szCs w:val="30"/>
          <w:highlight w:val="none"/>
          <w:lang w:val="en-US" w:eastAsia="zh-CN"/>
        </w:rPr>
      </w:pPr>
    </w:p>
    <w:p w14:paraId="1029DC56">
      <w:pPr>
        <w:pStyle w:val="12"/>
        <w:jc w:val="center"/>
        <w:rPr>
          <w:rFonts w:hint="eastAsia" w:ascii="宋体" w:hAnsi="宋体" w:cs="宋体"/>
          <w:b/>
          <w:color w:val="auto"/>
          <w:sz w:val="24"/>
          <w:szCs w:val="24"/>
          <w:highlight w:val="none"/>
          <w:lang w:val="en-US" w:eastAsia="zh-CN"/>
        </w:rPr>
      </w:pPr>
    </w:p>
    <w:p w14:paraId="57EDBB3B">
      <w:pPr>
        <w:pStyle w:val="12"/>
        <w:jc w:val="center"/>
        <w:rPr>
          <w:rFonts w:hint="eastAsia" w:ascii="宋体" w:hAnsi="宋体" w:cs="宋体"/>
          <w:b/>
          <w:color w:val="auto"/>
          <w:sz w:val="24"/>
          <w:szCs w:val="24"/>
          <w:highlight w:val="none"/>
          <w:lang w:val="en-US" w:eastAsia="zh-CN"/>
        </w:rPr>
      </w:pPr>
    </w:p>
    <w:p w14:paraId="433E7F2F">
      <w:pPr>
        <w:rPr>
          <w:rFonts w:hint="eastAsia" w:ascii="宋体" w:hAnsi="宋体" w:cs="宋体"/>
          <w:b/>
          <w:color w:val="auto"/>
          <w:sz w:val="24"/>
          <w:szCs w:val="24"/>
          <w:highlight w:val="none"/>
          <w:lang w:val="en-US" w:eastAsia="zh-CN"/>
        </w:rPr>
      </w:pPr>
    </w:p>
    <w:p w14:paraId="728673EA">
      <w:pPr>
        <w:pStyle w:val="12"/>
        <w:rPr>
          <w:rFonts w:hint="eastAsia" w:ascii="宋体" w:hAnsi="宋体" w:cs="宋体"/>
          <w:b/>
          <w:color w:val="auto"/>
          <w:sz w:val="24"/>
          <w:szCs w:val="24"/>
          <w:highlight w:val="none"/>
          <w:lang w:val="en-US" w:eastAsia="zh-CN"/>
        </w:rPr>
      </w:pPr>
    </w:p>
    <w:p w14:paraId="6431D08B">
      <w:pPr>
        <w:rPr>
          <w:rFonts w:hint="eastAsia" w:ascii="宋体" w:hAnsi="宋体" w:cs="宋体"/>
          <w:b/>
          <w:color w:val="auto"/>
          <w:sz w:val="24"/>
          <w:szCs w:val="24"/>
          <w:highlight w:val="none"/>
          <w:lang w:val="en-US" w:eastAsia="zh-CN"/>
        </w:rPr>
      </w:pPr>
    </w:p>
    <w:p w14:paraId="76DA2146">
      <w:pPr>
        <w:pStyle w:val="12"/>
        <w:rPr>
          <w:rFonts w:hint="eastAsia" w:ascii="宋体" w:hAnsi="宋体" w:cs="宋体"/>
          <w:b/>
          <w:color w:val="auto"/>
          <w:sz w:val="24"/>
          <w:szCs w:val="24"/>
          <w:highlight w:val="none"/>
          <w:lang w:val="en-US" w:eastAsia="zh-CN"/>
        </w:rPr>
      </w:pPr>
    </w:p>
    <w:p w14:paraId="236CBEA8">
      <w:pPr>
        <w:rPr>
          <w:rFonts w:hint="eastAsia" w:ascii="宋体" w:hAnsi="宋体" w:cs="宋体"/>
          <w:b/>
          <w:color w:val="auto"/>
          <w:sz w:val="24"/>
          <w:szCs w:val="24"/>
          <w:highlight w:val="none"/>
          <w:lang w:val="en-US" w:eastAsia="zh-CN"/>
        </w:rPr>
      </w:pPr>
    </w:p>
    <w:p w14:paraId="77BC9257">
      <w:pPr>
        <w:pStyle w:val="12"/>
        <w:rPr>
          <w:rFonts w:hint="eastAsia" w:ascii="宋体" w:hAnsi="宋体" w:cs="宋体"/>
          <w:b/>
          <w:color w:val="auto"/>
          <w:sz w:val="24"/>
          <w:szCs w:val="24"/>
          <w:highlight w:val="none"/>
          <w:lang w:val="en-US" w:eastAsia="zh-CN"/>
        </w:rPr>
      </w:pPr>
    </w:p>
    <w:p w14:paraId="152A6B5A">
      <w:pPr>
        <w:rPr>
          <w:rFonts w:hint="eastAsia" w:ascii="宋体" w:hAnsi="宋体" w:cs="宋体"/>
          <w:b/>
          <w:color w:val="auto"/>
          <w:sz w:val="24"/>
          <w:szCs w:val="24"/>
          <w:highlight w:val="none"/>
          <w:lang w:val="en-US" w:eastAsia="zh-CN"/>
        </w:rPr>
      </w:pPr>
    </w:p>
    <w:p w14:paraId="6F2DC4B0">
      <w:pPr>
        <w:pStyle w:val="12"/>
        <w:rPr>
          <w:rFonts w:hint="eastAsia" w:ascii="宋体" w:hAnsi="宋体" w:cs="宋体"/>
          <w:b/>
          <w:color w:val="auto"/>
          <w:sz w:val="24"/>
          <w:szCs w:val="24"/>
          <w:highlight w:val="none"/>
          <w:lang w:val="en-US" w:eastAsia="zh-CN"/>
        </w:rPr>
      </w:pPr>
    </w:p>
    <w:p w14:paraId="4EFCBB28">
      <w:pPr>
        <w:rPr>
          <w:rFonts w:hint="eastAsia" w:ascii="宋体" w:hAnsi="宋体" w:cs="宋体"/>
          <w:b/>
          <w:color w:val="auto"/>
          <w:sz w:val="24"/>
          <w:szCs w:val="24"/>
          <w:highlight w:val="none"/>
          <w:lang w:val="en-US" w:eastAsia="zh-CN"/>
        </w:rPr>
      </w:pPr>
    </w:p>
    <w:p w14:paraId="203A1A89">
      <w:pPr>
        <w:pStyle w:val="12"/>
        <w:rPr>
          <w:rFonts w:hint="eastAsia" w:ascii="宋体" w:hAnsi="宋体" w:cs="宋体"/>
          <w:b/>
          <w:color w:val="auto"/>
          <w:sz w:val="24"/>
          <w:szCs w:val="24"/>
          <w:highlight w:val="none"/>
          <w:lang w:val="en-US" w:eastAsia="zh-CN"/>
        </w:rPr>
      </w:pPr>
    </w:p>
    <w:p w14:paraId="5A9D5F28">
      <w:pPr>
        <w:rPr>
          <w:rFonts w:hint="eastAsia" w:ascii="宋体" w:hAnsi="宋体" w:cs="宋体"/>
          <w:b/>
          <w:color w:val="auto"/>
          <w:sz w:val="24"/>
          <w:szCs w:val="24"/>
          <w:highlight w:val="none"/>
          <w:lang w:val="en-US" w:eastAsia="zh-CN"/>
        </w:rPr>
      </w:pPr>
    </w:p>
    <w:p w14:paraId="31482A19">
      <w:pPr>
        <w:pStyle w:val="12"/>
        <w:rPr>
          <w:rFonts w:hint="eastAsia" w:ascii="宋体" w:hAnsi="宋体" w:cs="宋体"/>
          <w:b/>
          <w:color w:val="auto"/>
          <w:sz w:val="24"/>
          <w:szCs w:val="24"/>
          <w:highlight w:val="none"/>
          <w:lang w:val="en-US" w:eastAsia="zh-CN"/>
        </w:rPr>
      </w:pPr>
    </w:p>
    <w:p w14:paraId="6CE2C400">
      <w:pPr>
        <w:rPr>
          <w:rFonts w:hint="eastAsia" w:ascii="宋体" w:hAnsi="宋体" w:cs="宋体"/>
          <w:b/>
          <w:color w:val="auto"/>
          <w:sz w:val="24"/>
          <w:szCs w:val="24"/>
          <w:highlight w:val="none"/>
          <w:lang w:val="en-US" w:eastAsia="zh-CN"/>
        </w:rPr>
      </w:pPr>
    </w:p>
    <w:p w14:paraId="55819F74">
      <w:pPr>
        <w:pStyle w:val="12"/>
        <w:rPr>
          <w:rFonts w:hint="eastAsia" w:ascii="宋体" w:hAnsi="宋体" w:cs="宋体"/>
          <w:b/>
          <w:color w:val="auto"/>
          <w:sz w:val="24"/>
          <w:szCs w:val="24"/>
          <w:highlight w:val="none"/>
          <w:lang w:val="en-US" w:eastAsia="zh-CN"/>
        </w:rPr>
      </w:pPr>
    </w:p>
    <w:p w14:paraId="7AF8FEF3">
      <w:pPr>
        <w:rPr>
          <w:rFonts w:hint="eastAsia" w:ascii="宋体" w:hAnsi="宋体" w:cs="宋体"/>
          <w:b/>
          <w:color w:val="auto"/>
          <w:sz w:val="24"/>
          <w:szCs w:val="24"/>
          <w:highlight w:val="none"/>
          <w:lang w:val="en-US" w:eastAsia="zh-CN"/>
        </w:rPr>
      </w:pPr>
    </w:p>
    <w:p w14:paraId="5A8A949E">
      <w:pPr>
        <w:pStyle w:val="24"/>
        <w:rPr>
          <w:rFonts w:hint="eastAsia" w:ascii="宋体" w:hAnsi="宋体" w:cs="宋体"/>
          <w:b/>
          <w:color w:val="auto"/>
          <w:sz w:val="24"/>
          <w:szCs w:val="24"/>
          <w:highlight w:val="none"/>
          <w:lang w:val="en-US" w:eastAsia="zh-CN"/>
        </w:rPr>
      </w:pPr>
    </w:p>
    <w:p w14:paraId="0F87B584">
      <w:pPr>
        <w:rPr>
          <w:rFonts w:hint="eastAsia" w:ascii="宋体" w:hAnsi="宋体" w:cs="宋体"/>
          <w:b/>
          <w:color w:val="auto"/>
          <w:sz w:val="24"/>
          <w:szCs w:val="24"/>
          <w:highlight w:val="none"/>
          <w:lang w:val="en-US" w:eastAsia="zh-CN"/>
        </w:rPr>
      </w:pPr>
    </w:p>
    <w:p w14:paraId="67D84C62">
      <w:pPr>
        <w:pStyle w:val="24"/>
        <w:rPr>
          <w:rFonts w:hint="eastAsia" w:ascii="宋体" w:hAnsi="宋体" w:cs="宋体"/>
          <w:b/>
          <w:color w:val="auto"/>
          <w:sz w:val="24"/>
          <w:szCs w:val="24"/>
          <w:highlight w:val="none"/>
          <w:lang w:val="en-US" w:eastAsia="zh-CN"/>
        </w:rPr>
      </w:pPr>
    </w:p>
    <w:p w14:paraId="51ACBAA8">
      <w:pPr>
        <w:rPr>
          <w:rFonts w:hint="eastAsia" w:ascii="宋体" w:hAnsi="宋体" w:cs="宋体"/>
          <w:b/>
          <w:color w:val="auto"/>
          <w:sz w:val="24"/>
          <w:szCs w:val="24"/>
          <w:highlight w:val="none"/>
          <w:lang w:val="en-US" w:eastAsia="zh-CN"/>
        </w:rPr>
      </w:pPr>
    </w:p>
    <w:p w14:paraId="5CDA481F">
      <w:pPr>
        <w:pStyle w:val="24"/>
        <w:rPr>
          <w:rFonts w:hint="eastAsia" w:ascii="宋体" w:hAnsi="宋体" w:cs="宋体"/>
          <w:b/>
          <w:color w:val="auto"/>
          <w:sz w:val="24"/>
          <w:szCs w:val="24"/>
          <w:highlight w:val="none"/>
          <w:lang w:val="en-US" w:eastAsia="zh-CN"/>
        </w:rPr>
      </w:pPr>
    </w:p>
    <w:p w14:paraId="3DEC3BFA">
      <w:pPr>
        <w:rPr>
          <w:rFonts w:hint="eastAsia" w:ascii="宋体" w:hAnsi="宋体" w:cs="宋体"/>
          <w:b/>
          <w:color w:val="auto"/>
          <w:sz w:val="24"/>
          <w:szCs w:val="24"/>
          <w:highlight w:val="none"/>
          <w:lang w:val="en-US" w:eastAsia="zh-CN"/>
        </w:rPr>
      </w:pPr>
    </w:p>
    <w:p w14:paraId="24048520">
      <w:pPr>
        <w:pStyle w:val="24"/>
        <w:rPr>
          <w:rFonts w:hint="eastAsia" w:ascii="宋体" w:hAnsi="宋体" w:cs="宋体"/>
          <w:b/>
          <w:color w:val="auto"/>
          <w:sz w:val="24"/>
          <w:szCs w:val="24"/>
          <w:highlight w:val="none"/>
          <w:lang w:val="en-US" w:eastAsia="zh-CN"/>
        </w:rPr>
      </w:pPr>
    </w:p>
    <w:p w14:paraId="6A2AF01C">
      <w:pPr>
        <w:rPr>
          <w:rFonts w:hint="eastAsia" w:ascii="宋体" w:hAnsi="宋体" w:cs="宋体"/>
          <w:b/>
          <w:color w:val="auto"/>
          <w:sz w:val="24"/>
          <w:szCs w:val="24"/>
          <w:highlight w:val="none"/>
          <w:lang w:val="en-US" w:eastAsia="zh-CN"/>
        </w:rPr>
      </w:pPr>
    </w:p>
    <w:p w14:paraId="6F689C0D">
      <w:pPr>
        <w:pStyle w:val="24"/>
        <w:rPr>
          <w:rFonts w:hint="eastAsia" w:ascii="宋体" w:hAnsi="宋体" w:cs="宋体"/>
          <w:b/>
          <w:color w:val="auto"/>
          <w:sz w:val="24"/>
          <w:szCs w:val="24"/>
          <w:highlight w:val="none"/>
          <w:lang w:val="en-US" w:eastAsia="zh-CN"/>
        </w:rPr>
      </w:pPr>
    </w:p>
    <w:p w14:paraId="355972AB">
      <w:pPr>
        <w:rPr>
          <w:rFonts w:hint="eastAsia" w:ascii="宋体" w:hAnsi="宋体" w:cs="宋体"/>
          <w:b/>
          <w:color w:val="auto"/>
          <w:sz w:val="24"/>
          <w:szCs w:val="24"/>
          <w:highlight w:val="none"/>
          <w:lang w:val="en-US" w:eastAsia="zh-CN"/>
        </w:rPr>
      </w:pPr>
    </w:p>
    <w:p w14:paraId="12C5E976">
      <w:pPr>
        <w:pStyle w:val="24"/>
        <w:rPr>
          <w:rFonts w:hint="eastAsia"/>
          <w:color w:val="auto"/>
          <w:highlight w:val="none"/>
          <w:lang w:val="en-US" w:eastAsia="zh-CN"/>
        </w:rPr>
      </w:pPr>
    </w:p>
    <w:p w14:paraId="6B971513">
      <w:pPr>
        <w:pStyle w:val="12"/>
        <w:rPr>
          <w:rFonts w:hint="eastAsia" w:ascii="宋体" w:hAnsi="宋体" w:cs="宋体"/>
          <w:b/>
          <w:color w:val="auto"/>
          <w:sz w:val="24"/>
          <w:szCs w:val="24"/>
          <w:highlight w:val="none"/>
          <w:lang w:val="en-US" w:eastAsia="zh-CN"/>
        </w:rPr>
      </w:pPr>
    </w:p>
    <w:p w14:paraId="7994C1F0">
      <w:pPr>
        <w:snapToGrid w:val="0"/>
        <w:spacing w:line="360" w:lineRule="auto"/>
        <w:rPr>
          <w:rFonts w:hint="eastAsia" w:ascii="仿宋" w:hAnsi="仿宋" w:eastAsia="仿宋" w:cs="仿宋"/>
          <w:b/>
          <w:color w:val="auto"/>
          <w:sz w:val="30"/>
          <w:szCs w:val="30"/>
          <w:highlight w:val="none"/>
        </w:rPr>
      </w:pPr>
    </w:p>
    <w:p w14:paraId="1A280A1F">
      <w:pPr>
        <w:snapToGrid w:val="0"/>
        <w:spacing w:line="360" w:lineRule="auto"/>
        <w:ind w:firstLine="602" w:firstLineChars="20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四、</w:t>
      </w:r>
      <w:r>
        <w:rPr>
          <w:rFonts w:hint="eastAsia" w:ascii="仿宋" w:hAnsi="仿宋" w:eastAsia="仿宋" w:cs="仿宋"/>
          <w:b/>
          <w:color w:val="auto"/>
          <w:sz w:val="30"/>
          <w:szCs w:val="30"/>
          <w:highlight w:val="none"/>
        </w:rPr>
        <w:t>供应商认为需要提供的其他有关资料</w:t>
      </w:r>
    </w:p>
    <w:p w14:paraId="69FF52F3">
      <w:pPr>
        <w:widowControl/>
        <w:shd w:val="clear" w:color="auto" w:fill="FFFFFF"/>
        <w:spacing w:line="360" w:lineRule="auto"/>
        <w:jc w:val="left"/>
        <w:rPr>
          <w:rFonts w:hint="eastAsia" w:ascii="仿宋" w:hAnsi="仿宋" w:eastAsia="仿宋" w:cs="仿宋"/>
          <w:color w:val="auto"/>
          <w:kern w:val="2"/>
          <w:sz w:val="24"/>
          <w:szCs w:val="24"/>
          <w:highlight w:val="none"/>
          <w:shd w:val="clear" w:color="auto" w:fill="FFFFFF"/>
          <w:lang w:val="en-US" w:eastAsia="zh-CN"/>
        </w:rPr>
      </w:pPr>
    </w:p>
    <w:p w14:paraId="1501C478">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p>
    <w:p w14:paraId="7F00976C">
      <w:pPr>
        <w:autoSpaceDE w:val="0"/>
        <w:autoSpaceDN w:val="0"/>
        <w:spacing w:line="360" w:lineRule="auto"/>
        <w:ind w:left="4335" w:leftChars="1950" w:hanging="240" w:hanging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供应商名称（电子签章）：</w:t>
      </w:r>
    </w:p>
    <w:p w14:paraId="61DCCC6A">
      <w:pPr>
        <w:pStyle w:val="16"/>
        <w:spacing w:line="360" w:lineRule="auto"/>
        <w:ind w:left="0" w:leftChars="0" w:firstLine="5678" w:firstLineChars="236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日期：  </w:t>
      </w:r>
      <w:r>
        <w:rPr>
          <w:rFonts w:hint="eastAsia" w:ascii="仿宋" w:hAnsi="仿宋" w:eastAsia="仿宋" w:cs="仿宋"/>
          <w:color w:val="auto"/>
          <w:sz w:val="24"/>
          <w:highlight w:val="none"/>
          <w:lang w:val="zh-CN"/>
        </w:rPr>
        <w:t>年  月</w:t>
      </w:r>
      <w:r>
        <w:rPr>
          <w:rFonts w:hint="eastAsia" w:ascii="仿宋" w:hAnsi="仿宋" w:eastAsia="仿宋" w:cs="仿宋"/>
          <w:color w:val="auto"/>
          <w:kern w:val="0"/>
          <w:sz w:val="24"/>
          <w:highlight w:val="none"/>
          <w:lang w:val="zh-CN"/>
        </w:rPr>
        <w:t xml:space="preserve">   日</w:t>
      </w:r>
    </w:p>
    <w:p w14:paraId="26D67D41">
      <w:pPr>
        <w:pStyle w:val="12"/>
        <w:spacing w:after="0" w:line="360" w:lineRule="auto"/>
        <w:ind w:left="3960" w:right="1808"/>
        <w:contextualSpacing/>
        <w:rPr>
          <w:rFonts w:hint="eastAsia" w:ascii="仿宋" w:hAnsi="仿宋" w:eastAsia="仿宋" w:cs="仿宋"/>
          <w:color w:val="auto"/>
          <w:highlight w:val="none"/>
        </w:rPr>
      </w:pPr>
    </w:p>
    <w:p w14:paraId="4EB2BCF2">
      <w:pPr>
        <w:spacing w:line="360" w:lineRule="auto"/>
        <w:contextualSpacing/>
        <w:jc w:val="left"/>
        <w:rPr>
          <w:rFonts w:hint="eastAsia" w:ascii="仿宋" w:hAnsi="仿宋" w:eastAsia="仿宋" w:cs="仿宋"/>
          <w:color w:val="auto"/>
          <w:kern w:val="0"/>
          <w:sz w:val="24"/>
          <w:highlight w:val="none"/>
        </w:rPr>
      </w:pPr>
    </w:p>
    <w:p w14:paraId="1317FCC6">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BD0345D">
      <w:pPr>
        <w:pStyle w:val="3"/>
        <w:spacing w:line="360" w:lineRule="auto"/>
        <w:jc w:val="center"/>
        <w:rPr>
          <w:rFonts w:hint="eastAsia" w:ascii="宋体" w:hAnsi="宋体" w:eastAsia="宋体" w:cs="宋体"/>
          <w:color w:val="auto"/>
          <w:highlight w:val="none"/>
          <w:lang w:val="en-US" w:eastAsia="zh-CN"/>
        </w:rPr>
      </w:pPr>
      <w:bookmarkStart w:id="192" w:name="_Toc147684389"/>
      <w:bookmarkStart w:id="193" w:name="_Toc29246"/>
      <w:bookmarkStart w:id="194" w:name="_Toc18354"/>
      <w:bookmarkStart w:id="195" w:name="_Toc3047"/>
      <w:bookmarkStart w:id="196" w:name="_Toc80205942"/>
      <w:r>
        <w:rPr>
          <w:rFonts w:hint="eastAsia" w:ascii="宋体" w:hAnsi="宋体" w:eastAsia="宋体" w:cs="宋体"/>
          <w:color w:val="auto"/>
          <w:highlight w:val="none"/>
          <w:lang w:val="en-US" w:eastAsia="zh-CN"/>
        </w:rPr>
        <w:t>第五节 其他文书、文件格式</w:t>
      </w:r>
      <w:bookmarkEnd w:id="192"/>
      <w:bookmarkEnd w:id="193"/>
      <w:bookmarkEnd w:id="194"/>
      <w:bookmarkEnd w:id="195"/>
      <w:bookmarkEnd w:id="196"/>
    </w:p>
    <w:p w14:paraId="430387D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493BECC5">
      <w:pPr>
        <w:rPr>
          <w:rFonts w:ascii="仿宋_GB2312" w:hAnsi="仿宋_GB2312" w:eastAsia="仿宋_GB2312" w:cs="仿宋_GB2312"/>
          <w:color w:val="auto"/>
          <w:sz w:val="30"/>
          <w:szCs w:val="30"/>
          <w:highlight w:val="none"/>
        </w:rPr>
      </w:pPr>
    </w:p>
    <w:p w14:paraId="29E5AF3E">
      <w:pPr>
        <w:rPr>
          <w:rFonts w:hint="eastAsia" w:ascii="仿宋" w:hAnsi="仿宋" w:eastAsia="仿宋" w:cs="仿宋"/>
          <w:color w:val="auto"/>
          <w:sz w:val="30"/>
          <w:szCs w:val="30"/>
          <w:highlight w:val="none"/>
        </w:rPr>
      </w:pPr>
      <w:r>
        <w:rPr>
          <w:rFonts w:hint="eastAsia" w:ascii="仿宋_GB2312" w:hAnsi="仿宋_GB2312" w:eastAsia="仿宋_GB2312" w:cs="仿宋_GB2312"/>
          <w:color w:val="auto"/>
          <w:sz w:val="30"/>
          <w:szCs w:val="30"/>
          <w:highlight w:val="none"/>
        </w:rPr>
        <w:t xml:space="preserve">    </w:t>
      </w:r>
      <w:r>
        <w:rPr>
          <w:rFonts w:hint="eastAsia" w:ascii="仿宋" w:hAnsi="仿宋" w:eastAsia="仿宋" w:cs="仿宋"/>
          <w:color w:val="auto"/>
          <w:sz w:val="30"/>
          <w:szCs w:val="30"/>
          <w:highlight w:val="none"/>
        </w:rPr>
        <w:t>本企业（单位）自愿参与政府投资政府采购的</w:t>
      </w:r>
      <w:r>
        <w:rPr>
          <w:rFonts w:hint="eastAsia" w:ascii="仿宋" w:hAnsi="仿宋" w:eastAsia="仿宋" w:cs="仿宋"/>
          <w:color w:val="auto"/>
          <w:sz w:val="30"/>
          <w:szCs w:val="30"/>
          <w:highlight w:val="none"/>
          <w:u w:val="single"/>
          <w:lang w:eastAsia="zh-CN"/>
        </w:rPr>
        <w:t>隆安县丁当镇保湾村农田水利设施项目（驮湾屯、农怀屯）</w:t>
      </w:r>
      <w:r>
        <w:rPr>
          <w:rFonts w:hint="eastAsia" w:ascii="仿宋" w:hAnsi="仿宋" w:eastAsia="仿宋" w:cs="仿宋"/>
          <w:color w:val="auto"/>
          <w:sz w:val="30"/>
          <w:szCs w:val="30"/>
          <w:highlight w:val="none"/>
        </w:rPr>
        <w:t>项目，</w:t>
      </w:r>
      <w:r>
        <w:rPr>
          <w:rFonts w:hint="eastAsia" w:ascii="仿宋" w:hAnsi="仿宋" w:eastAsia="仿宋" w:cs="仿宋"/>
          <w:b/>
          <w:bCs/>
          <w:color w:val="auto"/>
          <w:sz w:val="30"/>
          <w:szCs w:val="30"/>
          <w:highlight w:val="none"/>
        </w:rPr>
        <w:t>在此郑重承诺：</w:t>
      </w:r>
      <w:r>
        <w:rPr>
          <w:rFonts w:hint="eastAsia" w:ascii="仿宋" w:hAnsi="仿宋" w:eastAsia="仿宋" w:cs="仿宋"/>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D617FD1">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7092160">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06A60A9A">
      <w:pPr>
        <w:snapToGrid w:val="0"/>
        <w:spacing w:line="360" w:lineRule="auto"/>
        <w:ind w:left="5137" w:leftChars="1736" w:hanging="1491" w:hangingChars="825"/>
        <w:rPr>
          <w:rFonts w:hint="eastAsia" w:ascii="仿宋" w:hAnsi="仿宋" w:eastAsia="仿宋" w:cs="仿宋"/>
          <w:b/>
          <w:color w:val="auto"/>
          <w:sz w:val="18"/>
          <w:szCs w:val="18"/>
          <w:highlight w:val="none"/>
        </w:rPr>
      </w:pPr>
    </w:p>
    <w:p w14:paraId="1CC6AB27">
      <w:pPr>
        <w:snapToGrid w:val="0"/>
        <w:spacing w:line="360" w:lineRule="auto"/>
        <w:ind w:left="5626" w:leftChars="1736" w:hanging="1980" w:hangingChars="8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供应商名称(电子签章)：</w:t>
      </w:r>
    </w:p>
    <w:p w14:paraId="004A74CF">
      <w:pPr>
        <w:snapToGrid w:val="0"/>
        <w:spacing w:line="360" w:lineRule="auto"/>
        <w:ind w:firstLine="5160" w:firstLineChars="215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zh-CN"/>
        </w:rPr>
        <w:t>日</w:t>
      </w:r>
    </w:p>
    <w:p w14:paraId="2BC0E627">
      <w:pPr>
        <w:widowControl/>
        <w:jc w:val="left"/>
        <w:rPr>
          <w:rFonts w:hint="eastAsia" w:ascii="仿宋" w:hAnsi="仿宋" w:eastAsia="仿宋" w:cs="仿宋"/>
          <w:color w:val="auto"/>
          <w:sz w:val="24"/>
          <w:highlight w:val="none"/>
        </w:rPr>
        <w:sectPr>
          <w:pgSz w:w="11906" w:h="16838"/>
          <w:pgMar w:top="1134" w:right="1134" w:bottom="1134" w:left="1134" w:header="720" w:footer="720" w:gutter="0"/>
          <w:cols w:space="720" w:num="1"/>
          <w:docGrid w:type="lines" w:linePitch="331" w:charSpace="0"/>
        </w:sectPr>
      </w:pPr>
    </w:p>
    <w:p w14:paraId="04D0BB09">
      <w:pPr>
        <w:rPr>
          <w:rFonts w:hint="eastAsia"/>
          <w:color w:val="auto"/>
          <w:highlight w:val="none"/>
          <w:lang w:val="zh-CN" w:eastAsia="zh-CN"/>
        </w:rPr>
      </w:pPr>
    </w:p>
    <w:p w14:paraId="405B28E2">
      <w:pPr>
        <w:pStyle w:val="16"/>
        <w:spacing w:line="360" w:lineRule="auto"/>
        <w:ind w:firstLine="602" w:firstLineChars="200"/>
        <w:rPr>
          <w:rFonts w:hint="eastAsia" w:ascii="宋体" w:hAnsi="宋体" w:eastAsia="宋体" w:cs="宋体"/>
          <w:b/>
          <w:color w:val="auto"/>
          <w:kern w:val="2"/>
          <w:sz w:val="30"/>
          <w:szCs w:val="30"/>
          <w:highlight w:val="none"/>
          <w:lang w:val="en-US" w:eastAsia="zh-CN"/>
        </w:rPr>
      </w:pPr>
    </w:p>
    <w:p w14:paraId="76EB5ED9">
      <w:pPr>
        <w:spacing w:line="360" w:lineRule="auto"/>
        <w:jc w:val="center"/>
        <w:rPr>
          <w:rFonts w:hint="eastAsia" w:ascii="宋体" w:hAnsi="宋体" w:eastAsia="宋体" w:cs="宋体"/>
          <w:color w:val="auto"/>
          <w:sz w:val="24"/>
          <w:highlight w:val="none"/>
        </w:rPr>
      </w:pPr>
    </w:p>
    <w:p w14:paraId="45E725BF">
      <w:pPr>
        <w:spacing w:line="360" w:lineRule="auto"/>
        <w:jc w:val="center"/>
        <w:rPr>
          <w:rFonts w:hint="eastAsia" w:ascii="宋体" w:hAnsi="宋体" w:eastAsia="宋体" w:cs="宋体"/>
          <w:color w:val="auto"/>
          <w:sz w:val="24"/>
          <w:highlight w:val="none"/>
        </w:rPr>
      </w:pPr>
    </w:p>
    <w:p w14:paraId="49BD4A1A">
      <w:pPr>
        <w:spacing w:line="360" w:lineRule="auto"/>
        <w:jc w:val="center"/>
        <w:rPr>
          <w:rFonts w:hint="eastAsia" w:ascii="宋体" w:hAnsi="宋体" w:eastAsia="宋体" w:cs="宋体"/>
          <w:color w:val="auto"/>
          <w:sz w:val="24"/>
          <w:highlight w:val="none"/>
        </w:rPr>
      </w:pPr>
    </w:p>
    <w:p w14:paraId="7E1B9957">
      <w:pPr>
        <w:spacing w:line="360" w:lineRule="auto"/>
        <w:jc w:val="center"/>
        <w:rPr>
          <w:rFonts w:hint="eastAsia" w:ascii="宋体" w:hAnsi="宋体" w:eastAsia="宋体" w:cs="宋体"/>
          <w:color w:val="auto"/>
          <w:sz w:val="24"/>
          <w:highlight w:val="none"/>
        </w:rPr>
      </w:pPr>
    </w:p>
    <w:p w14:paraId="07BABF89">
      <w:pPr>
        <w:spacing w:line="360" w:lineRule="auto"/>
        <w:jc w:val="center"/>
        <w:rPr>
          <w:rFonts w:hint="eastAsia" w:ascii="宋体" w:hAnsi="宋体" w:eastAsia="宋体" w:cs="宋体"/>
          <w:color w:val="auto"/>
          <w:sz w:val="24"/>
          <w:highlight w:val="none"/>
        </w:rPr>
      </w:pPr>
    </w:p>
    <w:p w14:paraId="31B5F84A">
      <w:pPr>
        <w:spacing w:line="360" w:lineRule="auto"/>
        <w:jc w:val="both"/>
        <w:rPr>
          <w:rFonts w:hint="eastAsia" w:ascii="宋体" w:hAnsi="宋体" w:eastAsia="宋体" w:cs="宋体"/>
          <w:color w:val="auto"/>
          <w:sz w:val="24"/>
          <w:highlight w:val="none"/>
        </w:rPr>
      </w:pPr>
    </w:p>
    <w:p w14:paraId="7C060402">
      <w:pPr>
        <w:spacing w:line="360" w:lineRule="auto"/>
        <w:jc w:val="center"/>
        <w:rPr>
          <w:rFonts w:hint="eastAsia" w:ascii="宋体" w:hAnsi="宋体" w:eastAsia="宋体" w:cs="宋体"/>
          <w:color w:val="auto"/>
          <w:sz w:val="24"/>
          <w:highlight w:val="none"/>
        </w:rPr>
      </w:pPr>
    </w:p>
    <w:p w14:paraId="5F7DB99E">
      <w:pPr>
        <w:spacing w:line="360" w:lineRule="auto"/>
        <w:jc w:val="center"/>
        <w:rPr>
          <w:rFonts w:hint="eastAsia" w:ascii="宋体" w:hAnsi="宋体" w:eastAsia="宋体" w:cs="宋体"/>
          <w:color w:val="auto"/>
          <w:sz w:val="24"/>
          <w:highlight w:val="none"/>
        </w:rPr>
      </w:pPr>
    </w:p>
    <w:p w14:paraId="6FB70D85">
      <w:pPr>
        <w:spacing w:line="360" w:lineRule="auto"/>
        <w:jc w:val="center"/>
        <w:rPr>
          <w:rFonts w:hint="eastAsia" w:ascii="宋体" w:hAnsi="宋体" w:eastAsia="宋体" w:cs="宋体"/>
          <w:color w:val="auto"/>
          <w:sz w:val="24"/>
          <w:highlight w:val="none"/>
        </w:rPr>
      </w:pPr>
    </w:p>
    <w:p w14:paraId="0BABAEDA">
      <w:pPr>
        <w:pStyle w:val="2"/>
        <w:spacing w:line="360" w:lineRule="auto"/>
        <w:jc w:val="center"/>
        <w:rPr>
          <w:rFonts w:hint="eastAsia" w:ascii="宋体" w:hAnsi="宋体" w:eastAsia="宋体" w:cs="宋体"/>
          <w:b w:val="0"/>
          <w:bCs w:val="0"/>
          <w:color w:val="auto"/>
          <w:highlight w:val="none"/>
        </w:rPr>
      </w:pPr>
      <w:bookmarkStart w:id="197" w:name="_Toc17398"/>
      <w:bookmarkStart w:id="198" w:name="_Toc11775"/>
      <w:bookmarkStart w:id="199" w:name="_Toc25466"/>
      <w:bookmarkStart w:id="200" w:name="_Toc14897"/>
      <w:bookmarkStart w:id="201" w:name="_Toc2080"/>
      <w:bookmarkStart w:id="202" w:name="_Toc11925"/>
      <w:bookmarkStart w:id="203" w:name="_Toc26628"/>
      <w:r>
        <w:rPr>
          <w:rFonts w:hint="eastAsia" w:ascii="宋体" w:hAnsi="宋体" w:eastAsia="宋体" w:cs="宋体"/>
          <w:b/>
          <w:bCs/>
          <w:color w:val="auto"/>
          <w:highlight w:val="none"/>
        </w:rPr>
        <w:t>第六章  合同文本</w:t>
      </w:r>
      <w:r>
        <w:rPr>
          <w:rFonts w:hint="eastAsia" w:ascii="宋体" w:hAnsi="宋体" w:eastAsia="宋体" w:cs="宋体"/>
          <w:b/>
          <w:bCs/>
          <w:color w:val="auto"/>
          <w:highlight w:val="none"/>
        </w:rPr>
        <w:br w:type="page"/>
      </w:r>
      <w:bookmarkEnd w:id="197"/>
      <w:bookmarkEnd w:id="198"/>
      <w:bookmarkEnd w:id="199"/>
      <w:bookmarkEnd w:id="200"/>
      <w:bookmarkEnd w:id="201"/>
      <w:bookmarkEnd w:id="202"/>
      <w:bookmarkEnd w:id="203"/>
    </w:p>
    <w:p w14:paraId="21A34C9D">
      <w:pPr>
        <w:spacing w:line="360" w:lineRule="auto"/>
        <w:rPr>
          <w:rFonts w:hint="eastAsia" w:ascii="宋体" w:hAnsi="宋体" w:eastAsia="宋体" w:cs="宋体"/>
          <w:b/>
          <w:bCs/>
          <w:color w:val="auto"/>
          <w:highlight w:val="none"/>
        </w:rPr>
      </w:pPr>
      <w:r>
        <w:rPr>
          <w:rFonts w:hint="eastAsia" w:ascii="宋体" w:hAnsi="宋体" w:cs="宋体"/>
          <w:b/>
          <w:bCs/>
          <w:color w:val="auto"/>
          <w:sz w:val="24"/>
          <w:highlight w:val="none"/>
          <w:lang w:eastAsia="zh-CN"/>
        </w:rPr>
        <w:t>“广西政府采购云平台”</w:t>
      </w:r>
      <w:r>
        <w:rPr>
          <w:rFonts w:hint="eastAsia" w:ascii="宋体" w:hAnsi="宋体" w:eastAsia="宋体" w:cs="宋体"/>
          <w:b/>
          <w:bCs/>
          <w:color w:val="auto"/>
          <w:sz w:val="24"/>
          <w:highlight w:val="none"/>
        </w:rPr>
        <w:t>合同编号：</w:t>
      </w:r>
    </w:p>
    <w:p w14:paraId="7402502A">
      <w:pPr>
        <w:spacing w:line="360" w:lineRule="auto"/>
        <w:jc w:val="center"/>
        <w:rPr>
          <w:rFonts w:hint="eastAsia" w:ascii="宋体" w:hAnsi="宋体" w:eastAsia="宋体" w:cs="宋体"/>
          <w:b/>
          <w:bCs/>
          <w:color w:val="auto"/>
          <w:sz w:val="52"/>
          <w:highlight w:val="none"/>
        </w:rPr>
      </w:pPr>
    </w:p>
    <w:p w14:paraId="50443689">
      <w:pPr>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5471DC1C">
      <w:pPr>
        <w:spacing w:line="360" w:lineRule="auto"/>
        <w:ind w:firstLine="420" w:firstLineChars="200"/>
        <w:rPr>
          <w:rFonts w:hint="eastAsia" w:ascii="宋体" w:hAnsi="宋体" w:eastAsia="宋体" w:cs="宋体"/>
          <w:color w:val="auto"/>
          <w:highlight w:val="none"/>
        </w:rPr>
      </w:pPr>
    </w:p>
    <w:p w14:paraId="1DD795B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624D509">
      <w:pPr>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隆安县丁当镇保湾村农田水利设施项目（驮湾屯、农怀屯）</w:t>
      </w:r>
      <w:r>
        <w:rPr>
          <w:rFonts w:hint="eastAsia" w:ascii="宋体" w:hAnsi="宋体" w:eastAsia="宋体" w:cs="宋体"/>
          <w:b/>
          <w:bCs/>
          <w:color w:val="auto"/>
          <w:sz w:val="44"/>
          <w:highlight w:val="none"/>
        </w:rPr>
        <w:t>合同</w:t>
      </w:r>
    </w:p>
    <w:p w14:paraId="24203952">
      <w:pPr>
        <w:spacing w:line="360" w:lineRule="auto"/>
        <w:jc w:val="center"/>
        <w:rPr>
          <w:rFonts w:hint="eastAsia" w:ascii="宋体" w:hAnsi="宋体" w:eastAsia="宋体" w:cs="宋体"/>
          <w:b/>
          <w:bCs/>
          <w:color w:val="auto"/>
          <w:sz w:val="44"/>
          <w:highlight w:val="none"/>
        </w:rPr>
      </w:pPr>
    </w:p>
    <w:p w14:paraId="6166538D">
      <w:pPr>
        <w:spacing w:line="360" w:lineRule="auto"/>
        <w:ind w:firstLine="3507" w:firstLineChars="794"/>
        <w:rPr>
          <w:rFonts w:hint="eastAsia" w:ascii="宋体" w:hAnsi="宋体" w:eastAsia="宋体" w:cs="宋体"/>
          <w:b/>
          <w:bCs/>
          <w:color w:val="auto"/>
          <w:sz w:val="44"/>
          <w:highlight w:val="none"/>
        </w:rPr>
      </w:pPr>
    </w:p>
    <w:p w14:paraId="56FD65AF">
      <w:pPr>
        <w:spacing w:line="360" w:lineRule="auto"/>
        <w:ind w:firstLine="3507" w:firstLineChars="794"/>
        <w:rPr>
          <w:rFonts w:hint="eastAsia" w:ascii="宋体" w:hAnsi="宋体" w:eastAsia="宋体" w:cs="宋体"/>
          <w:b/>
          <w:bCs/>
          <w:color w:val="auto"/>
          <w:sz w:val="44"/>
          <w:highlight w:val="none"/>
        </w:rPr>
      </w:pPr>
    </w:p>
    <w:p w14:paraId="10FC8C15">
      <w:pPr>
        <w:spacing w:line="360" w:lineRule="auto"/>
        <w:ind w:left="0" w:leftChars="0" w:firstLine="1063" w:firstLineChars="294"/>
        <w:rPr>
          <w:rFonts w:hint="default" w:ascii="宋体" w:hAnsi="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采购项目编号：</w:t>
      </w:r>
      <w:r>
        <w:rPr>
          <w:rFonts w:hint="eastAsia" w:ascii="宋体" w:hAnsi="宋体" w:cs="宋体"/>
          <w:b/>
          <w:color w:val="auto"/>
          <w:sz w:val="36"/>
          <w:szCs w:val="36"/>
          <w:highlight w:val="none"/>
          <w:u w:val="single"/>
          <w:lang w:val="en-US" w:eastAsia="zh-CN"/>
        </w:rPr>
        <w:t xml:space="preserve">             </w:t>
      </w:r>
    </w:p>
    <w:p w14:paraId="44619CC4">
      <w:pPr>
        <w:spacing w:line="360" w:lineRule="auto"/>
        <w:ind w:left="0" w:leftChars="0" w:firstLine="1063" w:firstLineChars="294"/>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eastAsia="宋体" w:cs="宋体"/>
          <w:b/>
          <w:color w:val="auto"/>
          <w:sz w:val="36"/>
          <w:szCs w:val="36"/>
          <w:highlight w:val="none"/>
          <w:u w:val="single"/>
        </w:rPr>
        <w:t xml:space="preserve"> </w:t>
      </w:r>
    </w:p>
    <w:p w14:paraId="243BD2E5">
      <w:pPr>
        <w:spacing w:line="360" w:lineRule="auto"/>
        <w:rPr>
          <w:rFonts w:hint="eastAsia" w:ascii="宋体" w:hAnsi="宋体" w:eastAsia="宋体" w:cs="宋体"/>
          <w:b/>
          <w:color w:val="auto"/>
          <w:sz w:val="36"/>
          <w:szCs w:val="36"/>
          <w:highlight w:val="none"/>
          <w:u w:val="single"/>
        </w:rPr>
      </w:pPr>
    </w:p>
    <w:p w14:paraId="0083DCAB">
      <w:pPr>
        <w:spacing w:line="360" w:lineRule="auto"/>
        <w:ind w:left="0" w:leftChars="0" w:firstLine="1063" w:firstLineChars="294"/>
        <w:rPr>
          <w:rFonts w:hint="eastAsia" w:ascii="宋体" w:hAnsi="宋体" w:eastAsia="宋体" w:cs="宋体"/>
          <w:b/>
          <w:color w:val="auto"/>
          <w:sz w:val="36"/>
          <w:szCs w:val="36"/>
          <w:highlight w:val="none"/>
          <w:u w:val="single"/>
        </w:rPr>
      </w:pPr>
    </w:p>
    <w:p w14:paraId="76EA19AC">
      <w:pPr>
        <w:widowControl/>
        <w:kinsoku w:val="0"/>
        <w:autoSpaceDE w:val="0"/>
        <w:autoSpaceDN w:val="0"/>
        <w:adjustRightInd w:val="0"/>
        <w:snapToGrid w:val="0"/>
        <w:spacing w:line="360" w:lineRule="auto"/>
        <w:ind w:right="1234" w:firstLine="1084" w:firstLineChars="300"/>
        <w:jc w:val="left"/>
        <w:textAlignment w:val="baseline"/>
        <w:rPr>
          <w:rFonts w:hint="default" w:ascii="宋体" w:hAnsi="宋体" w:eastAsia="宋体" w:cs="宋体"/>
          <w:b/>
          <w:color w:val="auto"/>
          <w:sz w:val="36"/>
          <w:szCs w:val="36"/>
          <w:highlight w:val="none"/>
          <w:u w:val="single"/>
          <w:lang w:val="en-US"/>
        </w:rPr>
      </w:pPr>
      <w:r>
        <w:rPr>
          <w:rFonts w:hint="eastAsia" w:ascii="宋体" w:hAnsi="宋体" w:cs="宋体"/>
          <w:b/>
          <w:color w:val="auto"/>
          <w:sz w:val="36"/>
          <w:szCs w:val="36"/>
          <w:highlight w:val="none"/>
        </w:rPr>
        <w:t>发包人：</w:t>
      </w:r>
      <w:r>
        <w:rPr>
          <w:rFonts w:hint="eastAsia" w:ascii="宋体" w:hAnsi="宋体" w:cs="宋体"/>
          <w:b/>
          <w:color w:val="auto"/>
          <w:sz w:val="36"/>
          <w:szCs w:val="36"/>
          <w:highlight w:val="none"/>
          <w:u w:val="single"/>
          <w:lang w:val="en-US" w:eastAsia="zh-CN"/>
        </w:rPr>
        <w:t xml:space="preserve">                         </w:t>
      </w:r>
    </w:p>
    <w:p w14:paraId="29ED1DA1">
      <w:pPr>
        <w:widowControl/>
        <w:kinsoku w:val="0"/>
        <w:autoSpaceDE w:val="0"/>
        <w:autoSpaceDN w:val="0"/>
        <w:adjustRightInd w:val="0"/>
        <w:snapToGrid w:val="0"/>
        <w:spacing w:line="360" w:lineRule="auto"/>
        <w:ind w:right="1234" w:firstLine="1084" w:firstLineChars="300"/>
        <w:jc w:val="left"/>
        <w:textAlignment w:val="baseline"/>
        <w:rPr>
          <w:rFonts w:ascii="宋体" w:hAnsi="宋体" w:cs="宋体"/>
          <w:b/>
          <w:bCs/>
          <w:color w:val="auto"/>
          <w:sz w:val="44"/>
          <w:highlight w:val="none"/>
        </w:rPr>
      </w:pPr>
      <w:r>
        <w:rPr>
          <w:rFonts w:hint="eastAsia" w:ascii="宋体" w:hAnsi="宋体" w:cs="宋体"/>
          <w:b/>
          <w:color w:val="auto"/>
          <w:sz w:val="36"/>
          <w:szCs w:val="36"/>
          <w:highlight w:val="none"/>
        </w:rPr>
        <w:t>承包人：</w:t>
      </w:r>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rPr>
        <w:t xml:space="preserve">            </w:t>
      </w:r>
    </w:p>
    <w:p w14:paraId="1888DB7B">
      <w:pPr>
        <w:tabs>
          <w:tab w:val="left" w:pos="7380"/>
        </w:tabs>
        <w:spacing w:line="360" w:lineRule="auto"/>
        <w:rPr>
          <w:rFonts w:ascii="宋体" w:hAnsi="宋体" w:cs="宋体"/>
          <w:b/>
          <w:bCs/>
          <w:color w:val="auto"/>
          <w:sz w:val="44"/>
          <w:highlight w:val="none"/>
        </w:rPr>
      </w:pPr>
    </w:p>
    <w:p w14:paraId="733C5E43">
      <w:pPr>
        <w:tabs>
          <w:tab w:val="left" w:pos="7380"/>
        </w:tabs>
        <w:spacing w:line="360" w:lineRule="auto"/>
        <w:ind w:left="0" w:leftChars="0" w:firstLine="1058" w:firstLineChars="294"/>
        <w:rPr>
          <w:rFonts w:hint="eastAsia" w:ascii="宋体" w:hAnsi="宋体" w:eastAsia="宋体" w:cs="宋体"/>
          <w:b/>
          <w:bCs/>
          <w:color w:val="auto"/>
          <w:sz w:val="44"/>
          <w:highlight w:val="none"/>
        </w:rPr>
      </w:pPr>
      <w:r>
        <w:rPr>
          <w:rFonts w:hint="eastAsia" w:ascii="宋体" w:hAnsi="宋体" w:cs="宋体"/>
          <w:color w:val="auto"/>
          <w:sz w:val="36"/>
          <w:szCs w:val="36"/>
          <w:highlight w:val="none"/>
          <w:lang w:val="zh-CN"/>
        </w:rPr>
        <w:t>签订时间：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年</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月</w:t>
      </w:r>
      <w:r>
        <w:rPr>
          <w:rFonts w:hint="eastAsia" w:ascii="宋体" w:hAnsi="宋体" w:cs="宋体"/>
          <w:color w:val="auto"/>
          <w:sz w:val="36"/>
          <w:szCs w:val="36"/>
          <w:highlight w:val="none"/>
          <w:u w:val="single"/>
          <w:lang w:val="zh-CN"/>
        </w:rPr>
        <w:t xml:space="preserve">    </w:t>
      </w:r>
      <w:r>
        <w:rPr>
          <w:rFonts w:hint="eastAsia" w:ascii="宋体" w:hAnsi="宋体" w:cs="宋体"/>
          <w:color w:val="auto"/>
          <w:sz w:val="36"/>
          <w:szCs w:val="36"/>
          <w:highlight w:val="none"/>
          <w:lang w:val="zh-CN"/>
        </w:rPr>
        <w:t>日</w:t>
      </w:r>
    </w:p>
    <w:p w14:paraId="421394CB">
      <w:pPr>
        <w:tabs>
          <w:tab w:val="left" w:pos="7380"/>
        </w:tabs>
        <w:spacing w:line="360" w:lineRule="auto"/>
        <w:rPr>
          <w:rFonts w:hint="eastAsia" w:ascii="宋体" w:hAnsi="宋体" w:eastAsia="宋体" w:cs="宋体"/>
          <w:b/>
          <w:bCs/>
          <w:color w:val="auto"/>
          <w:sz w:val="44"/>
          <w:highlight w:val="none"/>
        </w:rPr>
        <w:sectPr>
          <w:pgSz w:w="11907" w:h="16840"/>
          <w:pgMar w:top="1440" w:right="1440" w:bottom="1440" w:left="1797" w:header="851" w:footer="851" w:gutter="0"/>
          <w:cols w:space="720" w:num="1"/>
          <w:docGrid w:linePitch="312" w:charSpace="0"/>
        </w:sectPr>
      </w:pPr>
    </w:p>
    <w:p w14:paraId="4B23C9F8">
      <w:pPr>
        <w:pageBreakBefore w:val="0"/>
        <w:widowControl w:val="0"/>
        <w:kinsoku/>
        <w:wordWrap/>
        <w:overflowPunct/>
        <w:topLinePunct w:val="0"/>
        <w:bidi w:val="0"/>
        <w:spacing w:line="360" w:lineRule="auto"/>
        <w:ind w:left="0" w:leftChars="0"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0A13D14C">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68B38CE0">
      <w:pPr>
        <w:pageBreakBefore w:val="0"/>
        <w:widowControl w:val="0"/>
        <w:kinsoku/>
        <w:wordWrap/>
        <w:overflowPunct/>
        <w:topLinePunct w:val="0"/>
        <w:bidi w:val="0"/>
        <w:spacing w:line="360" w:lineRule="auto"/>
        <w:ind w:left="0" w:leftChars="0" w:firstLine="480" w:firstLineChars="200"/>
        <w:jc w:val="center"/>
        <w:rPr>
          <w:rFonts w:hint="eastAsia" w:ascii="宋体" w:hAnsi="宋体" w:eastAsia="宋体" w:cs="宋体"/>
          <w:color w:val="auto"/>
          <w:sz w:val="24"/>
          <w:szCs w:val="24"/>
          <w:highlight w:val="none"/>
        </w:rPr>
      </w:pPr>
    </w:p>
    <w:p w14:paraId="4D4648A3">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第一节、</w:t>
      </w:r>
      <w:r>
        <w:rPr>
          <w:rFonts w:hint="eastAsia" w:ascii="宋体" w:hAnsi="宋体" w:eastAsia="宋体" w:cs="宋体"/>
          <w:b/>
          <w:color w:val="auto"/>
          <w:sz w:val="28"/>
          <w:szCs w:val="28"/>
          <w:highlight w:val="none"/>
        </w:rPr>
        <w:t>合同协议书</w:t>
      </w:r>
    </w:p>
    <w:p w14:paraId="4B51ABF4">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t>第二节、中标通知书</w:t>
      </w:r>
    </w:p>
    <w:p w14:paraId="45F26007">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第三节、</w:t>
      </w:r>
      <w:r>
        <w:rPr>
          <w:rFonts w:hint="eastAsia" w:ascii="宋体" w:hAnsi="宋体" w:eastAsia="宋体" w:cs="宋体"/>
          <w:b/>
          <w:color w:val="auto"/>
          <w:sz w:val="28"/>
          <w:szCs w:val="28"/>
          <w:highlight w:val="none"/>
        </w:rPr>
        <w:t>通用合同条款</w:t>
      </w:r>
    </w:p>
    <w:p w14:paraId="7D526E3E">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第四节、</w:t>
      </w:r>
      <w:r>
        <w:rPr>
          <w:rFonts w:hint="eastAsia" w:ascii="宋体" w:hAnsi="宋体" w:eastAsia="宋体" w:cs="宋体"/>
          <w:b/>
          <w:color w:val="auto"/>
          <w:sz w:val="28"/>
          <w:szCs w:val="28"/>
          <w:highlight w:val="none"/>
        </w:rPr>
        <w:t>专用合同条款</w:t>
      </w:r>
    </w:p>
    <w:p w14:paraId="00FD7FCD">
      <w:pPr>
        <w:pageBreakBefore w:val="0"/>
        <w:widowControl w:val="0"/>
        <w:numPr>
          <w:ilvl w:val="0"/>
          <w:numId w:val="0"/>
        </w:numPr>
        <w:tabs>
          <w:tab w:val="left" w:pos="0"/>
        </w:tabs>
        <w:kinsoku/>
        <w:wordWrap/>
        <w:overflowPunct/>
        <w:topLinePunct w:val="0"/>
        <w:bidi w:val="0"/>
        <w:spacing w:line="360" w:lineRule="auto"/>
        <w:ind w:left="0" w:leftChars="0" w:firstLine="562" w:firstLineChars="20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第</w:t>
      </w: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lang w:eastAsia="zh-CN"/>
        </w:rPr>
        <w:t>节、</w:t>
      </w:r>
      <w:r>
        <w:rPr>
          <w:rFonts w:hint="eastAsia" w:ascii="宋体" w:hAnsi="宋体" w:eastAsia="宋体" w:cs="宋体"/>
          <w:b/>
          <w:color w:val="auto"/>
          <w:sz w:val="28"/>
          <w:szCs w:val="28"/>
          <w:highlight w:val="none"/>
          <w:lang w:val="en-US" w:eastAsia="zh-CN"/>
        </w:rPr>
        <w:t>合同附件格式</w:t>
      </w:r>
    </w:p>
    <w:p w14:paraId="7B8DF420">
      <w:pPr>
        <w:pStyle w:val="24"/>
        <w:rPr>
          <w:rFonts w:hint="eastAsia"/>
          <w:color w:val="auto"/>
          <w:highlight w:val="none"/>
        </w:rPr>
      </w:pPr>
    </w:p>
    <w:p w14:paraId="6B83833D">
      <w:pPr>
        <w:pageBreakBefore w:val="0"/>
        <w:widowControl w:val="0"/>
        <w:kinsoku/>
        <w:wordWrap/>
        <w:overflowPunct/>
        <w:topLinePunct w:val="0"/>
        <w:autoSpaceDE w:val="0"/>
        <w:autoSpaceDN w:val="0"/>
        <w:bidi w:val="0"/>
        <w:adjustRightInd w:val="0"/>
        <w:spacing w:line="360" w:lineRule="auto"/>
        <w:ind w:left="0" w:leftChars="0" w:firstLine="480" w:firstLineChars="200"/>
        <w:rPr>
          <w:rFonts w:hint="eastAsia" w:ascii="宋体" w:hAnsi="宋体" w:eastAsia="宋体" w:cs="宋体"/>
          <w:color w:val="auto"/>
          <w:sz w:val="24"/>
          <w:szCs w:val="24"/>
          <w:highlight w:val="none"/>
          <w:lang w:val="en-US" w:eastAsia="zh-CN" w:bidi="ar-SA"/>
        </w:rPr>
      </w:pPr>
    </w:p>
    <w:p w14:paraId="3473FC39">
      <w:pPr>
        <w:pageBreakBefore w:val="0"/>
        <w:widowControl w:val="0"/>
        <w:numPr>
          <w:ilvl w:val="0"/>
          <w:numId w:val="0"/>
        </w:numPr>
        <w:tabs>
          <w:tab w:val="left" w:pos="600"/>
        </w:tabs>
        <w:kinsoku/>
        <w:wordWrap/>
        <w:overflowPunct/>
        <w:topLinePunct w:val="0"/>
        <w:bidi w:val="0"/>
        <w:spacing w:line="360" w:lineRule="auto"/>
        <w:ind w:left="0" w:leftChars="0" w:firstLine="482" w:firstLineChars="200"/>
        <w:jc w:val="center"/>
        <w:textAlignment w:val="baseline"/>
        <w:rPr>
          <w:rFonts w:hint="eastAsia" w:ascii="宋体" w:hAnsi="宋体" w:eastAsia="宋体" w:cs="宋体"/>
          <w:b/>
          <w:color w:val="auto"/>
          <w:sz w:val="24"/>
          <w:szCs w:val="24"/>
          <w:highlight w:val="none"/>
          <w:u w:val="none" w:color="auto"/>
        </w:rPr>
      </w:pPr>
    </w:p>
    <w:p w14:paraId="1562CA1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footerReference r:id="rId13" w:type="default"/>
          <w:pgSz w:w="11906" w:h="16838"/>
          <w:pgMar w:top="1418" w:right="1134" w:bottom="1418" w:left="1418" w:header="851" w:footer="737" w:gutter="0"/>
          <w:pgNumType w:fmt="decimal"/>
          <w:cols w:space="720" w:num="1"/>
          <w:docGrid w:type="lines" w:linePitch="312" w:charSpace="0"/>
        </w:sectPr>
      </w:pPr>
    </w:p>
    <w:p w14:paraId="3338BEF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4" w:name="_Toc31385"/>
      <w:r>
        <w:rPr>
          <w:rFonts w:hint="eastAsia" w:ascii="宋体" w:hAnsi="宋体" w:eastAsia="宋体" w:cs="宋体"/>
          <w:b/>
          <w:bCs/>
          <w:color w:val="auto"/>
          <w:kern w:val="44"/>
          <w:sz w:val="44"/>
          <w:szCs w:val="44"/>
          <w:highlight w:val="none"/>
          <w:lang w:val="en-US" w:eastAsia="zh-CN" w:bidi="ar-SA"/>
        </w:rPr>
        <w:t>第一节 合同协议书</w:t>
      </w:r>
      <w:bookmarkEnd w:id="204"/>
    </w:p>
    <w:p w14:paraId="0EDF7467">
      <w:pPr>
        <w:spacing w:line="440" w:lineRule="exact"/>
        <w:ind w:firstLine="482" w:firstLineChars="200"/>
        <w:rPr>
          <w:rFonts w:hint="eastAsia" w:ascii="宋体" w:hAnsi="宋体" w:eastAsia="宋体" w:cs="宋体"/>
          <w:b w:val="0"/>
          <w:bCs/>
          <w:color w:val="auto"/>
          <w:sz w:val="24"/>
          <w:szCs w:val="24"/>
          <w:highlight w:val="none"/>
          <w:lang w:eastAsia="zh-CN"/>
        </w:rPr>
      </w:pPr>
      <w:r>
        <w:rPr>
          <w:rFonts w:hint="eastAsia" w:ascii="宋体" w:hAnsi="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（发包人名称，以下简称“发包人”）为实施</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（项目名称），已接受</w:t>
      </w:r>
      <w:r>
        <w:rPr>
          <w:rFonts w:hint="eastAsia" w:ascii="宋体" w:hAnsi="宋体" w:eastAsia="宋体" w:cs="宋体"/>
          <w:b/>
          <w:bCs w:val="0"/>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（承包人名称，以下简称“承包人”）为该项目</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（项目名称）的施工单位，并确定其为中标人。发包人和承包人共同达成如下协议。</w:t>
      </w:r>
    </w:p>
    <w:p w14:paraId="786948EE">
      <w:pPr>
        <w:spacing w:line="520" w:lineRule="exact"/>
        <w:ind w:firstLine="530" w:firstLineChars="2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本协议书与下列文件一起构成合同文件：</w:t>
      </w:r>
    </w:p>
    <w:p w14:paraId="0B7B3B63">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）中标通知书；</w:t>
      </w:r>
    </w:p>
    <w:p w14:paraId="1C8B5A7A">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）投标函及投标函附录；</w:t>
      </w:r>
    </w:p>
    <w:p w14:paraId="040B60DB">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）专用合同条款（含附加条款）；</w:t>
      </w:r>
    </w:p>
    <w:p w14:paraId="5837F0C2">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）通用合同条款；</w:t>
      </w:r>
    </w:p>
    <w:p w14:paraId="5855E08F">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）技术标准和要求（合同技术条款）；</w:t>
      </w:r>
    </w:p>
    <w:p w14:paraId="23BDBC79">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55E520E4">
      <w:pPr>
        <w:spacing w:line="520" w:lineRule="exact"/>
        <w:ind w:firstLine="410" w:firstLineChars="17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73ADE56">
      <w:pPr>
        <w:spacing w:line="52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520FF085">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上述文件互相补充和解释，如有不明确或不一致之处，以合同约定次序在先者为准。</w:t>
      </w:r>
    </w:p>
    <w:p w14:paraId="676CAC1F">
      <w:pPr>
        <w:spacing w:line="520" w:lineRule="exact"/>
        <w:ind w:firstLine="482" w:firstLineChars="200"/>
        <w:rPr>
          <w:rFonts w:hint="eastAsia" w:ascii="宋体" w:hAnsi="宋体" w:eastAsia="宋体" w:cs="宋体"/>
          <w:b/>
          <w:color w:val="auto"/>
          <w:spacing w:val="-6"/>
          <w:sz w:val="24"/>
          <w:szCs w:val="24"/>
          <w:highlight w:val="none"/>
        </w:rPr>
      </w:pPr>
      <w:r>
        <w:rPr>
          <w:rFonts w:hint="eastAsia" w:ascii="宋体" w:hAnsi="宋体" w:eastAsia="宋体" w:cs="宋体"/>
          <w:b/>
          <w:color w:val="auto"/>
          <w:sz w:val="24"/>
          <w:szCs w:val="24"/>
          <w:highlight w:val="none"/>
        </w:rPr>
        <w:t>3. 签约合同价</w:t>
      </w:r>
      <w:r>
        <w:rPr>
          <w:rFonts w:hint="eastAsia" w:ascii="宋体" w:hAnsi="宋体" w:eastAsia="宋体" w:cs="宋体"/>
          <w:b/>
          <w:color w:val="auto"/>
          <w:spacing w:val="-6"/>
          <w:sz w:val="24"/>
          <w:szCs w:val="24"/>
          <w:highlight w:val="none"/>
        </w:rPr>
        <w:t>：</w:t>
      </w:r>
    </w:p>
    <w:p w14:paraId="7687D5EF">
      <w:pPr>
        <w:spacing w:line="520" w:lineRule="exact"/>
        <w:ind w:firstLine="450" w:firstLineChars="200"/>
        <w:rPr>
          <w:rFonts w:hint="eastAsia" w:ascii="宋体" w:hAnsi="宋体" w:eastAsia="宋体" w:cs="宋体"/>
          <w:b/>
          <w:color w:val="auto"/>
          <w:spacing w:val="-8"/>
          <w:kern w:val="0"/>
          <w:sz w:val="24"/>
          <w:szCs w:val="24"/>
          <w:highlight w:val="none"/>
          <w:u w:val="single"/>
        </w:rPr>
      </w:pPr>
      <w:r>
        <w:rPr>
          <w:rFonts w:hint="eastAsia" w:ascii="宋体" w:hAnsi="宋体" w:eastAsia="宋体" w:cs="宋体"/>
          <w:b/>
          <w:color w:val="auto"/>
          <w:spacing w:val="-8"/>
          <w:kern w:val="0"/>
          <w:sz w:val="24"/>
          <w:szCs w:val="24"/>
          <w:highlight w:val="none"/>
        </w:rPr>
        <w:t>（1）建安合同价：（大写）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247C786A">
      <w:pPr>
        <w:spacing w:line="520" w:lineRule="exact"/>
        <w:ind w:firstLine="2474" w:firstLineChars="11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 xml:space="preserve">（小写）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color w:val="auto"/>
          <w:spacing w:val="-8"/>
          <w:kern w:val="0"/>
          <w:sz w:val="24"/>
          <w:szCs w:val="24"/>
          <w:highlight w:val="none"/>
        </w:rPr>
        <w:t>。</w:t>
      </w:r>
    </w:p>
    <w:p w14:paraId="301E2B2A">
      <w:pPr>
        <w:spacing w:line="520" w:lineRule="exact"/>
        <w:ind w:firstLine="450" w:firstLineChars="200"/>
        <w:rPr>
          <w:rFonts w:hint="eastAsia" w:ascii="宋体" w:hAnsi="宋体" w:eastAsia="宋体" w:cs="宋体"/>
          <w:b/>
          <w:color w:val="auto"/>
          <w:spacing w:val="-8"/>
          <w:kern w:val="0"/>
          <w:sz w:val="24"/>
          <w:szCs w:val="24"/>
          <w:highlight w:val="none"/>
        </w:rPr>
      </w:pPr>
      <w:r>
        <w:rPr>
          <w:rFonts w:hint="eastAsia" w:ascii="宋体" w:hAnsi="宋体" w:eastAsia="宋体" w:cs="宋体"/>
          <w:b/>
          <w:color w:val="auto"/>
          <w:spacing w:val="-8"/>
          <w:kern w:val="0"/>
          <w:sz w:val="24"/>
          <w:szCs w:val="24"/>
          <w:highlight w:val="none"/>
        </w:rPr>
        <w:t>工程承包方式：</w:t>
      </w:r>
      <w:r>
        <w:rPr>
          <w:rFonts w:hint="eastAsia" w:ascii="宋体" w:hAnsi="宋体" w:eastAsia="宋体" w:cs="宋体"/>
          <w:b/>
          <w:color w:val="auto"/>
          <w:spacing w:val="-8"/>
          <w:kern w:val="0"/>
          <w:sz w:val="24"/>
          <w:szCs w:val="24"/>
          <w:highlight w:val="none"/>
          <w:u w:val="single"/>
        </w:rPr>
        <w:t xml:space="preserve">固定单价承包 </w:t>
      </w:r>
      <w:r>
        <w:rPr>
          <w:rFonts w:hint="eastAsia" w:ascii="宋体" w:hAnsi="宋体" w:eastAsia="宋体" w:cs="宋体"/>
          <w:b/>
          <w:color w:val="auto"/>
          <w:spacing w:val="-8"/>
          <w:kern w:val="0"/>
          <w:sz w:val="24"/>
          <w:szCs w:val="24"/>
          <w:highlight w:val="none"/>
        </w:rPr>
        <w:t>。</w:t>
      </w:r>
    </w:p>
    <w:p w14:paraId="14E9B615">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p>
    <w:p w14:paraId="07264010">
      <w:pPr>
        <w:numPr>
          <w:ilvl w:val="0"/>
          <w:numId w:val="4"/>
        </w:num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国家施工验收规范合格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w:t>
      </w:r>
    </w:p>
    <w:p w14:paraId="6FF46DEE">
      <w:pPr>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承包人承诺按合同约定承担工程的实施、完成及缺陷修复。</w:t>
      </w:r>
    </w:p>
    <w:p w14:paraId="131E6AF5">
      <w:pPr>
        <w:spacing w:line="520" w:lineRule="exact"/>
        <w:ind w:firstLine="456"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7. 发包人承诺按合同约定的条件、时间和方式向承包人支付合同价款。</w:t>
      </w:r>
    </w:p>
    <w:p w14:paraId="5916FF2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承包人承诺执行监理人开工通知，计划工期为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天。承包人应积极配合完成项目开工准备工作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eastAsia="zh-CN"/>
        </w:rPr>
        <w:t>开工</w:t>
      </w:r>
      <w:r>
        <w:rPr>
          <w:rFonts w:hint="eastAsia" w:ascii="宋体" w:hAnsi="宋体" w:eastAsia="宋体" w:cs="宋体"/>
          <w:color w:val="auto"/>
          <w:sz w:val="24"/>
          <w:szCs w:val="24"/>
          <w:highlight w:val="none"/>
        </w:rPr>
        <w:t>，开工日期以监理人签发的开工令为准，由于承包人原因造成开工日期延误的，由承包人承担相应责任。</w:t>
      </w:r>
    </w:p>
    <w:p w14:paraId="3BADE419">
      <w:pPr>
        <w:spacing w:line="520" w:lineRule="exact"/>
        <w:ind w:left="281" w:leftChars="13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本协议书一式</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份，发包人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份，承包人</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30551482">
      <w:pPr>
        <w:spacing w:line="52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val="en-US" w:eastAsia="zh-CN"/>
        </w:rPr>
        <w:t>0</w:t>
      </w:r>
      <w:r>
        <w:rPr>
          <w:rFonts w:hint="eastAsia" w:ascii="宋体" w:hAnsi="宋体" w:eastAsia="宋体" w:cs="宋体"/>
          <w:color w:val="auto"/>
          <w:spacing w:val="-2"/>
          <w:sz w:val="24"/>
          <w:szCs w:val="24"/>
          <w:highlight w:val="none"/>
        </w:rPr>
        <w:t>. 合同未尽事宜，双方另行签订补充协议。补充协议是合同的组成部分。</w:t>
      </w:r>
    </w:p>
    <w:p w14:paraId="739F0D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   </w:t>
      </w:r>
    </w:p>
    <w:tbl>
      <w:tblPr>
        <w:tblStyle w:val="27"/>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1"/>
        <w:gridCol w:w="5898"/>
      </w:tblGrid>
      <w:tr w14:paraId="21E7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841" w:type="dxa"/>
            <w:tcBorders>
              <w:top w:val="nil"/>
              <w:left w:val="nil"/>
              <w:bottom w:val="nil"/>
              <w:right w:val="nil"/>
            </w:tcBorders>
            <w:shd w:val="clear" w:color="auto" w:fill="auto"/>
            <w:noWrap w:val="0"/>
            <w:vAlign w:val="top"/>
          </w:tcPr>
          <w:p w14:paraId="053DFECC">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发包人：</w:t>
            </w:r>
          </w:p>
        </w:tc>
        <w:tc>
          <w:tcPr>
            <w:tcW w:w="5898" w:type="dxa"/>
            <w:tcBorders>
              <w:top w:val="nil"/>
              <w:left w:val="nil"/>
              <w:bottom w:val="nil"/>
              <w:right w:val="nil"/>
            </w:tcBorders>
            <w:shd w:val="clear" w:color="auto" w:fill="auto"/>
            <w:noWrap w:val="0"/>
            <w:vAlign w:val="top"/>
          </w:tcPr>
          <w:p w14:paraId="139D5E1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r>
      <w:tr w14:paraId="39FF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3841" w:type="dxa"/>
            <w:tcBorders>
              <w:top w:val="nil"/>
              <w:left w:val="nil"/>
              <w:bottom w:val="nil"/>
              <w:right w:val="nil"/>
            </w:tcBorders>
            <w:shd w:val="clear" w:color="auto" w:fill="auto"/>
            <w:noWrap w:val="0"/>
            <w:vAlign w:val="top"/>
          </w:tcPr>
          <w:p w14:paraId="5793AF46">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w:t>
            </w:r>
          </w:p>
          <w:p w14:paraId="2AACCBCE">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（盖章或签字）</w:t>
            </w:r>
          </w:p>
        </w:tc>
        <w:tc>
          <w:tcPr>
            <w:tcW w:w="5898" w:type="dxa"/>
            <w:tcBorders>
              <w:top w:val="nil"/>
              <w:left w:val="nil"/>
              <w:bottom w:val="nil"/>
              <w:right w:val="nil"/>
            </w:tcBorders>
            <w:shd w:val="clear" w:color="auto" w:fill="auto"/>
            <w:noWrap w:val="0"/>
            <w:vAlign w:val="top"/>
          </w:tcPr>
          <w:p w14:paraId="7B0629AF">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kern w:val="2"/>
                <w:sz w:val="24"/>
                <w:szCs w:val="24"/>
                <w:highlight w:val="none"/>
                <w:lang w:val="en-US" w:eastAsia="zh-CN" w:bidi="ar-SA"/>
              </w:rPr>
              <w:t>或授权委托人：（盖章或签字）</w:t>
            </w:r>
          </w:p>
        </w:tc>
      </w:tr>
      <w:tr w14:paraId="3B7F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27F707BB">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p>
        </w:tc>
        <w:tc>
          <w:tcPr>
            <w:tcW w:w="5898" w:type="dxa"/>
            <w:tcBorders>
              <w:top w:val="nil"/>
              <w:left w:val="nil"/>
              <w:bottom w:val="nil"/>
              <w:right w:val="nil"/>
            </w:tcBorders>
            <w:shd w:val="clear" w:color="auto" w:fill="auto"/>
            <w:noWrap w:val="0"/>
            <w:vAlign w:val="top"/>
          </w:tcPr>
          <w:p w14:paraId="262218D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地  址：</w:t>
            </w:r>
            <w:r>
              <w:rPr>
                <w:rFonts w:hint="eastAsia" w:ascii="宋体" w:hAnsi="宋体" w:cs="宋体"/>
                <w:color w:val="auto"/>
                <w:sz w:val="24"/>
                <w:szCs w:val="24"/>
                <w:highlight w:val="none"/>
                <w:lang w:val="en-US" w:eastAsia="zh-CN"/>
              </w:rPr>
              <w:t xml:space="preserve">    </w:t>
            </w:r>
          </w:p>
        </w:tc>
      </w:tr>
      <w:tr w14:paraId="39F9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74BB17A4">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p>
        </w:tc>
        <w:tc>
          <w:tcPr>
            <w:tcW w:w="5898" w:type="dxa"/>
            <w:tcBorders>
              <w:top w:val="nil"/>
              <w:left w:val="nil"/>
              <w:bottom w:val="nil"/>
              <w:right w:val="nil"/>
            </w:tcBorders>
            <w:shd w:val="clear" w:color="auto" w:fill="auto"/>
            <w:noWrap w:val="0"/>
            <w:vAlign w:val="top"/>
          </w:tcPr>
          <w:p w14:paraId="629BC210">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 xml:space="preserve"> </w:t>
            </w:r>
          </w:p>
        </w:tc>
      </w:tr>
      <w:tr w14:paraId="5D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4A60A07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传  真：</w:t>
            </w:r>
          </w:p>
        </w:tc>
        <w:tc>
          <w:tcPr>
            <w:tcW w:w="5898" w:type="dxa"/>
            <w:tcBorders>
              <w:top w:val="nil"/>
              <w:left w:val="nil"/>
              <w:bottom w:val="nil"/>
              <w:right w:val="nil"/>
            </w:tcBorders>
            <w:shd w:val="clear" w:color="auto" w:fill="auto"/>
            <w:noWrap w:val="0"/>
            <w:vAlign w:val="top"/>
          </w:tcPr>
          <w:p w14:paraId="02E96738">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lang w:val="en-US" w:eastAsia="zh-CN"/>
              </w:rPr>
              <w:t>：</w:t>
            </w:r>
          </w:p>
        </w:tc>
      </w:tr>
      <w:tr w14:paraId="7E79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6F178542">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 xml:space="preserve">邮  箱: </w:t>
            </w:r>
          </w:p>
        </w:tc>
        <w:tc>
          <w:tcPr>
            <w:tcW w:w="5898" w:type="dxa"/>
            <w:tcBorders>
              <w:top w:val="nil"/>
              <w:left w:val="nil"/>
              <w:bottom w:val="nil"/>
              <w:right w:val="nil"/>
            </w:tcBorders>
            <w:shd w:val="clear" w:color="auto" w:fill="auto"/>
            <w:noWrap w:val="0"/>
            <w:vAlign w:val="top"/>
          </w:tcPr>
          <w:p w14:paraId="39F59FE9">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公司邮箱</w:t>
            </w:r>
            <w:r>
              <w:rPr>
                <w:rFonts w:hint="eastAsia" w:ascii="宋体" w:hAnsi="宋体" w:eastAsia="宋体" w:cs="宋体"/>
                <w:color w:val="auto"/>
                <w:sz w:val="24"/>
                <w:szCs w:val="24"/>
                <w:highlight w:val="none"/>
                <w:lang w:eastAsia="zh-CN"/>
              </w:rPr>
              <w:t>：</w:t>
            </w:r>
          </w:p>
        </w:tc>
      </w:tr>
      <w:tr w14:paraId="2C8E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8FF7C6A">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6C72F3C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cs="Times New Roman"/>
                <w:color w:val="auto"/>
                <w:sz w:val="24"/>
                <w:szCs w:val="24"/>
                <w:highlight w:val="none"/>
                <w:lang w:val="en-US" w:eastAsia="zh-CN"/>
              </w:rPr>
              <w:t xml:space="preserve"> </w:t>
            </w:r>
          </w:p>
        </w:tc>
      </w:tr>
      <w:tr w14:paraId="4C76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841" w:type="dxa"/>
            <w:tcBorders>
              <w:top w:val="nil"/>
              <w:left w:val="nil"/>
              <w:bottom w:val="nil"/>
              <w:right w:val="nil"/>
            </w:tcBorders>
            <w:shd w:val="clear" w:color="auto" w:fill="auto"/>
            <w:noWrap w:val="0"/>
            <w:vAlign w:val="top"/>
          </w:tcPr>
          <w:p w14:paraId="1A30FF3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开票信息：</w:t>
            </w:r>
            <w:r>
              <w:rPr>
                <w:rFonts w:hint="eastAsia" w:ascii="宋体" w:hAnsi="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3FD9523D">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基本账户开户银行</w:t>
            </w:r>
            <w:r>
              <w:rPr>
                <w:rFonts w:hint="eastAsia" w:ascii="宋体" w:hAnsi="宋体" w:eastAsia="宋体" w:cs="宋体"/>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 xml:space="preserve"> </w:t>
            </w:r>
          </w:p>
        </w:tc>
      </w:tr>
      <w:tr w14:paraId="565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841" w:type="dxa"/>
            <w:tcBorders>
              <w:top w:val="nil"/>
              <w:left w:val="nil"/>
              <w:bottom w:val="nil"/>
              <w:right w:val="nil"/>
            </w:tcBorders>
            <w:shd w:val="clear" w:color="auto" w:fill="auto"/>
            <w:noWrap w:val="0"/>
            <w:vAlign w:val="top"/>
          </w:tcPr>
          <w:p w14:paraId="19D1FA17">
            <w:pPr>
              <w:keepNext w:val="0"/>
              <w:keepLines w:val="0"/>
              <w:pageBreakBefore w:val="0"/>
              <w:widowControl w:val="0"/>
              <w:kinsoku/>
              <w:wordWrap/>
              <w:overflowPunct/>
              <w:topLinePunct w:val="0"/>
              <w:autoSpaceDE/>
              <w:autoSpaceDN/>
              <w:bidi w:val="0"/>
              <w:adjustRightInd/>
              <w:snapToGrid/>
              <w:spacing w:line="400" w:lineRule="atLeast"/>
              <w:ind w:left="0" w:lef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纳税人识别号：</w:t>
            </w:r>
            <w:r>
              <w:rPr>
                <w:rFonts w:hint="eastAsia" w:ascii="宋体" w:hAnsi="宋体" w:eastAsia="宋体" w:cs="宋体"/>
                <w:color w:val="auto"/>
                <w:sz w:val="24"/>
                <w:szCs w:val="24"/>
                <w:highlight w:val="none"/>
                <w:lang w:val="en-US" w:eastAsia="zh-CN"/>
              </w:rPr>
              <w:t xml:space="preserve"> </w:t>
            </w:r>
          </w:p>
        </w:tc>
        <w:tc>
          <w:tcPr>
            <w:tcW w:w="5898" w:type="dxa"/>
            <w:tcBorders>
              <w:top w:val="nil"/>
              <w:left w:val="nil"/>
              <w:bottom w:val="nil"/>
              <w:right w:val="nil"/>
            </w:tcBorders>
            <w:shd w:val="clear" w:color="auto" w:fill="auto"/>
            <w:noWrap w:val="0"/>
            <w:vAlign w:val="top"/>
          </w:tcPr>
          <w:p w14:paraId="5583E1DA">
            <w:pPr>
              <w:keepNext w:val="0"/>
              <w:keepLines w:val="0"/>
              <w:pageBreakBefore w:val="0"/>
              <w:widowControl w:val="0"/>
              <w:kinsoku/>
              <w:wordWrap/>
              <w:overflowPunct/>
              <w:topLinePunct w:val="0"/>
              <w:autoSpaceDE/>
              <w:autoSpaceDN/>
              <w:bidi w:val="0"/>
              <w:adjustRightInd/>
              <w:snapToGrid/>
              <w:spacing w:line="400" w:lineRule="atLeast"/>
              <w:ind w:left="6020" w:hanging="5160" w:hangingChars="2150"/>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eastAsia="zh-CN"/>
              </w:rPr>
              <w:t>基本账户：</w:t>
            </w:r>
            <w:r>
              <w:rPr>
                <w:rFonts w:hint="eastAsia" w:ascii="宋体" w:hAnsi="宋体" w:cs="Times New Roman"/>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p>
        </w:tc>
      </w:tr>
    </w:tbl>
    <w:p w14:paraId="00CBFB24">
      <w:pPr>
        <w:pageBreakBefore w:val="0"/>
        <w:widowControl w:val="0"/>
        <w:kinsoku/>
        <w:wordWrap/>
        <w:overflowPunct/>
        <w:topLinePunct w:val="0"/>
        <w:bidi w:val="0"/>
        <w:snapToGrid w:val="0"/>
        <w:spacing w:line="360" w:lineRule="auto"/>
        <w:ind w:left="0" w:leftChars="0" w:firstLine="480" w:firstLineChars="200"/>
        <w:jc w:val="left"/>
        <w:rPr>
          <w:rFonts w:hint="eastAsia" w:ascii="宋体" w:hAnsi="宋体" w:eastAsia="宋体" w:cs="宋体"/>
          <w:color w:val="auto"/>
          <w:kern w:val="0"/>
          <w:sz w:val="24"/>
          <w:szCs w:val="24"/>
          <w:highlight w:val="none"/>
          <w:lang w:val="en-US" w:eastAsia="zh-CN" w:bidi="ar-SA"/>
        </w:rPr>
      </w:pPr>
    </w:p>
    <w:p w14:paraId="7610FC58">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sectPr>
          <w:headerReference r:id="rId14" w:type="first"/>
          <w:footerReference r:id="rId16" w:type="first"/>
          <w:footerReference r:id="rId15" w:type="default"/>
          <w:pgSz w:w="11906" w:h="16838"/>
          <w:pgMar w:top="1440" w:right="1418" w:bottom="1440" w:left="1588" w:header="851" w:footer="992" w:gutter="0"/>
          <w:pgNumType w:fmt="decimal"/>
          <w:cols w:space="720" w:num="1"/>
          <w:titlePg/>
          <w:docGrid w:type="lines" w:linePitch="312" w:charSpace="0"/>
        </w:sectPr>
      </w:pPr>
    </w:p>
    <w:p w14:paraId="3157D6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宋体" w:hAnsi="宋体" w:eastAsia="宋体" w:cs="宋体"/>
          <w:color w:val="auto"/>
          <w:sz w:val="24"/>
          <w:szCs w:val="24"/>
          <w:highlight w:val="none"/>
          <w:lang w:eastAsia="zh-CN"/>
        </w:rPr>
        <w:sectPr>
          <w:type w:val="continuous"/>
          <w:pgSz w:w="11906" w:h="16838"/>
          <w:pgMar w:top="1440" w:right="1418" w:bottom="1440" w:left="1588" w:header="851" w:footer="992" w:gutter="0"/>
          <w:pgNumType w:fmt="decimal"/>
          <w:cols w:space="720" w:num="1"/>
          <w:titlePg/>
          <w:docGrid w:type="lines" w:linePitch="312" w:charSpace="0"/>
        </w:sectPr>
      </w:pPr>
      <w:r>
        <w:rPr>
          <w:rFonts w:hint="eastAsia" w:ascii="宋体" w:hAnsi="宋体" w:eastAsia="宋体" w:cs="宋体"/>
          <w:color w:val="auto"/>
          <w:sz w:val="24"/>
          <w:szCs w:val="24"/>
          <w:highlight w:val="none"/>
          <w:lang w:val="en-US" w:eastAsia="zh-CN"/>
        </w:rPr>
        <w:t xml:space="preserve">签订日期：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年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月    日</w:t>
      </w:r>
    </w:p>
    <w:p w14:paraId="1AE6D87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05" w:name="_Toc27308"/>
      <w:r>
        <w:rPr>
          <w:rFonts w:hint="eastAsia" w:ascii="宋体" w:hAnsi="宋体" w:eastAsia="宋体" w:cs="宋体"/>
          <w:b/>
          <w:bCs/>
          <w:color w:val="auto"/>
          <w:kern w:val="44"/>
          <w:sz w:val="44"/>
          <w:szCs w:val="44"/>
          <w:highlight w:val="none"/>
          <w:lang w:val="en-US" w:eastAsia="zh-CN" w:bidi="ar-SA"/>
        </w:rPr>
        <w:t>第二节 中标通知书</w:t>
      </w:r>
      <w:bookmarkEnd w:id="205"/>
      <w:r>
        <w:rPr>
          <w:rFonts w:hint="eastAsia" w:ascii="宋体" w:hAnsi="宋体" w:eastAsia="宋体" w:cs="宋体"/>
          <w:b/>
          <w:bCs/>
          <w:color w:val="auto"/>
          <w:kern w:val="44"/>
          <w:sz w:val="44"/>
          <w:szCs w:val="44"/>
          <w:highlight w:val="none"/>
          <w:lang w:val="en-US" w:eastAsia="zh-CN" w:bidi="ar-SA"/>
        </w:rPr>
        <w:t xml:space="preserve"> </w:t>
      </w:r>
    </w:p>
    <w:p w14:paraId="3E5D5449">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24"/>
          <w:szCs w:val="24"/>
          <w:highlight w:val="none"/>
          <w:lang w:val="en-US" w:eastAsia="zh-CN" w:bidi="ar-SA"/>
        </w:rPr>
        <w:br w:type="page"/>
      </w:r>
      <w:bookmarkStart w:id="206" w:name="_Toc3376"/>
      <w:r>
        <w:rPr>
          <w:rFonts w:hint="eastAsia" w:ascii="宋体" w:hAnsi="宋体" w:eastAsia="宋体" w:cs="宋体"/>
          <w:b/>
          <w:bCs/>
          <w:color w:val="auto"/>
          <w:kern w:val="44"/>
          <w:sz w:val="44"/>
          <w:szCs w:val="44"/>
          <w:highlight w:val="none"/>
          <w:lang w:val="en-US" w:eastAsia="zh-CN" w:bidi="ar-SA"/>
        </w:rPr>
        <w:t>第三节 通用合同条款</w:t>
      </w:r>
      <w:bookmarkEnd w:id="206"/>
    </w:p>
    <w:p w14:paraId="276104A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7" w:name="_Toc350"/>
      <w:r>
        <w:rPr>
          <w:rFonts w:hint="eastAsia" w:ascii="宋体" w:hAnsi="宋体" w:eastAsia="宋体" w:cs="宋体"/>
          <w:color w:val="auto"/>
          <w:kern w:val="2"/>
          <w:sz w:val="24"/>
          <w:szCs w:val="24"/>
          <w:highlight w:val="none"/>
          <w:lang w:val="en-US" w:eastAsia="zh-CN" w:bidi="ar-SA"/>
        </w:rPr>
        <w:t>1. 一般约定</w:t>
      </w:r>
      <w:bookmarkEnd w:id="207"/>
    </w:p>
    <w:p w14:paraId="1B5823D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40C23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通用合同条款、专用合同条款中的下列词语应具有本款所赋予的含义。</w:t>
      </w:r>
    </w:p>
    <w:p w14:paraId="58C7A1C4">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1合同</w:t>
      </w:r>
    </w:p>
    <w:p w14:paraId="0E077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合同文件（或称合同）：指合同协议书、中标通知书、投标函及投标函附录、专用合同条款、通用合同条款、技术标准和要求、图纸、已标价工程量清单，以及其他合同文件。</w:t>
      </w:r>
    </w:p>
    <w:p w14:paraId="2EA966FF">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2合同协议书：指第</w:t>
      </w:r>
      <w:r>
        <w:rPr>
          <w:rFonts w:hint="eastAsia" w:ascii="宋体" w:hAnsi="宋体" w:eastAsia="宋体" w:cs="宋体"/>
          <w:color w:val="auto"/>
          <w:kern w:val="2"/>
          <w:sz w:val="24"/>
          <w:szCs w:val="24"/>
          <w:highlight w:val="none"/>
          <w:lang w:val="en-US" w:eastAsia="zh-CN" w:bidi="en-US"/>
        </w:rPr>
        <w:t>1.5</w:t>
      </w:r>
      <w:r>
        <w:rPr>
          <w:rFonts w:hint="eastAsia" w:ascii="宋体" w:hAnsi="宋体" w:eastAsia="宋体" w:cs="宋体"/>
          <w:color w:val="auto"/>
          <w:kern w:val="2"/>
          <w:sz w:val="24"/>
          <w:szCs w:val="24"/>
          <w:highlight w:val="none"/>
          <w:lang w:val="zh-CN" w:eastAsia="zh-CN" w:bidi="zh-CN"/>
        </w:rPr>
        <w:t>款所指的合同协议书。</w:t>
      </w:r>
    </w:p>
    <w:p w14:paraId="63A1B3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3中标通知书：指发包人通知承包人中标的函件。</w:t>
      </w:r>
    </w:p>
    <w:p w14:paraId="363B8AD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4投标函：指构成合同文件组成部分的由承包人填写并签署的投标函。</w:t>
      </w:r>
    </w:p>
    <w:p w14:paraId="324A259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5投标函附录：指附在投标函后构成合同文件的投标函附录。</w:t>
      </w:r>
    </w:p>
    <w:p w14:paraId="62A709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1.1.1.6技术标准和要求：指构成合同文件组成部分的名为技术标准和要求（合同技术条款）的文件，包括合同双方当事人约定对其所做的修改或补充。</w:t>
      </w:r>
    </w:p>
    <w:p w14:paraId="777941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1.1.1.7  图纸：指列入合同的招标图纸、投标图纸和发包人按合同约定向承包人提供 的施工图纸和其他图纸（包括配套说明和有关资料）。列入合同的招标图纸已成为合同文件的一部分，具有合同效力，主要用于在履行合同过程中作为衡量变更的依据，但不能直接用于施工。经发包人确认进入合同的投标图纸亦成为合同文件的一部分，用于在履行合同中检验承包人是否按其投标时承诺的条件进行施工的依据，亦不能直接用于施工。</w:t>
      </w:r>
    </w:p>
    <w:p w14:paraId="533034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8已标价工程量清单：指构成合同文件组成部分的由承包人按照规定的格式和要求填写并标明价格的工程量清单。</w:t>
      </w:r>
    </w:p>
    <w:p w14:paraId="51E8F8B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9其他合同文件：指经合同双方当事人确认构成合同文件的其他文件。</w:t>
      </w:r>
    </w:p>
    <w:p w14:paraId="4B4B94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56AB560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合同当事人：指发包人和（或）承包人。</w:t>
      </w:r>
    </w:p>
    <w:p w14:paraId="1E51B22C">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发包人：指专用合同条款中指明并与承包人在合同协议书中签字的当事人。</w:t>
      </w:r>
    </w:p>
    <w:p w14:paraId="0B226DE2">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1.1.2.3</w:t>
      </w:r>
      <w:r>
        <w:rPr>
          <w:rFonts w:hint="eastAsia" w:ascii="宋体" w:hAnsi="宋体" w:eastAsia="宋体" w:cs="宋体"/>
          <w:color w:val="auto"/>
          <w:kern w:val="2"/>
          <w:sz w:val="24"/>
          <w:szCs w:val="24"/>
          <w:highlight w:val="none"/>
          <w:lang w:val="zh-CN" w:eastAsia="zh-CN" w:bidi="zh-CN"/>
        </w:rPr>
        <w:t>承包人：指专用合同条款中指明并与发包人在合同协议书中签字的当事人。</w:t>
      </w:r>
    </w:p>
    <w:p w14:paraId="26571A6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1.1.2.4</w:t>
      </w:r>
      <w:r>
        <w:rPr>
          <w:rFonts w:hint="eastAsia" w:ascii="宋体" w:hAnsi="宋体" w:eastAsia="宋体" w:cs="宋体"/>
          <w:color w:val="auto"/>
          <w:kern w:val="2"/>
          <w:sz w:val="24"/>
          <w:szCs w:val="24"/>
          <w:highlight w:val="none"/>
          <w:lang w:val="zh-CN" w:eastAsia="zh-CN" w:bidi="zh-CN"/>
        </w:rPr>
        <w:t>承包人项目经理：指承包人派驻施工场地的全权负责人。</w:t>
      </w:r>
    </w:p>
    <w:p w14:paraId="45B800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1.1.2.5</w:t>
      </w:r>
      <w:r>
        <w:rPr>
          <w:rFonts w:hint="eastAsia" w:ascii="宋体" w:hAnsi="宋体" w:eastAsia="宋体" w:cs="宋体"/>
          <w:color w:val="auto"/>
          <w:kern w:val="2"/>
          <w:sz w:val="24"/>
          <w:szCs w:val="24"/>
          <w:highlight w:val="none"/>
          <w:lang w:val="zh-CN" w:eastAsia="zh-CN" w:bidi="zh-CN"/>
        </w:rPr>
        <w:t>分包人：指专用合同条款中指明的，从承包人处分包合同中某一部分工程, 并与其签订分包合同的分包人。</w:t>
      </w:r>
    </w:p>
    <w:p w14:paraId="24CA919C">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1.1.2.6  </w:t>
      </w:r>
      <w:r>
        <w:rPr>
          <w:rFonts w:hint="eastAsia" w:ascii="宋体" w:hAnsi="宋体" w:eastAsia="宋体" w:cs="宋体"/>
          <w:color w:val="auto"/>
          <w:kern w:val="2"/>
          <w:sz w:val="24"/>
          <w:szCs w:val="24"/>
          <w:highlight w:val="none"/>
          <w:lang w:val="zh-CN" w:eastAsia="zh-CN" w:bidi="zh-CN"/>
        </w:rPr>
        <w:t>监理人：指在专用合同条款中指明的，受发包人委托对合同履行实施管理的 法人或其他组织。</w:t>
      </w:r>
    </w:p>
    <w:p w14:paraId="096F94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7总监理工程师（总监）:指由监理人委派常驻施工场地对合同履行实施管理的全权负责人。</w:t>
      </w:r>
    </w:p>
    <w:p w14:paraId="04F4FC2E">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eastAsia="宋体" w:cs="宋体"/>
          <w:color w:val="auto"/>
          <w:kern w:val="0"/>
          <w:sz w:val="24"/>
          <w:szCs w:val="24"/>
          <w:highlight w:val="none"/>
          <w:lang w:val="zh-CN" w:eastAsia="zh-CN" w:bidi="zh-CN"/>
        </w:rPr>
        <w:t>3工程和设备</w:t>
      </w:r>
    </w:p>
    <w:p w14:paraId="0374CF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1工程：指永久工程和（或）临时工程。</w:t>
      </w:r>
    </w:p>
    <w:p w14:paraId="57EBECB9">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2永久工程：指按合同约定建造并移交给发包人的工程，包括工程设备。</w:t>
      </w:r>
    </w:p>
    <w:p w14:paraId="6025428D">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3临时工程：指为完成合同约定的永久工程所修建的各类临时性工程，不包括施工设备。</w:t>
      </w:r>
    </w:p>
    <w:p w14:paraId="25EEB32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4单位工程：指专用合同条款中指明特定范围的永久工程。</w:t>
      </w:r>
    </w:p>
    <w:p w14:paraId="715E5BA3">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5工程设备：指构成或计划构成永久工程一部分的机电设备、金属结构设备、仪器装置及其他类似的设备和装置。</w:t>
      </w:r>
    </w:p>
    <w:p w14:paraId="599838E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w:t>
      </w:r>
      <w:r>
        <w:rPr>
          <w:rFonts w:hint="eastAsia" w:ascii="宋体" w:hAnsi="宋体" w:eastAsia="宋体" w:cs="宋体"/>
          <w:color w:val="auto"/>
          <w:kern w:val="2"/>
          <w:sz w:val="24"/>
          <w:szCs w:val="24"/>
          <w:highlight w:val="none"/>
          <w:lang w:val="zh-CN" w:eastAsia="zh-CN" w:bidi="zh-CN"/>
        </w:rPr>
        <w:t>6施工设备：指为完成合同约定的各项工作所需的设备、器具和其他物品，不包括临时工程和材料。</w:t>
      </w:r>
    </w:p>
    <w:p w14:paraId="7988C1A6">
      <w:pPr>
        <w:pageBreakBefore w:val="0"/>
        <w:widowControl w:val="0"/>
        <w:tabs>
          <w:tab w:val="left" w:pos="9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1.1.3.7</w:t>
      </w:r>
      <w:r>
        <w:rPr>
          <w:rFonts w:hint="eastAsia" w:ascii="宋体" w:hAnsi="宋体" w:eastAsia="宋体" w:cs="宋体"/>
          <w:color w:val="auto"/>
          <w:kern w:val="2"/>
          <w:sz w:val="24"/>
          <w:szCs w:val="24"/>
          <w:highlight w:val="none"/>
          <w:lang w:val="zh-CN" w:eastAsia="zh-CN" w:bidi="zh-CN"/>
        </w:rPr>
        <w:t>临时设施：指为完成合同约定的各项工作所服务的临时性生产和生活设施。</w:t>
      </w:r>
    </w:p>
    <w:p w14:paraId="2F5CC389">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1.1.3.8</w:t>
      </w:r>
      <w:r>
        <w:rPr>
          <w:rFonts w:hint="eastAsia" w:ascii="宋体" w:hAnsi="宋体" w:eastAsia="宋体" w:cs="宋体"/>
          <w:color w:val="auto"/>
          <w:kern w:val="2"/>
          <w:sz w:val="24"/>
          <w:szCs w:val="24"/>
          <w:highlight w:val="none"/>
          <w:lang w:val="zh-CN" w:eastAsia="zh-CN" w:bidi="zh-CN"/>
        </w:rPr>
        <w:t>承包人设备：指承包人自带的施工设备。</w:t>
      </w:r>
    </w:p>
    <w:p w14:paraId="0513F651">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1.1.3.9</w:t>
      </w:r>
      <w:r>
        <w:rPr>
          <w:rFonts w:hint="eastAsia" w:ascii="宋体" w:hAnsi="宋体" w:eastAsia="宋体" w:cs="宋体"/>
          <w:color w:val="auto"/>
          <w:kern w:val="2"/>
          <w:sz w:val="24"/>
          <w:szCs w:val="24"/>
          <w:highlight w:val="none"/>
          <w:lang w:val="zh-CN" w:eastAsia="zh-CN" w:bidi="zh-CN"/>
        </w:rPr>
        <w:t>施工场地（或称工地、现场）：指用于合同工程施工的场所，以及在合同中指定作为施工场地组成部分的其他场所，包括永久占地和临时占地。</w:t>
      </w:r>
    </w:p>
    <w:p w14:paraId="14048248">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1.1.3.10</w:t>
      </w:r>
      <w:r>
        <w:rPr>
          <w:rFonts w:hint="eastAsia" w:ascii="宋体" w:hAnsi="宋体" w:eastAsia="宋体" w:cs="宋体"/>
          <w:color w:val="auto"/>
          <w:kern w:val="2"/>
          <w:sz w:val="24"/>
          <w:szCs w:val="24"/>
          <w:highlight w:val="none"/>
          <w:lang w:val="zh-CN" w:eastAsia="zh-CN" w:bidi="zh-CN"/>
        </w:rPr>
        <w:t>永久占地：指发包人为建设本合同工程永久征用的场地。</w:t>
      </w:r>
    </w:p>
    <w:p w14:paraId="33520E1F">
      <w:pPr>
        <w:pageBreakBefore w:val="0"/>
        <w:widowControl w:val="0"/>
        <w:tabs>
          <w:tab w:val="left" w:pos="9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1.1.3.11</w:t>
      </w:r>
      <w:r>
        <w:rPr>
          <w:rFonts w:hint="eastAsia" w:ascii="宋体" w:hAnsi="宋体" w:eastAsia="宋体" w:cs="宋体"/>
          <w:color w:val="auto"/>
          <w:kern w:val="2"/>
          <w:sz w:val="24"/>
          <w:szCs w:val="24"/>
          <w:highlight w:val="none"/>
          <w:lang w:val="zh-CN" w:eastAsia="zh-CN" w:bidi="zh-CN"/>
        </w:rPr>
        <w:t>临时占地：指发包人为建设本合同工程临时征用，并应在完工后须按合同 要求退还的场地。</w:t>
      </w:r>
    </w:p>
    <w:p w14:paraId="7CFCC5B0">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p>
    <w:p w14:paraId="5D293C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 </w:t>
      </w:r>
      <w:r>
        <w:rPr>
          <w:rFonts w:hint="eastAsia" w:ascii="宋体" w:hAnsi="宋体" w:eastAsia="宋体" w:cs="宋体"/>
          <w:color w:val="auto"/>
          <w:kern w:val="2"/>
          <w:sz w:val="24"/>
          <w:szCs w:val="24"/>
          <w:highlight w:val="none"/>
          <w:lang w:val="zh-CN" w:eastAsia="zh-CN" w:bidi="zh-CN"/>
        </w:rPr>
        <w:t>1开工通知：指监理人按第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1款通知承包人开工的函件。</w:t>
      </w:r>
    </w:p>
    <w:p w14:paraId="69F338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开工日期：指监理人按第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1款发出的开工通知中写明的开工日期。</w:t>
      </w:r>
    </w:p>
    <w:p w14:paraId="188485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1.1.4.3</w:t>
      </w:r>
      <w:r>
        <w:rPr>
          <w:rFonts w:hint="eastAsia" w:ascii="宋体" w:hAnsi="宋体" w:eastAsia="宋体" w:cs="宋体"/>
          <w:color w:val="auto"/>
          <w:kern w:val="2"/>
          <w:sz w:val="24"/>
          <w:szCs w:val="24"/>
          <w:highlight w:val="none"/>
          <w:lang w:val="zh-CN" w:eastAsia="zh-CN" w:bidi="zh-CN"/>
        </w:rPr>
        <w:t>工期：指承包人在投标函中承诺的完成合同工程所需的期限，包括按第</w:t>
      </w:r>
      <w:r>
        <w:rPr>
          <w:rFonts w:hint="eastAsia" w:ascii="宋体" w:hAnsi="宋体" w:eastAsia="宋体" w:cs="宋体"/>
          <w:color w:val="auto"/>
          <w:kern w:val="2"/>
          <w:sz w:val="24"/>
          <w:szCs w:val="24"/>
          <w:highlight w:val="none"/>
          <w:lang w:val="en-US" w:eastAsia="zh-CN" w:bidi="en-US"/>
        </w:rPr>
        <w:t xml:space="preserve">11.3 </w:t>
      </w:r>
      <w:r>
        <w:rPr>
          <w:rFonts w:hint="eastAsia" w:ascii="宋体" w:hAnsi="宋体" w:eastAsia="宋体" w:cs="宋体"/>
          <w:color w:val="auto"/>
          <w:kern w:val="2"/>
          <w:sz w:val="24"/>
          <w:szCs w:val="24"/>
          <w:highlight w:val="none"/>
          <w:lang w:val="zh-CN" w:eastAsia="zh-CN" w:bidi="zh-CN"/>
        </w:rPr>
        <w:t>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4款和第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6款约定所作的变更。</w:t>
      </w:r>
    </w:p>
    <w:p w14:paraId="5B7F6F9E">
      <w:pPr>
        <w:pageBreakBefore w:val="0"/>
        <w:widowControl w:val="0"/>
        <w:tabs>
          <w:tab w:val="left" w:pos="9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1.1.4.4  </w:t>
      </w:r>
      <w:r>
        <w:rPr>
          <w:rFonts w:hint="eastAsia" w:ascii="宋体" w:hAnsi="宋体" w:eastAsia="宋体" w:cs="宋体"/>
          <w:color w:val="auto"/>
          <w:kern w:val="2"/>
          <w:sz w:val="24"/>
          <w:szCs w:val="24"/>
          <w:highlight w:val="none"/>
          <w:lang w:val="zh-CN" w:eastAsia="zh-CN" w:bidi="zh-CN"/>
        </w:rPr>
        <w:t>竣工日期：即合同工程完工日期，指第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3目约定工期届满时的日期。 实际完工时间以合同工程完工证书中写明的日期为准。</w:t>
      </w:r>
    </w:p>
    <w:p w14:paraId="02A1AF1A">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1.1.4.5  </w:t>
      </w:r>
      <w:r>
        <w:rPr>
          <w:rFonts w:hint="eastAsia" w:ascii="宋体" w:hAnsi="宋体" w:eastAsia="宋体" w:cs="宋体"/>
          <w:color w:val="auto"/>
          <w:kern w:val="2"/>
          <w:sz w:val="24"/>
          <w:szCs w:val="24"/>
          <w:highlight w:val="none"/>
          <w:lang w:val="zh-CN" w:eastAsia="zh-CN" w:bidi="zh-CN"/>
        </w:rPr>
        <w:t>缺陷责任期：即工程质量保修期，指履行第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2款约定的缺陷责任的期限, 包括根据第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3款约定所作的延长，具体期限由专用合同条款约定。</w:t>
      </w:r>
    </w:p>
    <w:p w14:paraId="68D528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1.1.4.6</w:t>
      </w:r>
      <w:r>
        <w:rPr>
          <w:rFonts w:hint="eastAsia" w:ascii="宋体" w:hAnsi="宋体" w:eastAsia="宋体" w:cs="宋体"/>
          <w:color w:val="auto"/>
          <w:kern w:val="2"/>
          <w:sz w:val="24"/>
          <w:szCs w:val="24"/>
          <w:highlight w:val="none"/>
          <w:lang w:val="zh-CN" w:eastAsia="zh-CN" w:bidi="zh-CN"/>
        </w:rPr>
        <w:t>基准日期：指投标截止时间前28天的日期。</w:t>
      </w:r>
    </w:p>
    <w:p w14:paraId="56CEA4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1.1.4.7</w:t>
      </w:r>
      <w:r>
        <w:rPr>
          <w:rFonts w:hint="eastAsia" w:ascii="宋体" w:hAnsi="宋体" w:eastAsia="宋体" w:cs="宋体"/>
          <w:color w:val="auto"/>
          <w:kern w:val="2"/>
          <w:sz w:val="24"/>
          <w:szCs w:val="24"/>
          <w:highlight w:val="none"/>
          <w:lang w:val="zh-CN" w:eastAsia="zh-CN" w:bidi="zh-CN"/>
        </w:rPr>
        <w:t>天：除特别指明外，指日历天。合同中按天计算时间的，开始当天不计入, 从次日开始计算。期限最后一天的截止时间为当天24：</w:t>
      </w:r>
      <w:r>
        <w:rPr>
          <w:rFonts w:hint="eastAsia" w:ascii="宋体" w:hAnsi="宋体" w:eastAsia="宋体" w:cs="宋体"/>
          <w:color w:val="auto"/>
          <w:kern w:val="2"/>
          <w:sz w:val="24"/>
          <w:szCs w:val="24"/>
          <w:highlight w:val="none"/>
          <w:lang w:val="en-US" w:eastAsia="zh-CN" w:bidi="en-US"/>
        </w:rPr>
        <w:t>00</w:t>
      </w:r>
      <w:r>
        <w:rPr>
          <w:rFonts w:hint="eastAsia" w:ascii="宋体" w:hAnsi="宋体" w:eastAsia="宋体" w:cs="宋体"/>
          <w:color w:val="auto"/>
          <w:kern w:val="2"/>
          <w:sz w:val="24"/>
          <w:szCs w:val="24"/>
          <w:highlight w:val="none"/>
          <w:vertAlign w:val="subscript"/>
          <w:lang w:val="en-US" w:eastAsia="zh-CN" w:bidi="en-US"/>
        </w:rPr>
        <w:t>o</w:t>
      </w:r>
    </w:p>
    <w:p w14:paraId="7ACCA1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w:t>
      </w:r>
      <w:r>
        <w:rPr>
          <w:rFonts w:hint="eastAsia" w:ascii="宋体" w:hAnsi="宋体" w:eastAsia="宋体" w:cs="宋体"/>
          <w:color w:val="auto"/>
          <w:kern w:val="2"/>
          <w:sz w:val="24"/>
          <w:szCs w:val="24"/>
          <w:highlight w:val="none"/>
          <w:lang w:val="zh-CN" w:eastAsia="zh-CN" w:bidi="zh-CN"/>
        </w:rPr>
        <w:t>合同价格和费用</w:t>
      </w:r>
    </w:p>
    <w:p w14:paraId="3B343BFC">
      <w:pPr>
        <w:pageBreakBefore w:val="0"/>
        <w:widowControl w:val="0"/>
        <w:tabs>
          <w:tab w:val="left" w:pos="93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1.1.5.1</w:t>
      </w:r>
      <w:r>
        <w:rPr>
          <w:rFonts w:hint="eastAsia" w:ascii="宋体" w:hAnsi="宋体" w:eastAsia="宋体" w:cs="宋体"/>
          <w:color w:val="auto"/>
          <w:kern w:val="2"/>
          <w:sz w:val="24"/>
          <w:szCs w:val="24"/>
          <w:highlight w:val="none"/>
          <w:lang w:val="zh-CN" w:eastAsia="zh-CN" w:bidi="zh-CN"/>
        </w:rPr>
        <w:t>签约合同价：指签定合同时合同协议书中写明的，包括了暂列金额、暂估价的合同总金额。</w:t>
      </w:r>
    </w:p>
    <w:p w14:paraId="3E77D30E">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1.1.5.2合同价格：指承包人按合同约定完成了包括缺陷责任期内的全部承包工作后，发包人应付给承包人的金额，包括在履行合同过程中按合同约定进行的变更和调整。</w:t>
      </w:r>
    </w:p>
    <w:p w14:paraId="12906138">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1.1.5.3费用：指为履行合同所发生的或将要发生的所有合理开支，包括管理费和应分摊的其他费用，但不包括利润。</w:t>
      </w:r>
    </w:p>
    <w:p w14:paraId="219F52F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1.1.5.4</w:t>
      </w:r>
      <w:r>
        <w:rPr>
          <w:rFonts w:hint="eastAsia" w:ascii="宋体" w:hAnsi="宋体" w:eastAsia="宋体" w:cs="宋体"/>
          <w:color w:val="auto"/>
          <w:kern w:val="2"/>
          <w:sz w:val="24"/>
          <w:szCs w:val="24"/>
          <w:highlight w:val="none"/>
          <w:lang w:val="zh-CN" w:eastAsia="zh-CN" w:bidi="zh-CN"/>
        </w:rPr>
        <w:t>暂列金额：指已标价工程量清单中所列的暂列金额，用于在签订协议书时尚 未确定或不可预见变更的施工及其所需材料、工程设备、服务等的金额，包括以计日工方式支付的金额。</w:t>
      </w:r>
    </w:p>
    <w:p w14:paraId="4E305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1. 1.5.5</w:t>
      </w:r>
      <w:r>
        <w:rPr>
          <w:rFonts w:hint="eastAsia" w:ascii="宋体" w:hAnsi="宋体" w:eastAsia="宋体" w:cs="宋体"/>
          <w:color w:val="auto"/>
          <w:kern w:val="2"/>
          <w:sz w:val="24"/>
          <w:szCs w:val="24"/>
          <w:highlight w:val="none"/>
          <w:lang w:val="zh-CN" w:eastAsia="zh-CN" w:bidi="zh-CN"/>
        </w:rPr>
        <w:t>暂估价：指发包人在工程量清单中给定的用于支付必然发生但暂时不能确定价格的材料、设备以及专业工程的金额。</w:t>
      </w:r>
    </w:p>
    <w:p w14:paraId="7B87EB0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1.1.5. 6</w:t>
      </w:r>
      <w:r>
        <w:rPr>
          <w:rFonts w:hint="eastAsia" w:ascii="宋体" w:hAnsi="宋体" w:eastAsia="宋体" w:cs="宋体"/>
          <w:color w:val="auto"/>
          <w:kern w:val="2"/>
          <w:sz w:val="24"/>
          <w:szCs w:val="24"/>
          <w:highlight w:val="none"/>
          <w:lang w:val="zh-CN" w:eastAsia="zh-CN" w:bidi="zh-CN"/>
        </w:rPr>
        <w:t>计日工：指对零星工作采取的一种计价方式，按合同中的计日工子目及其单 价计价付款。</w:t>
      </w:r>
    </w:p>
    <w:p w14:paraId="6AEFB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1.1.5.7</w:t>
      </w:r>
      <w:r>
        <w:rPr>
          <w:rFonts w:hint="eastAsia" w:ascii="宋体" w:hAnsi="宋体" w:eastAsia="宋体" w:cs="宋体"/>
          <w:color w:val="auto"/>
          <w:kern w:val="2"/>
          <w:sz w:val="24"/>
          <w:szCs w:val="24"/>
          <w:highlight w:val="none"/>
          <w:lang w:val="zh-CN" w:eastAsia="zh-CN" w:bidi="zh-CN"/>
        </w:rPr>
        <w:t>质量保证金(或称保留金)：指按第</w:t>
      </w: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项约定用于保证在缺陷责任期内履行缺陷修复义务的金额。</w:t>
      </w:r>
    </w:p>
    <w:p w14:paraId="2604DAF9">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w:t>
      </w:r>
      <w:r>
        <w:rPr>
          <w:rFonts w:hint="eastAsia" w:ascii="宋体" w:hAnsi="宋体" w:eastAsia="宋体" w:cs="宋体"/>
          <w:color w:val="auto"/>
          <w:kern w:val="0"/>
          <w:sz w:val="24"/>
          <w:szCs w:val="24"/>
          <w:highlight w:val="none"/>
          <w:lang w:val="zh-CN" w:eastAsia="zh-CN" w:bidi="zh-CN"/>
        </w:rPr>
        <w:t>其他</w:t>
      </w:r>
    </w:p>
    <w:p w14:paraId="6A2B3B4F">
      <w:pPr>
        <w:pageBreakBefore w:val="0"/>
        <w:widowControl w:val="0"/>
        <w:tabs>
          <w:tab w:val="left" w:pos="9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1.1.6.1</w:t>
      </w:r>
      <w:r>
        <w:rPr>
          <w:rFonts w:hint="eastAsia" w:ascii="宋体" w:hAnsi="宋体" w:eastAsia="宋体" w:cs="宋体"/>
          <w:color w:val="auto"/>
          <w:kern w:val="2"/>
          <w:sz w:val="24"/>
          <w:szCs w:val="24"/>
          <w:highlight w:val="none"/>
          <w:lang w:val="zh-CN" w:eastAsia="zh-CN" w:bidi="zh-CN"/>
        </w:rPr>
        <w:t>书面形式：指合同文件、信函、电报、传真等可以有形地表现所载内容的形式。</w:t>
      </w:r>
    </w:p>
    <w:p w14:paraId="7E88698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1.2语言文字</w:t>
      </w:r>
    </w:p>
    <w:p w14:paraId="03F08F2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除专用术语外，合同使用的语言文字为中文。必要时专用术语应附有中文注释。</w:t>
      </w:r>
    </w:p>
    <w:p w14:paraId="0F8D32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1.3法律</w:t>
      </w:r>
    </w:p>
    <w:p w14:paraId="652D2A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适用于合同的法律包括中华人民共和国法律、行政法规、部门规章，以及工程所在地的地方法规、自治条例、单行条例和地方政府规章。</w:t>
      </w:r>
    </w:p>
    <w:p w14:paraId="2CC299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107B4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组成合同的各项文件应互相解释，互为说明。除专用合同条款另有约定外，解释合同文件的优先顺序如下：</w:t>
      </w:r>
    </w:p>
    <w:p w14:paraId="5EDE57AA">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w:t>
      </w:r>
    </w:p>
    <w:p w14:paraId="06366374">
      <w:pPr>
        <w:pageBreakBefore w:val="0"/>
        <w:widowControl w:val="0"/>
        <w:numPr>
          <w:ilvl w:val="0"/>
          <w:numId w:val="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7DE05FE6">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45DA226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w:t>
      </w:r>
    </w:p>
    <w:p w14:paraId="0CB74A80">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3DA223CC">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w:t>
      </w:r>
    </w:p>
    <w:p w14:paraId="709A2D88">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7251C109">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67426893">
      <w:pPr>
        <w:pageBreakBefore w:val="0"/>
        <w:widowControl w:val="0"/>
        <w:numPr>
          <w:ilvl w:val="0"/>
          <w:numId w:val="5"/>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F2294C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1.5合同协议书</w:t>
      </w:r>
    </w:p>
    <w:p w14:paraId="2B0F3E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承包人按中标通知书规定的时间与发包人签订合同协议书。除法律另有规定或合同另有约定外，发包人和承包人的法定代表人或其委托代理人在合同协议书上签字并盖单位电子公章后，合同生效。</w:t>
      </w:r>
    </w:p>
    <w:p w14:paraId="6EDB84E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1.6图纸和承包人文件</w:t>
      </w:r>
    </w:p>
    <w:p w14:paraId="70CED6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图纸的提供</w:t>
      </w:r>
    </w:p>
    <w:p w14:paraId="109CF3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发包人应按技术标准和要求(合同技术条款)约定的期限和数量将施工图纸以及其它图纸（包括配套说明和有关资料）提供给承包人。由于发包人未按时提供图纸造成工期延误的，按第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w:t>
      </w:r>
    </w:p>
    <w:p w14:paraId="5CADF9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w:t>
      </w:r>
      <w:r>
        <w:rPr>
          <w:rFonts w:hint="eastAsia" w:ascii="宋体" w:hAnsi="宋体" w:eastAsia="宋体" w:cs="宋体"/>
          <w:color w:val="auto"/>
          <w:kern w:val="2"/>
          <w:sz w:val="24"/>
          <w:szCs w:val="24"/>
          <w:highlight w:val="none"/>
          <w:lang w:val="zh-CN" w:eastAsia="zh-CN" w:bidi="zh-CN"/>
        </w:rPr>
        <w:t>2承包人提供的文件</w:t>
      </w:r>
    </w:p>
    <w:p w14:paraId="50C5E9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承包人提供的文件应按技术标准和要求（合同技术条款）约定的期限和数量提供给监理人。监理人应按技术标准和要求（合同技术条款）约定的期限批复承包人。</w:t>
      </w:r>
    </w:p>
    <w:p w14:paraId="03BC32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1.6.3</w:t>
      </w:r>
      <w:r>
        <w:rPr>
          <w:rFonts w:hint="eastAsia" w:ascii="宋体" w:hAnsi="宋体" w:eastAsia="宋体" w:cs="宋体"/>
          <w:color w:val="auto"/>
          <w:kern w:val="2"/>
          <w:sz w:val="24"/>
          <w:szCs w:val="24"/>
          <w:highlight w:val="none"/>
          <w:lang w:val="zh-CN" w:eastAsia="zh-CN" w:bidi="zh-CN"/>
        </w:rPr>
        <w:t>图纸的修改</w:t>
      </w:r>
    </w:p>
    <w:p w14:paraId="524394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14:paraId="3AC2BC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1.6.4</w:t>
      </w:r>
      <w:r>
        <w:rPr>
          <w:rFonts w:hint="eastAsia" w:ascii="宋体" w:hAnsi="宋体" w:eastAsia="宋体" w:cs="宋体"/>
          <w:color w:val="auto"/>
          <w:kern w:val="2"/>
          <w:sz w:val="24"/>
          <w:szCs w:val="24"/>
          <w:highlight w:val="none"/>
          <w:lang w:val="zh-CN" w:eastAsia="zh-CN" w:bidi="zh-CN"/>
        </w:rPr>
        <w:t>图纸的错误</w:t>
      </w:r>
    </w:p>
    <w:p w14:paraId="0B48C2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承包人发现发包人提供的图纸存在明显错误或疏忽，应及时通知监理人。</w:t>
      </w:r>
    </w:p>
    <w:p w14:paraId="64F8A2D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1.6.5</w:t>
      </w:r>
      <w:r>
        <w:rPr>
          <w:rFonts w:hint="eastAsia" w:ascii="宋体" w:hAnsi="宋体" w:eastAsia="宋体" w:cs="宋体"/>
          <w:color w:val="auto"/>
          <w:kern w:val="2"/>
          <w:sz w:val="24"/>
          <w:szCs w:val="24"/>
          <w:highlight w:val="none"/>
          <w:lang w:val="zh-CN" w:eastAsia="zh-CN" w:bidi="zh-CN"/>
        </w:rPr>
        <w:t>图纸和承包人文件的保管</w:t>
      </w:r>
    </w:p>
    <w:p w14:paraId="49F634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监理人和承包人均应在施工场地各保存一套完整的包含第</w:t>
      </w:r>
      <w:r>
        <w:rPr>
          <w:rFonts w:hint="eastAsia" w:ascii="宋体" w:hAnsi="宋体" w:eastAsia="宋体" w:cs="宋体"/>
          <w:color w:val="auto"/>
          <w:kern w:val="2"/>
          <w:sz w:val="24"/>
          <w:szCs w:val="24"/>
          <w:highlight w:val="none"/>
          <w:lang w:val="en-US" w:eastAsia="zh-CN" w:bidi="en-US"/>
        </w:rPr>
        <w:t xml:space="preserve">1. 6. </w:t>
      </w:r>
      <w:r>
        <w:rPr>
          <w:rFonts w:hint="eastAsia" w:ascii="宋体" w:hAnsi="宋体" w:eastAsia="宋体" w:cs="宋体"/>
          <w:color w:val="auto"/>
          <w:kern w:val="2"/>
          <w:sz w:val="24"/>
          <w:szCs w:val="24"/>
          <w:highlight w:val="none"/>
          <w:lang w:val="zh-CN" w:eastAsia="zh-CN" w:bidi="zh-CN"/>
        </w:rPr>
        <w:t>1项、第</w:t>
      </w:r>
      <w:r>
        <w:rPr>
          <w:rFonts w:hint="eastAsia" w:ascii="宋体" w:hAnsi="宋体" w:eastAsia="宋体" w:cs="宋体"/>
          <w:color w:val="auto"/>
          <w:kern w:val="2"/>
          <w:sz w:val="24"/>
          <w:szCs w:val="24"/>
          <w:highlight w:val="none"/>
          <w:lang w:val="en-US" w:eastAsia="zh-CN" w:bidi="en-US"/>
        </w:rPr>
        <w:t>1.6.2</w:t>
      </w:r>
      <w:r>
        <w:rPr>
          <w:rFonts w:hint="eastAsia" w:ascii="宋体" w:hAnsi="宋体" w:eastAsia="宋体" w:cs="宋体"/>
          <w:color w:val="auto"/>
          <w:kern w:val="2"/>
          <w:sz w:val="24"/>
          <w:szCs w:val="24"/>
          <w:highlight w:val="none"/>
          <w:lang w:val="zh-CN" w:eastAsia="zh-CN" w:bidi="zh-CN"/>
        </w:rPr>
        <w:t xml:space="preserve">项、第 </w:t>
      </w:r>
      <w:r>
        <w:rPr>
          <w:rFonts w:hint="eastAsia" w:ascii="宋体" w:hAnsi="宋体" w:eastAsia="宋体" w:cs="宋体"/>
          <w:color w:val="auto"/>
          <w:kern w:val="2"/>
          <w:sz w:val="24"/>
          <w:szCs w:val="24"/>
          <w:highlight w:val="none"/>
          <w:lang w:val="en-US" w:eastAsia="zh-CN" w:bidi="en-US"/>
        </w:rPr>
        <w:t xml:space="preserve">1.6. </w:t>
      </w:r>
      <w:r>
        <w:rPr>
          <w:rFonts w:hint="eastAsia" w:ascii="宋体" w:hAnsi="宋体" w:eastAsia="宋体" w:cs="宋体"/>
          <w:color w:val="auto"/>
          <w:kern w:val="2"/>
          <w:sz w:val="24"/>
          <w:szCs w:val="24"/>
          <w:highlight w:val="none"/>
          <w:lang w:val="zh-CN" w:eastAsia="zh-CN" w:bidi="zh-CN"/>
        </w:rPr>
        <w:t>3项约定内容的图纸和承包人文件。</w:t>
      </w:r>
    </w:p>
    <w:p w14:paraId="109DDE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7E9FA4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与合同有关的通知、批准、证明、证书、指示、要求、请求、同意、意见、确 定和决定等，均应采用书面形式。</w:t>
      </w:r>
    </w:p>
    <w:p w14:paraId="3CA5B9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第</w:t>
      </w: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项中的通知、批准、证明、证书、指示、要求、请求、同意、意见、 确定和决定等来往函件，均应在合同约定的期限内送达指定地点和接收人，并办理签收手续。来往函件的送达期限在技术标准和要求（合同技术条款）中约定，送达地点在专用合同条款中约定。</w:t>
      </w:r>
    </w:p>
    <w:p w14:paraId="627FD53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w:t>
      </w:r>
      <w:r>
        <w:rPr>
          <w:rFonts w:hint="eastAsia" w:ascii="宋体" w:hAnsi="宋体" w:eastAsia="宋体" w:cs="宋体"/>
          <w:color w:val="auto"/>
          <w:kern w:val="2"/>
          <w:sz w:val="24"/>
          <w:szCs w:val="24"/>
          <w:highlight w:val="none"/>
          <w:lang w:val="zh-CN" w:eastAsia="zh-CN" w:bidi="zh-CN"/>
        </w:rPr>
        <w:t>来往函件均应按合同约定的期限及时发出和答复，不得无故扣压和拖延，亦不得拒收。否则，由此造成的后果由责任方负责。</w:t>
      </w:r>
    </w:p>
    <w:p w14:paraId="6DFEF6B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1.8转让</w:t>
      </w:r>
    </w:p>
    <w:p w14:paraId="563E902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除合同另有约定外，未经对方当事人同意，一方当事人不得将合同权利全部或部分转让给第三人，也不得全部或部分转移合同义务。</w:t>
      </w:r>
    </w:p>
    <w:p w14:paraId="4857AC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1.9严禁贿赂</w:t>
      </w:r>
    </w:p>
    <w:p w14:paraId="139E11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合同双方当事人不得以贿赂或变相贿赂的方式，谋取不当利益或损害对方权益。因贿赂造成对方损失的，行为人应赔偿损失，并承担相应的法律责任。</w:t>
      </w:r>
    </w:p>
    <w:p w14:paraId="362B20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1.10化石、文物</w:t>
      </w:r>
    </w:p>
    <w:p w14:paraId="3CA4FD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1.10. </w:t>
      </w:r>
      <w:r>
        <w:rPr>
          <w:rFonts w:hint="eastAsia" w:ascii="宋体" w:hAnsi="宋体" w:eastAsia="宋体" w:cs="宋体"/>
          <w:color w:val="auto"/>
          <w:kern w:val="2"/>
          <w:sz w:val="24"/>
          <w:szCs w:val="24"/>
          <w:highlight w:val="none"/>
          <w:lang w:val="zh-CN" w:eastAsia="zh-CN" w:bidi="zh-CN"/>
        </w:rPr>
        <w:t>1在施工场地发掘的所有文物、古迹以及具有地质研究或考古价值的其他遗迹、 化石、钱币或物品属于国家所有。一旦发现上述文物，承包人应采取有效合理的保护措施, 防止任何人员移动或损坏上述物品，并立即报告当地文物行政部门，同时通知监理人。发包人、监理人和承包人应按文物行政部门要求采取妥善保护措施，由此导致费用增加和（或）工期延误由发包人承担。</w:t>
      </w:r>
    </w:p>
    <w:p w14:paraId="57F54E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1.10.</w:t>
      </w:r>
      <w:r>
        <w:rPr>
          <w:rFonts w:hint="eastAsia" w:ascii="宋体" w:hAnsi="宋体" w:eastAsia="宋体" w:cs="宋体"/>
          <w:color w:val="auto"/>
          <w:kern w:val="2"/>
          <w:sz w:val="24"/>
          <w:szCs w:val="24"/>
          <w:highlight w:val="none"/>
          <w:lang w:val="zh-CN" w:eastAsia="zh-CN" w:bidi="zh-CN"/>
        </w:rPr>
        <w:t>2承包人发现文物后不及时报告或隐瞒不报，致使文物丢失或损坏的，应赔偿损失，并承担相应的法律责任。</w:t>
      </w:r>
    </w:p>
    <w:p w14:paraId="3CCA58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1.11专利技术</w:t>
      </w:r>
    </w:p>
    <w:p w14:paraId="0826A9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承包人在使用任何材料、承包人设备、工程设备或采用施工工艺时，因侵犯专利权或其他知识产权所引起的责任，由承包人承担，但由于遵照发包人提供的设计或技术标准和要求引起的除外。</w:t>
      </w:r>
    </w:p>
    <w:p w14:paraId="4E816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1.11.2</w:t>
      </w:r>
      <w:r>
        <w:rPr>
          <w:rFonts w:hint="eastAsia" w:ascii="宋体" w:hAnsi="宋体" w:eastAsia="宋体" w:cs="宋体"/>
          <w:color w:val="auto"/>
          <w:kern w:val="2"/>
          <w:sz w:val="24"/>
          <w:szCs w:val="24"/>
          <w:highlight w:val="none"/>
          <w:lang w:val="zh-CN" w:eastAsia="zh-CN" w:bidi="zh-CN"/>
        </w:rPr>
        <w:t>承包人在投标文件中采用专利技术的，专利技术的使用费包含在投标报价内。</w:t>
      </w:r>
    </w:p>
    <w:p w14:paraId="30CE315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承包人的技术秘密和声明需要保密的资料和信息，发包人和监理人不得为合同以外的目的泄露给他人。</w:t>
      </w:r>
    </w:p>
    <w:p w14:paraId="7D53E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合同实施过程中，发包人要求承包人采用专利技术的，发包人应办理相应的使用手续，承包人应按发包人约定的条件使用，并承担使用专利技术的相关试验工作。所需的费用由发包人承担。</w:t>
      </w:r>
    </w:p>
    <w:p w14:paraId="360EC8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1.12图纸和文件的保密</w:t>
      </w:r>
    </w:p>
    <w:p w14:paraId="4D3FFC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1.12.1</w:t>
      </w:r>
      <w:r>
        <w:rPr>
          <w:rFonts w:hint="eastAsia" w:ascii="宋体" w:hAnsi="宋体" w:eastAsia="宋体" w:cs="宋体"/>
          <w:color w:val="auto"/>
          <w:kern w:val="2"/>
          <w:sz w:val="24"/>
          <w:szCs w:val="24"/>
          <w:highlight w:val="none"/>
          <w:lang w:val="zh-CN" w:eastAsia="zh-CN" w:bidi="zh-CN"/>
        </w:rPr>
        <w:t>发包人提供的图纸和文件，未经发包人书面同意，承包人不得为合同以外的目的泄露给他人或公开发表与引用。</w:t>
      </w:r>
    </w:p>
    <w:p w14:paraId="2D4A0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1.12.2</w:t>
      </w:r>
      <w:r>
        <w:rPr>
          <w:rFonts w:hint="eastAsia" w:ascii="宋体" w:hAnsi="宋体" w:eastAsia="宋体" w:cs="宋体"/>
          <w:color w:val="auto"/>
          <w:kern w:val="2"/>
          <w:sz w:val="24"/>
          <w:szCs w:val="24"/>
          <w:highlight w:val="none"/>
          <w:lang w:val="zh-CN" w:eastAsia="zh-CN" w:bidi="zh-CN"/>
        </w:rPr>
        <w:t>承包人提供的文件，未经承包人同意，发包人和监理人不得为合同以外的目的泄露给他人或公开发表与引用。</w:t>
      </w:r>
    </w:p>
    <w:p w14:paraId="726066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8" w:name="_Toc13777"/>
      <w:r>
        <w:rPr>
          <w:rFonts w:hint="eastAsia" w:ascii="宋体" w:hAnsi="宋体" w:eastAsia="宋体" w:cs="宋体"/>
          <w:color w:val="auto"/>
          <w:kern w:val="2"/>
          <w:sz w:val="24"/>
          <w:szCs w:val="24"/>
          <w:highlight w:val="none"/>
          <w:lang w:val="en-US" w:eastAsia="zh-CN" w:bidi="ar-SA"/>
        </w:rPr>
        <w:t>2.发包人义务</w:t>
      </w:r>
      <w:bookmarkEnd w:id="208"/>
    </w:p>
    <w:p w14:paraId="1413D7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2.1遵守法律</w:t>
      </w:r>
    </w:p>
    <w:p w14:paraId="6D20F1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发包人在履行合同过程中应遵守法律，并保证承包人免于承担因发包人违反法律而引 起的任何责任。</w:t>
      </w:r>
    </w:p>
    <w:p w14:paraId="7E2A62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2.2发出开工通知</w:t>
      </w:r>
    </w:p>
    <w:p w14:paraId="6B1C50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发包人应委托监理人按第</w:t>
      </w:r>
      <w:r>
        <w:rPr>
          <w:rFonts w:hint="eastAsia" w:ascii="宋体" w:hAnsi="宋体" w:eastAsia="宋体" w:cs="宋体"/>
          <w:color w:val="auto"/>
          <w:kern w:val="2"/>
          <w:sz w:val="24"/>
          <w:szCs w:val="24"/>
          <w:highlight w:val="none"/>
          <w:lang w:val="en-US" w:eastAsia="zh-CN" w:bidi="en-US"/>
        </w:rPr>
        <w:t xml:space="preserve">H. </w:t>
      </w:r>
      <w:r>
        <w:rPr>
          <w:rFonts w:hint="eastAsia" w:ascii="宋体" w:hAnsi="宋体" w:eastAsia="宋体" w:cs="宋体"/>
          <w:color w:val="auto"/>
          <w:kern w:val="2"/>
          <w:sz w:val="24"/>
          <w:szCs w:val="24"/>
          <w:highlight w:val="none"/>
          <w:lang w:val="zh-CN" w:eastAsia="zh-CN" w:bidi="zh-CN"/>
        </w:rPr>
        <w:t>1款的约定向承包人发出开工通知。</w:t>
      </w:r>
    </w:p>
    <w:p w14:paraId="6D00001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EBA5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发包人应在合同双方签定合同协议书后的14天内，将本合同工程的施工场地范围图提交给承包人。发包人提供的施工用地范围图应标明用地范围内永久占地与临时占地的范围和界限，以及指明提供给承包人用于施工场地布置的范围和界限及其有关资料。</w:t>
      </w:r>
    </w:p>
    <w:p w14:paraId="236ACF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2.3.2</w:t>
      </w:r>
      <w:r>
        <w:rPr>
          <w:rFonts w:hint="eastAsia" w:ascii="宋体" w:hAnsi="宋体" w:eastAsia="宋体" w:cs="宋体"/>
          <w:color w:val="auto"/>
          <w:kern w:val="2"/>
          <w:sz w:val="24"/>
          <w:szCs w:val="24"/>
          <w:highlight w:val="none"/>
          <w:lang w:val="zh-CN" w:eastAsia="zh-CN" w:bidi="zh-CN"/>
        </w:rPr>
        <w:t>发包人提供的施工用地范围在专用合同条款中约定。</w:t>
      </w:r>
    </w:p>
    <w:p w14:paraId="292D89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w:t>
      </w:r>
      <w:r>
        <w:rPr>
          <w:rFonts w:hint="eastAsia" w:ascii="宋体" w:hAnsi="宋体" w:eastAsia="宋体" w:cs="宋体"/>
          <w:color w:val="auto"/>
          <w:kern w:val="2"/>
          <w:sz w:val="24"/>
          <w:szCs w:val="24"/>
          <w:highlight w:val="none"/>
          <w:lang w:val="zh-CN" w:eastAsia="zh-CN" w:bidi="zh-CN"/>
        </w:rPr>
        <w:t>除专用合同条款另有约定外，发包人应按技术标准和要求（合同技术条款）的约定，向承包人提供施工场地内的工程地质图纸和报告，以及地下障碍物图纸等施工场地有关资料，并保证资料的真实、准确、完整。</w:t>
      </w:r>
    </w:p>
    <w:p w14:paraId="4A3430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2.4协助承包人办理证件和批件</w:t>
      </w:r>
    </w:p>
    <w:p w14:paraId="4F5761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发包人应协助承包人办理法律规定的有关施工证件和批件。</w:t>
      </w:r>
    </w:p>
    <w:p w14:paraId="66414FC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2.5组织设计交底</w:t>
      </w:r>
    </w:p>
    <w:p w14:paraId="72A20F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发包人应根据合同进度计划，组织设计单位向承包人进行设计交底。</w:t>
      </w:r>
    </w:p>
    <w:p w14:paraId="2A857D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2.6支付合同价款</w:t>
      </w:r>
    </w:p>
    <w:p w14:paraId="4B105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发包人应按合同约定向承包人及时支付合同价款。</w:t>
      </w:r>
    </w:p>
    <w:p w14:paraId="7F5711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2.7组织竣工验收（组织法人验收）</w:t>
      </w:r>
    </w:p>
    <w:p w14:paraId="5FE2D1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发包人应按合同约定及时组织法人验收。</w:t>
      </w:r>
    </w:p>
    <w:p w14:paraId="5C22306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2.8其它义务</w:t>
      </w:r>
    </w:p>
    <w:p w14:paraId="29BAD3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27E22B7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09" w:name="_Toc14575"/>
      <w:r>
        <w:rPr>
          <w:rFonts w:hint="eastAsia" w:ascii="宋体" w:hAnsi="宋体" w:eastAsia="宋体" w:cs="宋体"/>
          <w:color w:val="auto"/>
          <w:kern w:val="2"/>
          <w:sz w:val="24"/>
          <w:szCs w:val="24"/>
          <w:highlight w:val="none"/>
          <w:lang w:val="en-US" w:eastAsia="zh-CN" w:bidi="ar-SA"/>
        </w:rPr>
        <w:t>3.监理人</w:t>
      </w:r>
      <w:bookmarkEnd w:id="209"/>
    </w:p>
    <w:p w14:paraId="205978F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3.1监理人的职责和权利</w:t>
      </w:r>
    </w:p>
    <w:p w14:paraId="0D8169C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受发包人的委托，享有合同约定的权力。监理人的权力范围在专用合同条款中约定。当监理人认为出现了危及生命、工程或毗邻财产等安全的紧急事件时，在不免除合同约定的承包人责任的情况下，监理人可以指示承包人实施为消除或减少这种危险 所必须进行的工作，即使没有发包人的事先批准，承包人也应立即遵照执行。监理人应按 第15条的约定增加相应的费用，并通知承包人。</w:t>
      </w:r>
    </w:p>
    <w:p w14:paraId="15B53B9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3.1.2</w:t>
      </w:r>
      <w:r>
        <w:rPr>
          <w:rFonts w:hint="eastAsia" w:ascii="宋体" w:hAnsi="宋体" w:eastAsia="宋体" w:cs="宋体"/>
          <w:color w:val="auto"/>
          <w:kern w:val="2"/>
          <w:sz w:val="24"/>
          <w:szCs w:val="24"/>
          <w:highlight w:val="none"/>
          <w:lang w:val="zh-CN" w:eastAsia="zh-CN" w:bidi="zh-CN"/>
        </w:rPr>
        <w:t>监理人发出的任何指示应视为已得到发包人的批准，但监理人无权免除或变更合同约定的发包人和承包人的权利、义务和责任。</w:t>
      </w:r>
    </w:p>
    <w:p w14:paraId="45EFA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3.1.3</w:t>
      </w:r>
      <w:r>
        <w:rPr>
          <w:rFonts w:hint="eastAsia" w:ascii="宋体" w:hAnsi="宋体" w:eastAsia="宋体" w:cs="宋体"/>
          <w:color w:val="auto"/>
          <w:kern w:val="2"/>
          <w:sz w:val="24"/>
          <w:szCs w:val="24"/>
          <w:highlight w:val="none"/>
          <w:lang w:val="zh-CN" w:eastAsia="zh-CN" w:bidi="zh-CN"/>
        </w:rPr>
        <w:t>合同约定应由承包人承担的义务和责任，不因监理人对承包人提交文件的审查或批准，对工程、材料和设备的检查和检验，以及为实施监理作出的指示等职务行为而减轻或解除。</w:t>
      </w:r>
    </w:p>
    <w:p w14:paraId="4F3CE09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3.2总监理工程师</w:t>
      </w:r>
    </w:p>
    <w:p w14:paraId="1DFD49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发包人应在发出开工通知前将总监理工程师的任命通知承包人。总监理工程师更换时, 应在调离14天前通知承包人。总监理工程师短期离开施工场地的，应委派代表代行其职 责，并通知承包人。</w:t>
      </w:r>
    </w:p>
    <w:p w14:paraId="38E44A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3.3监理人员</w:t>
      </w:r>
    </w:p>
    <w:p w14:paraId="1ADBC7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3.3.1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76CA485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3.3.2</w:t>
      </w:r>
      <w:r>
        <w:rPr>
          <w:rFonts w:hint="eastAsia" w:ascii="宋体" w:hAnsi="宋体" w:eastAsia="宋体" w:cs="宋体"/>
          <w:color w:val="auto"/>
          <w:kern w:val="2"/>
          <w:sz w:val="24"/>
          <w:szCs w:val="24"/>
          <w:highlight w:val="none"/>
          <w:lang w:val="zh-CN" w:eastAsia="zh-CN" w:bidi="zh-CN"/>
        </w:rPr>
        <w:t>监理人员对承包人的任何工作、工程或其采用的材料和工程设备未在约定的或合理的期限内提出否定意见的，视为已获批准，但不影响监理人在以后拒绝该项工作、工程、材料或工程设备的权利。</w:t>
      </w:r>
    </w:p>
    <w:p w14:paraId="2705E8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3.3.3</w:t>
      </w:r>
      <w:r>
        <w:rPr>
          <w:rFonts w:hint="eastAsia" w:ascii="宋体" w:hAnsi="宋体" w:eastAsia="宋体" w:cs="宋体"/>
          <w:color w:val="auto"/>
          <w:kern w:val="2"/>
          <w:sz w:val="24"/>
          <w:szCs w:val="24"/>
          <w:highlight w:val="none"/>
          <w:lang w:val="zh-CN" w:eastAsia="zh-CN" w:bidi="zh-CN"/>
        </w:rPr>
        <w:t>承包人对总监理工程师授权的监理人员发出的指示有疑问的，可向总监理工程师提出书面异议，总监理工程师应在48小时内对该指示予以确认、更改或撤销。</w:t>
      </w:r>
    </w:p>
    <w:p w14:paraId="352F98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3.3.4除专用合同条款另有约定外，总监理工程师不应将第3. 5款约定应由总监理工程师作出确定的权力授权或委托给其他监理人员。</w:t>
      </w:r>
    </w:p>
    <w:p w14:paraId="6DD2DCA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3.4监理人的指示</w:t>
      </w:r>
    </w:p>
    <w:p w14:paraId="2CDDE6A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1监理人应按第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1款的约定向承包人发出指示，监理人的指示应盖有监理人授权的施工场地机构章，并由总监理工程师或总监理工程师按第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1项约定授权的监理人员签字</w:t>
      </w:r>
      <w:r>
        <w:rPr>
          <w:rFonts w:hint="eastAsia" w:ascii="宋体" w:hAnsi="宋体" w:eastAsia="宋体" w:cs="宋体"/>
          <w:color w:val="auto"/>
          <w:kern w:val="2"/>
          <w:sz w:val="24"/>
          <w:szCs w:val="24"/>
          <w:highlight w:val="none"/>
          <w:lang w:val="en-US" w:eastAsia="zh-CN" w:bidi="en-US"/>
        </w:rPr>
        <w:t>。</w:t>
      </w:r>
    </w:p>
    <w:p w14:paraId="0D4A0D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3.4.2</w:t>
      </w:r>
      <w:r>
        <w:rPr>
          <w:rFonts w:hint="eastAsia" w:ascii="宋体" w:hAnsi="宋体" w:eastAsia="宋体" w:cs="宋体"/>
          <w:color w:val="auto"/>
          <w:kern w:val="2"/>
          <w:sz w:val="24"/>
          <w:szCs w:val="24"/>
          <w:highlight w:val="none"/>
          <w:lang w:val="zh-CN" w:eastAsia="zh-CN" w:bidi="zh-CN"/>
        </w:rPr>
        <w:t>承包人收到监理人按第</w:t>
      </w:r>
      <w:r>
        <w:rPr>
          <w:rFonts w:hint="eastAsia" w:ascii="宋体" w:hAnsi="宋体" w:eastAsia="宋体" w:cs="宋体"/>
          <w:color w:val="auto"/>
          <w:kern w:val="2"/>
          <w:sz w:val="24"/>
          <w:szCs w:val="24"/>
          <w:highlight w:val="none"/>
          <w:lang w:val="en-US" w:eastAsia="zh-CN" w:bidi="en-US"/>
        </w:rPr>
        <w:t>3. 4.1</w:t>
      </w:r>
      <w:r>
        <w:rPr>
          <w:rFonts w:hint="eastAsia" w:ascii="宋体" w:hAnsi="宋体" w:eastAsia="宋体" w:cs="宋体"/>
          <w:color w:val="auto"/>
          <w:kern w:val="2"/>
          <w:sz w:val="24"/>
          <w:szCs w:val="24"/>
          <w:highlight w:val="none"/>
          <w:lang w:val="zh-CN" w:eastAsia="zh-CN" w:bidi="zh-CN"/>
        </w:rPr>
        <w:t>项作出的指示后应遵照执行。指示构成变更的，应按第15条处理。</w:t>
      </w:r>
    </w:p>
    <w:p w14:paraId="49B4A6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3.4.3</w:t>
      </w:r>
      <w:r>
        <w:rPr>
          <w:rFonts w:hint="eastAsia" w:ascii="宋体" w:hAnsi="宋体" w:eastAsia="宋体" w:cs="宋体"/>
          <w:color w:val="auto"/>
          <w:kern w:val="2"/>
          <w:sz w:val="24"/>
          <w:szCs w:val="24"/>
          <w:highlight w:val="none"/>
          <w:lang w:val="zh-CN" w:eastAsia="zh-CN" w:bidi="zh-CN"/>
        </w:rPr>
        <w:t>在紧急情况下，总监理工程师或被授权的监理人员可以当场签发临时书面指示，承包人应遵照执行。承包人应在收到上述临时书面指示后24小时内，向监理人发出书 面确认函。监理人在收到书面确认函后24小时内未予答复的，该书面确认函应被视为监理人的正式指示。</w:t>
      </w:r>
    </w:p>
    <w:p w14:paraId="5EA5FC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3.4.4</w:t>
      </w:r>
      <w:r>
        <w:rPr>
          <w:rFonts w:hint="eastAsia" w:ascii="宋体" w:hAnsi="宋体" w:eastAsia="宋体" w:cs="宋体"/>
          <w:color w:val="auto"/>
          <w:kern w:val="2"/>
          <w:sz w:val="24"/>
          <w:szCs w:val="24"/>
          <w:highlight w:val="none"/>
          <w:lang w:val="zh-CN" w:eastAsia="zh-CN" w:bidi="zh-CN"/>
        </w:rPr>
        <w:t>除合同另有约定外，承包人只从总监理工程师或按第</w:t>
      </w:r>
      <w:r>
        <w:rPr>
          <w:rFonts w:hint="eastAsia" w:ascii="宋体" w:hAnsi="宋体" w:eastAsia="宋体" w:cs="宋体"/>
          <w:color w:val="auto"/>
          <w:kern w:val="2"/>
          <w:sz w:val="24"/>
          <w:szCs w:val="24"/>
          <w:highlight w:val="none"/>
          <w:lang w:val="en-US" w:eastAsia="zh-CN" w:bidi="en-US"/>
        </w:rPr>
        <w:t xml:space="preserve">3. 3. </w:t>
      </w:r>
      <w:r>
        <w:rPr>
          <w:rFonts w:hint="eastAsia" w:ascii="宋体" w:hAnsi="宋体" w:eastAsia="宋体" w:cs="宋体"/>
          <w:color w:val="auto"/>
          <w:kern w:val="2"/>
          <w:sz w:val="24"/>
          <w:szCs w:val="24"/>
          <w:highlight w:val="none"/>
          <w:lang w:val="zh-CN" w:eastAsia="zh-CN" w:bidi="zh-CN"/>
        </w:rPr>
        <w:t>1项被授权的监理人员处取得指示。</w:t>
      </w:r>
    </w:p>
    <w:p w14:paraId="708D0E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3.4.5</w:t>
      </w:r>
      <w:r>
        <w:rPr>
          <w:rFonts w:hint="eastAsia" w:ascii="宋体" w:hAnsi="宋体" w:eastAsia="宋体" w:cs="宋体"/>
          <w:color w:val="auto"/>
          <w:kern w:val="2"/>
          <w:sz w:val="24"/>
          <w:szCs w:val="24"/>
          <w:highlight w:val="none"/>
          <w:lang w:val="zh-CN" w:eastAsia="zh-CN" w:bidi="zh-CN"/>
        </w:rPr>
        <w:t>由于监理人未能按合同约定发出指示、指示延误或指示错误而导致承包人费用增加和（或）工期延误的，由发包人承担赔偿责任。</w:t>
      </w:r>
    </w:p>
    <w:p w14:paraId="6101E4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3.5商定或确定</w:t>
      </w:r>
    </w:p>
    <w:p w14:paraId="5A6308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3.5.1</w:t>
      </w:r>
      <w:r>
        <w:rPr>
          <w:rFonts w:hint="eastAsia" w:ascii="宋体" w:hAnsi="宋体" w:eastAsia="宋体" w:cs="宋体"/>
          <w:color w:val="auto"/>
          <w:kern w:val="2"/>
          <w:sz w:val="24"/>
          <w:szCs w:val="24"/>
          <w:highlight w:val="none"/>
          <w:lang w:val="zh-CN" w:eastAsia="zh-CN" w:bidi="zh-CN"/>
        </w:rPr>
        <w:t>合同约定总监理工程师应按照本款对任何事项进行商定或确定时，总监理工程师应与合同当事人协商，尽量达成一致。不能达成一致的，总监理工程师应认真研究后审慎确定。</w:t>
      </w:r>
    </w:p>
    <w:p w14:paraId="60F7F3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3.5.2</w:t>
      </w:r>
      <w:r>
        <w:rPr>
          <w:rFonts w:hint="eastAsia" w:ascii="宋体" w:hAnsi="宋体" w:eastAsia="宋体" w:cs="宋体"/>
          <w:color w:val="auto"/>
          <w:kern w:val="2"/>
          <w:sz w:val="24"/>
          <w:szCs w:val="24"/>
          <w:highlight w:val="none"/>
          <w:lang w:val="zh-CN" w:eastAsia="zh-CN" w:bidi="zh-CN"/>
        </w:rPr>
        <w:t>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 改后的结果执行</w:t>
      </w:r>
      <w:r>
        <w:rPr>
          <w:rFonts w:hint="eastAsia" w:ascii="宋体" w:hAnsi="宋体" w:eastAsia="宋体" w:cs="宋体"/>
          <w:color w:val="auto"/>
          <w:kern w:val="2"/>
          <w:sz w:val="24"/>
          <w:szCs w:val="24"/>
          <w:highlight w:val="none"/>
          <w:lang w:val="en-US" w:eastAsia="zh-CN" w:bidi="en-US"/>
        </w:rPr>
        <w:t>。</w:t>
      </w:r>
    </w:p>
    <w:p w14:paraId="427BBC1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0" w:name="_Toc5091"/>
      <w:r>
        <w:rPr>
          <w:rFonts w:hint="eastAsia" w:ascii="宋体" w:hAnsi="宋体" w:eastAsia="宋体" w:cs="宋体"/>
          <w:color w:val="auto"/>
          <w:kern w:val="2"/>
          <w:sz w:val="24"/>
          <w:szCs w:val="24"/>
          <w:highlight w:val="none"/>
          <w:lang w:val="en-US" w:eastAsia="zh-CN" w:bidi="ar-SA"/>
        </w:rPr>
        <w:t>4.承包人</w:t>
      </w:r>
      <w:bookmarkEnd w:id="210"/>
    </w:p>
    <w:p w14:paraId="34296C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2D9C9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w:t>
      </w:r>
      <w:r>
        <w:rPr>
          <w:rFonts w:hint="eastAsia" w:ascii="宋体" w:hAnsi="宋体" w:eastAsia="宋体" w:cs="宋体"/>
          <w:color w:val="auto"/>
          <w:kern w:val="2"/>
          <w:sz w:val="24"/>
          <w:szCs w:val="24"/>
          <w:highlight w:val="none"/>
          <w:lang w:val="zh-CN" w:eastAsia="zh-CN" w:bidi="zh-CN"/>
        </w:rPr>
        <w:t>遵守法律</w:t>
      </w:r>
    </w:p>
    <w:p w14:paraId="403679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承包人在履行合同过程中应遵守法律，并保证发包人免于承担因承包人违反法律而引起的任何责任。</w:t>
      </w:r>
    </w:p>
    <w:p w14:paraId="0D88C7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4.1.2</w:t>
      </w:r>
      <w:r>
        <w:rPr>
          <w:rFonts w:hint="eastAsia" w:ascii="宋体" w:hAnsi="宋体" w:eastAsia="宋体" w:cs="宋体"/>
          <w:color w:val="auto"/>
          <w:kern w:val="2"/>
          <w:sz w:val="24"/>
          <w:szCs w:val="24"/>
          <w:highlight w:val="none"/>
          <w:lang w:val="zh-CN" w:eastAsia="zh-CN" w:bidi="zh-CN"/>
        </w:rPr>
        <w:t>依法纳税</w:t>
      </w:r>
    </w:p>
    <w:p w14:paraId="23CEA48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承包人应按有关法律规定纳税，应缴纳的税金包括在合同价格内。</w:t>
      </w:r>
    </w:p>
    <w:p w14:paraId="506A5C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4.1.3</w:t>
      </w:r>
      <w:r>
        <w:rPr>
          <w:rFonts w:hint="eastAsia" w:ascii="宋体" w:hAnsi="宋体" w:eastAsia="宋体" w:cs="宋体"/>
          <w:color w:val="auto"/>
          <w:kern w:val="2"/>
          <w:sz w:val="24"/>
          <w:szCs w:val="24"/>
          <w:highlight w:val="none"/>
          <w:lang w:val="zh-CN" w:eastAsia="zh-CN" w:bidi="zh-CN"/>
        </w:rPr>
        <w:t>完成各项承包工作</w:t>
      </w:r>
    </w:p>
    <w:p w14:paraId="30C088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承包人应按合同约定以及监理人根据第</w:t>
      </w:r>
      <w:r>
        <w:rPr>
          <w:rFonts w:hint="eastAsia" w:ascii="宋体" w:hAnsi="宋体" w:eastAsia="宋体" w:cs="宋体"/>
          <w:color w:val="auto"/>
          <w:kern w:val="2"/>
          <w:sz w:val="24"/>
          <w:szCs w:val="24"/>
          <w:highlight w:val="none"/>
          <w:lang w:val="en-US" w:eastAsia="zh-CN" w:bidi="en-US"/>
        </w:rPr>
        <w:t>3.4</w:t>
      </w:r>
      <w:r>
        <w:rPr>
          <w:rFonts w:hint="eastAsia" w:ascii="宋体" w:hAnsi="宋体" w:eastAsia="宋体" w:cs="宋体"/>
          <w:color w:val="auto"/>
          <w:kern w:val="2"/>
          <w:sz w:val="24"/>
          <w:szCs w:val="24"/>
          <w:highlight w:val="none"/>
          <w:lang w:val="zh-CN" w:eastAsia="zh-CN" w:bidi="zh-CN"/>
        </w:rPr>
        <w:t>款作出的指示，实施、完成全部工程，并修补工程中的任何缺陷。除第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2款、第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2款另有约定外，承包人应提供为完成合同工作所需的劳务、材料、施工设备、工程设备和其它物品，并按合同约定负责临时设施的设计、建造、运行、维护、管理和拆除。</w:t>
      </w:r>
    </w:p>
    <w:p w14:paraId="44C555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4.1.4</w:t>
      </w:r>
      <w:r>
        <w:rPr>
          <w:rFonts w:hint="eastAsia" w:ascii="宋体" w:hAnsi="宋体" w:eastAsia="宋体" w:cs="宋体"/>
          <w:color w:val="auto"/>
          <w:kern w:val="2"/>
          <w:sz w:val="24"/>
          <w:szCs w:val="24"/>
          <w:highlight w:val="none"/>
          <w:lang w:val="zh-CN" w:eastAsia="zh-CN" w:bidi="zh-CN"/>
        </w:rPr>
        <w:t>对施工作业和施工方法的完备性负责</w:t>
      </w:r>
    </w:p>
    <w:p w14:paraId="776D81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承包人应按合同约定的工作内容和施工进度要求，编制施工组织设计和施工措施计划，并对所有施工作业和施工方法的完备性和安全可靠性负责。</w:t>
      </w:r>
    </w:p>
    <w:p w14:paraId="05346C1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4.1.5</w:t>
      </w:r>
      <w:r>
        <w:rPr>
          <w:rFonts w:hint="eastAsia" w:ascii="宋体" w:hAnsi="宋体" w:eastAsia="宋体" w:cs="宋体"/>
          <w:color w:val="auto"/>
          <w:kern w:val="2"/>
          <w:sz w:val="24"/>
          <w:szCs w:val="24"/>
          <w:highlight w:val="none"/>
          <w:lang w:val="zh-CN" w:eastAsia="zh-CN" w:bidi="zh-CN"/>
        </w:rPr>
        <w:t>保证工程施工和人员的安全</w:t>
      </w:r>
    </w:p>
    <w:p w14:paraId="37A7F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承包人应按第</w:t>
      </w:r>
      <w:r>
        <w:rPr>
          <w:rFonts w:hint="eastAsia" w:ascii="宋体" w:hAnsi="宋体" w:eastAsia="宋体" w:cs="宋体"/>
          <w:color w:val="auto"/>
          <w:kern w:val="2"/>
          <w:sz w:val="24"/>
          <w:szCs w:val="24"/>
          <w:highlight w:val="none"/>
          <w:lang w:val="en-US" w:eastAsia="zh-CN" w:bidi="en-US"/>
        </w:rPr>
        <w:t xml:space="preserve">9. </w:t>
      </w:r>
      <w:r>
        <w:rPr>
          <w:rFonts w:hint="eastAsia" w:ascii="宋体" w:hAnsi="宋体" w:eastAsia="宋体" w:cs="宋体"/>
          <w:color w:val="auto"/>
          <w:kern w:val="2"/>
          <w:sz w:val="24"/>
          <w:szCs w:val="24"/>
          <w:highlight w:val="none"/>
          <w:lang w:val="zh-CN" w:eastAsia="zh-CN" w:bidi="zh-CN"/>
        </w:rPr>
        <w:t>2款约定采取施工安全措施，确保工程及其人员、材料、设备和设施的安全，防止因工程施工造成的人身伤害和财产损失。</w:t>
      </w:r>
    </w:p>
    <w:p w14:paraId="4AB3F7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4.1.6</w:t>
      </w:r>
      <w:r>
        <w:rPr>
          <w:rFonts w:hint="eastAsia" w:ascii="宋体" w:hAnsi="宋体" w:eastAsia="宋体" w:cs="宋体"/>
          <w:color w:val="auto"/>
          <w:kern w:val="2"/>
          <w:sz w:val="24"/>
          <w:szCs w:val="24"/>
          <w:highlight w:val="none"/>
          <w:lang w:val="zh-CN" w:eastAsia="zh-CN" w:bidi="zh-CN"/>
        </w:rPr>
        <w:t>负责施工场地及其周边环境与生态的保护工作</w:t>
      </w:r>
    </w:p>
    <w:p w14:paraId="05E3A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承包人应按照第</w:t>
      </w:r>
      <w:r>
        <w:rPr>
          <w:rFonts w:hint="eastAsia" w:ascii="宋体" w:hAnsi="宋体" w:eastAsia="宋体" w:cs="宋体"/>
          <w:color w:val="auto"/>
          <w:kern w:val="2"/>
          <w:sz w:val="24"/>
          <w:szCs w:val="24"/>
          <w:highlight w:val="none"/>
          <w:lang w:val="en-US" w:eastAsia="zh-CN" w:bidi="en-US"/>
        </w:rPr>
        <w:t>9.4</w:t>
      </w:r>
      <w:r>
        <w:rPr>
          <w:rFonts w:hint="eastAsia" w:ascii="宋体" w:hAnsi="宋体" w:eastAsia="宋体" w:cs="宋体"/>
          <w:color w:val="auto"/>
          <w:kern w:val="2"/>
          <w:sz w:val="24"/>
          <w:szCs w:val="24"/>
          <w:highlight w:val="none"/>
          <w:lang w:val="zh-CN" w:eastAsia="zh-CN" w:bidi="zh-CN"/>
        </w:rPr>
        <w:t>款约定负责施工场地及其周边环境与生态的保护工作。</w:t>
      </w:r>
    </w:p>
    <w:p w14:paraId="6AFBE6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w:t>
      </w:r>
      <w:r>
        <w:rPr>
          <w:rFonts w:hint="eastAsia" w:ascii="宋体" w:hAnsi="宋体" w:eastAsia="宋体" w:cs="宋体"/>
          <w:color w:val="auto"/>
          <w:kern w:val="2"/>
          <w:sz w:val="24"/>
          <w:szCs w:val="24"/>
          <w:highlight w:val="none"/>
          <w:lang w:val="zh-CN" w:eastAsia="zh-CN" w:bidi="zh-CN"/>
        </w:rPr>
        <w:t>7避免施工对公众与他人的利益造成损害</w:t>
      </w:r>
    </w:p>
    <w:p w14:paraId="0A1484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承包人在进行合同约定的各项工作时，不得侵害发包人与他人使用公用道路、水源、 市政管网等公共设施的权利，避免对邻近的公共设施产生干扰。承包人占用或使用他人的施工场地，影响他人作业或生活的，应承担相应责任。</w:t>
      </w:r>
    </w:p>
    <w:p w14:paraId="4E8DDE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4. 1.8</w:t>
      </w:r>
      <w:r>
        <w:rPr>
          <w:rFonts w:hint="eastAsia" w:ascii="宋体" w:hAnsi="宋体" w:eastAsia="宋体" w:cs="宋体"/>
          <w:color w:val="auto"/>
          <w:kern w:val="2"/>
          <w:sz w:val="24"/>
          <w:szCs w:val="24"/>
          <w:highlight w:val="none"/>
          <w:lang w:val="zh-CN" w:eastAsia="zh-CN" w:bidi="zh-CN"/>
        </w:rPr>
        <w:t>为他人提供方便</w:t>
      </w:r>
    </w:p>
    <w:p w14:paraId="3F177C4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承包人应按监理人的指示为他人在施工场地或附近实施与工程有关的其他各项工作提供可能的条件。除合同另有约定外，提供有关条件的内容和可能发生的费用，由监理人按 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6B15B2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4.1.9</w:t>
      </w:r>
      <w:r>
        <w:rPr>
          <w:rFonts w:hint="eastAsia" w:ascii="宋体" w:hAnsi="宋体" w:eastAsia="宋体" w:cs="宋体"/>
          <w:color w:val="auto"/>
          <w:kern w:val="2"/>
          <w:sz w:val="24"/>
          <w:szCs w:val="24"/>
          <w:highlight w:val="none"/>
          <w:lang w:val="zh-CN" w:eastAsia="zh-CN" w:bidi="zh-CN"/>
        </w:rPr>
        <w:t>工程的维护和照管</w:t>
      </w:r>
    </w:p>
    <w:p w14:paraId="1270C1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除合同另有约定外，合同工程完工证书颁发前，承包人应负责照管和维护工程。合同工程完工证书颁发时尚有部分未完工程的，承包人还应负责该未完工程的照管和维护工作，直至完工后移交给发包人为止。</w:t>
      </w:r>
    </w:p>
    <w:p w14:paraId="793B98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4.1.10其它义务</w:t>
      </w:r>
    </w:p>
    <w:p w14:paraId="715FB3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其它义务在专用合同条款中补充约定。</w:t>
      </w:r>
    </w:p>
    <w:p w14:paraId="0B6585E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4.2履约担保</w:t>
      </w:r>
    </w:p>
    <w:p w14:paraId="067FF2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承包人应保证其履约担保在发包人颁发合同工程完工证书前一直有效。发包人应在合同工程完工证书颁发后，</w:t>
      </w:r>
      <w:r>
        <w:rPr>
          <w:rFonts w:hint="eastAsia" w:ascii="宋体" w:hAnsi="宋体" w:eastAsia="宋体" w:cs="宋体"/>
          <w:color w:val="auto"/>
          <w:kern w:val="2"/>
          <w:sz w:val="24"/>
          <w:szCs w:val="24"/>
          <w:highlight w:val="none"/>
          <w:lang w:val="en-US" w:eastAsia="zh-CN" w:bidi="zh-CN"/>
        </w:rPr>
        <w:t>经承包人申请</w:t>
      </w:r>
      <w:r>
        <w:rPr>
          <w:rFonts w:hint="eastAsia" w:ascii="宋体" w:hAnsi="宋体" w:eastAsia="宋体" w:cs="宋体"/>
          <w:color w:val="auto"/>
          <w:kern w:val="2"/>
          <w:sz w:val="24"/>
          <w:szCs w:val="24"/>
          <w:highlight w:val="none"/>
          <w:lang w:val="zh-CN" w:eastAsia="zh-CN" w:bidi="zh-CN"/>
        </w:rPr>
        <w:t>将履约担保退还给承包人。</w:t>
      </w:r>
    </w:p>
    <w:p w14:paraId="0277A0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4182CE7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50720C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4.3.2</w:t>
      </w:r>
      <w:r>
        <w:rPr>
          <w:rFonts w:hint="eastAsia" w:ascii="宋体" w:hAnsi="宋体" w:eastAsia="宋体" w:cs="宋体"/>
          <w:color w:val="auto"/>
          <w:kern w:val="2"/>
          <w:sz w:val="24"/>
          <w:szCs w:val="24"/>
          <w:highlight w:val="none"/>
          <w:lang w:val="zh-CN" w:eastAsia="zh-CN" w:bidi="zh-CN"/>
        </w:rPr>
        <w:t>承包人不得将工程主体、关键性工作分包给第三人。除专用合同条款另有约定外，未经发包人书面同意，承包人不得将工程的其他部分或工作分包给第三人。</w:t>
      </w:r>
    </w:p>
    <w:p w14:paraId="4CE0A1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w:t>
      </w:r>
      <w:r>
        <w:rPr>
          <w:rFonts w:hint="eastAsia" w:ascii="宋体" w:hAnsi="宋体" w:eastAsia="宋体" w:cs="宋体"/>
          <w:color w:val="auto"/>
          <w:kern w:val="2"/>
          <w:sz w:val="24"/>
          <w:szCs w:val="24"/>
          <w:highlight w:val="none"/>
          <w:lang w:val="zh-CN" w:eastAsia="zh-CN" w:bidi="zh-CN"/>
        </w:rPr>
        <w:t>3分包人的资格能力应与其分包工程的标准和规模相适应。</w:t>
      </w:r>
    </w:p>
    <w:p w14:paraId="1DA8C2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4.3.4</w:t>
      </w:r>
      <w:r>
        <w:rPr>
          <w:rFonts w:hint="eastAsia" w:ascii="宋体" w:hAnsi="宋体" w:eastAsia="宋体" w:cs="宋体"/>
          <w:color w:val="auto"/>
          <w:kern w:val="2"/>
          <w:sz w:val="24"/>
          <w:szCs w:val="24"/>
          <w:highlight w:val="none"/>
          <w:lang w:val="zh-CN" w:eastAsia="zh-CN" w:bidi="zh-CN"/>
        </w:rPr>
        <w:t>按投标函附录约定分包工程的，承包人应向发包人和监理人提交分包合同副本。</w:t>
      </w:r>
    </w:p>
    <w:p w14:paraId="640312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4.3.5</w:t>
      </w:r>
      <w:r>
        <w:rPr>
          <w:rFonts w:hint="eastAsia" w:ascii="宋体" w:hAnsi="宋体" w:eastAsia="宋体" w:cs="宋体"/>
          <w:color w:val="auto"/>
          <w:kern w:val="2"/>
          <w:sz w:val="24"/>
          <w:szCs w:val="24"/>
          <w:highlight w:val="none"/>
          <w:lang w:val="zh-CN" w:eastAsia="zh-CN" w:bidi="zh-CN"/>
        </w:rPr>
        <w:t>承包人应与分包人就分包工程向发包人承担连带责任。</w:t>
      </w:r>
    </w:p>
    <w:p w14:paraId="319A9F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4.3.6</w:t>
      </w:r>
      <w:r>
        <w:rPr>
          <w:rFonts w:hint="eastAsia" w:ascii="宋体" w:hAnsi="宋体" w:eastAsia="宋体" w:cs="宋体"/>
          <w:color w:val="auto"/>
          <w:kern w:val="2"/>
          <w:sz w:val="24"/>
          <w:szCs w:val="24"/>
          <w:highlight w:val="none"/>
          <w:lang w:val="zh-CN" w:eastAsia="zh-CN" w:bidi="zh-CN"/>
        </w:rPr>
        <w:t>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14:paraId="48461B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4.3.7</w:t>
      </w:r>
      <w:r>
        <w:rPr>
          <w:rFonts w:hint="eastAsia" w:ascii="宋体" w:hAnsi="宋体" w:eastAsia="宋体" w:cs="宋体"/>
          <w:color w:val="auto"/>
          <w:kern w:val="2"/>
          <w:sz w:val="24"/>
          <w:szCs w:val="24"/>
          <w:highlight w:val="none"/>
          <w:lang w:val="zh-CN" w:eastAsia="zh-CN" w:bidi="zh-CN"/>
        </w:rPr>
        <w:t>在合同实施过程中，如承包人无力在合同规定的期限内完成合同中的应急防 汛、抢险等危及公共安全和工程安全的项目，发包人可对该应急防汛、抢险等项目的部分工程指定分包人。因非承包人原因形成指定分包条件的，发包人的指定分包不得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14:paraId="5CF305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4.3.8</w:t>
      </w:r>
      <w:r>
        <w:rPr>
          <w:rFonts w:hint="eastAsia" w:ascii="宋体" w:hAnsi="宋体" w:eastAsia="宋体" w:cs="宋体"/>
          <w:color w:val="auto"/>
          <w:kern w:val="2"/>
          <w:sz w:val="24"/>
          <w:szCs w:val="24"/>
          <w:highlight w:val="none"/>
          <w:lang w:val="zh-CN" w:eastAsia="zh-CN" w:bidi="zh-CN"/>
        </w:rPr>
        <w:t>承包人和发包人应当签订分包合同，并履行合同约定的义务。分包合同必须遵循承包合同的各项原则，满足相应条款的要求。发包人可以对分包合同实施情况进行监督检查。承包人应将分包合同副本提交发包人和监理人。</w:t>
      </w:r>
    </w:p>
    <w:p w14:paraId="4C499BF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4.3.9</w:t>
      </w:r>
      <w:r>
        <w:rPr>
          <w:rFonts w:hint="eastAsia" w:ascii="宋体" w:hAnsi="宋体" w:eastAsia="宋体" w:cs="宋体"/>
          <w:color w:val="auto"/>
          <w:kern w:val="2"/>
          <w:sz w:val="24"/>
          <w:szCs w:val="24"/>
          <w:highlight w:val="none"/>
          <w:lang w:val="zh-CN" w:eastAsia="zh-CN" w:bidi="zh-CN"/>
        </w:rPr>
        <w:t>除第</w:t>
      </w:r>
      <w:r>
        <w:rPr>
          <w:rFonts w:hint="eastAsia" w:ascii="宋体" w:hAnsi="宋体" w:eastAsia="宋体" w:cs="宋体"/>
          <w:color w:val="auto"/>
          <w:kern w:val="2"/>
          <w:sz w:val="24"/>
          <w:szCs w:val="24"/>
          <w:highlight w:val="none"/>
          <w:lang w:val="en-US" w:eastAsia="zh-CN" w:bidi="en-US"/>
        </w:rPr>
        <w:t xml:space="preserve">4. 3. </w:t>
      </w:r>
      <w:r>
        <w:rPr>
          <w:rFonts w:hint="eastAsia" w:ascii="宋体" w:hAnsi="宋体" w:eastAsia="宋体" w:cs="宋体"/>
          <w:color w:val="auto"/>
          <w:kern w:val="2"/>
          <w:sz w:val="24"/>
          <w:szCs w:val="24"/>
          <w:highlight w:val="none"/>
          <w:lang w:val="zh-CN" w:eastAsia="zh-CN" w:bidi="zh-CN"/>
        </w:rPr>
        <w:t>7项规定的指定分包外，承包人对其分包项目的实施以及分包人的行为向发包人负全部责任。承包人应对分包项目的工程进度、质量、安全、计量和验收等实施监督和管理。</w:t>
      </w:r>
    </w:p>
    <w:p w14:paraId="223E47D3">
      <w:pPr>
        <w:pageBreakBefore w:val="0"/>
        <w:widowControl w:val="0"/>
        <w:tabs>
          <w:tab w:val="left" w:pos="7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4.3.10分包人应按专用合同条款的约定设立项目管理机构组织管理分包工程的施工活动。</w:t>
      </w:r>
    </w:p>
    <w:p w14:paraId="5F79B99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4.4联合体</w:t>
      </w:r>
    </w:p>
    <w:p w14:paraId="3F020F98">
      <w:pPr>
        <w:pageBreakBefore w:val="0"/>
        <w:widowControl w:val="0"/>
        <w:tabs>
          <w:tab w:val="left" w:pos="73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4.4.1</w:t>
      </w:r>
      <w:r>
        <w:rPr>
          <w:rFonts w:hint="eastAsia" w:ascii="宋体" w:hAnsi="宋体" w:eastAsia="宋体" w:cs="宋体"/>
          <w:color w:val="auto"/>
          <w:kern w:val="2"/>
          <w:sz w:val="24"/>
          <w:szCs w:val="24"/>
          <w:highlight w:val="none"/>
          <w:lang w:val="zh-CN" w:eastAsia="zh-CN" w:bidi="zh-CN"/>
        </w:rPr>
        <w:t>联合体各方应共同与发包人签订合同协议书。联合体各方应为履行合同承担连带责任。</w:t>
      </w:r>
    </w:p>
    <w:p w14:paraId="21D45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4.4.2</w:t>
      </w:r>
      <w:r>
        <w:rPr>
          <w:rFonts w:hint="eastAsia" w:ascii="宋体" w:hAnsi="宋体" w:eastAsia="宋体" w:cs="宋体"/>
          <w:color w:val="auto"/>
          <w:kern w:val="2"/>
          <w:sz w:val="24"/>
          <w:szCs w:val="24"/>
          <w:highlight w:val="none"/>
          <w:lang w:val="zh-CN" w:eastAsia="zh-CN" w:bidi="zh-CN"/>
        </w:rPr>
        <w:t>联合体协议经发包人确认后作为合同附件。在履行合同过程中，未经发包人书面同意，不得修改联合体协议。</w:t>
      </w:r>
    </w:p>
    <w:p w14:paraId="596921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4.4.3</w:t>
      </w:r>
      <w:r>
        <w:rPr>
          <w:rFonts w:hint="eastAsia" w:ascii="宋体" w:hAnsi="宋体" w:eastAsia="宋体" w:cs="宋体"/>
          <w:color w:val="auto"/>
          <w:kern w:val="2"/>
          <w:sz w:val="24"/>
          <w:szCs w:val="24"/>
          <w:highlight w:val="none"/>
          <w:lang w:val="zh-CN" w:eastAsia="zh-CN" w:bidi="zh-CN"/>
        </w:rPr>
        <w:t>联合体牵头人负责与发包人和监理人联系，并接受指示，负责组织联合体各成员全面履行合同。</w:t>
      </w:r>
    </w:p>
    <w:p w14:paraId="29A1EA6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4.5承包人项目经理</w:t>
      </w:r>
    </w:p>
    <w:p w14:paraId="61D803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4.5.1</w:t>
      </w:r>
      <w:r>
        <w:rPr>
          <w:rFonts w:hint="eastAsia" w:ascii="宋体" w:hAnsi="宋体" w:eastAsia="宋体" w:cs="宋体"/>
          <w:color w:val="auto"/>
          <w:kern w:val="2"/>
          <w:sz w:val="24"/>
          <w:szCs w:val="24"/>
          <w:highlight w:val="none"/>
          <w:lang w:val="zh-CN" w:eastAsia="zh-CN" w:bidi="zh-CN"/>
        </w:rPr>
        <w:t>承包人应按合同约定指派项目经理，并在约定的期限内到职。承包人更换项目经理应事先征得发包人书面同意，并应在更换14天前通知发包人和监理人。承包人项目经理短 期离开施工场地，应事先征得监理人同意，并委派代表代行其职责。</w:t>
      </w:r>
    </w:p>
    <w:p w14:paraId="28CB902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4.5.2</w:t>
      </w:r>
      <w:r>
        <w:rPr>
          <w:rFonts w:hint="eastAsia" w:ascii="宋体" w:hAnsi="宋体" w:eastAsia="宋体" w:cs="宋体"/>
          <w:color w:val="auto"/>
          <w:kern w:val="2"/>
          <w:sz w:val="24"/>
          <w:szCs w:val="24"/>
          <w:highlight w:val="none"/>
          <w:lang w:val="zh-CN" w:eastAsia="zh-CN" w:bidi="zh-CN"/>
        </w:rPr>
        <w:t>承包人项目经理应按合同约定以及监理人按第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4款作出的指示，负责组织合同工程的实施。在情况紧急且无法与监理人取得联系时，可采取保证工程和人员生命财产安全的紧急措施，并在采取措施后24小时内向监理人提交书面报告。</w:t>
      </w:r>
    </w:p>
    <w:p w14:paraId="1A88EF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w:t>
      </w:r>
      <w:r>
        <w:rPr>
          <w:rFonts w:hint="eastAsia" w:ascii="宋体" w:hAnsi="宋体" w:eastAsia="宋体" w:cs="宋体"/>
          <w:color w:val="auto"/>
          <w:kern w:val="2"/>
          <w:sz w:val="24"/>
          <w:szCs w:val="24"/>
          <w:highlight w:val="none"/>
          <w:lang w:val="zh-CN" w:eastAsia="zh-CN" w:bidi="zh-CN"/>
        </w:rPr>
        <w:t>3承包人为履行合同发出的一切函件均应盖有承包人授权的施工场地管理机构章，并由承包人项目经理或其授权代表签字。</w:t>
      </w:r>
    </w:p>
    <w:p w14:paraId="195E5B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4.5.4</w:t>
      </w:r>
      <w:r>
        <w:rPr>
          <w:rFonts w:hint="eastAsia" w:ascii="宋体" w:hAnsi="宋体" w:eastAsia="宋体" w:cs="宋体"/>
          <w:color w:val="auto"/>
          <w:kern w:val="2"/>
          <w:sz w:val="24"/>
          <w:szCs w:val="24"/>
          <w:highlight w:val="none"/>
          <w:lang w:val="zh-CN" w:eastAsia="zh-CN" w:bidi="zh-CN"/>
        </w:rPr>
        <w:t>承包人项目经理可以授权其下属人员履行其某项职责，但事先应将这些人员的姓名和授权范围通知监理人。</w:t>
      </w:r>
    </w:p>
    <w:p w14:paraId="11E0731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FAB88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4.6.1</w:t>
      </w:r>
      <w:r>
        <w:rPr>
          <w:rFonts w:hint="eastAsia" w:ascii="宋体" w:hAnsi="宋体" w:eastAsia="宋体" w:cs="宋体"/>
          <w:color w:val="auto"/>
          <w:kern w:val="2"/>
          <w:sz w:val="24"/>
          <w:szCs w:val="24"/>
          <w:highlight w:val="none"/>
          <w:lang w:val="zh-CN" w:eastAsia="zh-CN" w:bidi="zh-CN"/>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F7DAA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4.6.2</w:t>
      </w:r>
      <w:r>
        <w:rPr>
          <w:rFonts w:hint="eastAsia" w:ascii="宋体" w:hAnsi="宋体" w:eastAsia="宋体" w:cs="宋体"/>
          <w:color w:val="auto"/>
          <w:kern w:val="2"/>
          <w:sz w:val="24"/>
          <w:szCs w:val="24"/>
          <w:highlight w:val="none"/>
          <w:lang w:val="zh-CN" w:eastAsia="zh-CN" w:bidi="zh-CN"/>
        </w:rPr>
        <w:t>为完成合同约定的各项工作，承包人应向施工场地派遣或雇佣足够数量的下列 人员：</w:t>
      </w:r>
    </w:p>
    <w:p w14:paraId="780A109B">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具有相应资格的专业技工和合格的普工；</w:t>
      </w:r>
    </w:p>
    <w:p w14:paraId="0F8F2BED">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具有相应施工经验的技术人员；</w:t>
      </w:r>
    </w:p>
    <w:p w14:paraId="606BF98A">
      <w:pPr>
        <w:pageBreakBefore w:val="0"/>
        <w:widowControl w:val="0"/>
        <w:numPr>
          <w:ilvl w:val="0"/>
          <w:numId w:val="6"/>
        </w:numPr>
        <w:tabs>
          <w:tab w:val="left" w:pos="899"/>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具有相应岗位资格的各级管理人员。</w:t>
      </w:r>
    </w:p>
    <w:p w14:paraId="6E6641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4.6.3</w:t>
      </w:r>
      <w:r>
        <w:rPr>
          <w:rFonts w:hint="eastAsia" w:ascii="宋体" w:hAnsi="宋体" w:eastAsia="宋体" w:cs="宋体"/>
          <w:color w:val="auto"/>
          <w:kern w:val="2"/>
          <w:sz w:val="24"/>
          <w:szCs w:val="24"/>
          <w:highlight w:val="none"/>
          <w:lang w:val="zh-CN" w:eastAsia="zh-CN" w:bidi="zh-CN"/>
        </w:rPr>
        <w:t>承包人安排在施工场地的主要管理人员和技术骨干应相对稳定。承包人更换主要管理人员和技术骨干时，应取得监理人的同意。</w:t>
      </w:r>
    </w:p>
    <w:p w14:paraId="5E2D91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4. 6.4</w:t>
      </w:r>
      <w:r>
        <w:rPr>
          <w:rFonts w:hint="eastAsia" w:ascii="宋体" w:hAnsi="宋体" w:eastAsia="宋体" w:cs="宋体"/>
          <w:color w:val="auto"/>
          <w:kern w:val="2"/>
          <w:sz w:val="24"/>
          <w:szCs w:val="24"/>
          <w:highlight w:val="none"/>
          <w:lang w:val="zh-CN" w:eastAsia="zh-CN" w:bidi="zh-CN"/>
        </w:rPr>
        <w:t>特殊岗位的工作人员均应持有相应的资格证明，监理人有权随时检查。监理人认为有必要时，可进行现场考核。</w:t>
      </w:r>
    </w:p>
    <w:p w14:paraId="6E655C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2075B9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承包人应对其项目经理和其他人员进行有效管理。监理人要求撤换不能胜任本职工作、 行为不端或玩忽职守的承包人项目经理和其他人员的，承包人应予以撤换。</w:t>
      </w:r>
    </w:p>
    <w:p w14:paraId="4B8C1E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4.8保障承包人人员的合法权益</w:t>
      </w:r>
    </w:p>
    <w:p w14:paraId="11CB78B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1承包人应与其雇佣的人员签订劳动合同，并按时发放工资。</w:t>
      </w:r>
    </w:p>
    <w:p w14:paraId="36B4CC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w:t>
      </w:r>
      <w:r>
        <w:rPr>
          <w:rFonts w:hint="eastAsia" w:ascii="宋体" w:hAnsi="宋体" w:eastAsia="宋体" w:cs="宋体"/>
          <w:color w:val="auto"/>
          <w:kern w:val="2"/>
          <w:sz w:val="24"/>
          <w:szCs w:val="24"/>
          <w:highlight w:val="none"/>
          <w:lang w:val="zh-CN" w:eastAsia="zh-CN" w:bidi="zh-CN"/>
        </w:rPr>
        <w:t>2承包人应按劳动法的规定安排工作时间，保证其雇佣人员享有休息和休假的权利。因工程施工的特殊需要占用休假日或延长工作时间的，应不超过法律规定的限度，并按法律规定给予补休或付酬。</w:t>
      </w:r>
    </w:p>
    <w:p w14:paraId="54AEAF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4.8.3</w:t>
      </w:r>
      <w:r>
        <w:rPr>
          <w:rFonts w:hint="eastAsia" w:ascii="宋体" w:hAnsi="宋体" w:eastAsia="宋体" w:cs="宋体"/>
          <w:color w:val="auto"/>
          <w:kern w:val="2"/>
          <w:sz w:val="24"/>
          <w:szCs w:val="24"/>
          <w:highlight w:val="none"/>
          <w:lang w:val="zh-CN" w:eastAsia="zh-CN" w:bidi="zh-CN"/>
        </w:rPr>
        <w:t>承包人应为其雇佣人员提供必要的食宿条件，以及符合环境保护和卫生要求的生活环境，在远离城镇的施工场地，还应配备必要的伤病防治和急救的医务人员与医疗设施。</w:t>
      </w:r>
    </w:p>
    <w:p w14:paraId="655348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4.8.4</w:t>
      </w:r>
      <w:r>
        <w:rPr>
          <w:rFonts w:hint="eastAsia" w:ascii="宋体" w:hAnsi="宋体" w:eastAsia="宋体" w:cs="宋体"/>
          <w:color w:val="auto"/>
          <w:kern w:val="2"/>
          <w:sz w:val="24"/>
          <w:szCs w:val="24"/>
          <w:highlight w:val="none"/>
          <w:lang w:val="zh-CN" w:eastAsia="zh-CN" w:bidi="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1A479F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4.8.5</w:t>
      </w:r>
      <w:r>
        <w:rPr>
          <w:rFonts w:hint="eastAsia" w:ascii="宋体" w:hAnsi="宋体" w:eastAsia="宋体" w:cs="宋体"/>
          <w:color w:val="auto"/>
          <w:kern w:val="2"/>
          <w:sz w:val="24"/>
          <w:szCs w:val="24"/>
          <w:highlight w:val="none"/>
          <w:lang w:val="zh-CN" w:eastAsia="zh-CN" w:bidi="zh-CN"/>
        </w:rPr>
        <w:t>承包人应按有关法律规定和合同约定，为其雇佣人员办理保险。</w:t>
      </w:r>
    </w:p>
    <w:p w14:paraId="63FE674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4.8.6</w:t>
      </w:r>
      <w:r>
        <w:rPr>
          <w:rFonts w:hint="eastAsia" w:ascii="宋体" w:hAnsi="宋体" w:eastAsia="宋体" w:cs="宋体"/>
          <w:color w:val="auto"/>
          <w:kern w:val="2"/>
          <w:sz w:val="24"/>
          <w:szCs w:val="24"/>
          <w:highlight w:val="none"/>
          <w:lang w:val="zh-CN" w:eastAsia="zh-CN" w:bidi="zh-CN"/>
        </w:rPr>
        <w:t>承包人应负责处理其雇佣人员因工伤亡事故的善后事宜。</w:t>
      </w:r>
    </w:p>
    <w:p w14:paraId="62CF93C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4.9工程价款应专款专用</w:t>
      </w:r>
    </w:p>
    <w:p w14:paraId="746CEDF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发包人按合同约定支付给承包人的各项价款应专用于合同工程。</w:t>
      </w:r>
    </w:p>
    <w:p w14:paraId="65B4D7E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4.10承包人现场查勘</w:t>
      </w:r>
    </w:p>
    <w:p w14:paraId="2F22F67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4.10.</w:t>
      </w:r>
      <w:r>
        <w:rPr>
          <w:rFonts w:hint="eastAsia" w:ascii="宋体" w:hAnsi="宋体" w:eastAsia="宋体" w:cs="宋体"/>
          <w:color w:val="auto"/>
          <w:kern w:val="2"/>
          <w:sz w:val="24"/>
          <w:szCs w:val="24"/>
          <w:highlight w:val="none"/>
          <w:lang w:val="zh-CN" w:eastAsia="zh-CN" w:bidi="zh-CN"/>
        </w:rPr>
        <w:t>1发包人应将其持有的现场地质勘探资料、水文气象资料提供给承包人，并对其准确性负责。但承包人应对其阅读上述有关资料后所作出的解释和推断负责。</w:t>
      </w:r>
    </w:p>
    <w:p w14:paraId="1BF7954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4.10.2承包人应对施工场地和周围环境进行查勘，并收集有关地质、水文、气象条件、交通条件、风俗习惯以及其他为完成合同工作有关的当地资料。在全部合同工作中，应视为承包人已充分估计了应承担的责任和风险。</w:t>
      </w:r>
    </w:p>
    <w:p w14:paraId="4DAE782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49E2F5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除专用合同条款另有约定外，不利的物质条件是指在施工中遭遇不可预见的外界障碍或自然条件造成施工受阻。</w:t>
      </w:r>
    </w:p>
    <w:p w14:paraId="3B73F7B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4.11.2</w:t>
      </w:r>
      <w:r>
        <w:rPr>
          <w:rFonts w:hint="eastAsia" w:ascii="宋体" w:hAnsi="宋体" w:eastAsia="宋体" w:cs="宋体"/>
          <w:color w:val="auto"/>
          <w:kern w:val="2"/>
          <w:sz w:val="24"/>
          <w:szCs w:val="24"/>
          <w:highlight w:val="none"/>
          <w:lang w:val="zh-CN" w:eastAsia="zh-CN" w:bidi="zh-CN"/>
        </w:rPr>
        <w:t>承包人遇到不利物质条件时，应采取适应不利物质条件的合理措施继续施工, 并及时通知监理人。承包人应有权根据第</w:t>
      </w:r>
      <w:r>
        <w:rPr>
          <w:rFonts w:hint="eastAsia" w:ascii="宋体" w:hAnsi="宋体" w:eastAsia="宋体" w:cs="宋体"/>
          <w:color w:val="auto"/>
          <w:kern w:val="2"/>
          <w:sz w:val="24"/>
          <w:szCs w:val="24"/>
          <w:highlight w:val="none"/>
          <w:lang w:val="en-US" w:eastAsia="zh-CN" w:bidi="en-US"/>
        </w:rPr>
        <w:t>23.1</w:t>
      </w:r>
      <w:r>
        <w:rPr>
          <w:rFonts w:hint="eastAsia" w:ascii="宋体" w:hAnsi="宋体" w:eastAsia="宋体" w:cs="宋体"/>
          <w:color w:val="auto"/>
          <w:kern w:val="2"/>
          <w:sz w:val="24"/>
          <w:szCs w:val="24"/>
          <w:highlight w:val="none"/>
          <w:lang w:val="zh-CN" w:eastAsia="zh-CN" w:bidi="zh-CN"/>
        </w:rPr>
        <w:t>款的约定，要求延长工期及增加费用。监理人收到此类要求后，应在分析上述外界障碍或自然条件是否不可预见及不可预见程度的基础上，按照通用合同条款第15条的约定办理。</w:t>
      </w:r>
    </w:p>
    <w:p w14:paraId="61E6DFB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1" w:name="_Toc17675"/>
      <w:r>
        <w:rPr>
          <w:rFonts w:hint="eastAsia" w:ascii="宋体" w:hAnsi="宋体" w:eastAsia="宋体" w:cs="宋体"/>
          <w:color w:val="auto"/>
          <w:kern w:val="2"/>
          <w:sz w:val="24"/>
          <w:szCs w:val="24"/>
          <w:highlight w:val="none"/>
          <w:lang w:val="en-US" w:eastAsia="zh-CN" w:bidi="ar-SA"/>
        </w:rPr>
        <w:t>5.材料和工程设备</w:t>
      </w:r>
      <w:bookmarkEnd w:id="211"/>
    </w:p>
    <w:p w14:paraId="2BB4743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5.1承包人提供的材料和工程设备</w:t>
      </w:r>
    </w:p>
    <w:p w14:paraId="785083E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5.1.1除第5.2款约定由发包人提供的材料和工程设备外，承包人负责采购、运输和保管完成本合同工作所需的材料和工程设备。承包人应对其采购的材料和工程设备负责。</w:t>
      </w:r>
    </w:p>
    <w:p w14:paraId="3FE160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5.1.2承包人应按专用合同条款的约定，将各项材料和工程设备的供货人及品种、规格、数量和供货时间等报送监理人审批。承包人应向监理人提交其负责提供的材料和工程 设备的质量证明文件，并满足合同约定的质量标准。</w:t>
      </w:r>
    </w:p>
    <w:p w14:paraId="0C3F70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DE8A5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A3D8F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5.2.1发包人提供的材料和工程设备，应在专用合同条款中写明材料和工程设备的名称、规格、数量、价格、交货方式、交货地点和计划交货日期等。</w:t>
      </w:r>
    </w:p>
    <w:p w14:paraId="382F89D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5.2.2</w:t>
      </w:r>
      <w:r>
        <w:rPr>
          <w:rFonts w:hint="eastAsia" w:ascii="宋体" w:hAnsi="宋体" w:eastAsia="宋体" w:cs="宋体"/>
          <w:color w:val="auto"/>
          <w:kern w:val="2"/>
          <w:sz w:val="24"/>
          <w:szCs w:val="24"/>
          <w:highlight w:val="none"/>
          <w:lang w:val="zh-CN" w:eastAsia="zh-CN" w:bidi="zh-CN"/>
        </w:rPr>
        <w:t>承包人应根据合同进度计划的安排，向监理人报送要求发包人交货的日期计划。发包人应按照监理人与合同双方当事人商定的交货日期，向承包人提交材料和工程设备。</w:t>
      </w:r>
    </w:p>
    <w:p w14:paraId="647630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5.2.3</w:t>
      </w:r>
      <w:r>
        <w:rPr>
          <w:rFonts w:hint="eastAsia" w:ascii="宋体" w:hAnsi="宋体" w:eastAsia="宋体" w:cs="宋体"/>
          <w:color w:val="auto"/>
          <w:kern w:val="2"/>
          <w:sz w:val="24"/>
          <w:szCs w:val="24"/>
          <w:highlight w:val="none"/>
          <w:lang w:val="zh-CN" w:eastAsia="zh-CN" w:bidi="zh-CN"/>
        </w:rPr>
        <w:t>发包人应在材料和工程设备到货7天前通知承包人，承包人应会同监理人在约定的时间内，赴交货地点共同进行验收。发包人提供的材料和工程设备运至交货地点验收后，由承包人负责接收、卸货、运输和保管。</w:t>
      </w:r>
    </w:p>
    <w:p w14:paraId="447399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5. 2.4</w:t>
      </w:r>
      <w:r>
        <w:rPr>
          <w:rFonts w:hint="eastAsia" w:ascii="宋体" w:hAnsi="宋体" w:eastAsia="宋体" w:cs="宋体"/>
          <w:color w:val="auto"/>
          <w:kern w:val="2"/>
          <w:sz w:val="24"/>
          <w:szCs w:val="24"/>
          <w:highlight w:val="none"/>
          <w:lang w:val="zh-CN" w:eastAsia="zh-CN" w:bidi="zh-CN"/>
        </w:rPr>
        <w:t>发包人要求向承包人提前交货的，承包人不得拒绝，但发包人应承担承包人由此增加的费用。</w:t>
      </w:r>
    </w:p>
    <w:p w14:paraId="2D6108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5.2.5</w:t>
      </w:r>
      <w:r>
        <w:rPr>
          <w:rFonts w:hint="eastAsia" w:ascii="宋体" w:hAnsi="宋体" w:eastAsia="宋体" w:cs="宋体"/>
          <w:color w:val="auto"/>
          <w:kern w:val="2"/>
          <w:sz w:val="24"/>
          <w:szCs w:val="24"/>
          <w:highlight w:val="none"/>
          <w:lang w:val="zh-CN" w:eastAsia="zh-CN" w:bidi="zh-CN"/>
        </w:rPr>
        <w:t>承包人要求更改交货日期或地点的，应事先报请监理人批准。由于承包人要求更改交货时间或地点所增加的费用和（或）工期延误由承包人承担。</w:t>
      </w:r>
    </w:p>
    <w:p w14:paraId="2F60F5E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5.2.6</w:t>
      </w:r>
      <w:r>
        <w:rPr>
          <w:rFonts w:hint="eastAsia" w:ascii="宋体" w:hAnsi="宋体" w:eastAsia="宋体" w:cs="宋体"/>
          <w:color w:val="auto"/>
          <w:kern w:val="2"/>
          <w:sz w:val="24"/>
          <w:szCs w:val="24"/>
          <w:highlight w:val="none"/>
          <w:lang w:val="zh-CN" w:eastAsia="zh-CN" w:bidi="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692A69D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5.3材料和工程设备专用于合同工程</w:t>
      </w:r>
    </w:p>
    <w:p w14:paraId="4D13B93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5.3.1</w:t>
      </w:r>
      <w:r>
        <w:rPr>
          <w:rFonts w:hint="eastAsia" w:ascii="宋体" w:hAnsi="宋体" w:eastAsia="宋体" w:cs="宋体"/>
          <w:color w:val="auto"/>
          <w:kern w:val="2"/>
          <w:sz w:val="24"/>
          <w:szCs w:val="24"/>
          <w:highlight w:val="none"/>
          <w:lang w:val="zh-CN" w:eastAsia="zh-CN" w:bidi="zh-CN"/>
        </w:rPr>
        <w:t>运入施工场地的材料、工程设备，包括备品备件、安装专用工器具与随机资料，必须专用于合同工程，未经监理人同意，承包人不得运出施工场地或挪作他用。</w:t>
      </w:r>
    </w:p>
    <w:p w14:paraId="09FA10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5.3.2</w:t>
      </w:r>
      <w:r>
        <w:rPr>
          <w:rFonts w:hint="eastAsia" w:ascii="宋体" w:hAnsi="宋体" w:eastAsia="宋体" w:cs="宋体"/>
          <w:color w:val="auto"/>
          <w:kern w:val="2"/>
          <w:sz w:val="24"/>
          <w:szCs w:val="24"/>
          <w:highlight w:val="none"/>
          <w:lang w:val="zh-CN" w:eastAsia="zh-CN" w:bidi="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C4093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5.4禁止使用不合格的材料和工程设备</w:t>
      </w:r>
    </w:p>
    <w:p w14:paraId="27FA60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5.4.1监理人有权拒绝承包人提供的不合格材料或工程设备，并要求承包人立即进行更换。监理人应在更换后再次进行检查和检验，由此增加的费用和（或）工期延误由承包 人承担。</w:t>
      </w:r>
    </w:p>
    <w:p w14:paraId="38F23B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5.4.2监理人发现承包人使用了不合格的材料和工程设备，应即时发出指示要求承包人立即改正，并禁止在工程中继续使用不合格的材料和工程设备。</w:t>
      </w:r>
    </w:p>
    <w:p w14:paraId="0D66CE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5.4.3</w:t>
      </w:r>
      <w:r>
        <w:rPr>
          <w:rFonts w:hint="eastAsia" w:ascii="宋体" w:hAnsi="宋体" w:eastAsia="宋体" w:cs="宋体"/>
          <w:color w:val="auto"/>
          <w:kern w:val="2"/>
          <w:sz w:val="24"/>
          <w:szCs w:val="24"/>
          <w:highlight w:val="none"/>
          <w:lang w:val="zh-CN" w:eastAsia="zh-CN" w:bidi="zh-CN"/>
        </w:rPr>
        <w:t>发包人提供的材料或工程设备不符合合同要求的，承包人有权拒绝，并可要求发包人更换，由此增加的费用和（或）工期延误由发包人承担。</w:t>
      </w:r>
    </w:p>
    <w:p w14:paraId="2D8E253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2" w:name="_Toc24250"/>
      <w:r>
        <w:rPr>
          <w:rFonts w:hint="eastAsia" w:ascii="宋体" w:hAnsi="宋体" w:eastAsia="宋体" w:cs="宋体"/>
          <w:color w:val="auto"/>
          <w:kern w:val="2"/>
          <w:sz w:val="24"/>
          <w:szCs w:val="24"/>
          <w:highlight w:val="none"/>
          <w:lang w:val="en-US" w:eastAsia="zh-CN" w:bidi="ar-SA"/>
        </w:rPr>
        <w:t>6.施工设备和临时设施</w:t>
      </w:r>
      <w:bookmarkEnd w:id="212"/>
    </w:p>
    <w:p w14:paraId="497FA4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16261B7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6.1.1</w:t>
      </w:r>
      <w:r>
        <w:rPr>
          <w:rFonts w:hint="eastAsia" w:ascii="宋体" w:hAnsi="宋体" w:eastAsia="宋体" w:cs="宋体"/>
          <w:color w:val="auto"/>
          <w:kern w:val="2"/>
          <w:sz w:val="24"/>
          <w:szCs w:val="24"/>
          <w:highlight w:val="none"/>
          <w:lang w:val="zh-CN" w:eastAsia="zh-CN" w:bidi="zh-CN"/>
        </w:rPr>
        <w:t>承包人应按合同进度计划的要求，及时配置施工设备和修建临时设施。进入施工场地的承包人设备需经监理人核查后才能投入使用。承包人更换合同约定的承包人设备的，应报监理人批准。</w:t>
      </w:r>
    </w:p>
    <w:p w14:paraId="68C6A8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除专用合同条款另有约定外，承包人应自行承担修建临时设施的费用，需要临时占地的，应由发包人办理申请手续并承担相应费用。</w:t>
      </w:r>
    </w:p>
    <w:p w14:paraId="1E0E07A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4AF1A90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发包人提供的施工设备或临时设施在专用合同条款中约定。</w:t>
      </w:r>
    </w:p>
    <w:p w14:paraId="10868D4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6.3要求承包人增加或更换施工设备</w:t>
      </w:r>
    </w:p>
    <w:p w14:paraId="3014F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承包人使用的施工设备不能满足合同进度计划和（或）质量要求时，监理人有权要求承包人增加或更换施工设备，承包人应及时增加或更换，由此增加的费用和（或）工期延误由承包人承担。</w:t>
      </w:r>
    </w:p>
    <w:p w14:paraId="4A383A3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6.4施工设备和临时设施专用于合同工程</w:t>
      </w:r>
    </w:p>
    <w:p w14:paraId="5D8BA5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6.4.1除合同另有约定外，运入施工场地的所有施工设备以及在施工场地建设的临时设施应专用于合同工程。未经监理人同意，不得将上述施工设备和临时设施中的任何部分运出施工场地或挪作他用。</w:t>
      </w:r>
    </w:p>
    <w:p w14:paraId="32E29310">
      <w:pPr>
        <w:pageBreakBefore w:val="0"/>
        <w:widowControl w:val="0"/>
        <w:tabs>
          <w:tab w:val="left" w:pos="7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6.4.2</w:t>
      </w:r>
      <w:r>
        <w:rPr>
          <w:rFonts w:hint="eastAsia" w:ascii="宋体" w:hAnsi="宋体" w:eastAsia="宋体" w:cs="宋体"/>
          <w:color w:val="auto"/>
          <w:kern w:val="2"/>
          <w:sz w:val="24"/>
          <w:szCs w:val="24"/>
          <w:highlight w:val="none"/>
          <w:lang w:val="zh-CN" w:eastAsia="zh-CN" w:bidi="zh-CN"/>
        </w:rPr>
        <w:t>经监理人同意，承包人可根据合同进度计划撤走闲置的施工设备。</w:t>
      </w:r>
    </w:p>
    <w:p w14:paraId="4DAE1E3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3" w:name="_Toc28841"/>
      <w:r>
        <w:rPr>
          <w:rFonts w:hint="eastAsia" w:ascii="宋体" w:hAnsi="宋体" w:eastAsia="宋体" w:cs="宋体"/>
          <w:color w:val="auto"/>
          <w:kern w:val="2"/>
          <w:sz w:val="24"/>
          <w:szCs w:val="24"/>
          <w:highlight w:val="none"/>
          <w:lang w:val="en-US" w:eastAsia="zh-CN" w:bidi="ar-SA"/>
        </w:rPr>
        <w:t>7.交通运输</w:t>
      </w:r>
      <w:bookmarkEnd w:id="213"/>
    </w:p>
    <w:p w14:paraId="381D35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3B2E2E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14:paraId="781A8D9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7.2场内施工道路</w:t>
      </w:r>
    </w:p>
    <w:p w14:paraId="53C89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7.2.1</w:t>
      </w:r>
      <w:r>
        <w:rPr>
          <w:rFonts w:hint="eastAsia" w:ascii="宋体" w:hAnsi="宋体" w:eastAsia="宋体" w:cs="宋体"/>
          <w:color w:val="auto"/>
          <w:kern w:val="2"/>
          <w:sz w:val="24"/>
          <w:szCs w:val="24"/>
          <w:highlight w:val="none"/>
          <w:lang w:val="zh-CN" w:eastAsia="zh-CN" w:bidi="zh-CN"/>
        </w:rPr>
        <w:t>除本合同约定由发包人提供的部分道路和交通设施外，承包人应负责修建、维修、养护和管理其施工所需的全部临时道路和交通设施（包括合同约定由发包人提供的部 分道路和交通设施维修、养护和管理），并承担相应费用。</w:t>
      </w:r>
    </w:p>
    <w:p w14:paraId="27E3774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7.2.2</w:t>
      </w:r>
      <w:r>
        <w:rPr>
          <w:rFonts w:hint="eastAsia" w:ascii="宋体" w:hAnsi="宋体" w:eastAsia="宋体" w:cs="宋体"/>
          <w:color w:val="auto"/>
          <w:kern w:val="2"/>
          <w:sz w:val="24"/>
          <w:szCs w:val="24"/>
          <w:highlight w:val="none"/>
          <w:lang w:val="zh-CN" w:eastAsia="zh-CN" w:bidi="zh-CN"/>
        </w:rPr>
        <w:t>承包人修建的临时道路和交通设施，应免费提供发包人、监理人，以及与本合 同有关的其他承包人使用。</w:t>
      </w:r>
    </w:p>
    <w:p w14:paraId="0D6415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7.3场外交通</w:t>
      </w:r>
    </w:p>
    <w:p w14:paraId="521B60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7.3.1</w:t>
      </w:r>
      <w:r>
        <w:rPr>
          <w:rFonts w:hint="eastAsia" w:ascii="宋体" w:hAnsi="宋体" w:eastAsia="宋体" w:cs="宋体"/>
          <w:color w:val="auto"/>
          <w:kern w:val="2"/>
          <w:sz w:val="24"/>
          <w:szCs w:val="24"/>
          <w:highlight w:val="none"/>
          <w:lang w:val="zh-CN" w:eastAsia="zh-CN" w:bidi="zh-CN"/>
        </w:rPr>
        <w:t>承包人车辆外出行驶所需的场外公共道路的通行费、养路费和税款等由承包人承担。</w:t>
      </w:r>
    </w:p>
    <w:p w14:paraId="548A50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7.3.2</w:t>
      </w:r>
      <w:r>
        <w:rPr>
          <w:rFonts w:hint="eastAsia" w:ascii="宋体" w:hAnsi="宋体" w:eastAsia="宋体" w:cs="宋体"/>
          <w:color w:val="auto"/>
          <w:kern w:val="2"/>
          <w:sz w:val="24"/>
          <w:szCs w:val="24"/>
          <w:highlight w:val="none"/>
          <w:lang w:val="zh-CN" w:eastAsia="zh-CN" w:bidi="zh-CN"/>
        </w:rPr>
        <w:t>承包人应遵守有关交通法规，严格按照道路和桥梁的限制荷重安全行驶，并服从交通管理部门的检查和监督</w:t>
      </w:r>
      <w:r>
        <w:rPr>
          <w:rFonts w:hint="eastAsia" w:ascii="宋体" w:hAnsi="宋体" w:eastAsia="宋体" w:cs="宋体"/>
          <w:color w:val="auto"/>
          <w:kern w:val="2"/>
          <w:sz w:val="24"/>
          <w:szCs w:val="24"/>
          <w:highlight w:val="none"/>
          <w:lang w:val="en-US" w:eastAsia="zh-CN" w:bidi="zh-CN"/>
        </w:rPr>
        <w:t>。</w:t>
      </w:r>
    </w:p>
    <w:p w14:paraId="4D161C4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7.4超大件和超重件的运输</w:t>
      </w:r>
    </w:p>
    <w:p w14:paraId="2A3531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由承包人负责运输的超大件或超重件，应由承包人负责向交通管理部门办理申请手续, 发包人给予协助。运输超大件或超重件所需的道路和桥梁临时加固改造费用和其他有关费用，由承包人承担，但专用合同条款另有约定除外。</w:t>
      </w:r>
    </w:p>
    <w:p w14:paraId="223530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7.5道路和桥梁的损坏责任</w:t>
      </w:r>
    </w:p>
    <w:p w14:paraId="74834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因承包人运输造成施工场地内外公共道路和桥梁损坏的，由承包人承担修复损坏的全部费用和可能引起的赔偿。</w:t>
      </w:r>
    </w:p>
    <w:p w14:paraId="7F5DE1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7.6水路和航空运输</w:t>
      </w:r>
    </w:p>
    <w:p w14:paraId="3CB637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本条上述各款的内容适用于水路运输和航空运输，其中“道路” 一词的涵义包括河道、航线、船闸、机场、码头、堤防以及水路或航空运输中其他相似结构物；“车辆” 一词的涵义包括船舶和飞机等。</w:t>
      </w:r>
    </w:p>
    <w:p w14:paraId="7AB0BA8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4" w:name="_Toc10906"/>
      <w:r>
        <w:rPr>
          <w:rFonts w:hint="eastAsia" w:ascii="宋体" w:hAnsi="宋体" w:eastAsia="宋体" w:cs="宋体"/>
          <w:color w:val="auto"/>
          <w:kern w:val="2"/>
          <w:sz w:val="24"/>
          <w:szCs w:val="24"/>
          <w:highlight w:val="none"/>
          <w:lang w:val="en-US" w:eastAsia="zh-CN" w:bidi="ar-SA"/>
        </w:rPr>
        <w:t>8.测量放线</w:t>
      </w:r>
      <w:bookmarkEnd w:id="214"/>
    </w:p>
    <w:p w14:paraId="37F58B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085F6D1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8.1.1</w:t>
      </w:r>
      <w:r>
        <w:rPr>
          <w:rFonts w:hint="eastAsia" w:ascii="宋体" w:hAnsi="宋体" w:eastAsia="宋体" w:cs="宋体"/>
          <w:color w:val="auto"/>
          <w:kern w:val="2"/>
          <w:sz w:val="24"/>
          <w:szCs w:val="24"/>
          <w:highlight w:val="none"/>
          <w:lang w:val="zh-CN" w:eastAsia="zh-CN" w:bidi="zh-CN"/>
        </w:rPr>
        <w:t>除专用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14:paraId="621188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8.1.2</w:t>
      </w:r>
      <w:r>
        <w:rPr>
          <w:rFonts w:hint="eastAsia" w:ascii="宋体" w:hAnsi="宋体" w:eastAsia="宋体" w:cs="宋体"/>
          <w:color w:val="auto"/>
          <w:kern w:val="2"/>
          <w:sz w:val="24"/>
          <w:szCs w:val="24"/>
          <w:highlight w:val="none"/>
          <w:lang w:val="zh-CN" w:eastAsia="zh-CN" w:bidi="zh-CN"/>
        </w:rPr>
        <w:t>承包人应负责管理施工控制网点。施工控制网点丢失或损坏的，承包人应及时修复。承包人应承担施工控制网点的管理与修复费用，并在工程竣工后将施工控制网点移交发包人。</w:t>
      </w:r>
    </w:p>
    <w:p w14:paraId="16A790C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8.2施工测量</w:t>
      </w:r>
    </w:p>
    <w:p w14:paraId="50DB4D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8.2.1</w:t>
      </w:r>
      <w:r>
        <w:rPr>
          <w:rFonts w:hint="eastAsia" w:ascii="宋体" w:hAnsi="宋体" w:eastAsia="宋体" w:cs="宋体"/>
          <w:color w:val="auto"/>
          <w:kern w:val="2"/>
          <w:sz w:val="24"/>
          <w:szCs w:val="24"/>
          <w:highlight w:val="none"/>
          <w:lang w:val="zh-CN" w:eastAsia="zh-CN" w:bidi="zh-CN"/>
        </w:rPr>
        <w:t>承包人应负责施工过程中的全部施工测量放线工作，并配置合格的人员、仪 器、设备和其他物品。</w:t>
      </w:r>
    </w:p>
    <w:p w14:paraId="0C7DE5E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8.2.2</w:t>
      </w:r>
      <w:r>
        <w:rPr>
          <w:rFonts w:hint="eastAsia" w:ascii="宋体" w:hAnsi="宋体" w:eastAsia="宋体" w:cs="宋体"/>
          <w:color w:val="auto"/>
          <w:kern w:val="2"/>
          <w:sz w:val="24"/>
          <w:szCs w:val="24"/>
          <w:highlight w:val="none"/>
          <w:lang w:val="zh-CN" w:eastAsia="zh-CN" w:bidi="zh-CN"/>
        </w:rPr>
        <w:t>监理人可以指示承包人进行抽样复测，当复测中发现错误或出现超过合同约定的误差时，承包人应按监理人指示进行修正或补测，并承担相应的复测费用。</w:t>
      </w:r>
    </w:p>
    <w:p w14:paraId="77C981E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8.3基准资料错误的责任</w:t>
      </w:r>
    </w:p>
    <w:p w14:paraId="10049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F6AEE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8.4监理人使用施工控制网</w:t>
      </w:r>
    </w:p>
    <w:p w14:paraId="30B45CF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监理人需要使用施工控制网的，承包人应提供必要的协助，发包人不再为此支付费用。</w:t>
      </w:r>
    </w:p>
    <w:p w14:paraId="652B07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8.5补充地质勘探</w:t>
      </w:r>
    </w:p>
    <w:p w14:paraId="524C01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实施期间，监理人可以指示承包人进行必要的补充地质勘探和提供有关资料；承包人为本合同永久工程施工的需要进行补充地质勘探时，须经监理人批准，并应向监理人提交有关资料，上述补充勘探的费用由发包人承担。承包人为其临时工程所需进行的补 充地质勘探，其费用由承包人承担。</w:t>
      </w:r>
    </w:p>
    <w:p w14:paraId="1AD039D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5" w:name="_Toc18302"/>
      <w:r>
        <w:rPr>
          <w:rFonts w:hint="eastAsia" w:ascii="宋体" w:hAnsi="宋体" w:eastAsia="宋体" w:cs="宋体"/>
          <w:color w:val="auto"/>
          <w:kern w:val="2"/>
          <w:sz w:val="24"/>
          <w:szCs w:val="24"/>
          <w:highlight w:val="none"/>
          <w:lang w:val="en-US" w:eastAsia="zh-CN" w:bidi="ar-SA"/>
        </w:rPr>
        <w:t>9.施工安全、治安保卫和环境保护</w:t>
      </w:r>
      <w:bookmarkEnd w:id="215"/>
    </w:p>
    <w:p w14:paraId="037D3D2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9.1发包人的施工安全责任</w:t>
      </w:r>
    </w:p>
    <w:p w14:paraId="053195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9.1.1</w:t>
      </w:r>
      <w:r>
        <w:rPr>
          <w:rFonts w:hint="eastAsia" w:ascii="宋体" w:hAnsi="宋体" w:eastAsia="宋体" w:cs="宋体"/>
          <w:color w:val="auto"/>
          <w:kern w:val="2"/>
          <w:sz w:val="24"/>
          <w:szCs w:val="24"/>
          <w:highlight w:val="none"/>
          <w:lang w:val="zh-CN" w:eastAsia="zh-CN" w:bidi="zh-CN"/>
        </w:rPr>
        <w:t>发包人应按合同约定履行安全职责，发包人委托监理人根据国家有关安全的法律、法规、强制性标准以及部门规章，对承包人的安全责任履行情况进行监督和检查。监理人的监督检查不减轻承包人应负的安全责任。</w:t>
      </w:r>
    </w:p>
    <w:p w14:paraId="0D51B3B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9.1.2</w:t>
      </w:r>
      <w:r>
        <w:rPr>
          <w:rFonts w:hint="eastAsia" w:ascii="宋体" w:hAnsi="宋体" w:eastAsia="宋体" w:cs="宋体"/>
          <w:color w:val="auto"/>
          <w:kern w:val="2"/>
          <w:sz w:val="24"/>
          <w:szCs w:val="24"/>
          <w:highlight w:val="none"/>
          <w:lang w:val="zh-CN" w:eastAsia="zh-CN" w:bidi="zh-CN"/>
        </w:rPr>
        <w:t>发包人应对其现场机构雇佣的全部人员的工伤事故承担责任，但由于承包人原因造成发包人人员工伤的，应由承包人承担责任。</w:t>
      </w:r>
    </w:p>
    <w:p w14:paraId="5691FC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9. 1. </w:t>
      </w:r>
      <w:r>
        <w:rPr>
          <w:rFonts w:hint="eastAsia" w:ascii="宋体" w:hAnsi="宋体" w:eastAsia="宋体" w:cs="宋体"/>
          <w:color w:val="auto"/>
          <w:kern w:val="2"/>
          <w:sz w:val="24"/>
          <w:szCs w:val="24"/>
          <w:highlight w:val="none"/>
          <w:lang w:val="zh-CN" w:eastAsia="zh-CN" w:bidi="zh-CN"/>
        </w:rPr>
        <w:t>3发包人应负责赔偿以下各种情况造成的第三者人身伤亡和财产损失：</w:t>
      </w:r>
    </w:p>
    <w:p w14:paraId="62D07A8B">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工程或工程的任何部分对土地的占用所造成的第三者财产损失；</w:t>
      </w:r>
    </w:p>
    <w:p w14:paraId="1ABA81E0">
      <w:pPr>
        <w:pageBreakBefore w:val="0"/>
        <w:widowControl w:val="0"/>
        <w:numPr>
          <w:ilvl w:val="0"/>
          <w:numId w:val="7"/>
        </w:numPr>
        <w:tabs>
          <w:tab w:val="left" w:pos="8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由于发包人原因在施工场地及其毗邻地带造成的第三者人身伤亡和财产损失。</w:t>
      </w:r>
    </w:p>
    <w:p w14:paraId="21A140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9.1.4</w:t>
      </w:r>
      <w:r>
        <w:rPr>
          <w:rFonts w:hint="eastAsia" w:ascii="宋体" w:hAnsi="宋体" w:eastAsia="宋体" w:cs="宋体"/>
          <w:color w:val="auto"/>
          <w:kern w:val="2"/>
          <w:sz w:val="24"/>
          <w:szCs w:val="24"/>
          <w:highlight w:val="none"/>
          <w:lang w:val="zh-CN" w:eastAsia="zh-CN" w:bidi="zh-CN"/>
        </w:rPr>
        <w:t>除专用合同条款另有约定外，发包人负责向承包人提供施工现场及施工可能影响的毗邻区域内供水、排水、供电、供气、供热、通信、广播电视等地下管线资料，气象 和水文观测资料，拟建工程可能影响的相邻建筑物地下工程的有关资料，并保证有关资料的真实、准确、完整，满足有关技术规程的要求。</w:t>
      </w:r>
    </w:p>
    <w:p w14:paraId="09FB9F3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9.1.5</w:t>
      </w:r>
      <w:r>
        <w:rPr>
          <w:rFonts w:hint="eastAsia" w:ascii="宋体" w:hAnsi="宋体" w:eastAsia="宋体" w:cs="宋体"/>
          <w:color w:val="auto"/>
          <w:kern w:val="2"/>
          <w:sz w:val="24"/>
          <w:szCs w:val="24"/>
          <w:highlight w:val="none"/>
          <w:lang w:val="zh-CN" w:eastAsia="zh-CN" w:bidi="zh-CN"/>
        </w:rPr>
        <w:t>发包人按照已标价工程量清单所列金额和合同约定的计量支付规定，支付安全作业环境及安全施工措施所需费用。</w:t>
      </w:r>
    </w:p>
    <w:p w14:paraId="09DC3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9.1.6</w:t>
      </w:r>
      <w:r>
        <w:rPr>
          <w:rFonts w:hint="eastAsia" w:ascii="宋体" w:hAnsi="宋体" w:eastAsia="宋体" w:cs="宋体"/>
          <w:color w:val="auto"/>
          <w:kern w:val="2"/>
          <w:sz w:val="24"/>
          <w:szCs w:val="24"/>
          <w:highlight w:val="none"/>
          <w:lang w:val="zh-CN" w:eastAsia="zh-CN" w:bidi="zh-CN"/>
        </w:rPr>
        <w:t>发包人负责组织工程参建单位编制保证安全生产的措施方案。工程开工前，就 落实安全生产的措施进行全面系统的布置，进一步明确承包人的安全生产责任。</w:t>
      </w:r>
    </w:p>
    <w:p w14:paraId="593770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9.1.7</w:t>
      </w:r>
      <w:r>
        <w:rPr>
          <w:rFonts w:hint="eastAsia" w:ascii="宋体" w:hAnsi="宋体" w:eastAsia="宋体" w:cs="宋体"/>
          <w:color w:val="auto"/>
          <w:kern w:val="2"/>
          <w:sz w:val="24"/>
          <w:szCs w:val="24"/>
          <w:highlight w:val="none"/>
          <w:lang w:val="zh-CN" w:eastAsia="zh-CN" w:bidi="zh-CN"/>
        </w:rPr>
        <w:t>发包人负责在拆除工程和爆破工程施工14天前向有关部门或机构报送相关备案资料。</w:t>
      </w:r>
    </w:p>
    <w:p w14:paraId="6DCA64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0BA23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w:t>
      </w:r>
      <w:r>
        <w:rPr>
          <w:rFonts w:hint="eastAsia" w:ascii="宋体" w:hAnsi="宋体" w:eastAsia="宋体" w:cs="宋体"/>
          <w:color w:val="auto"/>
          <w:kern w:val="2"/>
          <w:sz w:val="24"/>
          <w:szCs w:val="24"/>
          <w:highlight w:val="none"/>
          <w:lang w:val="zh-CN" w:eastAsia="zh-CN" w:bidi="zh-CN"/>
        </w:rPr>
        <w:t>承包人应按合同约定履行安全职责，执行监理人有关安全工作的指示。承包人应按技术标准和要求(合同技术条款)约定的内容和期限，以及监理人的指示，编制施工安全技术措施提交监理人审批。监理人应技术标准和要求(合同技术条款)约定的期限内 批复承包人。</w:t>
      </w:r>
    </w:p>
    <w:p w14:paraId="5945D9F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9.2.2</w:t>
      </w:r>
      <w:r>
        <w:rPr>
          <w:rFonts w:hint="eastAsia" w:ascii="宋体" w:hAnsi="宋体" w:eastAsia="宋体" w:cs="宋体"/>
          <w:color w:val="auto"/>
          <w:kern w:val="2"/>
          <w:sz w:val="24"/>
          <w:szCs w:val="24"/>
          <w:highlight w:val="none"/>
          <w:lang w:val="zh-CN" w:eastAsia="zh-CN" w:bidi="zh-CN"/>
        </w:rPr>
        <w:t>承包人应加强施工作业安全管理，特别应加强易燃、易爆材料、火工器材、有毒与腐蚀性材料和其他危险品的管理，以及对爆破作业和地下工程施工等危险作业的管理。</w:t>
      </w:r>
    </w:p>
    <w:p w14:paraId="0474051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9.2.3</w:t>
      </w:r>
      <w:r>
        <w:rPr>
          <w:rFonts w:hint="eastAsia" w:ascii="宋体" w:hAnsi="宋体" w:eastAsia="宋体" w:cs="宋体"/>
          <w:color w:val="auto"/>
          <w:kern w:val="2"/>
          <w:sz w:val="24"/>
          <w:szCs w:val="24"/>
          <w:highlight w:val="none"/>
          <w:lang w:val="zh-CN" w:eastAsia="zh-CN" w:bidi="zh-CN"/>
        </w:rPr>
        <w:t>承包人应严格按照国家安全标准制定施工安全操作规程，配备必要的安全生产 和劳动保护设施，加强对承包人人员的安全教育，并发放安全工作手册和劳动保护用具。</w:t>
      </w:r>
    </w:p>
    <w:p w14:paraId="0DA488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9. 2.4</w:t>
      </w:r>
      <w:r>
        <w:rPr>
          <w:rFonts w:hint="eastAsia" w:ascii="宋体" w:hAnsi="宋体" w:eastAsia="宋体" w:cs="宋体"/>
          <w:color w:val="auto"/>
          <w:kern w:val="2"/>
          <w:sz w:val="24"/>
          <w:szCs w:val="24"/>
          <w:highlight w:val="none"/>
          <w:lang w:val="zh-CN" w:eastAsia="zh-CN" w:bidi="zh-CN"/>
        </w:rPr>
        <w:t>承包人应按监理人的指示制定应对灾害的紧急预案，报送监理人审批。承包人还应按预案做好安全检查，配置必要的救助物资和器材，切实保护好有关人员的人身和财产安全。</w:t>
      </w:r>
    </w:p>
    <w:p w14:paraId="07E5DCD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9.2.5</w:t>
      </w:r>
      <w:r>
        <w:rPr>
          <w:rFonts w:hint="eastAsia" w:ascii="宋体" w:hAnsi="宋体" w:eastAsia="宋体" w:cs="宋体"/>
          <w:color w:val="auto"/>
          <w:kern w:val="2"/>
          <w:sz w:val="24"/>
          <w:szCs w:val="24"/>
          <w:highlight w:val="none"/>
          <w:lang w:val="zh-CN" w:eastAsia="zh-CN" w:bidi="zh-CN"/>
        </w:rPr>
        <w:t>合同约定的安全作业环境及安全施工措施所需费用应遵守有关规定，并包括在相关工作的合同价格中。因采取合同未约定的安全作业环境及安全施工措施增加的费用，由监理人按第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06814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9.2.6</w:t>
      </w:r>
      <w:r>
        <w:rPr>
          <w:rFonts w:hint="eastAsia" w:ascii="宋体" w:hAnsi="宋体" w:eastAsia="宋体" w:cs="宋体"/>
          <w:color w:val="auto"/>
          <w:kern w:val="2"/>
          <w:sz w:val="24"/>
          <w:szCs w:val="24"/>
          <w:highlight w:val="none"/>
          <w:lang w:val="zh-CN" w:eastAsia="zh-CN" w:bidi="zh-CN"/>
        </w:rPr>
        <w:t>承包人应对其履行合同所雇佣的全部人员，包括分包人人员的工伤事故承担责任，但由于发包人原因造成承包人人员工伤事故的，应由发包人承担责任。</w:t>
      </w:r>
    </w:p>
    <w:p w14:paraId="1AC3FF6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7由于承包人原因在施工场地内及其毗邻地带造成的第三者人员伤亡和财产损失，由承包人负责赔偿。</w:t>
      </w:r>
    </w:p>
    <w:p w14:paraId="415B50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8承包人已标价工程量清单应包含工程安全作业环境及安全施工措施所需费用。</w:t>
      </w:r>
    </w:p>
    <w:p w14:paraId="6A1D1F0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9.2.9</w:t>
      </w:r>
      <w:r>
        <w:rPr>
          <w:rFonts w:hint="eastAsia" w:ascii="宋体" w:hAnsi="宋体" w:eastAsia="宋体" w:cs="宋体"/>
          <w:color w:val="auto"/>
          <w:kern w:val="2"/>
          <w:sz w:val="24"/>
          <w:szCs w:val="24"/>
          <w:highlight w:val="none"/>
          <w:lang w:val="zh-CN" w:eastAsia="zh-CN" w:bidi="zh-CN"/>
        </w:rPr>
        <w:t>承包人应建立健全安全生产责任制度和安全生产教育培训制度，制定安全生产 规章制度和操作规程，保证本单位建立和完善安全生产条件所需资金的投入，对本工程进行定期和专项安全检查，并做好安全检查记录。</w:t>
      </w:r>
    </w:p>
    <w:p w14:paraId="3C82D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10承包人应设立安全生产管理机构，施工现场应有专职安全生产管理人员。</w:t>
      </w:r>
    </w:p>
    <w:p w14:paraId="2954F4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9.2.11</w:t>
      </w:r>
      <w:r>
        <w:rPr>
          <w:rFonts w:hint="eastAsia" w:ascii="宋体" w:hAnsi="宋体" w:eastAsia="宋体" w:cs="宋体"/>
          <w:color w:val="auto"/>
          <w:kern w:val="2"/>
          <w:sz w:val="24"/>
          <w:szCs w:val="24"/>
          <w:highlight w:val="none"/>
          <w:lang w:val="zh-CN" w:eastAsia="zh-CN" w:bidi="zh-CN"/>
        </w:rPr>
        <w:t>承包人应负责对特种作业人员进行专门的安全作业培训，并保证特种作业人员持证上岗。</w:t>
      </w:r>
    </w:p>
    <w:p w14:paraId="09062E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书面同意。</w:t>
      </w:r>
    </w:p>
    <w:p w14:paraId="1CA4E9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9.2.</w:t>
      </w:r>
      <w:r>
        <w:rPr>
          <w:rFonts w:hint="eastAsia" w:ascii="宋体" w:hAnsi="宋体" w:eastAsia="宋体" w:cs="宋体"/>
          <w:color w:val="auto"/>
          <w:kern w:val="2"/>
          <w:sz w:val="24"/>
          <w:szCs w:val="24"/>
          <w:highlight w:val="none"/>
          <w:lang w:val="zh-CN" w:eastAsia="zh-CN" w:bidi="zh-CN"/>
        </w:rPr>
        <w:t>13承包人在使用施工起重机构和整体提升脚手架、模板等自升式架设设施前,应组织有关单位进行验收。</w:t>
      </w:r>
    </w:p>
    <w:p w14:paraId="3D140D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9.3治安保卫</w:t>
      </w:r>
    </w:p>
    <w:p w14:paraId="2237BA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9.3.1</w:t>
      </w:r>
      <w:r>
        <w:rPr>
          <w:rFonts w:hint="eastAsia" w:ascii="宋体" w:hAnsi="宋体" w:eastAsia="宋体" w:cs="宋体"/>
          <w:color w:val="auto"/>
          <w:kern w:val="2"/>
          <w:sz w:val="24"/>
          <w:szCs w:val="24"/>
          <w:highlight w:val="none"/>
          <w:lang w:val="zh-CN" w:eastAsia="zh-CN" w:bidi="zh-CN"/>
        </w:rPr>
        <w:t>除合同另有约定外，发包人应与当地公安部门协商，在现场建立治安管理机构或联防组织，统一管理施工场地的治安保卫事项，履行合同工程的治安保卫职责。</w:t>
      </w:r>
    </w:p>
    <w:p w14:paraId="71CECD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w:t>
      </w:r>
      <w:r>
        <w:rPr>
          <w:rFonts w:hint="eastAsia" w:ascii="宋体" w:hAnsi="宋体" w:eastAsia="宋体" w:cs="宋体"/>
          <w:color w:val="auto"/>
          <w:kern w:val="2"/>
          <w:sz w:val="24"/>
          <w:szCs w:val="24"/>
          <w:highlight w:val="none"/>
          <w:lang w:val="zh-CN" w:eastAsia="zh-CN" w:bidi="zh-CN"/>
        </w:rPr>
        <w:t>2发包人和承包人除应协助现场治安管理机构或联防组织维护施工场地的社会治安外，还应做好包括生活区在内的各自管辖区的治安保卫工作。</w:t>
      </w:r>
    </w:p>
    <w:p w14:paraId="370D16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9.3.3</w:t>
      </w:r>
      <w:r>
        <w:rPr>
          <w:rFonts w:hint="eastAsia" w:ascii="宋体" w:hAnsi="宋体" w:eastAsia="宋体" w:cs="宋体"/>
          <w:color w:val="auto"/>
          <w:kern w:val="2"/>
          <w:sz w:val="24"/>
          <w:szCs w:val="24"/>
          <w:highlight w:val="none"/>
          <w:lang w:val="zh-CN" w:eastAsia="zh-CN" w:bidi="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EE644D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9.4环境保护</w:t>
      </w:r>
    </w:p>
    <w:p w14:paraId="49584D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9.4.1</w:t>
      </w:r>
      <w:r>
        <w:rPr>
          <w:rFonts w:hint="eastAsia" w:ascii="宋体" w:hAnsi="宋体" w:eastAsia="宋体" w:cs="宋体"/>
          <w:color w:val="auto"/>
          <w:kern w:val="2"/>
          <w:sz w:val="24"/>
          <w:szCs w:val="24"/>
          <w:highlight w:val="none"/>
          <w:lang w:val="zh-CN" w:eastAsia="zh-CN" w:bidi="zh-CN"/>
        </w:rPr>
        <w:t>承包人在施工过程中，应遵守有关环境保护的法律，履行合同约定的环境保护义务，并对违反法律和合同约定义务所造成的环境破坏、人身伤害和财产损失负责。</w:t>
      </w:r>
    </w:p>
    <w:p w14:paraId="237EB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9.4.2</w:t>
      </w:r>
      <w:r>
        <w:rPr>
          <w:rFonts w:hint="eastAsia" w:ascii="宋体" w:hAnsi="宋体" w:eastAsia="宋体" w:cs="宋体"/>
          <w:color w:val="auto"/>
          <w:kern w:val="2"/>
          <w:sz w:val="24"/>
          <w:szCs w:val="24"/>
          <w:highlight w:val="none"/>
          <w:lang w:val="zh-CN" w:eastAsia="zh-CN" w:bidi="zh-CN"/>
        </w:rPr>
        <w:t>承包人应按合同约定的环保工作内容，编制施工环保措施计划，报送监理人审批。</w:t>
      </w:r>
    </w:p>
    <w:p w14:paraId="2DBC7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9.4.3</w:t>
      </w:r>
      <w:r>
        <w:rPr>
          <w:rFonts w:hint="eastAsia" w:ascii="宋体" w:hAnsi="宋体" w:eastAsia="宋体" w:cs="宋体"/>
          <w:color w:val="auto"/>
          <w:kern w:val="2"/>
          <w:sz w:val="24"/>
          <w:szCs w:val="24"/>
          <w:highlight w:val="none"/>
          <w:lang w:val="zh-CN" w:eastAsia="zh-CN" w:bidi="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3F03C2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9.4.4</w:t>
      </w:r>
      <w:r>
        <w:rPr>
          <w:rFonts w:hint="eastAsia" w:ascii="宋体" w:hAnsi="宋体" w:eastAsia="宋体" w:cs="宋体"/>
          <w:color w:val="auto"/>
          <w:kern w:val="2"/>
          <w:sz w:val="24"/>
          <w:szCs w:val="24"/>
          <w:highlight w:val="none"/>
          <w:lang w:val="zh-CN" w:eastAsia="zh-CN" w:bidi="zh-CN"/>
        </w:rPr>
        <w:t>承包人应按合同约定采取有效措施，对施工开挖的边坡及时进行支护，维护排 水设施，并进行水土保护，避免因施工造成的地质灾害。</w:t>
      </w:r>
    </w:p>
    <w:p w14:paraId="65701A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9.4.5</w:t>
      </w:r>
      <w:r>
        <w:rPr>
          <w:rFonts w:hint="eastAsia" w:ascii="宋体" w:hAnsi="宋体" w:eastAsia="宋体" w:cs="宋体"/>
          <w:color w:val="auto"/>
          <w:kern w:val="2"/>
          <w:sz w:val="24"/>
          <w:szCs w:val="24"/>
          <w:highlight w:val="none"/>
          <w:lang w:val="zh-CN" w:eastAsia="zh-CN" w:bidi="zh-CN"/>
        </w:rPr>
        <w:t>承包人应按国家饮用水管理标准定期对饮用水源进行监测，防止施工活动污染饮用水源。</w:t>
      </w:r>
    </w:p>
    <w:p w14:paraId="050549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9.4.6</w:t>
      </w:r>
      <w:r>
        <w:rPr>
          <w:rFonts w:hint="eastAsia" w:ascii="宋体" w:hAnsi="宋体" w:eastAsia="宋体" w:cs="宋体"/>
          <w:color w:val="auto"/>
          <w:kern w:val="2"/>
          <w:sz w:val="24"/>
          <w:szCs w:val="24"/>
          <w:highlight w:val="none"/>
          <w:lang w:val="zh-CN" w:eastAsia="zh-CN" w:bidi="zh-CN"/>
        </w:rPr>
        <w:t>承包人应按合同约定，加强对噪声、粉尘、废气、废水和废油的控制，努力降低噪声，控制粉尘和废气浓度，做好废水和废油的治理和排放。</w:t>
      </w:r>
    </w:p>
    <w:p w14:paraId="1FF207C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bookmarkStart w:id="216" w:name="_Toc1363"/>
      <w:r>
        <w:rPr>
          <w:rFonts w:hint="eastAsia" w:ascii="宋体" w:hAnsi="宋体" w:eastAsia="宋体" w:cs="宋体"/>
          <w:color w:val="auto"/>
          <w:kern w:val="0"/>
          <w:sz w:val="24"/>
          <w:szCs w:val="24"/>
          <w:highlight w:val="none"/>
          <w:lang w:val="en-US" w:eastAsia="zh-CN" w:bidi="ar-SA"/>
        </w:rPr>
        <w:t>9.5事故处理</w:t>
      </w:r>
      <w:bookmarkEnd w:id="216"/>
    </w:p>
    <w:p w14:paraId="20405A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9.5.1</w:t>
      </w:r>
      <w:r>
        <w:rPr>
          <w:rFonts w:hint="eastAsia" w:ascii="宋体" w:hAnsi="宋体" w:eastAsia="宋体" w:cs="宋体"/>
          <w:color w:val="auto"/>
          <w:kern w:val="2"/>
          <w:sz w:val="24"/>
          <w:szCs w:val="24"/>
          <w:highlight w:val="none"/>
          <w:lang w:val="zh-CN" w:eastAsia="zh-CN" w:bidi="zh-CN"/>
        </w:rPr>
        <w:t>发包人负责组织参建单位制定本工程的质量与安全事故应急预案，建立质量与安全事故应急处置指挥部。</w:t>
      </w:r>
    </w:p>
    <w:p w14:paraId="3E9D63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9.5.2</w:t>
      </w:r>
      <w:r>
        <w:rPr>
          <w:rFonts w:hint="eastAsia" w:ascii="宋体" w:hAnsi="宋体" w:eastAsia="宋体" w:cs="宋体"/>
          <w:color w:val="auto"/>
          <w:kern w:val="2"/>
          <w:sz w:val="24"/>
          <w:szCs w:val="24"/>
          <w:highlight w:val="none"/>
          <w:lang w:val="zh-CN" w:eastAsia="zh-CN" w:bidi="zh-CN"/>
        </w:rPr>
        <w:t>承包人应对施工现场易发生重大事故的部位、环节的进行监控，配备救援器材、设备，并定期组织演练。</w:t>
      </w:r>
    </w:p>
    <w:p w14:paraId="6AFCA92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9.5.3</w:t>
      </w:r>
      <w:r>
        <w:rPr>
          <w:rFonts w:hint="eastAsia" w:ascii="宋体" w:hAnsi="宋体" w:eastAsia="宋体" w:cs="宋体"/>
          <w:color w:val="auto"/>
          <w:kern w:val="2"/>
          <w:sz w:val="24"/>
          <w:szCs w:val="24"/>
          <w:highlight w:val="none"/>
          <w:lang w:val="zh-CN" w:eastAsia="zh-CN" w:bidi="zh-CN"/>
        </w:rPr>
        <w:t>工程开工前，承包人应根据本工程特点制定施工现场施工质量与安全事故应急预案，并报发包人备案。</w:t>
      </w:r>
    </w:p>
    <w:p w14:paraId="0B92AE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9.5.4</w:t>
      </w:r>
      <w:r>
        <w:rPr>
          <w:rFonts w:hint="eastAsia" w:ascii="宋体" w:hAnsi="宋体" w:eastAsia="宋体" w:cs="宋体"/>
          <w:color w:val="auto"/>
          <w:kern w:val="2"/>
          <w:sz w:val="24"/>
          <w:szCs w:val="24"/>
          <w:highlight w:val="none"/>
          <w:lang w:val="zh-CN" w:eastAsia="zh-CN" w:bidi="zh-CN"/>
        </w:rPr>
        <w:t>施工过程中发生事故时，发包人、承包人应立即启动应急预案。</w:t>
      </w:r>
    </w:p>
    <w:p w14:paraId="292F42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9.5.5</w:t>
      </w:r>
      <w:r>
        <w:rPr>
          <w:rFonts w:hint="eastAsia" w:ascii="宋体" w:hAnsi="宋体" w:eastAsia="宋体" w:cs="宋体"/>
          <w:color w:val="auto"/>
          <w:kern w:val="2"/>
          <w:sz w:val="24"/>
          <w:szCs w:val="24"/>
          <w:highlight w:val="none"/>
          <w:lang w:val="zh-CN" w:eastAsia="zh-CN" w:bidi="zh-CN"/>
        </w:rPr>
        <w:t>事故调查处理由发包人按相关规定履行手续，承包人应配合。</w:t>
      </w:r>
    </w:p>
    <w:p w14:paraId="63313CB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9.6水土保持</w:t>
      </w:r>
    </w:p>
    <w:p w14:paraId="76D6E4E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w:t>
      </w:r>
      <w:r>
        <w:rPr>
          <w:rFonts w:hint="eastAsia" w:ascii="宋体" w:hAnsi="宋体" w:eastAsia="宋体" w:cs="宋体"/>
          <w:color w:val="auto"/>
          <w:kern w:val="2"/>
          <w:sz w:val="24"/>
          <w:szCs w:val="24"/>
          <w:highlight w:val="none"/>
          <w:lang w:val="zh-CN" w:eastAsia="zh-CN" w:bidi="zh-CN"/>
        </w:rPr>
        <w:t>1发包人应及时向承包人提供水土保持方案。</w:t>
      </w:r>
    </w:p>
    <w:p w14:paraId="463251E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9.6.2</w:t>
      </w:r>
      <w:r>
        <w:rPr>
          <w:rFonts w:hint="eastAsia" w:ascii="宋体" w:hAnsi="宋体" w:eastAsia="宋体" w:cs="宋体"/>
          <w:color w:val="auto"/>
          <w:kern w:val="2"/>
          <w:sz w:val="24"/>
          <w:szCs w:val="24"/>
          <w:highlight w:val="none"/>
          <w:lang w:val="zh-CN" w:eastAsia="zh-CN" w:bidi="zh-CN"/>
        </w:rPr>
        <w:t>承包人在施工过程中，应遵守有关水土保持的法律法规和规章，履行合同约定的水土保持义务，并对其违反法律和合同约定义务所造成的水土流失灾害、人身伤害和财 产损失负责。</w:t>
      </w:r>
    </w:p>
    <w:p w14:paraId="546F93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9.6.3</w:t>
      </w:r>
      <w:r>
        <w:rPr>
          <w:rFonts w:hint="eastAsia" w:ascii="宋体" w:hAnsi="宋体" w:eastAsia="宋体" w:cs="宋体"/>
          <w:color w:val="auto"/>
          <w:kern w:val="2"/>
          <w:sz w:val="24"/>
          <w:szCs w:val="24"/>
          <w:highlight w:val="none"/>
          <w:lang w:val="zh-CN" w:eastAsia="zh-CN" w:bidi="zh-CN"/>
        </w:rPr>
        <w:t>承包人的水土保持措施计划，应满足技术标准和要求（合同技术条款）约定的要求。</w:t>
      </w:r>
    </w:p>
    <w:p w14:paraId="6D70FFA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214C48D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9.7.1</w:t>
      </w:r>
      <w:r>
        <w:rPr>
          <w:rFonts w:hint="eastAsia" w:ascii="宋体" w:hAnsi="宋体" w:eastAsia="宋体" w:cs="宋体"/>
          <w:color w:val="auto"/>
          <w:kern w:val="2"/>
          <w:sz w:val="24"/>
          <w:szCs w:val="24"/>
          <w:highlight w:val="none"/>
          <w:lang w:val="zh-CN" w:eastAsia="zh-CN" w:bidi="zh-CN"/>
        </w:rPr>
        <w:t>发包人应按专用合同条款的约定，负责建立创建文明建设工地的组织机构，制定创建文明建设工地的规划和办法。</w:t>
      </w:r>
    </w:p>
    <w:p w14:paraId="76BCE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9.7.2</w:t>
      </w:r>
      <w:r>
        <w:rPr>
          <w:rFonts w:hint="eastAsia" w:ascii="宋体" w:hAnsi="宋体" w:eastAsia="宋体" w:cs="宋体"/>
          <w:color w:val="auto"/>
          <w:kern w:val="2"/>
          <w:sz w:val="24"/>
          <w:szCs w:val="24"/>
          <w:highlight w:val="none"/>
          <w:lang w:val="zh-CN" w:eastAsia="zh-CN" w:bidi="zh-CN"/>
        </w:rPr>
        <w:t>承包人应按创建文明建设工地的规划和办法，履行职责，承担相应责任。所需费用应含在已标价工程量清单中。</w:t>
      </w:r>
    </w:p>
    <w:p w14:paraId="05238AE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9.8防汛度汛</w:t>
      </w:r>
    </w:p>
    <w:p w14:paraId="5CF029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w:t>
      </w:r>
      <w:r>
        <w:rPr>
          <w:rFonts w:hint="eastAsia" w:ascii="宋体" w:hAnsi="宋体" w:eastAsia="宋体" w:cs="宋体"/>
          <w:color w:val="auto"/>
          <w:kern w:val="2"/>
          <w:sz w:val="24"/>
          <w:szCs w:val="24"/>
          <w:highlight w:val="none"/>
          <w:lang w:val="zh-CN" w:eastAsia="zh-CN" w:bidi="zh-CN"/>
        </w:rPr>
        <w:t>1发包人负责组织工程参建单位编制本工程的度汛方案和措施。</w:t>
      </w:r>
    </w:p>
    <w:p w14:paraId="13CD77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9.8.2</w:t>
      </w:r>
      <w:r>
        <w:rPr>
          <w:rFonts w:hint="eastAsia" w:ascii="宋体" w:hAnsi="宋体" w:eastAsia="宋体" w:cs="宋体"/>
          <w:color w:val="auto"/>
          <w:kern w:val="2"/>
          <w:sz w:val="24"/>
          <w:szCs w:val="24"/>
          <w:highlight w:val="none"/>
          <w:lang w:val="zh-CN" w:eastAsia="zh-CN" w:bidi="zh-CN"/>
        </w:rPr>
        <w:t>承包人应根据发包人编制的本工程度汛方案和措施，制定相应的度汛方案，报发包人批准后实施。</w:t>
      </w:r>
    </w:p>
    <w:p w14:paraId="060551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7" w:name="_Toc732"/>
      <w:r>
        <w:rPr>
          <w:rFonts w:hint="eastAsia" w:ascii="宋体" w:hAnsi="宋体" w:eastAsia="宋体" w:cs="宋体"/>
          <w:color w:val="auto"/>
          <w:kern w:val="2"/>
          <w:sz w:val="24"/>
          <w:szCs w:val="24"/>
          <w:highlight w:val="none"/>
          <w:lang w:val="en-US" w:eastAsia="zh-CN" w:bidi="ar-SA"/>
        </w:rPr>
        <w:t>10.进度计划</w:t>
      </w:r>
      <w:bookmarkEnd w:id="217"/>
    </w:p>
    <w:p w14:paraId="2BBC21F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10.1合同进度计划</w:t>
      </w:r>
    </w:p>
    <w:p w14:paraId="6B82E4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承包人应按技术标准和要求（合同技术条款）约定的内容和期限以及监理人的指示, 编制详细的施工总进度计划及其说明提交监理人审批。监理人应在技术标准和要求（合同 技术条款）约定的期限内批复承包人，否则该进度计划视为已得到批准。经监理人批准的 施工进度计划称为合同进度计划，是控制合同工程进度的依据。承包人还应根据合同进度 计划，编制更为详细的分阶段或单位工程或分部工程进度计划，报监理人审批。</w:t>
      </w:r>
    </w:p>
    <w:p w14:paraId="5855B99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10.2合同进度计划的修订</w:t>
      </w:r>
    </w:p>
    <w:p w14:paraId="0CB6FB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不论何种原因造成工程的实际进度与第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1款的合同进度计划不符时，承包人均应在 14天内向监理人提交修订合同进度计划的申请报告，并附有关措施和相关资料，报监理人审批；监理人应在收到申请报告后的14天内批复。当监理人认为需要修订合同进度计划 时，承包人应按监理人的指示，在14天内向监理人提交修订的合同进度计划，并附调整计 划的相关资料，提交监理人审批。监理人应在收到进度计划后的14天内批复。</w:t>
      </w:r>
    </w:p>
    <w:p w14:paraId="144184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论何种原因造成施工进度延迟，承包人均应按监理人的指示，采取有效措施赶上进度。承包人应在向监理人提交修订合同进度计划的同时，编制一份赶工措施报告提交监理人审批。由于发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3款的约定办理；由于承包人原因造成施工进度延迟，应按第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5款的约定办理。</w:t>
      </w:r>
    </w:p>
    <w:p w14:paraId="60CA86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10.3单位工程进度计划</w:t>
      </w:r>
    </w:p>
    <w:p w14:paraId="09A2C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监理人认为有必要时，承包人应按监理人指示的内容和期限，并根据合同进度计划的进度控制要求，编制单位工程进度计划，提交监理人审批。</w:t>
      </w:r>
    </w:p>
    <w:p w14:paraId="7512E9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10.4提交资金流估算表</w:t>
      </w:r>
    </w:p>
    <w:p w14:paraId="6024BA8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承包人应在按第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14:paraId="6FC4AB94">
      <w:pPr>
        <w:pageBreakBefore w:val="0"/>
        <w:widowControl w:val="0"/>
        <w:tabs>
          <w:tab w:val="left" w:pos="3329"/>
        </w:tabs>
        <w:kinsoku/>
        <w:wordWrap/>
        <w:overflowPunct/>
        <w:topLinePunct w:val="0"/>
        <w:bidi w:val="0"/>
        <w:spacing w:line="360" w:lineRule="auto"/>
        <w:ind w:left="0" w:leftChars="0" w:firstLine="480" w:firstLineChars="20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资金流估算表（参考格式）</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lang w:val="zh-CN" w:eastAsia="zh-CN" w:bidi="zh-CN"/>
        </w:rPr>
        <w:t>金额单位：</w:t>
      </w:r>
    </w:p>
    <w:tbl>
      <w:tblPr>
        <w:tblStyle w:val="27"/>
        <w:tblW w:w="0" w:type="auto"/>
        <w:jc w:val="center"/>
        <w:tblLayout w:type="autofit"/>
        <w:tblCellMar>
          <w:top w:w="0" w:type="dxa"/>
          <w:left w:w="10" w:type="dxa"/>
          <w:bottom w:w="0" w:type="dxa"/>
          <w:right w:w="10" w:type="dxa"/>
        </w:tblCellMar>
      </w:tblPr>
      <w:tblGrid>
        <w:gridCol w:w="359"/>
        <w:gridCol w:w="372"/>
        <w:gridCol w:w="864"/>
        <w:gridCol w:w="1675"/>
        <w:gridCol w:w="1237"/>
        <w:gridCol w:w="934"/>
        <w:gridCol w:w="1038"/>
        <w:gridCol w:w="470"/>
        <w:gridCol w:w="671"/>
        <w:gridCol w:w="1070"/>
      </w:tblGrid>
      <w:tr w14:paraId="1BF89EFD">
        <w:tblPrEx>
          <w:tblCellMar>
            <w:top w:w="0" w:type="dxa"/>
            <w:left w:w="10" w:type="dxa"/>
            <w:bottom w:w="0" w:type="dxa"/>
            <w:right w:w="10" w:type="dxa"/>
          </w:tblCellMar>
        </w:tblPrEx>
        <w:trPr>
          <w:trHeight w:val="903" w:hRule="exact"/>
          <w:jc w:val="center"/>
        </w:trPr>
        <w:tc>
          <w:tcPr>
            <w:tcW w:w="370" w:type="dxa"/>
            <w:tcBorders>
              <w:top w:val="single" w:color="auto" w:sz="4" w:space="0"/>
              <w:left w:val="single" w:color="auto" w:sz="4" w:space="0"/>
            </w:tcBorders>
            <w:shd w:val="clear" w:color="auto" w:fill="FFFFFF"/>
            <w:noWrap w:val="0"/>
            <w:vAlign w:val="center"/>
          </w:tcPr>
          <w:p w14:paraId="00D3CFE5">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384" w:type="dxa"/>
            <w:tcBorders>
              <w:top w:val="single" w:color="auto" w:sz="4" w:space="0"/>
              <w:left w:val="single" w:color="auto" w:sz="4" w:space="0"/>
            </w:tcBorders>
            <w:shd w:val="clear" w:color="auto" w:fill="FFFFFF"/>
            <w:noWrap w:val="0"/>
            <w:vAlign w:val="center"/>
          </w:tcPr>
          <w:p w14:paraId="5A8153D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w:t>
            </w:r>
          </w:p>
        </w:tc>
        <w:tc>
          <w:tcPr>
            <w:tcW w:w="928" w:type="dxa"/>
            <w:tcBorders>
              <w:top w:val="single" w:color="auto" w:sz="4" w:space="0"/>
              <w:left w:val="single" w:color="auto" w:sz="4" w:space="0"/>
            </w:tcBorders>
            <w:shd w:val="clear" w:color="auto" w:fill="FFFFFF"/>
            <w:noWrap w:val="0"/>
            <w:vAlign w:val="center"/>
          </w:tcPr>
          <w:p w14:paraId="472F57E4">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工程预付款</w:t>
            </w:r>
          </w:p>
        </w:tc>
        <w:tc>
          <w:tcPr>
            <w:tcW w:w="1825" w:type="dxa"/>
            <w:tcBorders>
              <w:top w:val="single" w:color="auto" w:sz="4" w:space="0"/>
              <w:left w:val="single" w:color="auto" w:sz="4" w:space="0"/>
            </w:tcBorders>
            <w:shd w:val="clear" w:color="auto" w:fill="FFFFFF"/>
            <w:noWrap w:val="0"/>
            <w:vAlign w:val="center"/>
          </w:tcPr>
          <w:p w14:paraId="62CB3D0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完成工作量付款</w:t>
            </w:r>
          </w:p>
        </w:tc>
        <w:tc>
          <w:tcPr>
            <w:tcW w:w="1340" w:type="dxa"/>
            <w:tcBorders>
              <w:top w:val="single" w:color="auto" w:sz="4" w:space="0"/>
              <w:left w:val="single" w:color="auto" w:sz="4" w:space="0"/>
            </w:tcBorders>
            <w:shd w:val="clear" w:color="auto" w:fill="FFFFFF"/>
            <w:noWrap w:val="0"/>
            <w:vAlign w:val="center"/>
          </w:tcPr>
          <w:p w14:paraId="6E9DFCC6">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保留金扣留</w:t>
            </w:r>
          </w:p>
        </w:tc>
        <w:tc>
          <w:tcPr>
            <w:tcW w:w="1005" w:type="dxa"/>
            <w:tcBorders>
              <w:top w:val="single" w:color="auto" w:sz="4" w:space="0"/>
              <w:left w:val="single" w:color="auto" w:sz="4" w:space="0"/>
            </w:tcBorders>
            <w:shd w:val="clear" w:color="auto" w:fill="FFFFFF"/>
            <w:noWrap w:val="0"/>
            <w:vAlign w:val="center"/>
          </w:tcPr>
          <w:p w14:paraId="16A4D54D">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材料款扣除</w:t>
            </w:r>
          </w:p>
        </w:tc>
        <w:tc>
          <w:tcPr>
            <w:tcW w:w="1120" w:type="dxa"/>
            <w:tcBorders>
              <w:top w:val="single" w:color="auto" w:sz="4" w:space="0"/>
              <w:left w:val="single" w:color="auto" w:sz="4" w:space="0"/>
            </w:tcBorders>
            <w:shd w:val="clear" w:color="auto" w:fill="FFFFFF"/>
            <w:noWrap w:val="0"/>
            <w:vAlign w:val="center"/>
          </w:tcPr>
          <w:p w14:paraId="3593D80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预付款扣还</w:t>
            </w:r>
          </w:p>
        </w:tc>
        <w:tc>
          <w:tcPr>
            <w:tcW w:w="492" w:type="dxa"/>
            <w:tcBorders>
              <w:top w:val="single" w:color="auto" w:sz="4" w:space="0"/>
              <w:left w:val="single" w:color="auto" w:sz="4" w:space="0"/>
            </w:tcBorders>
            <w:shd w:val="clear" w:color="auto" w:fill="FFFFFF"/>
            <w:noWrap w:val="0"/>
            <w:vAlign w:val="center"/>
          </w:tcPr>
          <w:p w14:paraId="47B12BDB">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14" w:type="dxa"/>
            <w:tcBorders>
              <w:top w:val="single" w:color="auto" w:sz="4" w:space="0"/>
              <w:left w:val="single" w:color="auto" w:sz="4" w:space="0"/>
            </w:tcBorders>
            <w:shd w:val="clear" w:color="auto" w:fill="FFFFFF"/>
            <w:noWrap w:val="0"/>
            <w:vAlign w:val="center"/>
          </w:tcPr>
          <w:p w14:paraId="40624DDA">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应收款</w:t>
            </w:r>
          </w:p>
        </w:tc>
        <w:tc>
          <w:tcPr>
            <w:tcW w:w="1156" w:type="dxa"/>
            <w:tcBorders>
              <w:top w:val="single" w:color="auto" w:sz="4" w:space="0"/>
              <w:left w:val="single" w:color="auto" w:sz="4" w:space="0"/>
              <w:right w:val="single" w:color="auto" w:sz="4" w:space="0"/>
            </w:tcBorders>
            <w:shd w:val="clear" w:color="auto" w:fill="FFFFFF"/>
            <w:noWrap w:val="0"/>
            <w:vAlign w:val="center"/>
          </w:tcPr>
          <w:p w14:paraId="02197AC8">
            <w:pPr>
              <w:pStyle w:val="56"/>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累计应收款</w:t>
            </w:r>
          </w:p>
        </w:tc>
      </w:tr>
      <w:tr w14:paraId="0A0076F0">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1853C58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5D6EA6F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3D4B865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0882335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27771B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47B4D36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098560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41355DD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61D558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7007E7D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5C7260E1">
        <w:tblPrEx>
          <w:tblCellMar>
            <w:top w:w="0" w:type="dxa"/>
            <w:left w:w="10" w:type="dxa"/>
            <w:bottom w:w="0" w:type="dxa"/>
            <w:right w:w="10" w:type="dxa"/>
          </w:tblCellMar>
        </w:tblPrEx>
        <w:trPr>
          <w:trHeight w:val="417" w:hRule="exact"/>
          <w:jc w:val="center"/>
        </w:trPr>
        <w:tc>
          <w:tcPr>
            <w:tcW w:w="370" w:type="dxa"/>
            <w:tcBorders>
              <w:top w:val="single" w:color="auto" w:sz="4" w:space="0"/>
              <w:left w:val="single" w:color="auto" w:sz="4" w:space="0"/>
            </w:tcBorders>
            <w:shd w:val="clear" w:color="auto" w:fill="FFFFFF"/>
            <w:noWrap w:val="0"/>
            <w:vAlign w:val="top"/>
          </w:tcPr>
          <w:p w14:paraId="6D1695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tcBorders>
            <w:shd w:val="clear" w:color="auto" w:fill="FFFFFF"/>
            <w:noWrap w:val="0"/>
            <w:vAlign w:val="top"/>
          </w:tcPr>
          <w:p w14:paraId="3BEDBDD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tcBorders>
            <w:shd w:val="clear" w:color="auto" w:fill="FFFFFF"/>
            <w:noWrap w:val="0"/>
            <w:vAlign w:val="top"/>
          </w:tcPr>
          <w:p w14:paraId="40E986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tcBorders>
            <w:shd w:val="clear" w:color="auto" w:fill="FFFFFF"/>
            <w:noWrap w:val="0"/>
            <w:vAlign w:val="top"/>
          </w:tcPr>
          <w:p w14:paraId="3841BC2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tcBorders>
            <w:shd w:val="clear" w:color="auto" w:fill="FFFFFF"/>
            <w:noWrap w:val="0"/>
            <w:vAlign w:val="top"/>
          </w:tcPr>
          <w:p w14:paraId="1AB9C2A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tcBorders>
            <w:shd w:val="clear" w:color="auto" w:fill="FFFFFF"/>
            <w:noWrap w:val="0"/>
            <w:vAlign w:val="top"/>
          </w:tcPr>
          <w:p w14:paraId="5BE79AB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tcBorders>
            <w:shd w:val="clear" w:color="auto" w:fill="FFFFFF"/>
            <w:noWrap w:val="0"/>
            <w:vAlign w:val="top"/>
          </w:tcPr>
          <w:p w14:paraId="3DEA9A4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tcBorders>
            <w:shd w:val="clear" w:color="auto" w:fill="FFFFFF"/>
            <w:noWrap w:val="0"/>
            <w:vAlign w:val="top"/>
          </w:tcPr>
          <w:p w14:paraId="0F55DD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tcBorders>
            <w:shd w:val="clear" w:color="auto" w:fill="FFFFFF"/>
            <w:noWrap w:val="0"/>
            <w:vAlign w:val="top"/>
          </w:tcPr>
          <w:p w14:paraId="79A651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right w:val="single" w:color="auto" w:sz="4" w:space="0"/>
            </w:tcBorders>
            <w:shd w:val="clear" w:color="auto" w:fill="FFFFFF"/>
            <w:noWrap w:val="0"/>
            <w:vAlign w:val="top"/>
          </w:tcPr>
          <w:p w14:paraId="2CF386B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r w14:paraId="0FC177E5">
        <w:tblPrEx>
          <w:tblCellMar>
            <w:top w:w="0" w:type="dxa"/>
            <w:left w:w="10" w:type="dxa"/>
            <w:bottom w:w="0" w:type="dxa"/>
            <w:right w:w="10" w:type="dxa"/>
          </w:tblCellMar>
        </w:tblPrEx>
        <w:trPr>
          <w:trHeight w:val="431" w:hRule="exact"/>
          <w:jc w:val="center"/>
        </w:trPr>
        <w:tc>
          <w:tcPr>
            <w:tcW w:w="370" w:type="dxa"/>
            <w:tcBorders>
              <w:top w:val="single" w:color="auto" w:sz="4" w:space="0"/>
              <w:left w:val="single" w:color="auto" w:sz="4" w:space="0"/>
              <w:bottom w:val="single" w:color="auto" w:sz="4" w:space="0"/>
            </w:tcBorders>
            <w:shd w:val="clear" w:color="auto" w:fill="FFFFFF"/>
            <w:noWrap w:val="0"/>
            <w:vAlign w:val="top"/>
          </w:tcPr>
          <w:p w14:paraId="20090AA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384" w:type="dxa"/>
            <w:tcBorders>
              <w:top w:val="single" w:color="auto" w:sz="4" w:space="0"/>
              <w:left w:val="single" w:color="auto" w:sz="4" w:space="0"/>
              <w:bottom w:val="single" w:color="auto" w:sz="4" w:space="0"/>
            </w:tcBorders>
            <w:shd w:val="clear" w:color="auto" w:fill="FFFFFF"/>
            <w:noWrap w:val="0"/>
            <w:vAlign w:val="top"/>
          </w:tcPr>
          <w:p w14:paraId="39B7EAA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928" w:type="dxa"/>
            <w:tcBorders>
              <w:top w:val="single" w:color="auto" w:sz="4" w:space="0"/>
              <w:left w:val="single" w:color="auto" w:sz="4" w:space="0"/>
              <w:bottom w:val="single" w:color="auto" w:sz="4" w:space="0"/>
            </w:tcBorders>
            <w:shd w:val="clear" w:color="auto" w:fill="FFFFFF"/>
            <w:noWrap w:val="0"/>
            <w:vAlign w:val="top"/>
          </w:tcPr>
          <w:p w14:paraId="43DCABF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825" w:type="dxa"/>
            <w:tcBorders>
              <w:top w:val="single" w:color="auto" w:sz="4" w:space="0"/>
              <w:left w:val="single" w:color="auto" w:sz="4" w:space="0"/>
              <w:bottom w:val="single" w:color="auto" w:sz="4" w:space="0"/>
            </w:tcBorders>
            <w:shd w:val="clear" w:color="auto" w:fill="FFFFFF"/>
            <w:noWrap w:val="0"/>
            <w:vAlign w:val="top"/>
          </w:tcPr>
          <w:p w14:paraId="08B8B87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340" w:type="dxa"/>
            <w:tcBorders>
              <w:top w:val="single" w:color="auto" w:sz="4" w:space="0"/>
              <w:left w:val="single" w:color="auto" w:sz="4" w:space="0"/>
              <w:bottom w:val="single" w:color="auto" w:sz="4" w:space="0"/>
            </w:tcBorders>
            <w:shd w:val="clear" w:color="auto" w:fill="FFFFFF"/>
            <w:noWrap w:val="0"/>
            <w:vAlign w:val="top"/>
          </w:tcPr>
          <w:p w14:paraId="1D052D8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005" w:type="dxa"/>
            <w:tcBorders>
              <w:top w:val="single" w:color="auto" w:sz="4" w:space="0"/>
              <w:left w:val="single" w:color="auto" w:sz="4" w:space="0"/>
              <w:bottom w:val="single" w:color="auto" w:sz="4" w:space="0"/>
            </w:tcBorders>
            <w:shd w:val="clear" w:color="auto" w:fill="FFFFFF"/>
            <w:noWrap w:val="0"/>
            <w:vAlign w:val="top"/>
          </w:tcPr>
          <w:p w14:paraId="5522D6B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20" w:type="dxa"/>
            <w:tcBorders>
              <w:top w:val="single" w:color="auto" w:sz="4" w:space="0"/>
              <w:left w:val="single" w:color="auto" w:sz="4" w:space="0"/>
              <w:bottom w:val="single" w:color="auto" w:sz="4" w:space="0"/>
            </w:tcBorders>
            <w:shd w:val="clear" w:color="auto" w:fill="FFFFFF"/>
            <w:noWrap w:val="0"/>
            <w:vAlign w:val="top"/>
          </w:tcPr>
          <w:p w14:paraId="4534E41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492" w:type="dxa"/>
            <w:tcBorders>
              <w:top w:val="single" w:color="auto" w:sz="4" w:space="0"/>
              <w:left w:val="single" w:color="auto" w:sz="4" w:space="0"/>
              <w:bottom w:val="single" w:color="auto" w:sz="4" w:space="0"/>
            </w:tcBorders>
            <w:shd w:val="clear" w:color="auto" w:fill="FFFFFF"/>
            <w:noWrap w:val="0"/>
            <w:vAlign w:val="top"/>
          </w:tcPr>
          <w:p w14:paraId="38B718B2">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714" w:type="dxa"/>
            <w:tcBorders>
              <w:top w:val="single" w:color="auto" w:sz="4" w:space="0"/>
              <w:left w:val="single" w:color="auto" w:sz="4" w:space="0"/>
              <w:bottom w:val="single" w:color="auto" w:sz="4" w:space="0"/>
            </w:tcBorders>
            <w:shd w:val="clear" w:color="auto" w:fill="FFFFFF"/>
            <w:noWrap w:val="0"/>
            <w:vAlign w:val="top"/>
          </w:tcPr>
          <w:p w14:paraId="5C848E3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c>
          <w:tcPr>
            <w:tcW w:w="1156"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69F2B6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p>
        </w:tc>
      </w:tr>
    </w:tbl>
    <w:p w14:paraId="0FD7BAA4">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rPr>
      </w:pPr>
    </w:p>
    <w:p w14:paraId="43ABD9D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8" w:name="_Toc1039"/>
      <w:r>
        <w:rPr>
          <w:rFonts w:hint="eastAsia" w:ascii="宋体" w:hAnsi="宋体" w:eastAsia="宋体" w:cs="宋体"/>
          <w:color w:val="auto"/>
          <w:kern w:val="2"/>
          <w:sz w:val="24"/>
          <w:szCs w:val="24"/>
          <w:highlight w:val="none"/>
          <w:lang w:val="en-US" w:eastAsia="zh-CN" w:bidi="ar-SA"/>
        </w:rPr>
        <w:t>11.开工和竣工（完工）</w:t>
      </w:r>
      <w:bookmarkEnd w:id="218"/>
    </w:p>
    <w:p w14:paraId="1BA2B7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11.1开工</w:t>
      </w:r>
    </w:p>
    <w:p w14:paraId="246D859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11.1.1</w:t>
      </w:r>
      <w:r>
        <w:rPr>
          <w:rFonts w:hint="eastAsia" w:ascii="宋体" w:hAnsi="宋体" w:eastAsia="宋体" w:cs="宋体"/>
          <w:color w:val="auto"/>
          <w:kern w:val="2"/>
          <w:sz w:val="24"/>
          <w:szCs w:val="24"/>
          <w:highlight w:val="none"/>
          <w:lang w:val="zh-CN" w:eastAsia="zh-CN" w:bidi="zh-CN"/>
        </w:rPr>
        <w:t>监理人应在开工日期7天前向承包人发出开工通知。监理人在发出开工通知前应获得发包人书面同意。工期自监理人发出的开工通知中载明的开工日期起计算。承包人应 在开工日期后尽快施工。</w:t>
      </w:r>
    </w:p>
    <w:p w14:paraId="6FC8A7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w:t>
      </w:r>
      <w:r>
        <w:rPr>
          <w:rFonts w:hint="eastAsia" w:ascii="宋体" w:hAnsi="宋体" w:eastAsia="宋体" w:cs="宋体"/>
          <w:color w:val="auto"/>
          <w:kern w:val="2"/>
          <w:sz w:val="24"/>
          <w:szCs w:val="24"/>
          <w:highlight w:val="none"/>
          <w:lang w:val="zh-CN" w:eastAsia="zh-CN" w:bidi="zh-CN"/>
        </w:rPr>
        <w:t>2承包人应按第</w:t>
      </w:r>
      <w:r>
        <w:rPr>
          <w:rFonts w:hint="eastAsia" w:ascii="宋体" w:hAnsi="宋体" w:eastAsia="宋体" w:cs="宋体"/>
          <w:color w:val="auto"/>
          <w:kern w:val="2"/>
          <w:sz w:val="24"/>
          <w:szCs w:val="24"/>
          <w:highlight w:val="none"/>
          <w:lang w:val="en-US" w:eastAsia="zh-CN" w:bidi="en-US"/>
        </w:rPr>
        <w:t>10.</w:t>
      </w:r>
      <w:r>
        <w:rPr>
          <w:rFonts w:hint="eastAsia" w:ascii="宋体" w:hAnsi="宋体" w:eastAsia="宋体" w:cs="宋体"/>
          <w:color w:val="auto"/>
          <w:kern w:val="2"/>
          <w:sz w:val="24"/>
          <w:szCs w:val="24"/>
          <w:highlight w:val="none"/>
          <w:lang w:val="zh-CN" w:eastAsia="zh-CN" w:bidi="zh-CN"/>
        </w:rPr>
        <w:t>1款约定的合同进度计划，向监理人提交工程开工报审表, 经监理人审批后执行。开工报审表应详细说明按合同进度计划正常施工所需的施工道路、临时设施、材料设备、施工人员等施工组织措施的落实情况以及工程的进度安排。</w:t>
      </w:r>
    </w:p>
    <w:p w14:paraId="7911FF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11.1.3</w:t>
      </w:r>
      <w:r>
        <w:rPr>
          <w:rFonts w:hint="eastAsia" w:ascii="宋体" w:hAnsi="宋体" w:eastAsia="宋体" w:cs="宋体"/>
          <w:color w:val="auto"/>
          <w:kern w:val="2"/>
          <w:sz w:val="24"/>
          <w:szCs w:val="24"/>
          <w:highlight w:val="none"/>
          <w:lang w:val="zh-CN" w:eastAsia="zh-CN" w:bidi="zh-CN"/>
        </w:rPr>
        <w:t>若发包人未能按合同约定向承包人提供开工的必要条件，承包人有权要求延 长工期。监理人应在收到承包人的书面要求后，按第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5款的约定，与合同双方商定或确定增加的费用和延长的工期。</w:t>
      </w:r>
    </w:p>
    <w:p w14:paraId="312F79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11.1.4</w:t>
      </w:r>
      <w:r>
        <w:rPr>
          <w:rFonts w:hint="eastAsia" w:ascii="宋体" w:hAnsi="宋体" w:eastAsia="宋体" w:cs="宋体"/>
          <w:color w:val="auto"/>
          <w:kern w:val="2"/>
          <w:sz w:val="24"/>
          <w:szCs w:val="24"/>
          <w:highlight w:val="none"/>
          <w:lang w:val="zh-CN" w:eastAsia="zh-CN" w:bidi="zh-CN"/>
        </w:rPr>
        <w:t>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14:paraId="3BFE68A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11.2竣工(完工)</w:t>
      </w:r>
    </w:p>
    <w:p w14:paraId="18E6F0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3目约定的期限内完成合同工程。合同工程实际完工时间在合同工程完工证书中明确（以完工验收鉴定书或竣工验收鉴定书标明的验收日期为准，没有标明验收日期的则以印发鉴定书的日期为准）</w:t>
      </w:r>
      <w:r>
        <w:rPr>
          <w:rFonts w:hint="eastAsia" w:ascii="宋体" w:hAnsi="宋体" w:eastAsia="宋体" w:cs="宋体"/>
          <w:color w:val="auto"/>
          <w:kern w:val="2"/>
          <w:sz w:val="24"/>
          <w:szCs w:val="24"/>
          <w:highlight w:val="none"/>
          <w:lang w:val="en-US" w:eastAsia="zh-CN" w:bidi="en-US"/>
        </w:rPr>
        <w:t>。</w:t>
      </w:r>
    </w:p>
    <w:p w14:paraId="6F459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11.3发包人的工期延误</w:t>
      </w:r>
    </w:p>
    <w:p w14:paraId="40B082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在履行合同过程中，由于发包人的下列原因造成工期延误的，承包人有权要求发包人延长工期和(或)增加费用，并支付合理利润。需要修订合同进度计划的，按照第</w:t>
      </w:r>
      <w:r>
        <w:rPr>
          <w:rFonts w:hint="eastAsia" w:ascii="宋体" w:hAnsi="宋体" w:eastAsia="宋体" w:cs="宋体"/>
          <w:color w:val="auto"/>
          <w:kern w:val="2"/>
          <w:sz w:val="24"/>
          <w:szCs w:val="24"/>
          <w:highlight w:val="none"/>
          <w:lang w:val="en-US" w:eastAsia="zh-CN" w:bidi="en-US"/>
        </w:rPr>
        <w:t xml:space="preserve">10. </w:t>
      </w:r>
      <w:r>
        <w:rPr>
          <w:rFonts w:hint="eastAsia" w:ascii="宋体" w:hAnsi="宋体" w:eastAsia="宋体" w:cs="宋体"/>
          <w:color w:val="auto"/>
          <w:kern w:val="2"/>
          <w:sz w:val="24"/>
          <w:szCs w:val="24"/>
          <w:highlight w:val="none"/>
          <w:lang w:val="zh-CN" w:eastAsia="zh-CN" w:bidi="zh-CN"/>
        </w:rPr>
        <w:t>2款的约定办理。</w:t>
      </w:r>
    </w:p>
    <w:p w14:paraId="145FEF95">
      <w:pPr>
        <w:pageBreakBefore w:val="0"/>
        <w:widowControl w:val="0"/>
        <w:numPr>
          <w:ilvl w:val="0"/>
          <w:numId w:val="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增加合同工作内容；</w:t>
      </w:r>
    </w:p>
    <w:p w14:paraId="0AED7F40">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改变合同中任何一项工作的质量要求或其他特性；</w:t>
      </w:r>
    </w:p>
    <w:p w14:paraId="19BA67F4">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发包人迟延提供材料、工程设备或变更交货地点的；</w:t>
      </w:r>
    </w:p>
    <w:p w14:paraId="287642BA">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因发包人原因导致的暂停施工；</w:t>
      </w:r>
    </w:p>
    <w:p w14:paraId="06C081D5">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提供图纸延误；</w:t>
      </w:r>
    </w:p>
    <w:p w14:paraId="4EE35AD2">
      <w:pPr>
        <w:pageBreakBefore w:val="0"/>
        <w:widowControl w:val="0"/>
        <w:numPr>
          <w:ilvl w:val="0"/>
          <w:numId w:val="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发包人造成工期延误的其他原因。</w:t>
      </w:r>
    </w:p>
    <w:p w14:paraId="01A0578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11.4异常恶劣的气候条件</w:t>
      </w:r>
    </w:p>
    <w:p w14:paraId="7BB05F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11.4.1</w:t>
      </w:r>
      <w:r>
        <w:rPr>
          <w:rFonts w:hint="eastAsia" w:ascii="宋体" w:hAnsi="宋体" w:eastAsia="宋体" w:cs="宋体"/>
          <w:color w:val="auto"/>
          <w:kern w:val="2"/>
          <w:sz w:val="24"/>
          <w:szCs w:val="24"/>
          <w:highlight w:val="none"/>
          <w:lang w:val="zh-CN" w:eastAsia="zh-CN" w:bidi="zh-CN"/>
        </w:rPr>
        <w:t>当工程所在地发生危及施工安全的异常恶劣气候时，发包人和承包人应按本合同通用合同条款第12条的约定，及时采取暂停施工或部分暂停施工措施。异常恶劣气候条件解除后，承包人应及时安排复工。</w:t>
      </w:r>
    </w:p>
    <w:p w14:paraId="076D6E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11.4.2</w:t>
      </w:r>
      <w:r>
        <w:rPr>
          <w:rFonts w:hint="eastAsia" w:ascii="宋体" w:hAnsi="宋体" w:eastAsia="宋体" w:cs="宋体"/>
          <w:color w:val="auto"/>
          <w:kern w:val="2"/>
          <w:sz w:val="24"/>
          <w:szCs w:val="24"/>
          <w:highlight w:val="none"/>
          <w:lang w:val="zh-CN" w:eastAsia="zh-CN" w:bidi="zh-CN"/>
        </w:rPr>
        <w:t>异常恶劣气候条件造成的工期延误和工程损坏，应由发包人与承包人参照本合同通用合同条款第</w:t>
      </w:r>
      <w:r>
        <w:rPr>
          <w:rFonts w:hint="eastAsia" w:ascii="宋体" w:hAnsi="宋体" w:eastAsia="宋体" w:cs="宋体"/>
          <w:color w:val="auto"/>
          <w:kern w:val="2"/>
          <w:sz w:val="24"/>
          <w:szCs w:val="24"/>
          <w:highlight w:val="none"/>
          <w:lang w:val="en-US" w:eastAsia="zh-CN" w:bidi="en-US"/>
        </w:rPr>
        <w:t xml:space="preserve">21. </w:t>
      </w:r>
      <w:r>
        <w:rPr>
          <w:rFonts w:hint="eastAsia" w:ascii="宋体" w:hAnsi="宋体" w:eastAsia="宋体" w:cs="宋体"/>
          <w:color w:val="auto"/>
          <w:kern w:val="2"/>
          <w:sz w:val="24"/>
          <w:szCs w:val="24"/>
          <w:highlight w:val="none"/>
          <w:lang w:val="zh-CN" w:eastAsia="zh-CN" w:bidi="zh-CN"/>
        </w:rPr>
        <w:t>3款的约定共同协商处理。</w:t>
      </w:r>
    </w:p>
    <w:p w14:paraId="7080BD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3本合同工程界定异常恶劣气候条件的范围在专用合同条款中约定。</w:t>
      </w:r>
    </w:p>
    <w:p w14:paraId="5B4E73C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4DDD554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13DF756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0946B9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发包人要求承包人提前完工，或承包人提出提前完工的建议能够给发包人带来效益的， 应由监理人与承包人共同协商采取加快工程进度的措施和修订合同进度计划。发包人应承担承包人由此增加的费用，并向承包人支付专用合同条款约定的相应奖金。</w:t>
      </w:r>
    </w:p>
    <w:p w14:paraId="5C58FAE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发包人要求提前完工的，双方协商一致后应签订提前完工协议，协议内容包括：</w:t>
      </w:r>
    </w:p>
    <w:p w14:paraId="2B32646E">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提前的时间和修订后的进度计划。</w:t>
      </w:r>
    </w:p>
    <w:p w14:paraId="184E5300">
      <w:pPr>
        <w:pageBreakBefore w:val="0"/>
        <w:widowControl w:val="0"/>
        <w:numPr>
          <w:ilvl w:val="0"/>
          <w:numId w:val="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承包人的赶工措施。</w:t>
      </w:r>
    </w:p>
    <w:p w14:paraId="439A9BB8">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发包人为赶工提供的条件。</w:t>
      </w:r>
    </w:p>
    <w:p w14:paraId="4971E751">
      <w:pPr>
        <w:pageBreakBefore w:val="0"/>
        <w:widowControl w:val="0"/>
        <w:numPr>
          <w:ilvl w:val="0"/>
          <w:numId w:val="9"/>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赶工费用(包括利润和奖金)</w:t>
      </w:r>
    </w:p>
    <w:p w14:paraId="031779C1">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19" w:name="_Toc27200"/>
      <w:r>
        <w:rPr>
          <w:rFonts w:hint="eastAsia" w:ascii="宋体" w:hAnsi="宋体" w:eastAsia="宋体" w:cs="宋体"/>
          <w:color w:val="auto"/>
          <w:kern w:val="2"/>
          <w:sz w:val="24"/>
          <w:szCs w:val="24"/>
          <w:highlight w:val="none"/>
          <w:lang w:val="en-US" w:eastAsia="zh-CN" w:bidi="ar-SA"/>
        </w:rPr>
        <w:t>12.暂停施工</w:t>
      </w:r>
      <w:bookmarkEnd w:id="219"/>
    </w:p>
    <w:p w14:paraId="67A03B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0E1B63A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因下列暂停施工增加的费用和(或)工期延误由承包人承担：</w:t>
      </w:r>
    </w:p>
    <w:p w14:paraId="58660175">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承包人违约引起的暂停施工；</w:t>
      </w:r>
    </w:p>
    <w:p w14:paraId="4EA5BD77">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由于承包人原因为工程合理施工和安全保障所必需的暂停施工；</w:t>
      </w:r>
    </w:p>
    <w:p w14:paraId="397FB4DC">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承包人擅自暂停施工；</w:t>
      </w:r>
    </w:p>
    <w:p w14:paraId="79F40A63">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承包人其他原因引起的暂停施工；</w:t>
      </w:r>
    </w:p>
    <w:p w14:paraId="275E0F02">
      <w:pPr>
        <w:pageBreakBefore w:val="0"/>
        <w:widowControl w:val="0"/>
        <w:numPr>
          <w:ilvl w:val="0"/>
          <w:numId w:val="10"/>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专用合同条款约定由承包人承担的其他暂停施工。</w:t>
      </w:r>
    </w:p>
    <w:p w14:paraId="7B1535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255BD1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由于发包人原因引起的暂停施工造成工期延误的，承包人有权要求发包人延长工期和 (或)增加费用，并支付合理利润。属于下列任何一种情况引起的暂停施工，均为发包人的责任：</w:t>
      </w:r>
    </w:p>
    <w:p w14:paraId="2FDEB5BB">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由于发包人违约引起的暂停施工。</w:t>
      </w:r>
    </w:p>
    <w:p w14:paraId="2886D369">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由于不可抗力的自然或社会因素引起的暂停施工。</w:t>
      </w:r>
    </w:p>
    <w:p w14:paraId="02313CBC">
      <w:pPr>
        <w:pageBreakBefore w:val="0"/>
        <w:widowControl w:val="0"/>
        <w:numPr>
          <w:ilvl w:val="0"/>
          <w:numId w:val="11"/>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专用合同条款中约定的其它由于发包人原因引起的暂停施工。</w:t>
      </w:r>
    </w:p>
    <w:p w14:paraId="5EF7CD8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12.3监理人暂停施工指示</w:t>
      </w:r>
    </w:p>
    <w:p w14:paraId="20EEBB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12.3.1</w:t>
      </w:r>
      <w:r>
        <w:rPr>
          <w:rFonts w:hint="eastAsia" w:ascii="宋体" w:hAnsi="宋体" w:eastAsia="宋体" w:cs="宋体"/>
          <w:color w:val="auto"/>
          <w:kern w:val="2"/>
          <w:sz w:val="24"/>
          <w:szCs w:val="24"/>
          <w:highlight w:val="none"/>
          <w:lang w:val="zh-CN" w:eastAsia="zh-CN" w:bidi="zh-CN"/>
        </w:rPr>
        <w:t>监理人认为有必要时，可向承包人作出暂停施工的指示，承包人应按监理人指示暂停施工。不论由于何种原因引起的暂停施工，暂停施工期间承包人应负责妥善保护工程并提供安全保障。</w:t>
      </w:r>
    </w:p>
    <w:p w14:paraId="34D5A3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12.3.2</w:t>
      </w:r>
      <w:r>
        <w:rPr>
          <w:rFonts w:hint="eastAsia" w:ascii="宋体" w:hAnsi="宋体" w:eastAsia="宋体" w:cs="宋体"/>
          <w:color w:val="auto"/>
          <w:kern w:val="2"/>
          <w:sz w:val="24"/>
          <w:szCs w:val="24"/>
          <w:highlight w:val="none"/>
          <w:lang w:val="zh-CN" w:eastAsia="zh-CN" w:bidi="zh-CN"/>
        </w:rPr>
        <w:t>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0D527A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12.4暂停施工后的复工</w:t>
      </w:r>
    </w:p>
    <w:p w14:paraId="1663BD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12.4.1暂停施工后，监理人应与发包人和承包人协商，采取有效措施积极消除暂停施工的影响。当工程具备复工条件时，监理人应立即向承包人发出复工通知。承包人收到复工通知后，应在监理人指定的期限内复工。</w:t>
      </w:r>
    </w:p>
    <w:p w14:paraId="400114C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12</w:t>
      </w:r>
      <w:r>
        <w:rPr>
          <w:rFonts w:hint="eastAsia" w:ascii="宋体" w:hAnsi="宋体" w:eastAsia="宋体" w:cs="宋体"/>
          <w:color w:val="auto"/>
          <w:kern w:val="2"/>
          <w:sz w:val="24"/>
          <w:szCs w:val="24"/>
          <w:highlight w:val="none"/>
          <w:lang w:val="en-US" w:eastAsia="zh-CN" w:bidi="zh-CN"/>
        </w:rPr>
        <w:t>.4.</w:t>
      </w:r>
      <w:r>
        <w:rPr>
          <w:rFonts w:hint="eastAsia" w:ascii="宋体" w:hAnsi="宋体" w:eastAsia="宋体" w:cs="宋体"/>
          <w:color w:val="auto"/>
          <w:kern w:val="2"/>
          <w:sz w:val="24"/>
          <w:szCs w:val="24"/>
          <w:highlight w:val="none"/>
          <w:lang w:val="zh-CN" w:eastAsia="zh-CN" w:bidi="zh-CN"/>
        </w:rPr>
        <w:t>2承包人无故拖延和拒绝复工的，由此增加的费用和工期延误由承包人承担；因发包人原因无法按时复工的，承包人有权要求发包人延长工期和(或)增加费用，并支付合理利润。</w:t>
      </w:r>
    </w:p>
    <w:p w14:paraId="36D4DA6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12.5暂停施工持续56天以上</w:t>
      </w:r>
    </w:p>
    <w:p w14:paraId="57A8717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12.5.1</w:t>
      </w:r>
      <w:r>
        <w:rPr>
          <w:rFonts w:hint="eastAsia" w:ascii="宋体" w:hAnsi="宋体" w:eastAsia="宋体" w:cs="宋体"/>
          <w:color w:val="auto"/>
          <w:kern w:val="2"/>
          <w:sz w:val="24"/>
          <w:szCs w:val="24"/>
          <w:highlight w:val="none"/>
          <w:lang w:val="zh-CN" w:eastAsia="zh-CN" w:bidi="zh-CN"/>
        </w:rPr>
        <w:t>监理人发出暂停施工指示后56天内未向承包人发出复工通知，除了该项停工属于第</w:t>
      </w:r>
      <w:r>
        <w:rPr>
          <w:rFonts w:hint="eastAsia" w:ascii="宋体" w:hAnsi="宋体" w:eastAsia="宋体" w:cs="宋体"/>
          <w:color w:val="auto"/>
          <w:kern w:val="2"/>
          <w:sz w:val="24"/>
          <w:szCs w:val="24"/>
          <w:highlight w:val="none"/>
          <w:lang w:val="en-US" w:eastAsia="zh-CN" w:bidi="en-US"/>
        </w:rPr>
        <w:t>12.1</w:t>
      </w:r>
      <w:r>
        <w:rPr>
          <w:rFonts w:hint="eastAsia" w:ascii="宋体" w:hAnsi="宋体" w:eastAsia="宋体" w:cs="宋体"/>
          <w:color w:val="auto"/>
          <w:kern w:val="2"/>
          <w:sz w:val="24"/>
          <w:szCs w:val="24"/>
          <w:highlight w:val="none"/>
          <w:lang w:val="zh-CN" w:eastAsia="zh-CN" w:bidi="zh-CN"/>
        </w:rPr>
        <w:t>款的情况外，承包人可向监理人提交书面通知，要求监理人在收到书面通知后 28天内准许已暂停施工的工程或其中一部分工程继续施工。如监理人逾期不予批准，则承包人可以通知监理人，将工程受影响的部分视为按第</w:t>
      </w:r>
      <w:r>
        <w:rPr>
          <w:rFonts w:hint="eastAsia" w:ascii="宋体" w:hAnsi="宋体" w:eastAsia="宋体" w:cs="宋体"/>
          <w:color w:val="auto"/>
          <w:kern w:val="2"/>
          <w:sz w:val="24"/>
          <w:szCs w:val="24"/>
          <w:highlight w:val="none"/>
          <w:lang w:val="en-US" w:eastAsia="zh-CN" w:bidi="en-US"/>
        </w:rPr>
        <w:t xml:space="preserve">15.1 </w:t>
      </w:r>
      <w:r>
        <w:rPr>
          <w:rFonts w:hint="eastAsia" w:ascii="宋体" w:hAnsi="宋体" w:eastAsia="宋体" w:cs="宋体"/>
          <w:color w:val="auto"/>
          <w:kern w:val="2"/>
          <w:sz w:val="24"/>
          <w:szCs w:val="24"/>
          <w:highlight w:val="none"/>
          <w:lang w:val="zh-CN" w:eastAsia="zh-CN" w:bidi="zh-CN"/>
        </w:rPr>
        <w:t>(1)项的可取消工作。如暂停 施工影响到整个工程，可视为发包人违约，应按第</w:t>
      </w:r>
      <w:r>
        <w:rPr>
          <w:rFonts w:hint="eastAsia" w:ascii="宋体" w:hAnsi="宋体" w:eastAsia="宋体" w:cs="宋体"/>
          <w:color w:val="auto"/>
          <w:kern w:val="2"/>
          <w:sz w:val="24"/>
          <w:szCs w:val="24"/>
          <w:highlight w:val="none"/>
          <w:lang w:val="en-US" w:eastAsia="zh-CN" w:bidi="en-US"/>
        </w:rPr>
        <w:t xml:space="preserve">22. </w:t>
      </w:r>
      <w:r>
        <w:rPr>
          <w:rFonts w:hint="eastAsia" w:ascii="宋体" w:hAnsi="宋体" w:eastAsia="宋体" w:cs="宋体"/>
          <w:color w:val="auto"/>
          <w:kern w:val="2"/>
          <w:sz w:val="24"/>
          <w:szCs w:val="24"/>
          <w:highlight w:val="none"/>
          <w:lang w:val="zh-CN" w:eastAsia="zh-CN" w:bidi="zh-CN"/>
        </w:rPr>
        <w:t>2款的约定办理。</w:t>
      </w:r>
    </w:p>
    <w:p w14:paraId="3C60864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12.5.2</w:t>
      </w:r>
      <w:r>
        <w:rPr>
          <w:rFonts w:hint="eastAsia" w:ascii="宋体" w:hAnsi="宋体" w:eastAsia="宋体" w:cs="宋体"/>
          <w:color w:val="auto"/>
          <w:kern w:val="2"/>
          <w:sz w:val="24"/>
          <w:szCs w:val="24"/>
          <w:highlight w:val="none"/>
          <w:lang w:val="zh-CN" w:eastAsia="zh-CN" w:bidi="zh-CN"/>
        </w:rPr>
        <w:t>由于承包人责任引起的暂停施工，如承包人在收到监理人暂停施工指示后56 天内不认真采取有效的复工措施，造成工期延误，可视为承包人违约，应按第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款的约定办理。</w:t>
      </w:r>
    </w:p>
    <w:p w14:paraId="0E8850D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0" w:name="_Toc12099"/>
      <w:r>
        <w:rPr>
          <w:rFonts w:hint="eastAsia" w:ascii="宋体" w:hAnsi="宋体" w:eastAsia="宋体" w:cs="宋体"/>
          <w:color w:val="auto"/>
          <w:kern w:val="2"/>
          <w:sz w:val="24"/>
          <w:szCs w:val="24"/>
          <w:highlight w:val="none"/>
          <w:lang w:val="en-US" w:eastAsia="zh-CN" w:bidi="ar-SA"/>
        </w:rPr>
        <w:t>13.工程质量</w:t>
      </w:r>
      <w:bookmarkEnd w:id="220"/>
    </w:p>
    <w:p w14:paraId="0439364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13.1工程质量要求</w:t>
      </w:r>
    </w:p>
    <w:p w14:paraId="1547780A">
      <w:pPr>
        <w:pageBreakBefore w:val="0"/>
        <w:widowControl w:val="0"/>
        <w:tabs>
          <w:tab w:val="left" w:pos="8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w:t>
      </w:r>
      <w:r>
        <w:rPr>
          <w:rFonts w:hint="eastAsia" w:ascii="宋体" w:hAnsi="宋体" w:eastAsia="宋体" w:cs="宋体"/>
          <w:color w:val="auto"/>
          <w:kern w:val="2"/>
          <w:sz w:val="24"/>
          <w:szCs w:val="24"/>
          <w:highlight w:val="none"/>
          <w:lang w:val="zh-CN" w:eastAsia="zh-CN" w:bidi="zh-CN"/>
        </w:rPr>
        <w:t>1工程质量验收按合同约定验收标准执行。</w:t>
      </w:r>
    </w:p>
    <w:p w14:paraId="091447A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13.1.2</w:t>
      </w:r>
      <w:r>
        <w:rPr>
          <w:rFonts w:hint="eastAsia" w:ascii="宋体" w:hAnsi="宋体" w:eastAsia="宋体" w:cs="宋体"/>
          <w:color w:val="auto"/>
          <w:kern w:val="2"/>
          <w:sz w:val="24"/>
          <w:szCs w:val="24"/>
          <w:highlight w:val="none"/>
          <w:lang w:val="zh-CN" w:eastAsia="zh-CN" w:bidi="zh-CN"/>
        </w:rPr>
        <w:t>因承包人原因造成工程质量达不到合同约定验收标准的，监理人有权要求承包人返工直至符合合同要求为止，由此造成的费用增加和（或）工期延误由承包人承担。</w:t>
      </w:r>
    </w:p>
    <w:p w14:paraId="7861DC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13.1.3</w:t>
      </w:r>
      <w:r>
        <w:rPr>
          <w:rFonts w:hint="eastAsia" w:ascii="宋体" w:hAnsi="宋体" w:eastAsia="宋体" w:cs="宋体"/>
          <w:color w:val="auto"/>
          <w:kern w:val="2"/>
          <w:sz w:val="24"/>
          <w:szCs w:val="24"/>
          <w:highlight w:val="none"/>
          <w:lang w:val="zh-CN" w:eastAsia="zh-CN" w:bidi="zh-CN"/>
        </w:rPr>
        <w:t>因发包人原因造成工程质量达不到合同约定验收标准的，发包人应承担由于承包人返工造成的费用增加和（或）工期延误，并支付承包人合理利润。</w:t>
      </w:r>
    </w:p>
    <w:p w14:paraId="3EF143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13.2承包人的质量管理</w:t>
      </w:r>
    </w:p>
    <w:p w14:paraId="52C0BD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13.2.1</w:t>
      </w:r>
      <w:r>
        <w:rPr>
          <w:rFonts w:hint="eastAsia" w:ascii="宋体" w:hAnsi="宋体" w:eastAsia="宋体" w:cs="宋体"/>
          <w:color w:val="auto"/>
          <w:kern w:val="2"/>
          <w:sz w:val="24"/>
          <w:szCs w:val="24"/>
          <w:highlight w:val="none"/>
          <w:lang w:val="zh-CN" w:eastAsia="zh-CN" w:bidi="zh-CN"/>
        </w:rPr>
        <w:t>承包人应在施工场地设置专门的质量检查机构，配备专职质量检查人员，建立完善的质量检查制度。承包人应按技术标准和要求（合同技术条款）约定的内容和期限, 编制工程质量保证措施文件，包括质量检查机构的组织和岗位责任、质量检查人员的组成、质量检查程序和实施细则等，提交监理人监批。监理人应在技术标准和要求（合同技术条 款）约定期限内批复承包人。</w:t>
      </w:r>
    </w:p>
    <w:p w14:paraId="1180B4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13.2. 2承包人应加强对施工人员的质量教育和技术培训，定期考核施工人员的劳动 技能，严格执行规范和操作规程。</w:t>
      </w:r>
    </w:p>
    <w:p w14:paraId="1E1381F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13.3承包人的质量检查</w:t>
      </w:r>
    </w:p>
    <w:p w14:paraId="777E59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承包人应按合同约定对材料、工程设备以及工程的所有部位及其施工工艺进行全过程的质量检查和检验，并作详细记录，编制工程质量报表，报送监理人审查。</w:t>
      </w:r>
    </w:p>
    <w:p w14:paraId="0503A72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13.4监理人的质量检查</w:t>
      </w:r>
    </w:p>
    <w:p w14:paraId="504D7B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31EEDC3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13.5工程隐蔽部位覆盖前的检查</w:t>
      </w:r>
    </w:p>
    <w:p w14:paraId="31167E00">
      <w:pPr>
        <w:pageBreakBefore w:val="0"/>
        <w:widowControl w:val="0"/>
        <w:tabs>
          <w:tab w:val="left" w:pos="8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13.5. </w:t>
      </w:r>
      <w:r>
        <w:rPr>
          <w:rFonts w:hint="eastAsia" w:ascii="宋体" w:hAnsi="宋体" w:eastAsia="宋体" w:cs="宋体"/>
          <w:color w:val="auto"/>
          <w:kern w:val="2"/>
          <w:sz w:val="24"/>
          <w:szCs w:val="24"/>
          <w:highlight w:val="none"/>
          <w:lang w:val="zh-CN" w:eastAsia="zh-CN" w:bidi="zh-CN"/>
        </w:rPr>
        <w:t>1通知监理人检查</w:t>
      </w:r>
    </w:p>
    <w:p w14:paraId="24F14E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599ABF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13.5.2</w:t>
      </w:r>
      <w:r>
        <w:rPr>
          <w:rFonts w:hint="eastAsia" w:ascii="宋体" w:hAnsi="宋体" w:eastAsia="宋体" w:cs="宋体"/>
          <w:color w:val="auto"/>
          <w:kern w:val="2"/>
          <w:sz w:val="24"/>
          <w:szCs w:val="24"/>
          <w:highlight w:val="none"/>
          <w:lang w:val="zh-CN" w:eastAsia="zh-CN" w:bidi="zh-CN"/>
        </w:rPr>
        <w:t>监理人未到场检查</w:t>
      </w:r>
    </w:p>
    <w:p w14:paraId="3CB9C0B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监理人未按第</w:t>
      </w:r>
      <w:r>
        <w:rPr>
          <w:rFonts w:hint="eastAsia" w:ascii="宋体" w:hAnsi="宋体" w:eastAsia="宋体" w:cs="宋体"/>
          <w:color w:val="auto"/>
          <w:kern w:val="2"/>
          <w:sz w:val="24"/>
          <w:szCs w:val="24"/>
          <w:highlight w:val="none"/>
          <w:lang w:val="en-US" w:eastAsia="zh-CN" w:bidi="en-US"/>
        </w:rPr>
        <w:t>13.5.1</w:t>
      </w:r>
      <w:r>
        <w:rPr>
          <w:rFonts w:hint="eastAsia" w:ascii="宋体" w:hAnsi="宋体" w:eastAsia="宋体" w:cs="宋体"/>
          <w:color w:val="auto"/>
          <w:kern w:val="2"/>
          <w:sz w:val="24"/>
          <w:szCs w:val="24"/>
          <w:highlight w:val="none"/>
          <w:lang w:val="zh-CN" w:eastAsia="zh-CN" w:bidi="zh-CN"/>
        </w:rPr>
        <w:t>项约定的时间进行检查的，除监理人另有指示外，承包人可自行完成覆盖工作，并作相应记录报送监理人，监理人应签字确认。监理人事后对检查记录有疑问的，可按第</w:t>
      </w: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项的约定重新检查。</w:t>
      </w:r>
    </w:p>
    <w:p w14:paraId="20C0FC2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13.5.3</w:t>
      </w:r>
      <w:r>
        <w:rPr>
          <w:rFonts w:hint="eastAsia" w:ascii="宋体" w:hAnsi="宋体" w:eastAsia="宋体" w:cs="宋体"/>
          <w:color w:val="auto"/>
          <w:kern w:val="2"/>
          <w:sz w:val="24"/>
          <w:szCs w:val="24"/>
          <w:highlight w:val="none"/>
          <w:lang w:val="zh-CN" w:eastAsia="zh-CN" w:bidi="zh-CN"/>
        </w:rPr>
        <w:t>监理人重新检查</w:t>
      </w:r>
    </w:p>
    <w:p w14:paraId="29D6F8B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1项或第</w:t>
      </w:r>
      <w:r>
        <w:rPr>
          <w:rFonts w:hint="eastAsia" w:ascii="宋体" w:hAnsi="宋体" w:eastAsia="宋体" w:cs="宋体"/>
          <w:color w:val="auto"/>
          <w:kern w:val="2"/>
          <w:sz w:val="24"/>
          <w:szCs w:val="24"/>
          <w:highlight w:val="none"/>
          <w:lang w:val="en-US" w:eastAsia="zh-CN" w:bidi="en-US"/>
        </w:rPr>
        <w:t xml:space="preserve">13. 5. </w:t>
      </w:r>
      <w:r>
        <w:rPr>
          <w:rFonts w:hint="eastAsia" w:ascii="宋体" w:hAnsi="宋体" w:eastAsia="宋体" w:cs="宋体"/>
          <w:color w:val="auto"/>
          <w:kern w:val="2"/>
          <w:sz w:val="24"/>
          <w:szCs w:val="24"/>
          <w:highlight w:val="none"/>
          <w:lang w:val="zh-CN" w:eastAsia="zh-CN" w:bidi="zh-CN"/>
        </w:rPr>
        <w:t>2项覆盖工程隐蔽部位后，监理人对质量有疑问的，可要求承包人对已覆盖的部位进行钻孔探测或揭开重新检验，承包人应遵照执行，并在检 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1F6AE9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13.5.4</w:t>
      </w:r>
      <w:r>
        <w:rPr>
          <w:rFonts w:hint="eastAsia" w:ascii="宋体" w:hAnsi="宋体" w:eastAsia="宋体" w:cs="宋体"/>
          <w:color w:val="auto"/>
          <w:kern w:val="2"/>
          <w:sz w:val="24"/>
          <w:szCs w:val="24"/>
          <w:highlight w:val="none"/>
          <w:lang w:val="zh-CN" w:eastAsia="zh-CN" w:bidi="zh-CN"/>
        </w:rPr>
        <w:t>承包人私自覆盖</w:t>
      </w:r>
    </w:p>
    <w:p w14:paraId="48E73D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承包人未通知监理人到场检查，私自将工程隐蔽部位覆盖的，监理人有权指示承包人钻孔探测或揭开检查，由此增加的费用和（或）工期延误由承包人承担。</w:t>
      </w:r>
    </w:p>
    <w:p w14:paraId="09E5FD8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13.6清除不合格工程</w:t>
      </w:r>
    </w:p>
    <w:p w14:paraId="4B386E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13.6.1</w:t>
      </w:r>
      <w:r>
        <w:rPr>
          <w:rFonts w:hint="eastAsia" w:ascii="宋体" w:hAnsi="宋体" w:eastAsia="宋体" w:cs="宋体"/>
          <w:color w:val="auto"/>
          <w:kern w:val="2"/>
          <w:sz w:val="24"/>
          <w:szCs w:val="24"/>
          <w:highlight w:val="none"/>
          <w:lang w:val="zh-CN" w:eastAsia="zh-CN" w:bidi="zh-CN"/>
        </w:rPr>
        <w:t>承包人使用不合格材料、工程设备，或采用不适当的施工工艺，或施工不当， 造成工程不合格的，监理人可以随时发出指示，要求承包人立即采取措施进行补救，直至达到合同要求的质量标准，由此增加的费用和（或）工期延误由承包人承担。</w:t>
      </w:r>
    </w:p>
    <w:p w14:paraId="3B64B8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13.6.2</w:t>
      </w:r>
      <w:r>
        <w:rPr>
          <w:rFonts w:hint="eastAsia" w:ascii="宋体" w:hAnsi="宋体" w:eastAsia="宋体" w:cs="宋体"/>
          <w:color w:val="auto"/>
          <w:kern w:val="2"/>
          <w:sz w:val="24"/>
          <w:szCs w:val="24"/>
          <w:highlight w:val="none"/>
          <w:lang w:val="zh-CN" w:eastAsia="zh-CN" w:bidi="zh-CN"/>
        </w:rPr>
        <w:t>由于发包人提供的材料或工程设备不合格造成的工程不合格，需要承包人采取措施补救的，发包人应承担由此增加的费用和（或）工期延误，并支付承包人合理利润。</w:t>
      </w:r>
    </w:p>
    <w:p w14:paraId="310112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3D49F2C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13.7.1</w:t>
      </w:r>
      <w:r>
        <w:rPr>
          <w:rFonts w:hint="eastAsia" w:ascii="宋体" w:hAnsi="宋体" w:eastAsia="宋体" w:cs="宋体"/>
          <w:color w:val="auto"/>
          <w:kern w:val="2"/>
          <w:sz w:val="24"/>
          <w:szCs w:val="24"/>
          <w:highlight w:val="none"/>
          <w:lang w:val="zh-CN" w:eastAsia="zh-CN" w:bidi="zh-CN"/>
        </w:rPr>
        <w:t>发包人应组织承包人进行工程项目划分，并确定单位工程、主要分部工程、重要隐蔽单元工程和关键部位单元工程。</w:t>
      </w:r>
    </w:p>
    <w:p w14:paraId="3B136F5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13.7.2</w:t>
      </w:r>
      <w:r>
        <w:rPr>
          <w:rFonts w:hint="eastAsia" w:ascii="宋体" w:hAnsi="宋体" w:eastAsia="宋体" w:cs="宋体"/>
          <w:color w:val="auto"/>
          <w:kern w:val="2"/>
          <w:sz w:val="24"/>
          <w:szCs w:val="24"/>
          <w:highlight w:val="none"/>
          <w:lang w:val="zh-CN" w:eastAsia="zh-CN" w:bidi="zh-CN"/>
        </w:rPr>
        <w:t>工程实施过程中，单位工程、主要分部工程、重要隐蔽单元工程和关键部位单元工程的项目划分需要调整时，承包人应报发包人确认。</w:t>
      </w:r>
    </w:p>
    <w:p w14:paraId="1C4255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13.7.3</w:t>
      </w:r>
      <w:r>
        <w:rPr>
          <w:rFonts w:hint="eastAsia" w:ascii="宋体" w:hAnsi="宋体" w:eastAsia="宋体" w:cs="宋体"/>
          <w:color w:val="auto"/>
          <w:kern w:val="2"/>
          <w:sz w:val="24"/>
          <w:szCs w:val="24"/>
          <w:highlight w:val="none"/>
          <w:lang w:val="zh-CN" w:eastAsia="zh-CN" w:bidi="zh-CN"/>
        </w:rPr>
        <w:t>承包人应在单元（工序）工程质量自评合格后，报监理人核定质量等级并签证认可。</w:t>
      </w:r>
    </w:p>
    <w:p w14:paraId="41C49AD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除专用合同条款另有约定外，承包人应在重要隐蔽单元工程和关键部位单元工程质量自评合格后以及监理人抽检后，由监理人组织承包人等单位组成的联合小组，共同检查核定其质量等级并填写签证表。发包人按有关规定完成质量结论报工程质量监督机构核备手续。</w:t>
      </w:r>
    </w:p>
    <w:p w14:paraId="00795F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13.7.5</w:t>
      </w:r>
      <w:r>
        <w:rPr>
          <w:rFonts w:hint="eastAsia" w:ascii="宋体" w:hAnsi="宋体" w:eastAsia="宋体" w:cs="宋体"/>
          <w:color w:val="auto"/>
          <w:kern w:val="2"/>
          <w:sz w:val="24"/>
          <w:szCs w:val="24"/>
          <w:highlight w:val="none"/>
          <w:lang w:val="zh-CN" w:eastAsia="zh-CN" w:bidi="zh-CN"/>
        </w:rPr>
        <w:t>承包人应在分部工程质量自评合格后，报监理人复核和发包人认定。发包人负责按有关规定完成分部工程质量结论报工程质量监督机构核备（核定）手续。</w:t>
      </w:r>
    </w:p>
    <w:p w14:paraId="53428EF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13.7.6</w:t>
      </w:r>
      <w:r>
        <w:rPr>
          <w:rFonts w:hint="eastAsia" w:ascii="宋体" w:hAnsi="宋体" w:eastAsia="宋体" w:cs="宋体"/>
          <w:color w:val="auto"/>
          <w:kern w:val="2"/>
          <w:sz w:val="24"/>
          <w:szCs w:val="24"/>
          <w:highlight w:val="none"/>
          <w:lang w:val="zh-CN" w:eastAsia="zh-CN" w:bidi="zh-CN"/>
        </w:rPr>
        <w:t>承包人应在单位工程质量自评合格后，报监理人复核和发包人认定。发包人负责按有关规定完成单位工程质量结论报工程质量监督机构核定手续。</w:t>
      </w:r>
    </w:p>
    <w:p w14:paraId="2E5752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13.7.7</w:t>
      </w:r>
      <w:r>
        <w:rPr>
          <w:rFonts w:hint="eastAsia" w:ascii="宋体" w:hAnsi="宋体" w:eastAsia="宋体" w:cs="宋体"/>
          <w:color w:val="auto"/>
          <w:kern w:val="2"/>
          <w:sz w:val="24"/>
          <w:szCs w:val="24"/>
          <w:highlight w:val="none"/>
          <w:lang w:val="zh-CN" w:eastAsia="zh-CN" w:bidi="zh-CN"/>
        </w:rPr>
        <w:t>除专用合同条款另有约定外，工程质量等级分为合格和优良，应分别达到约定的标准。</w:t>
      </w:r>
    </w:p>
    <w:p w14:paraId="652C3A2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5CBBAF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13.8.1</w:t>
      </w:r>
      <w:r>
        <w:rPr>
          <w:rFonts w:hint="eastAsia" w:ascii="宋体" w:hAnsi="宋体" w:eastAsia="宋体" w:cs="宋体"/>
          <w:color w:val="auto"/>
          <w:kern w:val="2"/>
          <w:sz w:val="24"/>
          <w:szCs w:val="24"/>
          <w:highlight w:val="none"/>
          <w:lang w:val="zh-CN" w:eastAsia="zh-CN" w:bidi="zh-CN"/>
        </w:rPr>
        <w:t>发生质量事故时，承包人应及时向发包人和监理人报告。</w:t>
      </w:r>
    </w:p>
    <w:p w14:paraId="68E6C9F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13.8.2</w:t>
      </w:r>
      <w:r>
        <w:rPr>
          <w:rFonts w:hint="eastAsia" w:ascii="宋体" w:hAnsi="宋体" w:eastAsia="宋体" w:cs="宋体"/>
          <w:color w:val="auto"/>
          <w:kern w:val="2"/>
          <w:sz w:val="24"/>
          <w:szCs w:val="24"/>
          <w:highlight w:val="none"/>
          <w:lang w:val="zh-CN" w:eastAsia="zh-CN" w:bidi="zh-CN"/>
        </w:rPr>
        <w:t>质量事故调查处理由发包人按相关规定履行手续，承包人应配合。</w:t>
      </w:r>
    </w:p>
    <w:p w14:paraId="06A88B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13.8.3</w:t>
      </w:r>
      <w:r>
        <w:rPr>
          <w:rFonts w:hint="eastAsia" w:ascii="宋体" w:hAnsi="宋体" w:eastAsia="宋体" w:cs="宋体"/>
          <w:color w:val="auto"/>
          <w:kern w:val="2"/>
          <w:sz w:val="24"/>
          <w:szCs w:val="24"/>
          <w:highlight w:val="none"/>
          <w:lang w:val="zh-CN" w:eastAsia="zh-CN" w:bidi="zh-CN"/>
        </w:rPr>
        <w:t>承包人应对质量缺陷进行备案。发包人委托监理人对质量缺陷备案情况进行监督检查并履行相关手续。</w:t>
      </w:r>
    </w:p>
    <w:p w14:paraId="51533C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除专用合同条款另有约定外，工程竣工验收时，发包人负责向竣工验收委员会汇报并提交历次质量缺陷处理的备案资料。</w:t>
      </w:r>
    </w:p>
    <w:p w14:paraId="27063E1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1" w:name="_Toc6821"/>
      <w:r>
        <w:rPr>
          <w:rFonts w:hint="eastAsia" w:ascii="宋体" w:hAnsi="宋体" w:eastAsia="宋体" w:cs="宋体"/>
          <w:color w:val="auto"/>
          <w:kern w:val="2"/>
          <w:sz w:val="24"/>
          <w:szCs w:val="24"/>
          <w:highlight w:val="none"/>
          <w:lang w:val="en-US" w:eastAsia="zh-CN" w:bidi="ar-SA"/>
        </w:rPr>
        <w:t>14 .试验和检验</w:t>
      </w:r>
      <w:bookmarkEnd w:id="221"/>
    </w:p>
    <w:p w14:paraId="733D1B5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7E44837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14.1.1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748DA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14.1.2</w:t>
      </w:r>
      <w:r>
        <w:rPr>
          <w:rFonts w:hint="eastAsia" w:ascii="宋体" w:hAnsi="宋体" w:eastAsia="宋体" w:cs="宋体"/>
          <w:color w:val="auto"/>
          <w:kern w:val="2"/>
          <w:sz w:val="24"/>
          <w:szCs w:val="24"/>
          <w:highlight w:val="none"/>
          <w:lang w:val="zh-CN" w:eastAsia="zh-CN" w:bidi="zh-CN"/>
        </w:rPr>
        <w:t>监理人未按合同约定派员参加试验和检验的，除监理人另有指示外，承包人可自行试验和检验，并应立即将试验和检验结果报送监理人，监理人应签字确认。</w:t>
      </w:r>
    </w:p>
    <w:p w14:paraId="556F94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14.1.3</w:t>
      </w:r>
      <w:r>
        <w:rPr>
          <w:rFonts w:hint="eastAsia" w:ascii="宋体" w:hAnsi="宋体" w:eastAsia="宋体" w:cs="宋体"/>
          <w:color w:val="auto"/>
          <w:kern w:val="2"/>
          <w:sz w:val="24"/>
          <w:szCs w:val="24"/>
          <w:highlight w:val="none"/>
          <w:lang w:val="zh-CN" w:eastAsia="zh-CN" w:bidi="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528BBE3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14.1.4</w:t>
      </w:r>
      <w:r>
        <w:rPr>
          <w:rFonts w:hint="eastAsia" w:ascii="宋体" w:hAnsi="宋体" w:eastAsia="宋体" w:cs="宋体"/>
          <w:color w:val="auto"/>
          <w:kern w:val="2"/>
          <w:sz w:val="24"/>
          <w:szCs w:val="24"/>
          <w:highlight w:val="none"/>
          <w:lang w:val="zh-CN" w:eastAsia="zh-CN" w:bidi="zh-CN"/>
        </w:rPr>
        <w:t>承包人应按相关规定和标准对水泥、钢材等原材料与中间产品质量进行检验, 并报监理人复核。</w:t>
      </w:r>
    </w:p>
    <w:p w14:paraId="7BC64F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3F0AD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对专用合同条款约定的试块、试件及有关材料，监理人实行见证取样。见证取样资料由承包人制备，记录应真实齐全，监理人、承包人等参与见证取样人员均应在相关文件上签字。</w:t>
      </w:r>
    </w:p>
    <w:p w14:paraId="5E11638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14.2现场材料试验</w:t>
      </w:r>
    </w:p>
    <w:p w14:paraId="284773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1承包人根据合同约定或监理人指示进行的现场材料试验，应由承包人提供试 验场所、试验人员、试验设备器材以及其他必要的试验条件。</w:t>
      </w:r>
    </w:p>
    <w:p w14:paraId="216104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14.2.</w:t>
      </w:r>
      <w:r>
        <w:rPr>
          <w:rFonts w:hint="eastAsia" w:ascii="宋体" w:hAnsi="宋体" w:eastAsia="宋体" w:cs="宋体"/>
          <w:color w:val="auto"/>
          <w:kern w:val="2"/>
          <w:sz w:val="24"/>
          <w:szCs w:val="24"/>
          <w:highlight w:val="none"/>
          <w:lang w:val="zh-CN" w:eastAsia="zh-CN" w:bidi="zh-CN"/>
        </w:rPr>
        <w:t>2监理人在必要时可以使用承包人的试验场所、试验设备器材以及其他试验条件，进行以工程质量检查为目的的复核性材料试验，承包人应予以协助。</w:t>
      </w:r>
    </w:p>
    <w:p w14:paraId="0425D91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14.3现场工艺试验</w:t>
      </w:r>
    </w:p>
    <w:p w14:paraId="7225D7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承包人应按合同约定或监理人指示进行现场工艺试验。对大型的现场工艺试验，监理人认为必要时，应由承包人根据监理人提出的工艺试验要求，编制工艺试验措施计划，报送监理人审批。</w:t>
      </w:r>
    </w:p>
    <w:p w14:paraId="24AD9EC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2" w:name="_Toc1451"/>
      <w:r>
        <w:rPr>
          <w:rFonts w:hint="eastAsia" w:ascii="宋体" w:hAnsi="宋体" w:eastAsia="宋体" w:cs="宋体"/>
          <w:color w:val="auto"/>
          <w:kern w:val="2"/>
          <w:sz w:val="24"/>
          <w:szCs w:val="24"/>
          <w:highlight w:val="none"/>
          <w:lang w:val="en-US" w:eastAsia="zh-CN" w:bidi="ar-SA"/>
        </w:rPr>
        <w:t>15.变更</w:t>
      </w:r>
      <w:bookmarkEnd w:id="222"/>
    </w:p>
    <w:p w14:paraId="07959E4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550A1FD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在履行合同中发生以下情形之一，应按照本条规定进行变更。</w:t>
      </w:r>
    </w:p>
    <w:p w14:paraId="1C07DBBE">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取消合同中任何一项工作，但被取消的工作不能转由发包人或其它人实施；</w:t>
      </w:r>
    </w:p>
    <w:p w14:paraId="1DC41C44">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改变合同中任何一项工作的质量或其它特性；</w:t>
      </w:r>
    </w:p>
    <w:p w14:paraId="16BE70FA">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改变合同工程的基线、标高、位置或尺寸；</w:t>
      </w:r>
    </w:p>
    <w:p w14:paraId="374A0728">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改变合同中任何一项工作的施工时间或改变已批准的施工工艺或顺序；</w:t>
      </w:r>
    </w:p>
    <w:p w14:paraId="2519024C">
      <w:pPr>
        <w:pageBreakBefore w:val="0"/>
        <w:widowControl w:val="0"/>
        <w:numPr>
          <w:ilvl w:val="0"/>
          <w:numId w:val="1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为完成工程需要追加的额外工作；</w:t>
      </w:r>
    </w:p>
    <w:p w14:paraId="3F2A7261">
      <w:pPr>
        <w:pageBreakBefore w:val="0"/>
        <w:widowControl w:val="0"/>
        <w:numPr>
          <w:ilvl w:val="0"/>
          <w:numId w:val="1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增加或减少专用合同条款中约定的关键项目工程量超过其工程总量的一定数量的百分比。</w:t>
      </w:r>
    </w:p>
    <w:p w14:paraId="2D91502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上述第(1)~ (6)目的变更内容引起工程施工组织和进度计划发生实质性变动和影响其原定的价格时，才予调整该项目的单价。第(6)目情形下单价调整方式在专用合同条款中约定。</w:t>
      </w:r>
    </w:p>
    <w:p w14:paraId="0EBF254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15.2变更权</w:t>
      </w:r>
    </w:p>
    <w:p w14:paraId="0B9FAB9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在履行合同过程中，经发包人书面同意，监理人可按第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3款约定的变更程序向承包人作出变更指示，承包人应遵照执行。没有监理人的变更指示，承包人不得擅自变更。</w:t>
      </w:r>
    </w:p>
    <w:p w14:paraId="5D41F7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15.3变更程序</w:t>
      </w:r>
    </w:p>
    <w:p w14:paraId="70C6B0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15.3.1</w:t>
      </w:r>
      <w:r>
        <w:rPr>
          <w:rFonts w:hint="eastAsia" w:ascii="宋体" w:hAnsi="宋体" w:eastAsia="宋体" w:cs="宋体"/>
          <w:color w:val="auto"/>
          <w:kern w:val="2"/>
          <w:sz w:val="24"/>
          <w:szCs w:val="24"/>
          <w:highlight w:val="none"/>
          <w:lang w:val="zh-CN" w:eastAsia="zh-CN" w:bidi="zh-CN"/>
        </w:rPr>
        <w:t>变更的提出</w:t>
      </w:r>
    </w:p>
    <w:p w14:paraId="64EBE4AF">
      <w:pPr>
        <w:pageBreakBefore w:val="0"/>
        <w:widowControl w:val="0"/>
        <w:numPr>
          <w:ilvl w:val="0"/>
          <w:numId w:val="13"/>
        </w:numPr>
        <w:tabs>
          <w:tab w:val="left" w:pos="918"/>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在合同履行过程中，可能发生第</w:t>
      </w:r>
      <w:r>
        <w:rPr>
          <w:rFonts w:hint="eastAsia" w:ascii="宋体" w:hAnsi="宋体" w:eastAsia="宋体" w:cs="宋体"/>
          <w:color w:val="auto"/>
          <w:kern w:val="2"/>
          <w:sz w:val="24"/>
          <w:szCs w:val="24"/>
          <w:highlight w:val="none"/>
          <w:lang w:val="en-US" w:eastAsia="zh-CN" w:bidi="en-US"/>
        </w:rPr>
        <w:t>15.1</w:t>
      </w:r>
      <w:r>
        <w:rPr>
          <w:rFonts w:hint="eastAsia" w:ascii="宋体" w:hAnsi="宋体" w:eastAsia="宋体" w:cs="宋体"/>
          <w:color w:val="auto"/>
          <w:kern w:val="2"/>
          <w:sz w:val="24"/>
          <w:szCs w:val="24"/>
          <w:highlight w:val="none"/>
          <w:lang w:val="zh-CN" w:eastAsia="zh-CN" w:bidi="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书面同意承包人根据变更意向书要求提交的变更实施方案的，由监理人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en-US" w:eastAsia="en-US" w:bidi="en-US"/>
        </w:rPr>
        <w:t xml:space="preserve">3. </w:t>
      </w:r>
      <w:r>
        <w:rPr>
          <w:rFonts w:hint="eastAsia" w:ascii="宋体" w:hAnsi="宋体" w:eastAsia="宋体" w:cs="宋体"/>
          <w:color w:val="auto"/>
          <w:kern w:val="2"/>
          <w:sz w:val="24"/>
          <w:szCs w:val="24"/>
          <w:highlight w:val="none"/>
          <w:lang w:val="zh-CN" w:eastAsia="zh-CN" w:bidi="zh-CN"/>
        </w:rPr>
        <w:t>3项约定发出变更指示。</w:t>
      </w:r>
    </w:p>
    <w:p w14:paraId="5CC4007D">
      <w:pPr>
        <w:pageBreakBefore w:val="0"/>
        <w:widowControl w:val="0"/>
        <w:numPr>
          <w:ilvl w:val="0"/>
          <w:numId w:val="13"/>
        </w:numPr>
        <w:tabs>
          <w:tab w:val="left" w:pos="901"/>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在合同履行过程中，发生第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1款约定情形的，监理人应按照第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33AEC7CB">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承包人收到监理人按合同约定发出的图纸和文件，经检查认为其中存在第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 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38585903">
      <w:pPr>
        <w:pageBreakBefore w:val="0"/>
        <w:widowControl w:val="0"/>
        <w:numPr>
          <w:ilvl w:val="0"/>
          <w:numId w:val="13"/>
        </w:numPr>
        <w:tabs>
          <w:tab w:val="left" w:pos="922"/>
          <w:tab w:val="left" w:pos="114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若承包人收到监理人的变更意向书后认为难以实施此项变更，应立即通知监理人, 说明原因并附详细依据。监理人与承包人和发包人协商后确定撤销、改变或不改变原变更 意向书。</w:t>
      </w:r>
    </w:p>
    <w:p w14:paraId="0411DC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15.3.2</w:t>
      </w:r>
      <w:r>
        <w:rPr>
          <w:rFonts w:hint="eastAsia" w:ascii="宋体" w:hAnsi="宋体" w:eastAsia="宋体" w:cs="宋体"/>
          <w:color w:val="auto"/>
          <w:kern w:val="0"/>
          <w:sz w:val="24"/>
          <w:szCs w:val="24"/>
          <w:highlight w:val="none"/>
          <w:lang w:val="zh-CN" w:eastAsia="zh-CN" w:bidi="zh-CN"/>
        </w:rPr>
        <w:t>变更估价</w:t>
      </w:r>
    </w:p>
    <w:p w14:paraId="7506DB8A">
      <w:pPr>
        <w:pageBreakBefore w:val="0"/>
        <w:widowControl w:val="0"/>
        <w:numPr>
          <w:ilvl w:val="0"/>
          <w:numId w:val="14"/>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除专用合同条款对期限另有约定外，承包人应在收到变更指示或变更意向书后的14天内，向监理人提交变更报价书，报价内容应根据第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4款约定的估价原则，详细开列变更工作的价格组成及其依据，并附必要的施工方法说明和有关图纸。</w:t>
      </w:r>
    </w:p>
    <w:p w14:paraId="70804FB6">
      <w:pPr>
        <w:pageBreakBefore w:val="0"/>
        <w:widowControl w:val="0"/>
        <w:numPr>
          <w:ilvl w:val="0"/>
          <w:numId w:val="14"/>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变更工作影响工期的，承包人应提出调整工期的具体细节。监理人认为有必要时,可要求承包人提交要求提前或延长工期的施工进度计划及相应施工措施等详细资料。</w:t>
      </w:r>
    </w:p>
    <w:p w14:paraId="4382604C">
      <w:pPr>
        <w:pageBreakBefore w:val="0"/>
        <w:widowControl w:val="0"/>
        <w:numPr>
          <w:ilvl w:val="0"/>
          <w:numId w:val="1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除专用合同条款对期限另有约定外，监理人收到承包人变更报价书后的14天内，根据第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4款约定的估价原则，按照第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5款商定或确定变更价格。</w:t>
      </w:r>
    </w:p>
    <w:p w14:paraId="7DC1C765">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15.3.3</w:t>
      </w:r>
      <w:r>
        <w:rPr>
          <w:rFonts w:hint="eastAsia" w:ascii="宋体" w:hAnsi="宋体" w:eastAsia="宋体" w:cs="宋体"/>
          <w:color w:val="auto"/>
          <w:kern w:val="0"/>
          <w:sz w:val="24"/>
          <w:szCs w:val="24"/>
          <w:highlight w:val="none"/>
          <w:lang w:val="zh-CN" w:eastAsia="zh-CN" w:bidi="zh-CN"/>
        </w:rPr>
        <w:t>变更指示</w:t>
      </w:r>
    </w:p>
    <w:p w14:paraId="1A64660A">
      <w:pPr>
        <w:pageBreakBefore w:val="0"/>
        <w:widowControl w:val="0"/>
        <w:numPr>
          <w:ilvl w:val="0"/>
          <w:numId w:val="15"/>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变更指示只能由监理人发出。</w:t>
      </w:r>
    </w:p>
    <w:p w14:paraId="525F1620">
      <w:pPr>
        <w:pageBreakBefore w:val="0"/>
        <w:widowControl w:val="0"/>
        <w:numPr>
          <w:ilvl w:val="0"/>
          <w:numId w:val="1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变更指示应说明变更的目的、范围、变更内容以及变更的工程量及其进度和技术要求，并附有关图纸和文件。承包人收到变更指示后，应按变更指示进行变更工作。</w:t>
      </w:r>
    </w:p>
    <w:p w14:paraId="06F47F9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0FCD1C0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除专用合同条款另有约定外，因变更引起的价格调整按照本款约定处理。</w:t>
      </w:r>
    </w:p>
    <w:p w14:paraId="29926A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15.4.1</w:t>
      </w:r>
      <w:r>
        <w:rPr>
          <w:rFonts w:hint="eastAsia" w:ascii="宋体" w:hAnsi="宋体" w:eastAsia="宋体" w:cs="宋体"/>
          <w:color w:val="auto"/>
          <w:kern w:val="2"/>
          <w:sz w:val="24"/>
          <w:szCs w:val="24"/>
          <w:highlight w:val="none"/>
          <w:lang w:val="zh-CN" w:eastAsia="zh-CN" w:bidi="zh-CN"/>
        </w:rPr>
        <w:t>已标价工程量清单中有适用于变更工作的子目的，采用该子目的单价。</w:t>
      </w:r>
    </w:p>
    <w:p w14:paraId="1AAB58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15.4.2</w:t>
      </w:r>
      <w:r>
        <w:rPr>
          <w:rFonts w:hint="eastAsia" w:ascii="宋体" w:hAnsi="宋体" w:eastAsia="宋体" w:cs="宋体"/>
          <w:color w:val="auto"/>
          <w:kern w:val="2"/>
          <w:sz w:val="24"/>
          <w:szCs w:val="24"/>
          <w:highlight w:val="none"/>
          <w:lang w:val="zh-CN" w:eastAsia="zh-CN" w:bidi="zh-CN"/>
        </w:rPr>
        <w:t>已标价工程量清单中无适用于变更工作的子目，但有类似子目的，可在合理范围内参照类似子目的单价，由监理人按第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5款商定或确定变更工作的单价。</w:t>
      </w:r>
    </w:p>
    <w:p w14:paraId="38AF6A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已标价工程量清单中无适用或类似子目的单价，可按照成本加利润的原则，由监理人按第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5款商定或确定变更工作的单价。</w:t>
      </w:r>
    </w:p>
    <w:p w14:paraId="061DA20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F25AD6B">
      <w:pPr>
        <w:pageBreakBefore w:val="0"/>
        <w:widowControl w:val="0"/>
        <w:tabs>
          <w:tab w:val="left" w:pos="85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1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Pr>
          <w:rFonts w:hint="eastAsia" w:ascii="宋体" w:hAnsi="宋体" w:eastAsia="宋体" w:cs="宋体"/>
          <w:color w:val="auto"/>
          <w:kern w:val="2"/>
          <w:sz w:val="24"/>
          <w:szCs w:val="24"/>
          <w:highlight w:val="none"/>
          <w:lang w:val="en-US" w:eastAsia="zh-CN" w:bidi="en-US"/>
        </w:rPr>
        <w:t xml:space="preserve">15. 3. </w:t>
      </w:r>
      <w:r>
        <w:rPr>
          <w:rFonts w:hint="eastAsia" w:ascii="宋体" w:hAnsi="宋体" w:eastAsia="宋体" w:cs="宋体"/>
          <w:color w:val="auto"/>
          <w:kern w:val="2"/>
          <w:sz w:val="24"/>
          <w:szCs w:val="24"/>
          <w:highlight w:val="none"/>
          <w:lang w:val="zh-CN" w:eastAsia="zh-CN" w:bidi="zh-CN"/>
        </w:rPr>
        <w:t>3项约定向承包人发出变更指示。</w:t>
      </w:r>
    </w:p>
    <w:p w14:paraId="117E02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15.5.2</w:t>
      </w:r>
      <w:r>
        <w:rPr>
          <w:rFonts w:hint="eastAsia" w:ascii="宋体" w:hAnsi="宋体" w:eastAsia="宋体" w:cs="宋体"/>
          <w:color w:val="auto"/>
          <w:kern w:val="2"/>
          <w:sz w:val="24"/>
          <w:szCs w:val="24"/>
          <w:highlight w:val="none"/>
          <w:lang w:val="zh-CN" w:eastAsia="zh-CN" w:bidi="zh-CN"/>
        </w:rPr>
        <w:t>承包人提出的合理化建议降低了合同价格、缩短了工期或者提高了工程经济效益的，发包人可按国家有关规定在专用合同条款中约定给予奖励。</w:t>
      </w:r>
    </w:p>
    <w:p w14:paraId="50A3EC2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15.6暂列金额</w:t>
      </w:r>
    </w:p>
    <w:p w14:paraId="5953FD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暂列金额只能按照监理人的指示使用，并对合同价格进行相应调整。</w:t>
      </w:r>
    </w:p>
    <w:p w14:paraId="488AEB6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3" w:name="_Toc26568"/>
      <w:r>
        <w:rPr>
          <w:rFonts w:hint="eastAsia" w:ascii="宋体" w:hAnsi="宋体" w:eastAsia="宋体" w:cs="宋体"/>
          <w:color w:val="auto"/>
          <w:kern w:val="2"/>
          <w:sz w:val="24"/>
          <w:szCs w:val="24"/>
          <w:highlight w:val="none"/>
          <w:lang w:val="en-US" w:eastAsia="zh-CN" w:bidi="ar-SA"/>
        </w:rPr>
        <w:t>15.7计日工</w:t>
      </w:r>
      <w:bookmarkEnd w:id="223"/>
    </w:p>
    <w:p w14:paraId="7C7441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15.7.1</w:t>
      </w:r>
      <w:r>
        <w:rPr>
          <w:rFonts w:hint="eastAsia" w:ascii="宋体" w:hAnsi="宋体" w:eastAsia="宋体" w:cs="宋体"/>
          <w:color w:val="auto"/>
          <w:kern w:val="2"/>
          <w:sz w:val="24"/>
          <w:szCs w:val="24"/>
          <w:highlight w:val="none"/>
          <w:lang w:val="zh-CN" w:eastAsia="zh-CN" w:bidi="zh-CN"/>
        </w:rPr>
        <w:t>发包人认为有必要时，由监理人通知承包人以计日工方式实施变更的零星工作。其价款按列入已标价工程量清单中的计日工计价子目及其单价进行计算。</w:t>
      </w:r>
    </w:p>
    <w:p w14:paraId="452AE4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15.7.2</w:t>
      </w:r>
      <w:r>
        <w:rPr>
          <w:rFonts w:hint="eastAsia" w:ascii="宋体" w:hAnsi="宋体" w:eastAsia="宋体" w:cs="宋体"/>
          <w:color w:val="auto"/>
          <w:kern w:val="2"/>
          <w:sz w:val="24"/>
          <w:szCs w:val="24"/>
          <w:highlight w:val="none"/>
          <w:lang w:val="zh-CN" w:eastAsia="zh-CN" w:bidi="zh-CN"/>
        </w:rPr>
        <w:t>采用计日工计价的任何一项变更工作，应从暂列金额中支付，承包人应在该项变更的实施过程中，每天提交以下报表和有关凭证报送监理人审批：</w:t>
      </w:r>
    </w:p>
    <w:p w14:paraId="31FA0C54">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工作名称、内容和数量；</w:t>
      </w:r>
    </w:p>
    <w:p w14:paraId="2F978EB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投入该工作所有人员的姓名、工种、级别和耗用工时；</w:t>
      </w:r>
    </w:p>
    <w:p w14:paraId="5EDFA945">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投入该工作的材料类别和数量；</w:t>
      </w:r>
    </w:p>
    <w:p w14:paraId="12205022">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投入该工作的施工设备型号、台数和耗用台时；</w:t>
      </w:r>
    </w:p>
    <w:p w14:paraId="00A2ADA7">
      <w:pPr>
        <w:pageBreakBefore w:val="0"/>
        <w:widowControl w:val="0"/>
        <w:numPr>
          <w:ilvl w:val="0"/>
          <w:numId w:val="1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监理人要求提交的其他资料和凭证。</w:t>
      </w:r>
    </w:p>
    <w:p w14:paraId="310B3CF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15.7.3</w:t>
      </w:r>
      <w:r>
        <w:rPr>
          <w:rFonts w:hint="eastAsia" w:ascii="宋体" w:hAnsi="宋体" w:eastAsia="宋体" w:cs="宋体"/>
          <w:color w:val="auto"/>
          <w:kern w:val="2"/>
          <w:sz w:val="24"/>
          <w:szCs w:val="24"/>
          <w:highlight w:val="none"/>
          <w:lang w:val="zh-CN" w:eastAsia="zh-CN" w:bidi="zh-CN"/>
        </w:rPr>
        <w:t>计日工由承包人汇总后，按第</w:t>
      </w: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项的约定列入进度付款申请单，由监理人复核并经发包人书面同意后列入进度付款。</w:t>
      </w:r>
    </w:p>
    <w:p w14:paraId="18850A6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15.8暂估价</w:t>
      </w:r>
    </w:p>
    <w:p w14:paraId="3400CC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15.8.1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 量清单中所列金额差以及相应的税金等其他费用列入合同价格。必须招标的暂估价项目招标组织形式、发包人和承包人组织招标时双方的权利义务关系在专用合同条款中约定。</w:t>
      </w:r>
    </w:p>
    <w:p w14:paraId="000552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15.8.2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17DB85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15.8.3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3C9863B4">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4" w:name="_Toc6100"/>
      <w:r>
        <w:rPr>
          <w:rFonts w:hint="eastAsia" w:ascii="宋体" w:hAnsi="宋体" w:eastAsia="宋体" w:cs="宋体"/>
          <w:color w:val="auto"/>
          <w:kern w:val="2"/>
          <w:sz w:val="24"/>
          <w:szCs w:val="24"/>
          <w:highlight w:val="none"/>
          <w:lang w:val="en-US" w:eastAsia="zh-CN" w:bidi="ar-SA"/>
        </w:rPr>
        <w:t>16 .价格调整</w:t>
      </w:r>
      <w:bookmarkEnd w:id="224"/>
    </w:p>
    <w:p w14:paraId="3E6AE04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47245F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由于物价波动原因引起合同价格需要调整的，其价格调整方式在专用合同条款中约定；除专用合同条款另有约定外，因物价波动引起的价格调整按照本款约定处理。</w:t>
      </w:r>
    </w:p>
    <w:p w14:paraId="06EEAD09">
      <w:pPr>
        <w:pageBreakBefore w:val="0"/>
        <w:widowControl w:val="0"/>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1采用价格指数调整价格差额</w:t>
      </w:r>
    </w:p>
    <w:p w14:paraId="52093423">
      <w:pPr>
        <w:pageBreakBefore w:val="0"/>
        <w:widowControl w:val="0"/>
        <w:tabs>
          <w:tab w:val="left" w:pos="83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16. 1. 1. </w:t>
      </w:r>
      <w:r>
        <w:rPr>
          <w:rFonts w:hint="eastAsia" w:ascii="宋体" w:hAnsi="宋体" w:eastAsia="宋体" w:cs="宋体"/>
          <w:color w:val="auto"/>
          <w:kern w:val="0"/>
          <w:sz w:val="24"/>
          <w:szCs w:val="24"/>
          <w:highlight w:val="none"/>
          <w:lang w:val="zh-CN" w:eastAsia="zh-CN" w:bidi="zh-CN"/>
        </w:rPr>
        <w:t>1价格调整公式</w:t>
      </w:r>
    </w:p>
    <w:p w14:paraId="590999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因人工、材料和设备等价格波动影响合同价格时，根据投标函附录中的价格指数和权重表约定的数据，按以下公式计算差额并调整合同价格。</w:t>
      </w:r>
    </w:p>
    <w:p w14:paraId="28113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5" o:spt="75" type="#_x0000_t75" style="height:49.5pt;width:324.05pt;" o:ole="t" filled="f" o:preferrelative="t" stroked="f" coordsize="21600,21600">
            <v:path/>
            <v:fill on="f" focussize="0,0"/>
            <v:stroke on="f"/>
            <v:imagedata r:id="rId24" embosscolor="#FFFFFF" o:title=""/>
            <o:lock v:ext="edit" grouping="f" rotation="f" text="f" aspectratio="t"/>
            <w10:wrap type="none"/>
            <w10:anchorlock/>
          </v:shape>
          <o:OLEObject Type="Embed" ProgID="Equation.3" ShapeID="_x0000_i1025" DrawAspect="Content" ObjectID="_1468075725" r:id="rId23">
            <o:LockedField>false</o:LockedField>
          </o:OLEObject>
        </w:object>
      </w:r>
    </w:p>
    <w:p w14:paraId="5C4EE11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7A5D229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08489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4097E62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15AD6F3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5D0B5BD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各可调因子的现行价格指数，指第17.3.3项、第17.5.2项和第17.6.2项约定的付款证书相关周期最后一天的前42天的各可调因子的价格指数；</w:t>
      </w:r>
    </w:p>
    <w:p w14:paraId="6A0808C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12E19D8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5676B3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16.1.1.2</w:t>
      </w:r>
      <w:r>
        <w:rPr>
          <w:rFonts w:hint="eastAsia" w:ascii="宋体" w:hAnsi="宋体" w:eastAsia="宋体" w:cs="宋体"/>
          <w:color w:val="auto"/>
          <w:kern w:val="2"/>
          <w:sz w:val="24"/>
          <w:szCs w:val="24"/>
          <w:highlight w:val="none"/>
          <w:lang w:val="zh-CN" w:eastAsia="zh-CN" w:bidi="zh-CN"/>
        </w:rPr>
        <w:t>暂时确定调整差额</w:t>
      </w:r>
    </w:p>
    <w:p w14:paraId="278711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在计算调整差额时得不到现行价格指数的，可暂用上一次价格指数计算，并在以后的付款中再按实际价格指数进行调整。</w:t>
      </w:r>
    </w:p>
    <w:p w14:paraId="2E64AFC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16.1.1.3</w:t>
      </w:r>
      <w:r>
        <w:rPr>
          <w:rFonts w:hint="eastAsia" w:ascii="宋体" w:hAnsi="宋体" w:eastAsia="宋体" w:cs="宋体"/>
          <w:color w:val="auto"/>
          <w:kern w:val="0"/>
          <w:sz w:val="24"/>
          <w:szCs w:val="24"/>
          <w:highlight w:val="none"/>
          <w:lang w:val="zh-CN" w:eastAsia="zh-CN" w:bidi="zh-CN"/>
        </w:rPr>
        <w:t>权重的调整</w:t>
      </w:r>
    </w:p>
    <w:p w14:paraId="3146F2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按第</w:t>
      </w:r>
      <w:r>
        <w:rPr>
          <w:rFonts w:hint="eastAsia" w:ascii="宋体" w:hAnsi="宋体" w:eastAsia="宋体" w:cs="宋体"/>
          <w:color w:val="auto"/>
          <w:kern w:val="2"/>
          <w:sz w:val="24"/>
          <w:szCs w:val="24"/>
          <w:highlight w:val="none"/>
          <w:lang w:val="en-US" w:eastAsia="zh-CN" w:bidi="en-US"/>
        </w:rPr>
        <w:t xml:space="preserve">15. </w:t>
      </w:r>
      <w:r>
        <w:rPr>
          <w:rFonts w:hint="eastAsia" w:ascii="宋体" w:hAnsi="宋体" w:eastAsia="宋体" w:cs="宋体"/>
          <w:color w:val="auto"/>
          <w:kern w:val="2"/>
          <w:sz w:val="24"/>
          <w:szCs w:val="24"/>
          <w:highlight w:val="none"/>
          <w:lang w:val="zh-CN" w:eastAsia="zh-CN" w:bidi="zh-CN"/>
        </w:rPr>
        <w:t>1款约定的变更导致原定合同中的权重不合理时，由监理人与承包人和发包人协商后进行调整。</w:t>
      </w:r>
    </w:p>
    <w:p w14:paraId="19B716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16.1.1.4</w:t>
      </w:r>
      <w:r>
        <w:rPr>
          <w:rFonts w:hint="eastAsia" w:ascii="宋体" w:hAnsi="宋体" w:eastAsia="宋体" w:cs="宋体"/>
          <w:color w:val="auto"/>
          <w:kern w:val="2"/>
          <w:sz w:val="24"/>
          <w:szCs w:val="24"/>
          <w:highlight w:val="none"/>
          <w:lang w:val="zh-CN" w:eastAsia="zh-CN" w:bidi="zh-CN"/>
        </w:rPr>
        <w:t>承包人工期延误后的价格调整</w:t>
      </w:r>
    </w:p>
    <w:p w14:paraId="5F5BECB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由于承包人原因未在约定的工期内竣工的，则对原约定竣工日期后继续施工的工程, 在使用第</w:t>
      </w:r>
      <w:r>
        <w:rPr>
          <w:rFonts w:hint="eastAsia" w:ascii="宋体" w:hAnsi="宋体" w:eastAsia="宋体" w:cs="宋体"/>
          <w:color w:val="auto"/>
          <w:kern w:val="2"/>
          <w:sz w:val="24"/>
          <w:szCs w:val="24"/>
          <w:highlight w:val="none"/>
          <w:lang w:val="en-US" w:eastAsia="zh-CN" w:bidi="en-US"/>
        </w:rPr>
        <w:t xml:space="preserve">16. 1. 1. </w:t>
      </w:r>
      <w:r>
        <w:rPr>
          <w:rFonts w:hint="eastAsia" w:ascii="宋体" w:hAnsi="宋体" w:eastAsia="宋体" w:cs="宋体"/>
          <w:color w:val="auto"/>
          <w:kern w:val="2"/>
          <w:sz w:val="24"/>
          <w:szCs w:val="24"/>
          <w:highlight w:val="none"/>
          <w:lang w:val="zh-CN" w:eastAsia="zh-CN" w:bidi="zh-CN"/>
        </w:rPr>
        <w:t>1目价格调整公式时，应采用原约定竣工日期与实际竣工日期的两个价格指数中较低的一个作为现行价格指数。</w:t>
      </w:r>
    </w:p>
    <w:p w14:paraId="7B2BA270">
      <w:pPr>
        <w:pageBreakBefore w:val="0"/>
        <w:widowControl w:val="0"/>
        <w:tabs>
          <w:tab w:val="left" w:pos="8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2采用造价信息调整价格差额</w:t>
      </w:r>
    </w:p>
    <w:p w14:paraId="73C1B5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 数量，作为调整工程合同价格差额的依据。</w:t>
      </w:r>
    </w:p>
    <w:p w14:paraId="7D8B88A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工程造价信息的来源以及价格调整的项目和系数在专用合同条款中约定。</w:t>
      </w:r>
    </w:p>
    <w:p w14:paraId="4A71F5D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16.2法律变化引起的价格调整</w:t>
      </w:r>
    </w:p>
    <w:p w14:paraId="00FF27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在基准日后，因法律变化导致承包人在合同履行中所需要的工程费用发生除第</w:t>
      </w:r>
      <w:r>
        <w:rPr>
          <w:rFonts w:hint="eastAsia" w:ascii="宋体" w:hAnsi="宋体" w:eastAsia="宋体" w:cs="宋体"/>
          <w:color w:val="auto"/>
          <w:kern w:val="2"/>
          <w:sz w:val="24"/>
          <w:szCs w:val="24"/>
          <w:highlight w:val="none"/>
          <w:lang w:val="en-US" w:eastAsia="zh-CN" w:bidi="en-US"/>
        </w:rPr>
        <w:t>16.</w:t>
      </w:r>
      <w:r>
        <w:rPr>
          <w:rFonts w:hint="eastAsia" w:ascii="宋体" w:hAnsi="宋体" w:eastAsia="宋体" w:cs="宋体"/>
          <w:color w:val="auto"/>
          <w:kern w:val="2"/>
          <w:sz w:val="24"/>
          <w:szCs w:val="24"/>
          <w:highlight w:val="none"/>
          <w:lang w:val="zh-CN" w:eastAsia="zh-CN" w:bidi="zh-CN"/>
        </w:rPr>
        <w:t>1款约定以外的增减时，监理人应根据法律、国家或省、自治区、直辖市有关部门的规定，按第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5款商定或确定需调整的合同价款。</w:t>
      </w:r>
    </w:p>
    <w:p w14:paraId="20F98D6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5" w:name="_Toc1209"/>
      <w:r>
        <w:rPr>
          <w:rFonts w:hint="eastAsia" w:ascii="宋体" w:hAnsi="宋体" w:eastAsia="宋体" w:cs="宋体"/>
          <w:color w:val="auto"/>
          <w:kern w:val="2"/>
          <w:sz w:val="24"/>
          <w:szCs w:val="24"/>
          <w:highlight w:val="none"/>
          <w:lang w:val="en-US" w:eastAsia="zh-CN" w:bidi="ar-SA"/>
        </w:rPr>
        <w:t>17.计量与支付</w:t>
      </w:r>
      <w:bookmarkEnd w:id="225"/>
    </w:p>
    <w:p w14:paraId="4177977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17.1计量</w:t>
      </w:r>
    </w:p>
    <w:p w14:paraId="494042F8">
      <w:pPr>
        <w:pageBreakBefore w:val="0"/>
        <w:widowControl w:val="0"/>
        <w:tabs>
          <w:tab w:val="left" w:pos="841"/>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1计量单位</w:t>
      </w:r>
    </w:p>
    <w:p w14:paraId="4ACF5C1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计量采用国家法定的计量单位。</w:t>
      </w:r>
    </w:p>
    <w:p w14:paraId="529B9AF2">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w:t>
      </w:r>
      <w:r>
        <w:rPr>
          <w:rFonts w:hint="eastAsia" w:ascii="宋体" w:hAnsi="宋体" w:eastAsia="宋体" w:cs="宋体"/>
          <w:color w:val="auto"/>
          <w:kern w:val="2"/>
          <w:sz w:val="24"/>
          <w:szCs w:val="24"/>
          <w:highlight w:val="none"/>
          <w:lang w:val="zh-CN" w:eastAsia="zh-CN" w:bidi="zh-CN"/>
        </w:rPr>
        <w:t>2计量方法</w:t>
      </w:r>
    </w:p>
    <w:p w14:paraId="04D882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结算工程量应按工程量清单中约定的方法计算。</w:t>
      </w:r>
    </w:p>
    <w:p w14:paraId="4295B29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17.1.</w:t>
      </w:r>
      <w:r>
        <w:rPr>
          <w:rFonts w:hint="eastAsia" w:ascii="宋体" w:hAnsi="宋体" w:eastAsia="宋体" w:cs="宋体"/>
          <w:color w:val="auto"/>
          <w:kern w:val="0"/>
          <w:sz w:val="24"/>
          <w:szCs w:val="24"/>
          <w:highlight w:val="none"/>
          <w:lang w:val="zh-CN" w:eastAsia="zh-CN" w:bidi="zh-CN"/>
        </w:rPr>
        <w:t>3计量周期</w:t>
      </w:r>
    </w:p>
    <w:p w14:paraId="63CF10A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除专用合同条款另有约定外，单价子目已完成工程量按月计量，总价子目的计量周期 按批准的支付分解报告确定。</w:t>
      </w:r>
    </w:p>
    <w:p w14:paraId="4BBB0A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17.1.4</w:t>
      </w:r>
      <w:r>
        <w:rPr>
          <w:rFonts w:hint="eastAsia" w:ascii="宋体" w:hAnsi="宋体" w:eastAsia="宋体" w:cs="宋体"/>
          <w:color w:val="auto"/>
          <w:kern w:val="2"/>
          <w:sz w:val="24"/>
          <w:szCs w:val="24"/>
          <w:highlight w:val="none"/>
          <w:lang w:val="zh-CN" w:eastAsia="zh-CN" w:bidi="zh-CN"/>
        </w:rPr>
        <w:t>单价子目的计量</w:t>
      </w:r>
    </w:p>
    <w:p w14:paraId="2BA21871">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已标价工程量清单中的单价子目工程量为估算工程量。结算工程量是承包人实际完成的，并按合同约定的计量方法进行计量的工程量。</w:t>
      </w:r>
    </w:p>
    <w:p w14:paraId="72CE2A03">
      <w:pPr>
        <w:pageBreakBefore w:val="0"/>
        <w:widowControl w:val="0"/>
        <w:numPr>
          <w:ilvl w:val="0"/>
          <w:numId w:val="1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承包人对已完成的工程进行计量，向监理人提交进度付款申请单、已完成工程量报表和有关计量资料。</w:t>
      </w:r>
    </w:p>
    <w:p w14:paraId="154072DA">
      <w:pPr>
        <w:pageBreakBefore w:val="0"/>
        <w:widowControl w:val="0"/>
        <w:numPr>
          <w:ilvl w:val="0"/>
          <w:numId w:val="17"/>
        </w:numPr>
        <w:tabs>
          <w:tab w:val="left" w:pos="4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监理人对承包人提交的工程量报表进行复核，以确定实际完成的工程量。对数量有异议的，可要求承包人按第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2款约定进行共同复核和抽样复测。承包人应协助监理人进行复核并按监理人要求提供补充计量资料。承包人未按监理人要求参加复核，监理人复核或修正的工程量视为承包人实际完成的工程量。</w:t>
      </w:r>
    </w:p>
    <w:p w14:paraId="749C4C05">
      <w:pPr>
        <w:pageBreakBefore w:val="0"/>
        <w:widowControl w:val="0"/>
        <w:numPr>
          <w:ilvl w:val="0"/>
          <w:numId w:val="17"/>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监理人认为有必要时，可通知承包人共同进行联合测量、计量，承包人应遵照执行。</w:t>
      </w:r>
    </w:p>
    <w:p w14:paraId="0F4826C2">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38CD36AF">
      <w:pPr>
        <w:pageBreakBefore w:val="0"/>
        <w:widowControl w:val="0"/>
        <w:numPr>
          <w:ilvl w:val="0"/>
          <w:numId w:val="17"/>
        </w:numPr>
        <w:tabs>
          <w:tab w:val="left" w:pos="90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监理人应在收到承包人提交的工程量报表后的7天内进行复核，监理人未在约定时间内复核的，承包人提交的工程量报表中的工程量视为承包人实际完成的工程量，据此计算工程价款。</w:t>
      </w:r>
    </w:p>
    <w:p w14:paraId="2FA1501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17.1.5</w:t>
      </w:r>
      <w:r>
        <w:rPr>
          <w:rFonts w:hint="eastAsia" w:ascii="宋体" w:hAnsi="宋体" w:eastAsia="宋体" w:cs="宋体"/>
          <w:color w:val="auto"/>
          <w:kern w:val="2"/>
          <w:sz w:val="24"/>
          <w:szCs w:val="24"/>
          <w:highlight w:val="none"/>
          <w:lang w:val="zh-CN" w:eastAsia="zh-CN" w:bidi="zh-CN"/>
        </w:rPr>
        <w:t>总价子目的计量</w:t>
      </w:r>
    </w:p>
    <w:p w14:paraId="18D6753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总价子目的分解和计量按照下述约定进行。</w:t>
      </w:r>
    </w:p>
    <w:p w14:paraId="564AB632">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总价子目的计量和支付应以总价为基础，不因第</w:t>
      </w:r>
      <w:r>
        <w:rPr>
          <w:rFonts w:hint="eastAsia" w:ascii="宋体" w:hAnsi="宋体" w:eastAsia="宋体" w:cs="宋体"/>
          <w:color w:val="auto"/>
          <w:kern w:val="2"/>
          <w:sz w:val="24"/>
          <w:szCs w:val="24"/>
          <w:highlight w:val="none"/>
          <w:lang w:val="en-US" w:eastAsia="zh-CN" w:bidi="en-US"/>
        </w:rPr>
        <w:t>16.1</w:t>
      </w:r>
      <w:r>
        <w:rPr>
          <w:rFonts w:hint="eastAsia" w:ascii="宋体" w:hAnsi="宋体" w:eastAsia="宋体" w:cs="宋体"/>
          <w:color w:val="auto"/>
          <w:kern w:val="2"/>
          <w:sz w:val="24"/>
          <w:szCs w:val="24"/>
          <w:highlight w:val="none"/>
          <w:lang w:val="zh-CN" w:eastAsia="zh-CN" w:bidi="zh-CN"/>
        </w:rPr>
        <w:t>款中的因素而进行调整。承包人实际完成的工程量，是进行工程目标管理和控制进度支付的依据。</w:t>
      </w:r>
    </w:p>
    <w:p w14:paraId="1CB98915">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工程量清单的要求对总价子目进行分解，并在签订协议书后的28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14:paraId="77B4B5B1">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监理人对承包人提交的上述资料进行复核，以确定分阶段实际完成的工程量和工程形象目标。对其有异议的，可要求承包人按第</w:t>
      </w:r>
      <w:r>
        <w:rPr>
          <w:rFonts w:hint="eastAsia" w:ascii="宋体" w:hAnsi="宋体" w:eastAsia="宋体" w:cs="宋体"/>
          <w:color w:val="auto"/>
          <w:kern w:val="2"/>
          <w:sz w:val="24"/>
          <w:szCs w:val="24"/>
          <w:highlight w:val="none"/>
          <w:lang w:val="en-US" w:eastAsia="zh-CN" w:bidi="en-US"/>
        </w:rPr>
        <w:t xml:space="preserve">8. </w:t>
      </w:r>
      <w:r>
        <w:rPr>
          <w:rFonts w:hint="eastAsia" w:ascii="宋体" w:hAnsi="宋体" w:eastAsia="宋体" w:cs="宋体"/>
          <w:color w:val="auto"/>
          <w:kern w:val="2"/>
          <w:sz w:val="24"/>
          <w:szCs w:val="24"/>
          <w:highlight w:val="none"/>
          <w:lang w:val="zh-CN" w:eastAsia="zh-CN" w:bidi="zh-CN"/>
        </w:rPr>
        <w:t>2款约定进行共同复核和抽样复测。</w:t>
      </w:r>
    </w:p>
    <w:p w14:paraId="145CEF49">
      <w:pPr>
        <w:pageBreakBefore w:val="0"/>
        <w:widowControl w:val="0"/>
        <w:numPr>
          <w:ilvl w:val="0"/>
          <w:numId w:val="18"/>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除按照第15条约定的变更外，总价子目的工程量是承包人用于结算的最终工程量。</w:t>
      </w:r>
    </w:p>
    <w:p w14:paraId="4F857AB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72B79EE6">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73E6A2F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14:paraId="5BB0840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17.2.2</w:t>
      </w:r>
      <w:r>
        <w:rPr>
          <w:rFonts w:hint="eastAsia" w:ascii="宋体" w:hAnsi="宋体" w:eastAsia="宋体" w:cs="宋体"/>
          <w:color w:val="auto"/>
          <w:kern w:val="2"/>
          <w:sz w:val="24"/>
          <w:szCs w:val="24"/>
          <w:highlight w:val="none"/>
          <w:lang w:val="zh-CN" w:eastAsia="zh-CN" w:bidi="zh-CN"/>
        </w:rPr>
        <w:t>预付款保函(担保)</w:t>
      </w:r>
    </w:p>
    <w:p w14:paraId="6143B817">
      <w:pPr>
        <w:pageBreakBefore w:val="0"/>
        <w:widowControl w:val="0"/>
        <w:numPr>
          <w:ilvl w:val="0"/>
          <w:numId w:val="19"/>
        </w:numPr>
        <w:tabs>
          <w:tab w:val="left" w:pos="8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承包人应在收到第一次工程预付款的同时向发包人提交工程预付款担保，担保金额应与第一次工程预付款金额相同，工程预付款担保在第一次工程预付款被发包人扣回前一直有效。</w:t>
      </w:r>
    </w:p>
    <w:p w14:paraId="0F329E85">
      <w:pPr>
        <w:pageBreakBefore w:val="0"/>
        <w:widowControl w:val="0"/>
        <w:numPr>
          <w:ilvl w:val="0"/>
          <w:numId w:val="19"/>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工程材料预付款的担保在专用合同条款中约定。</w:t>
      </w:r>
    </w:p>
    <w:p w14:paraId="15EC15F6">
      <w:pPr>
        <w:pageBreakBefore w:val="0"/>
        <w:widowControl w:val="0"/>
        <w:numPr>
          <w:ilvl w:val="0"/>
          <w:numId w:val="19"/>
        </w:numPr>
        <w:tabs>
          <w:tab w:val="left" w:pos="88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预付款担保的担保金额可根据预付款扣回的金额相应递减。</w:t>
      </w:r>
    </w:p>
    <w:p w14:paraId="673804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2BD568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预付款在进度付款中扣回，扣回与还清办法在专用合同条款中约定。在颁发合同工程 完工证书前，由于不可抗力或其它原因解除合同时，预付款尚未扣清的，尚未扣清的预付款余额应作为承包人的到期应付款。</w:t>
      </w:r>
    </w:p>
    <w:p w14:paraId="05CBDF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6DCEA1A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17.3.1</w:t>
      </w:r>
      <w:r>
        <w:rPr>
          <w:rFonts w:hint="eastAsia" w:ascii="宋体" w:hAnsi="宋体" w:eastAsia="宋体" w:cs="宋体"/>
          <w:color w:val="auto"/>
          <w:kern w:val="0"/>
          <w:sz w:val="24"/>
          <w:szCs w:val="24"/>
          <w:highlight w:val="none"/>
          <w:lang w:val="zh-CN" w:eastAsia="zh-CN" w:bidi="zh-CN"/>
        </w:rPr>
        <w:t>付款周期</w:t>
      </w:r>
    </w:p>
    <w:p w14:paraId="370D4DD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付款周期同计量周期。</w:t>
      </w:r>
    </w:p>
    <w:p w14:paraId="41895E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1BE401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19F35CFB">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截至本次付款周期末已实施工程的价款；</w:t>
      </w:r>
    </w:p>
    <w:p w14:paraId="0B6F3A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根据第15条应增加和扣减的变更金额；</w:t>
      </w:r>
    </w:p>
    <w:p w14:paraId="5D32EFFE">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根据第23条应增加和扣减的索赔金额；</w:t>
      </w:r>
    </w:p>
    <w:p w14:paraId="29EB66A8">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2款约定应支付的预付款和扣减的返还预付款；</w:t>
      </w:r>
    </w:p>
    <w:p w14:paraId="54F97017">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根据第</w:t>
      </w:r>
      <w:r>
        <w:rPr>
          <w:rFonts w:hint="eastAsia" w:ascii="宋体" w:hAnsi="宋体" w:eastAsia="宋体" w:cs="宋体"/>
          <w:color w:val="auto"/>
          <w:kern w:val="2"/>
          <w:sz w:val="24"/>
          <w:szCs w:val="24"/>
          <w:highlight w:val="none"/>
          <w:lang w:val="en-US" w:eastAsia="zh-CN" w:bidi="en-US"/>
        </w:rPr>
        <w:t xml:space="preserve">17.4. </w:t>
      </w:r>
      <w:r>
        <w:rPr>
          <w:rFonts w:hint="eastAsia" w:ascii="宋体" w:hAnsi="宋体" w:eastAsia="宋体" w:cs="宋体"/>
          <w:color w:val="auto"/>
          <w:kern w:val="2"/>
          <w:sz w:val="24"/>
          <w:szCs w:val="24"/>
          <w:highlight w:val="none"/>
          <w:lang w:val="zh-CN" w:eastAsia="zh-CN" w:bidi="zh-CN"/>
        </w:rPr>
        <w:t>1项约定应扣减的质量保证金；</w:t>
      </w:r>
    </w:p>
    <w:p w14:paraId="55AF7009">
      <w:pPr>
        <w:pageBreakBefore w:val="0"/>
        <w:widowControl w:val="0"/>
        <w:numPr>
          <w:ilvl w:val="0"/>
          <w:numId w:val="2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根据合同应增加和扣减的其他金额。</w:t>
      </w:r>
    </w:p>
    <w:p w14:paraId="10C766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794FD786">
      <w:pPr>
        <w:pageBreakBefore w:val="0"/>
        <w:widowControl w:val="0"/>
        <w:numPr>
          <w:ilvl w:val="0"/>
          <w:numId w:val="21"/>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1CE6E557">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发包人应在监理人收到进度付款申请单后的28天内，将进度应付款支付给承包人。发包人不按期支付的，按专用合同条款的约定支付逾期付款违约金。</w:t>
      </w:r>
    </w:p>
    <w:p w14:paraId="76CCAF71">
      <w:pPr>
        <w:pageBreakBefore w:val="0"/>
        <w:widowControl w:val="0"/>
        <w:numPr>
          <w:ilvl w:val="0"/>
          <w:numId w:val="21"/>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监理人出具进度付款证书，不应视为监理人已同意、批准或接受了承包人完成的该部分工作。</w:t>
      </w:r>
    </w:p>
    <w:p w14:paraId="1F964568">
      <w:pPr>
        <w:pageBreakBefore w:val="0"/>
        <w:widowControl w:val="0"/>
        <w:numPr>
          <w:ilvl w:val="0"/>
          <w:numId w:val="21"/>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进度付款涉及政府投资资金的，按照国库集中支付等国家相关规定和专用合同条款的约定办理。</w:t>
      </w:r>
    </w:p>
    <w:p w14:paraId="4FCA08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17.3.4</w:t>
      </w:r>
      <w:r>
        <w:rPr>
          <w:rFonts w:hint="eastAsia" w:ascii="宋体" w:hAnsi="宋体" w:eastAsia="宋体" w:cs="宋体"/>
          <w:color w:val="auto"/>
          <w:kern w:val="2"/>
          <w:sz w:val="24"/>
          <w:szCs w:val="24"/>
          <w:highlight w:val="none"/>
          <w:lang w:val="zh-CN" w:eastAsia="zh-CN" w:bidi="zh-CN"/>
        </w:rPr>
        <w:t>工程进度付款的修正</w:t>
      </w:r>
    </w:p>
    <w:p w14:paraId="32E86D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在对以往历次已签发的进度付款证书进行汇总和复核中发现错、漏或重复的，监理人有权予以修正，承包人也有权提出修正申请。经双方复核同意的修正，应在本次进度付款中支付或扣除。</w:t>
      </w:r>
    </w:p>
    <w:p w14:paraId="537EC4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562F9DC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17.4.1</w:t>
      </w:r>
      <w:r>
        <w:rPr>
          <w:rFonts w:hint="eastAsia" w:ascii="宋体" w:hAnsi="宋体" w:eastAsia="宋体" w:cs="宋体"/>
          <w:color w:val="auto"/>
          <w:kern w:val="2"/>
          <w:sz w:val="24"/>
          <w:szCs w:val="24"/>
          <w:highlight w:val="none"/>
          <w:lang w:val="zh-CN" w:eastAsia="zh-CN" w:bidi="zh-CN"/>
        </w:rPr>
        <w:t>监理人应从第一个工程进度付款周期开始，在发包人的进度付款中，按专用合同条款约定扣留质量保证金，直至扣留的工程质量保证金总额达到专用合同条款约定的金额或比例为止。质量保证金的计算额度不包括预付款的支付与扣回金额。</w:t>
      </w:r>
    </w:p>
    <w:p w14:paraId="420AF3C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17.4.2</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 xml:space="preserve">1.1. 4. </w:t>
      </w:r>
      <w:r>
        <w:rPr>
          <w:rFonts w:hint="eastAsia" w:ascii="宋体" w:hAnsi="宋体" w:eastAsia="宋体" w:cs="宋体"/>
          <w:color w:val="auto"/>
          <w:kern w:val="2"/>
          <w:sz w:val="24"/>
          <w:szCs w:val="24"/>
          <w:highlight w:val="none"/>
          <w:lang w:val="zh-CN" w:eastAsia="zh-CN" w:bidi="zh-CN"/>
        </w:rPr>
        <w:t>5目约定的缺陷责任期(工程质量保修期)满时，发包人将在30个工作日内会同承包人按照合同约定的内容核实承包人是否完成保修责任。如无异议，发包人应当在核实后将质量保证金支付给承包人。</w:t>
      </w:r>
    </w:p>
    <w:p w14:paraId="4F2D44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17.4.3</w:t>
      </w:r>
      <w:r>
        <w:rPr>
          <w:rFonts w:hint="eastAsia" w:ascii="宋体" w:hAnsi="宋体" w:eastAsia="宋体" w:cs="宋体"/>
          <w:color w:val="auto"/>
          <w:kern w:val="2"/>
          <w:sz w:val="24"/>
          <w:szCs w:val="24"/>
          <w:highlight w:val="none"/>
          <w:lang w:val="zh-CN" w:eastAsia="zh-CN" w:bidi="zh-CN"/>
        </w:rPr>
        <w:t>在第</w:t>
      </w: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5目约定的缺陷责任期满时，承包人没有完成缺陷责任的，发包人有权扣留与未履行责任剩余工作所需金额相应的质量保证金余额，并有权根据第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3款约定要求延长缺陷责任期，直至完成剩余工作为止。</w:t>
      </w:r>
    </w:p>
    <w:p w14:paraId="78CD97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17.5竣工结算(完工结算)</w:t>
      </w:r>
    </w:p>
    <w:p w14:paraId="673F0F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7509D4CB">
      <w:pPr>
        <w:pageBreakBefore w:val="0"/>
        <w:widowControl w:val="0"/>
        <w:numPr>
          <w:ilvl w:val="0"/>
          <w:numId w:val="22"/>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合同工程完工证书颁发后28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14:paraId="032E7174">
      <w:pPr>
        <w:pageBreakBefore w:val="0"/>
        <w:widowControl w:val="0"/>
        <w:numPr>
          <w:ilvl w:val="0"/>
          <w:numId w:val="22"/>
        </w:numPr>
        <w:tabs>
          <w:tab w:val="left" w:pos="91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监理人对完工付款申请单有异议的，有权要求承包人进行修正和提供补充资料。经监理人和承包人协商后，由承包人向监理人提交修正后的完工付款申请单。</w:t>
      </w:r>
    </w:p>
    <w:p w14:paraId="7260B38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17.5.2</w:t>
      </w:r>
      <w:r>
        <w:rPr>
          <w:rFonts w:hint="eastAsia" w:ascii="宋体" w:hAnsi="宋体" w:eastAsia="宋体" w:cs="宋体"/>
          <w:color w:val="auto"/>
          <w:kern w:val="2"/>
          <w:sz w:val="24"/>
          <w:szCs w:val="24"/>
          <w:highlight w:val="none"/>
          <w:lang w:val="zh-CN" w:eastAsia="zh-CN" w:bidi="zh-CN"/>
        </w:rPr>
        <w:t>竣工(完工)付款证书及支付时间</w:t>
      </w:r>
    </w:p>
    <w:p w14:paraId="44AE8B2D">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在收到承包人提交的完工付款申请单后的14天内完成核查，提出发包人到期应支付给承包人的价款送发包人审核并抄送承包人。发包人应在收到后14天内审核完毕，由监理人向承包人出具经发包人签认的完工付款证书。监理人未在约定时间内核查, 又未提出具体意见的，视为承包人提交的完工付款申请单已经监理人核查同意。发包人未 在约定时间内审核又未提出具体意见的，监理人提出发包人到期应支付给承包人的价款视 为已经发包人书面同意。</w:t>
      </w:r>
    </w:p>
    <w:p w14:paraId="70F93980">
      <w:pPr>
        <w:pageBreakBefore w:val="0"/>
        <w:widowControl w:val="0"/>
        <w:numPr>
          <w:ilvl w:val="0"/>
          <w:numId w:val="23"/>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发包人应在监理人出具完工付款证书后的14天内，将应支付款支付给承包人。发包人不按期支付的，按第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2E98F8D1">
      <w:pPr>
        <w:pageBreakBefore w:val="0"/>
        <w:widowControl w:val="0"/>
        <w:numPr>
          <w:ilvl w:val="0"/>
          <w:numId w:val="23"/>
        </w:numPr>
        <w:tabs>
          <w:tab w:val="left" w:pos="9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承包人对发包人签认的完工付款证书有异议的，发包人可出具完工付款申请单中承包人已同意部分的临时付款证书。存在争议的部分，按第24条的约定办理。</w:t>
      </w:r>
    </w:p>
    <w:p w14:paraId="3D05A240">
      <w:pPr>
        <w:pageBreakBefore w:val="0"/>
        <w:widowControl w:val="0"/>
        <w:numPr>
          <w:ilvl w:val="0"/>
          <w:numId w:val="23"/>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完工付款涉及政府投资资金的，按第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5CCCAE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588950A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5155AFFF">
      <w:pPr>
        <w:pageBreakBefore w:val="0"/>
        <w:widowControl w:val="0"/>
        <w:numPr>
          <w:ilvl w:val="0"/>
          <w:numId w:val="24"/>
        </w:numPr>
        <w:tabs>
          <w:tab w:val="left" w:pos="89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工程质量保修责任终止证书签发后，承包人应按监理人批准的格式提交最终结清申请单。提交最终结清申请单的份数在专用合同条款中约定。</w:t>
      </w:r>
    </w:p>
    <w:p w14:paraId="3EBAFE3A">
      <w:pPr>
        <w:pageBreakBefore w:val="0"/>
        <w:widowControl w:val="0"/>
        <w:numPr>
          <w:ilvl w:val="0"/>
          <w:numId w:val="2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发包人对最终结清申请单内容有异议的，有权要求承包人进行修正和提供补充资料，由承包人向监理人提交修正后的最终结清申请单。</w:t>
      </w:r>
    </w:p>
    <w:p w14:paraId="3D05F08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17.6.2</w:t>
      </w:r>
      <w:r>
        <w:rPr>
          <w:rFonts w:hint="eastAsia" w:ascii="宋体" w:hAnsi="宋体" w:eastAsia="宋体" w:cs="宋体"/>
          <w:color w:val="auto"/>
          <w:kern w:val="2"/>
          <w:sz w:val="24"/>
          <w:szCs w:val="24"/>
          <w:highlight w:val="none"/>
          <w:lang w:val="zh-CN" w:eastAsia="zh-CN" w:bidi="zh-CN"/>
        </w:rPr>
        <w:t>最终结清证书和支付时间</w:t>
      </w:r>
    </w:p>
    <w:p w14:paraId="553EC7F8">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书面同意。</w:t>
      </w:r>
    </w:p>
    <w:p w14:paraId="7C70F583">
      <w:pPr>
        <w:pageBreakBefore w:val="0"/>
        <w:widowControl w:val="0"/>
        <w:numPr>
          <w:ilvl w:val="0"/>
          <w:numId w:val="2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发包人应在监理人出具最终结清证书后的14天内，将应支付款支付给承包人。发包人不按期支付的，按第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(2)目的约定，将逾期付款违约金支付给承包人。</w:t>
      </w:r>
    </w:p>
    <w:p w14:paraId="5DDE2BE3">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承包人对发包人签认的最终结清证书有异议的，按第24条的约定办理。</w:t>
      </w:r>
    </w:p>
    <w:p w14:paraId="2F0E68BE">
      <w:pPr>
        <w:pageBreakBefore w:val="0"/>
        <w:widowControl w:val="0"/>
        <w:numPr>
          <w:ilvl w:val="0"/>
          <w:numId w:val="2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最终结清付款涉及政府投资资金的，按第</w:t>
      </w:r>
      <w:r>
        <w:rPr>
          <w:rFonts w:hint="eastAsia" w:ascii="宋体" w:hAnsi="宋体" w:eastAsia="宋体" w:cs="宋体"/>
          <w:color w:val="auto"/>
          <w:kern w:val="2"/>
          <w:sz w:val="24"/>
          <w:szCs w:val="24"/>
          <w:highlight w:val="none"/>
          <w:lang w:val="en-US" w:eastAsia="zh-CN" w:bidi="en-US"/>
        </w:rPr>
        <w:t xml:space="preserve">17.3.3 </w:t>
      </w:r>
      <w:r>
        <w:rPr>
          <w:rFonts w:hint="eastAsia" w:ascii="宋体" w:hAnsi="宋体" w:eastAsia="宋体" w:cs="宋体"/>
          <w:color w:val="auto"/>
          <w:kern w:val="2"/>
          <w:sz w:val="24"/>
          <w:szCs w:val="24"/>
          <w:highlight w:val="none"/>
          <w:lang w:val="zh-CN" w:eastAsia="zh-CN" w:bidi="zh-CN"/>
        </w:rPr>
        <w:t>(4)目的约定办理。</w:t>
      </w:r>
    </w:p>
    <w:p w14:paraId="0C6B49F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84DBF8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发包人负责编制本工程项目竣工财务决算，承包人应按专用合同条款的约定提供竣工财务决算编制所需的相关材料。</w:t>
      </w:r>
    </w:p>
    <w:p w14:paraId="62B7B2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17.8竣工审计</w:t>
      </w:r>
    </w:p>
    <w:p w14:paraId="37FA55E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发包人负责完成本工程竣工审计手续，承包人应完成相关配合工作。</w:t>
      </w:r>
    </w:p>
    <w:p w14:paraId="3D2E0C0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6" w:name="_Toc1631"/>
      <w:r>
        <w:rPr>
          <w:rFonts w:hint="eastAsia" w:ascii="宋体" w:hAnsi="宋体" w:eastAsia="宋体" w:cs="宋体"/>
          <w:color w:val="auto"/>
          <w:kern w:val="2"/>
          <w:sz w:val="24"/>
          <w:szCs w:val="24"/>
          <w:highlight w:val="none"/>
          <w:lang w:val="en-US" w:eastAsia="zh-CN" w:bidi="ar-SA"/>
        </w:rPr>
        <w:t>18.竣工验收（验收）</w:t>
      </w:r>
      <w:bookmarkEnd w:id="226"/>
    </w:p>
    <w:p w14:paraId="46476E5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456763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14:paraId="4C729AB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1524D43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18.2.1</w:t>
      </w:r>
      <w:r>
        <w:rPr>
          <w:rFonts w:hint="eastAsia" w:ascii="宋体" w:hAnsi="宋体" w:eastAsia="宋体" w:cs="宋体"/>
          <w:color w:val="auto"/>
          <w:kern w:val="2"/>
          <w:sz w:val="24"/>
          <w:szCs w:val="24"/>
          <w:highlight w:val="none"/>
          <w:lang w:val="zh-CN" w:eastAsia="zh-CN" w:bidi="zh-CN"/>
        </w:rPr>
        <w:t>分部工程具备验收条件时，承包人应向发包人提交验收申请报告，发包人应在收到验收申请报告之日起10个工作日内决定是否同意进行验收。</w:t>
      </w:r>
    </w:p>
    <w:p w14:paraId="5F28EC2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18.2.2</w:t>
      </w:r>
      <w:r>
        <w:rPr>
          <w:rFonts w:hint="eastAsia" w:ascii="宋体" w:hAnsi="宋体" w:eastAsia="宋体" w:cs="宋体"/>
          <w:color w:val="auto"/>
          <w:kern w:val="2"/>
          <w:sz w:val="24"/>
          <w:szCs w:val="24"/>
          <w:highlight w:val="none"/>
          <w:lang w:val="zh-CN" w:eastAsia="zh-CN" w:bidi="zh-CN"/>
        </w:rPr>
        <w:t>除专用合同条款另有约定外，监理人主持分部工程验收，承包人应派符合条件的代表参加验收工作组。</w:t>
      </w:r>
    </w:p>
    <w:p w14:paraId="2C23B4C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18.2.3</w:t>
      </w:r>
      <w:r>
        <w:rPr>
          <w:rFonts w:hint="eastAsia" w:ascii="宋体" w:hAnsi="宋体" w:eastAsia="宋体" w:cs="宋体"/>
          <w:color w:val="auto"/>
          <w:kern w:val="2"/>
          <w:sz w:val="24"/>
          <w:szCs w:val="24"/>
          <w:highlight w:val="none"/>
          <w:lang w:val="zh-CN" w:eastAsia="zh-CN" w:bidi="zh-CN"/>
        </w:rPr>
        <w:t>分部工程验收通过后，发包人向承包人发送分部工程验收鉴定书。承包人应及时完成分部工程验收鉴定书载明应由承包人处理的遗留问题。</w:t>
      </w:r>
    </w:p>
    <w:p w14:paraId="457E256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38CA85C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18.3.1</w:t>
      </w:r>
      <w:r>
        <w:rPr>
          <w:rFonts w:hint="eastAsia" w:ascii="宋体" w:hAnsi="宋体" w:eastAsia="宋体" w:cs="宋体"/>
          <w:color w:val="auto"/>
          <w:kern w:val="2"/>
          <w:sz w:val="24"/>
          <w:szCs w:val="24"/>
          <w:highlight w:val="none"/>
          <w:lang w:val="zh-CN" w:eastAsia="zh-CN" w:bidi="zh-CN"/>
        </w:rPr>
        <w:t>单位工程具备验收条件时，承包人应向发包人提交验收申请报告，发包人应在收到验收申请报告之日起10个工作日内决定是否同意进行验收。</w:t>
      </w:r>
    </w:p>
    <w:p w14:paraId="0EA0335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18.3.2</w:t>
      </w:r>
      <w:r>
        <w:rPr>
          <w:rFonts w:hint="eastAsia" w:ascii="宋体" w:hAnsi="宋体" w:eastAsia="宋体" w:cs="宋体"/>
          <w:color w:val="auto"/>
          <w:kern w:val="2"/>
          <w:sz w:val="24"/>
          <w:szCs w:val="24"/>
          <w:highlight w:val="none"/>
          <w:lang w:val="zh-CN" w:eastAsia="zh-CN" w:bidi="zh-CN"/>
        </w:rPr>
        <w:t>发包人主持单位工程验收，承包人应派符合条件的代表参加验收工作组。</w:t>
      </w:r>
    </w:p>
    <w:p w14:paraId="3E87D54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18.3.3</w:t>
      </w:r>
      <w:r>
        <w:rPr>
          <w:rFonts w:hint="eastAsia" w:ascii="宋体" w:hAnsi="宋体" w:eastAsia="宋体" w:cs="宋体"/>
          <w:color w:val="auto"/>
          <w:kern w:val="2"/>
          <w:sz w:val="24"/>
          <w:szCs w:val="24"/>
          <w:highlight w:val="none"/>
          <w:lang w:val="zh-CN" w:eastAsia="zh-CN" w:bidi="zh-CN"/>
        </w:rPr>
        <w:t>单位工程验收通过后，发包人向承包人发送单位工程验收鉴定书。承包人应及时完成单位工程验收鉴定书载明应由承包人处理的遗留问题。</w:t>
      </w:r>
    </w:p>
    <w:p w14:paraId="4A385A4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需提前投入使用的单位工程在专用合同条款中明确。</w:t>
      </w:r>
    </w:p>
    <w:p w14:paraId="22E699B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18.4合同工程完工验收</w:t>
      </w:r>
    </w:p>
    <w:p w14:paraId="7BE289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18.4.1</w:t>
      </w:r>
      <w:r>
        <w:rPr>
          <w:rFonts w:hint="eastAsia" w:ascii="宋体" w:hAnsi="宋体" w:eastAsia="宋体" w:cs="宋体"/>
          <w:color w:val="auto"/>
          <w:kern w:val="2"/>
          <w:sz w:val="24"/>
          <w:szCs w:val="24"/>
          <w:highlight w:val="none"/>
          <w:lang w:val="zh-CN" w:eastAsia="zh-CN" w:bidi="zh-CN"/>
        </w:rPr>
        <w:t>合同工程具备验收条件时，承包人应向发包人提交验收申请报告，发包人应在收到验收申请报告之日起20个工作日内决定是否同意进行验收。</w:t>
      </w:r>
    </w:p>
    <w:p w14:paraId="78CC25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18.4.2</w:t>
      </w:r>
      <w:r>
        <w:rPr>
          <w:rFonts w:hint="eastAsia" w:ascii="宋体" w:hAnsi="宋体" w:eastAsia="宋体" w:cs="宋体"/>
          <w:color w:val="auto"/>
          <w:kern w:val="2"/>
          <w:sz w:val="24"/>
          <w:szCs w:val="24"/>
          <w:highlight w:val="none"/>
          <w:lang w:val="zh-CN" w:eastAsia="zh-CN" w:bidi="zh-CN"/>
        </w:rPr>
        <w:t>发包人主持合同工程完工验收，承包人应派项目经理参加验收工作组。</w:t>
      </w:r>
    </w:p>
    <w:p w14:paraId="2DBD32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18.4.3</w:t>
      </w:r>
      <w:r>
        <w:rPr>
          <w:rFonts w:hint="eastAsia" w:ascii="宋体" w:hAnsi="宋体" w:eastAsia="宋体" w:cs="宋体"/>
          <w:color w:val="auto"/>
          <w:kern w:val="2"/>
          <w:sz w:val="24"/>
          <w:szCs w:val="24"/>
          <w:highlight w:val="none"/>
          <w:lang w:val="zh-CN" w:eastAsia="zh-CN" w:bidi="zh-CN"/>
        </w:rPr>
        <w:t>合同工程完工验收通过后，发包人向承包人发送合同工程完工验收鉴定书。承包人应及时完成合同工程完工验收鉴定书载明应由承包人处理的遗留问题。</w:t>
      </w:r>
    </w:p>
    <w:p w14:paraId="69E49F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18.4.4</w:t>
      </w:r>
      <w:r>
        <w:rPr>
          <w:rFonts w:hint="eastAsia" w:ascii="宋体" w:hAnsi="宋体" w:eastAsia="宋体" w:cs="宋体"/>
          <w:color w:val="auto"/>
          <w:kern w:val="2"/>
          <w:sz w:val="24"/>
          <w:szCs w:val="24"/>
          <w:highlight w:val="none"/>
          <w:lang w:val="zh-CN" w:eastAsia="zh-CN" w:bidi="zh-CN"/>
        </w:rPr>
        <w:t>合同工程完工验收通过后，发包人与承包人应在30个工作日内组织专人负责工程交接，双方交接负责人应在交接记录上签字。承包人应按验收鉴定书约定的时间及时 移交工程及其档案资料。工程移交时，承包人应向发包人递交工程质量保修书。在承包人 递交了工程质量保修书、完成施工场地清理以及提交有关资料后，发包人应30个工作日内 向承包人颁发合同工程完工证书。</w:t>
      </w:r>
    </w:p>
    <w:p w14:paraId="343FFC7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2AAE0BC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工程建设具备阶段验收条件时，发包人负责提出阶段验收申请报告。承包人应派代表参加阶段验收，并作为被验收单位在验收鉴定书上签字。阶段验收的具体类别在专用合同条款中约定。</w:t>
      </w:r>
    </w:p>
    <w:p w14:paraId="1FD72DCF">
      <w:pPr>
        <w:pageBreakBefore w:val="0"/>
        <w:widowControl w:val="0"/>
        <w:tabs>
          <w:tab w:val="left" w:pos="84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w:t>
      </w:r>
      <w:r>
        <w:rPr>
          <w:rFonts w:hint="eastAsia" w:ascii="宋体" w:hAnsi="宋体" w:eastAsia="宋体" w:cs="宋体"/>
          <w:color w:val="auto"/>
          <w:kern w:val="2"/>
          <w:sz w:val="24"/>
          <w:szCs w:val="24"/>
          <w:highlight w:val="none"/>
          <w:lang w:val="zh-CN" w:eastAsia="zh-CN" w:bidi="zh-CN"/>
        </w:rPr>
        <w:t>2承包人应及时完成阶段验收鉴定书载明应由承包人处理的遗留问题。</w:t>
      </w:r>
    </w:p>
    <w:p w14:paraId="4009A9D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4C5D92B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18.6.1</w:t>
      </w:r>
      <w:r>
        <w:rPr>
          <w:rFonts w:hint="eastAsia" w:ascii="宋体" w:hAnsi="宋体" w:eastAsia="宋体" w:cs="宋体"/>
          <w:color w:val="auto"/>
          <w:kern w:val="2"/>
          <w:sz w:val="24"/>
          <w:szCs w:val="24"/>
          <w:highlight w:val="none"/>
          <w:lang w:val="zh-CN" w:eastAsia="zh-CN" w:bidi="zh-CN"/>
        </w:rPr>
        <w:t>发包人负责提出专项验收申请报告。承包人应按专项验收的相关规定参加专项验收。专项验收的具体类别在专用合同条款中约定。</w:t>
      </w:r>
    </w:p>
    <w:p w14:paraId="4C2243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w:t>
      </w:r>
      <w:r>
        <w:rPr>
          <w:rFonts w:hint="eastAsia" w:ascii="宋体" w:hAnsi="宋体" w:eastAsia="宋体" w:cs="宋体"/>
          <w:color w:val="auto"/>
          <w:kern w:val="2"/>
          <w:sz w:val="24"/>
          <w:szCs w:val="24"/>
          <w:highlight w:val="none"/>
          <w:lang w:val="zh-CN" w:eastAsia="zh-CN" w:bidi="zh-CN"/>
        </w:rPr>
        <w:t>2承包应及时完成专项验收成果性文件载明应由承包人处理的遗留问题。</w:t>
      </w:r>
    </w:p>
    <w:p w14:paraId="46BB217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18.7竣工验收</w:t>
      </w:r>
    </w:p>
    <w:p w14:paraId="5C5CB55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18.7.1</w:t>
      </w:r>
      <w:r>
        <w:rPr>
          <w:rFonts w:hint="eastAsia" w:ascii="宋体" w:hAnsi="宋体" w:eastAsia="宋体" w:cs="宋体"/>
          <w:color w:val="auto"/>
          <w:kern w:val="2"/>
          <w:sz w:val="24"/>
          <w:szCs w:val="24"/>
          <w:highlight w:val="none"/>
          <w:lang w:val="zh-CN" w:eastAsia="zh-CN" w:bidi="zh-CN"/>
        </w:rPr>
        <w:t>申请竣工验收前，发包人组织竣工验收自查，承包人应派项目经理或技术负责人参加。</w:t>
      </w:r>
    </w:p>
    <w:p w14:paraId="386238B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18.7.2</w:t>
      </w:r>
      <w:r>
        <w:rPr>
          <w:rFonts w:hint="eastAsia" w:ascii="宋体" w:hAnsi="宋体" w:eastAsia="宋体" w:cs="宋体"/>
          <w:color w:val="auto"/>
          <w:kern w:val="2"/>
          <w:sz w:val="24"/>
          <w:szCs w:val="24"/>
          <w:highlight w:val="none"/>
          <w:lang w:val="zh-CN" w:eastAsia="zh-CN" w:bidi="zh-CN"/>
        </w:rPr>
        <w:t>竣工验收分为竣工技术预验收和竣工验收两个阶段，发包人应通知承包人派法定代表人或项目经理参加技术预验收和竣工验收。</w:t>
      </w:r>
    </w:p>
    <w:p w14:paraId="41EF89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18.7.3</w:t>
      </w:r>
      <w:r>
        <w:rPr>
          <w:rFonts w:hint="eastAsia" w:ascii="宋体" w:hAnsi="宋体" w:eastAsia="宋体" w:cs="宋体"/>
          <w:color w:val="auto"/>
          <w:kern w:val="2"/>
          <w:sz w:val="24"/>
          <w:szCs w:val="24"/>
          <w:highlight w:val="none"/>
          <w:lang w:val="zh-CN" w:eastAsia="zh-CN" w:bidi="zh-CN"/>
        </w:rPr>
        <w:t>专用合同条款约定工程需要进行技术鉴定的，承包人应提交有关资料并完成配合工作。</w:t>
      </w:r>
    </w:p>
    <w:p w14:paraId="2711861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18.7.4</w:t>
      </w:r>
      <w:r>
        <w:rPr>
          <w:rFonts w:hint="eastAsia" w:ascii="宋体" w:hAnsi="宋体" w:eastAsia="宋体" w:cs="宋体"/>
          <w:color w:val="auto"/>
          <w:kern w:val="2"/>
          <w:sz w:val="24"/>
          <w:szCs w:val="24"/>
          <w:highlight w:val="none"/>
          <w:lang w:val="zh-CN" w:eastAsia="zh-CN" w:bidi="zh-CN"/>
        </w:rPr>
        <w:t>竣工验收需要进行质量检测的，所需费用由发包人承担，但因承包人原因造成质量不合格的除外。</w:t>
      </w:r>
    </w:p>
    <w:p w14:paraId="037FBD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18.7.5</w:t>
      </w:r>
      <w:r>
        <w:rPr>
          <w:rFonts w:hint="eastAsia" w:ascii="宋体" w:hAnsi="宋体" w:eastAsia="宋体" w:cs="宋体"/>
          <w:color w:val="auto"/>
          <w:kern w:val="2"/>
          <w:sz w:val="24"/>
          <w:szCs w:val="24"/>
          <w:highlight w:val="none"/>
          <w:lang w:val="zh-CN" w:eastAsia="zh-CN" w:bidi="zh-CN"/>
        </w:rPr>
        <w:t>工程质量保修期满以及竣工验收遗留问题和尾工处理完成并通过验收后，发包人负责将处理情况和验收成果报送竣工验收主持单位，申请领取工程竣工证书，并发送承包人。</w:t>
      </w:r>
    </w:p>
    <w:p w14:paraId="7EDBBB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CCF6BB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施工期运行是指合同工程尚未全部完工，其中某单位工程或部分工程已完工, 需要投入施工期运行的，经发包人按第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2款或第</w:t>
      </w:r>
      <w:r>
        <w:rPr>
          <w:rFonts w:hint="eastAsia" w:ascii="宋体" w:hAnsi="宋体" w:eastAsia="宋体" w:cs="宋体"/>
          <w:color w:val="auto"/>
          <w:kern w:val="2"/>
          <w:sz w:val="24"/>
          <w:szCs w:val="24"/>
          <w:highlight w:val="none"/>
          <w:lang w:val="en-US" w:eastAsia="zh-CN" w:bidi="en-US"/>
        </w:rPr>
        <w:t xml:space="preserve">18. </w:t>
      </w:r>
      <w:r>
        <w:rPr>
          <w:rFonts w:hint="eastAsia" w:ascii="宋体" w:hAnsi="宋体" w:eastAsia="宋体" w:cs="宋体"/>
          <w:color w:val="auto"/>
          <w:kern w:val="2"/>
          <w:sz w:val="24"/>
          <w:szCs w:val="24"/>
          <w:highlight w:val="none"/>
          <w:lang w:val="zh-CN" w:eastAsia="zh-CN" w:bidi="zh-CN"/>
        </w:rPr>
        <w:t>3款的约定验收合格，证明能确保安全后，才能在施工期投入运行。需要在施工期运行的单位工程或部分工程在专用合同条款中约定。</w:t>
      </w:r>
    </w:p>
    <w:p w14:paraId="6B92EAE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18.8.2</w:t>
      </w:r>
      <w:r>
        <w:rPr>
          <w:rFonts w:hint="eastAsia" w:ascii="宋体" w:hAnsi="宋体" w:eastAsia="宋体" w:cs="宋体"/>
          <w:color w:val="auto"/>
          <w:kern w:val="2"/>
          <w:sz w:val="24"/>
          <w:szCs w:val="24"/>
          <w:highlight w:val="none"/>
          <w:lang w:val="zh-CN" w:eastAsia="zh-CN" w:bidi="zh-CN"/>
        </w:rPr>
        <w:t>在施工期运行中发现工程或工程设备损坏或存在缺陷的，由承包人按第</w:t>
      </w:r>
      <w:r>
        <w:rPr>
          <w:rFonts w:hint="eastAsia" w:ascii="宋体" w:hAnsi="宋体" w:eastAsia="宋体" w:cs="宋体"/>
          <w:color w:val="auto"/>
          <w:kern w:val="2"/>
          <w:sz w:val="24"/>
          <w:szCs w:val="24"/>
          <w:highlight w:val="none"/>
          <w:lang w:val="en-US" w:eastAsia="zh-CN" w:bidi="en-US"/>
        </w:rPr>
        <w:t xml:space="preserve">19. </w:t>
      </w:r>
      <w:r>
        <w:rPr>
          <w:rFonts w:hint="eastAsia" w:ascii="宋体" w:hAnsi="宋体" w:eastAsia="宋体" w:cs="宋体"/>
          <w:color w:val="auto"/>
          <w:kern w:val="2"/>
          <w:sz w:val="24"/>
          <w:szCs w:val="24"/>
          <w:highlight w:val="none"/>
          <w:lang w:val="zh-CN" w:eastAsia="zh-CN" w:bidi="zh-CN"/>
        </w:rPr>
        <w:t>2 款约定进行修复。</w:t>
      </w:r>
    </w:p>
    <w:p w14:paraId="31177F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6E5CF7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18.9.1</w:t>
      </w:r>
      <w:r>
        <w:rPr>
          <w:rFonts w:hint="eastAsia" w:ascii="宋体" w:hAnsi="宋体" w:eastAsia="宋体" w:cs="宋体"/>
          <w:color w:val="auto"/>
          <w:kern w:val="2"/>
          <w:sz w:val="24"/>
          <w:szCs w:val="24"/>
          <w:highlight w:val="none"/>
          <w:lang w:val="zh-CN" w:eastAsia="zh-CN" w:bidi="zh-CN"/>
        </w:rPr>
        <w:t>除专用合同条款另有约定外，承包人应按规定进行工程及工程设备试运行, 负责提供试运行所需的人员、器材和必要的条件，并承担全部试运行费用。</w:t>
      </w:r>
    </w:p>
    <w:p w14:paraId="3A08937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18.9.2</w:t>
      </w:r>
      <w:r>
        <w:rPr>
          <w:rFonts w:hint="eastAsia" w:ascii="宋体" w:hAnsi="宋体" w:eastAsia="宋体" w:cs="宋体"/>
          <w:color w:val="auto"/>
          <w:kern w:val="2"/>
          <w:sz w:val="24"/>
          <w:szCs w:val="24"/>
          <w:highlight w:val="none"/>
          <w:lang w:val="zh-CN" w:eastAsia="zh-CN" w:bidi="zh-CN"/>
        </w:rPr>
        <w:t>由于承包人的原因导致试运行失败的，承包人应采取措施保证试运行合格, 并承担相应费用。由于发包人的原因导致试运行失败的，承包人应当采取措施保证试运行合格，发包人应承担由此产生的费用，并支付承包人合理利润。</w:t>
      </w:r>
    </w:p>
    <w:p w14:paraId="0E94B81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18.10竣工（完工）清场</w:t>
      </w:r>
    </w:p>
    <w:p w14:paraId="75D9463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18.10.1</w:t>
      </w:r>
      <w:r>
        <w:rPr>
          <w:rFonts w:hint="eastAsia" w:ascii="宋体" w:hAnsi="宋体" w:eastAsia="宋体" w:cs="宋体"/>
          <w:color w:val="auto"/>
          <w:kern w:val="2"/>
          <w:sz w:val="24"/>
          <w:szCs w:val="24"/>
          <w:highlight w:val="none"/>
          <w:lang w:val="zh-CN" w:eastAsia="zh-CN" w:bidi="zh-CN"/>
        </w:rPr>
        <w:t>工程项目竣工（完工）清场的工作范围和内容在技术标准和要求（合同技术条款）中约定。</w:t>
      </w:r>
    </w:p>
    <w:p w14:paraId="3A991C1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18.10.2</w:t>
      </w:r>
      <w:r>
        <w:rPr>
          <w:rFonts w:hint="eastAsia" w:ascii="宋体" w:hAnsi="宋体" w:eastAsia="宋体" w:cs="宋体"/>
          <w:color w:val="auto"/>
          <w:kern w:val="2"/>
          <w:sz w:val="24"/>
          <w:szCs w:val="24"/>
          <w:highlight w:val="none"/>
          <w:lang w:val="zh-CN" w:eastAsia="zh-CN" w:bidi="zh-CN"/>
        </w:rPr>
        <w:t>承包未按监理人的要求恢复临时占地，或者场地清理未达到合同约定的，发包人有权委托其它人恢复或清理，所发生的金额从拟支付给承包人的款项中扣除。</w:t>
      </w:r>
    </w:p>
    <w:p w14:paraId="654D9FC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18.11施工队伍的撤离</w:t>
      </w:r>
    </w:p>
    <w:p w14:paraId="404ABE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 承包人的人员和施工设备应全部撤离施工场地。</w:t>
      </w:r>
    </w:p>
    <w:p w14:paraId="568B96D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7" w:name="_Toc10782"/>
      <w:r>
        <w:rPr>
          <w:rFonts w:hint="eastAsia" w:ascii="宋体" w:hAnsi="宋体" w:eastAsia="宋体" w:cs="宋体"/>
          <w:color w:val="auto"/>
          <w:kern w:val="2"/>
          <w:sz w:val="24"/>
          <w:szCs w:val="24"/>
          <w:highlight w:val="none"/>
          <w:lang w:val="en-US" w:eastAsia="zh-CN" w:bidi="ar-SA"/>
        </w:rPr>
        <w:t>19.缺陷责任与保修责任</w:t>
      </w:r>
      <w:bookmarkEnd w:id="227"/>
    </w:p>
    <w:p w14:paraId="303DA60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53931D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除专用合同条款另有约定外，缺陷责任期（工程质量保修期）从工程通过合同工程完工验收后开始计算。在合同工程完工验收前，已经发包人提前验收的单位工程或部分工程, 若未投入使用，其缺陷责任期（工程质量保修期）亦从工程通过合同工程完工验收后开始计算；若已投入使用，其缺陷责任期（工程质量保修期）从通过单位工程或部分工程投入使用验收后开始计算。缺陷责任期（工程质量保修期）的期限在专用合同条款中约定。</w:t>
      </w:r>
    </w:p>
    <w:p w14:paraId="75ADFA8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19.2缺陷责任</w:t>
      </w:r>
    </w:p>
    <w:p w14:paraId="52424C61">
      <w:pPr>
        <w:pageBreakBefore w:val="0"/>
        <w:widowControl w:val="0"/>
        <w:tabs>
          <w:tab w:val="left" w:pos="85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19.2. </w:t>
      </w:r>
      <w:r>
        <w:rPr>
          <w:rFonts w:hint="eastAsia" w:ascii="宋体" w:hAnsi="宋体" w:eastAsia="宋体" w:cs="宋体"/>
          <w:color w:val="auto"/>
          <w:kern w:val="2"/>
          <w:sz w:val="24"/>
          <w:szCs w:val="24"/>
          <w:highlight w:val="none"/>
          <w:lang w:val="zh-CN" w:eastAsia="zh-CN" w:bidi="zh-CN"/>
        </w:rPr>
        <w:t>1承包人应在缺陷责任期内对已交付使用的工程承担缺陷责任。</w:t>
      </w:r>
    </w:p>
    <w:p w14:paraId="443709C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19.2.2</w:t>
      </w:r>
      <w:r>
        <w:rPr>
          <w:rFonts w:hint="eastAsia" w:ascii="宋体" w:hAnsi="宋体" w:eastAsia="宋体" w:cs="宋体"/>
          <w:color w:val="auto"/>
          <w:kern w:val="2"/>
          <w:sz w:val="24"/>
          <w:szCs w:val="24"/>
          <w:highlight w:val="none"/>
          <w:lang w:val="zh-CN" w:eastAsia="zh-CN" w:bidi="zh-CN"/>
        </w:rPr>
        <w:t>缺陷责任期内，发包人对已接收使用的工程负责日常维护工作。发包人在使用过程中，发现已接收的工程存在新的缺陷或已修复的缺陷部位或部件又遭损坏的，承包人应负责修复，直至检验合格为止。</w:t>
      </w:r>
    </w:p>
    <w:p w14:paraId="02BE1C7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19.2.3</w:t>
      </w:r>
      <w:r>
        <w:rPr>
          <w:rFonts w:hint="eastAsia" w:ascii="宋体" w:hAnsi="宋体" w:eastAsia="宋体" w:cs="宋体"/>
          <w:color w:val="auto"/>
          <w:kern w:val="2"/>
          <w:sz w:val="24"/>
          <w:szCs w:val="24"/>
          <w:highlight w:val="none"/>
          <w:lang w:val="zh-CN" w:eastAsia="zh-CN" w:bidi="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1C538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19.2.4</w:t>
      </w:r>
      <w:r>
        <w:rPr>
          <w:rFonts w:hint="eastAsia" w:ascii="宋体" w:hAnsi="宋体" w:eastAsia="宋体" w:cs="宋体"/>
          <w:color w:val="auto"/>
          <w:kern w:val="2"/>
          <w:sz w:val="24"/>
          <w:szCs w:val="24"/>
          <w:highlight w:val="none"/>
          <w:lang w:val="zh-CN" w:eastAsia="zh-CN" w:bidi="zh-CN"/>
        </w:rPr>
        <w:t>承包人不能在合理时间内修复缺陷的，发包人可自行修复或委托其他人修复, 所需费用和利润的承担，按第</w:t>
      </w:r>
      <w:r>
        <w:rPr>
          <w:rFonts w:hint="eastAsia" w:ascii="宋体" w:hAnsi="宋体" w:eastAsia="宋体" w:cs="宋体"/>
          <w:color w:val="auto"/>
          <w:kern w:val="2"/>
          <w:sz w:val="24"/>
          <w:szCs w:val="24"/>
          <w:highlight w:val="none"/>
          <w:lang w:val="en-US" w:eastAsia="zh-CN" w:bidi="en-US"/>
        </w:rPr>
        <w:t>19.2.</w:t>
      </w:r>
      <w:r>
        <w:rPr>
          <w:rFonts w:hint="eastAsia" w:ascii="宋体" w:hAnsi="宋体" w:eastAsia="宋体" w:cs="宋体"/>
          <w:color w:val="auto"/>
          <w:kern w:val="2"/>
          <w:sz w:val="24"/>
          <w:szCs w:val="24"/>
          <w:highlight w:val="none"/>
          <w:lang w:val="zh-CN" w:eastAsia="zh-CN" w:bidi="zh-CN"/>
        </w:rPr>
        <w:t>3项约定办理。</w:t>
      </w:r>
    </w:p>
    <w:p w14:paraId="7234329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19.4进一步试验和试运行</w:t>
      </w:r>
    </w:p>
    <w:p w14:paraId="728863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任何一项缺陷或损坏修复后，经检查证明其影响了工程或工程设备的使用性能，承包人应重新进行合同约定的试验和试运行，试验和试运行的全部费用应由责任方承担。</w:t>
      </w:r>
    </w:p>
    <w:p w14:paraId="667A16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19.3缺陷责任期的延长</w:t>
      </w:r>
    </w:p>
    <w:p w14:paraId="1E34DC3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由于承包人原因造成某项缺陷或损坏使某项工程或工程设备不能按原定目标使用而需要再次检查、检验和修复的，发包人有权要求承包人相应延长缺陷责任期，但缺陷责任期最长不超过2年。</w:t>
      </w:r>
    </w:p>
    <w:p w14:paraId="57BE6BA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19.5承包人的进入权</w:t>
      </w:r>
    </w:p>
    <w:p w14:paraId="4F95530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缺陷责任期内承包人为缺陷修复工作需要，有权进入工程现场，但应遵守发包人的保安和保密规定。</w:t>
      </w:r>
    </w:p>
    <w:p w14:paraId="05C9585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19.6缺陷责任期终止证书（工程质量保修责任终止证书）</w:t>
      </w:r>
    </w:p>
    <w:p w14:paraId="6DAC230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合同工程完工验收后，发包人与承包人应办理工程交接手续，承包人应向发包人递交工程质量保修书。</w:t>
      </w:r>
    </w:p>
    <w:p w14:paraId="0AF216C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缺陷责任期（工程质量保修期）满后30个工作日内，发包人应向承包人颁发工程质量保修责任终止证书，并退还剩余的质量保证金，但保修责任范围内的质量缺陷未处理完成的应除外。</w:t>
      </w:r>
    </w:p>
    <w:p w14:paraId="74B267D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5FD0518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当事人根据有关法律规定，在专用合同条款中约定工程质量保修范围、期限和责任。保修期自实际完工验收日期起计算。在全部工程竣工验收前，已经发包人提前验收的单位工程，其保修期的起算日期相应提前。</w:t>
      </w:r>
    </w:p>
    <w:p w14:paraId="55D7F2B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8" w:name="_Toc32698"/>
      <w:r>
        <w:rPr>
          <w:rFonts w:hint="eastAsia" w:ascii="宋体" w:hAnsi="宋体" w:eastAsia="宋体" w:cs="宋体"/>
          <w:color w:val="auto"/>
          <w:kern w:val="2"/>
          <w:sz w:val="24"/>
          <w:szCs w:val="24"/>
          <w:highlight w:val="none"/>
          <w:lang w:val="en-US" w:eastAsia="zh-CN" w:bidi="ar-SA"/>
        </w:rPr>
        <w:t>20.保险</w:t>
      </w:r>
      <w:bookmarkEnd w:id="228"/>
    </w:p>
    <w:p w14:paraId="233351A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3BAB26D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除专用合同条款另有约定外，承包人应以发包人和承包人的共同名义向双方同意的保险人投保建筑工程一切险、安装工程一切险。其具体的投保内容、保险金额、保险费率、 保险期限等有关内容在专用合同条款中约定。</w:t>
      </w:r>
    </w:p>
    <w:p w14:paraId="3ED483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20.2人员工伤事故的保险</w:t>
      </w:r>
    </w:p>
    <w:p w14:paraId="3074E68D">
      <w:pPr>
        <w:pageBreakBefore w:val="0"/>
        <w:widowControl w:val="0"/>
        <w:tabs>
          <w:tab w:val="left" w:pos="8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1承包人员工伤事故的保险</w:t>
      </w:r>
    </w:p>
    <w:p w14:paraId="18CE982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承包人应依照有关法律规定参加工伤保险，为其履行合同所雇佣的全部人员，缴纳工 伤保险费，并要求其分包人也进行此项保险。</w:t>
      </w:r>
    </w:p>
    <w:p w14:paraId="3C842AF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20.2.</w:t>
      </w:r>
      <w:r>
        <w:rPr>
          <w:rFonts w:hint="eastAsia" w:ascii="宋体" w:hAnsi="宋体" w:eastAsia="宋体" w:cs="宋体"/>
          <w:color w:val="auto"/>
          <w:kern w:val="2"/>
          <w:sz w:val="24"/>
          <w:szCs w:val="24"/>
          <w:highlight w:val="none"/>
          <w:lang w:val="zh-CN" w:eastAsia="zh-CN" w:bidi="zh-CN"/>
        </w:rPr>
        <w:t>2发包人员工伤事故的保险</w:t>
      </w:r>
    </w:p>
    <w:p w14:paraId="0108A5E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发包人应依照有关法律规定参加工伤保险，为其现场机构雇佣的全部人员，缴纳工伤保险费，并要求其监理人也进行此项保险。</w:t>
      </w:r>
    </w:p>
    <w:p w14:paraId="6A4E730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20.3人身意外伤害险</w:t>
      </w:r>
    </w:p>
    <w:p w14:paraId="364B68A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20.3.1</w:t>
      </w:r>
      <w:r>
        <w:rPr>
          <w:rFonts w:hint="eastAsia" w:ascii="宋体" w:hAnsi="宋体" w:eastAsia="宋体" w:cs="宋体"/>
          <w:color w:val="auto"/>
          <w:kern w:val="2"/>
          <w:sz w:val="24"/>
          <w:szCs w:val="24"/>
          <w:highlight w:val="none"/>
          <w:lang w:val="zh-CN" w:eastAsia="zh-CN" w:bidi="zh-CN"/>
        </w:rPr>
        <w:t>发包人应在整个施工期间为其现场机构雇用的全部人员，投保人身意外伤害险，缴纳保险费，并要求其监理人也进行此项保险。</w:t>
      </w:r>
    </w:p>
    <w:p w14:paraId="5FD29E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20.3.2</w:t>
      </w:r>
      <w:r>
        <w:rPr>
          <w:rFonts w:hint="eastAsia" w:ascii="宋体" w:hAnsi="宋体" w:eastAsia="宋体" w:cs="宋体"/>
          <w:color w:val="auto"/>
          <w:kern w:val="2"/>
          <w:sz w:val="24"/>
          <w:szCs w:val="24"/>
          <w:highlight w:val="none"/>
          <w:lang w:val="zh-CN" w:eastAsia="zh-CN" w:bidi="zh-CN"/>
        </w:rPr>
        <w:t>承包人应在整个施工期间为其现场机构雇用的全部人员，投保人身意外伤害险，缴纳保险费，并要求其分包人也进行此项保险。</w:t>
      </w:r>
    </w:p>
    <w:p w14:paraId="73A0EC7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6549F20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20.4.1</w:t>
      </w:r>
      <w:r>
        <w:rPr>
          <w:rFonts w:hint="eastAsia" w:ascii="宋体" w:hAnsi="宋体" w:eastAsia="宋体" w:cs="宋体"/>
          <w:color w:val="auto"/>
          <w:kern w:val="2"/>
          <w:sz w:val="24"/>
          <w:szCs w:val="24"/>
          <w:highlight w:val="none"/>
          <w:lang w:val="zh-CN" w:eastAsia="zh-CN" w:bidi="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7945A97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20.4.2</w:t>
      </w:r>
      <w:r>
        <w:rPr>
          <w:rFonts w:hint="eastAsia" w:ascii="宋体" w:hAnsi="宋体" w:eastAsia="宋体" w:cs="宋体"/>
          <w:color w:val="auto"/>
          <w:kern w:val="2"/>
          <w:sz w:val="24"/>
          <w:szCs w:val="24"/>
          <w:highlight w:val="none"/>
          <w:lang w:val="zh-CN" w:eastAsia="zh-CN" w:bidi="zh-CN"/>
        </w:rPr>
        <w:t>在缺陷责任期终止证书颁发前，承包人应以承包人和发包人的共同名义，投保第</w:t>
      </w:r>
      <w:r>
        <w:rPr>
          <w:rFonts w:hint="eastAsia" w:ascii="宋体" w:hAnsi="宋体" w:eastAsia="宋体" w:cs="宋体"/>
          <w:color w:val="auto"/>
          <w:kern w:val="2"/>
          <w:sz w:val="24"/>
          <w:szCs w:val="24"/>
          <w:highlight w:val="none"/>
          <w:lang w:val="en-US" w:eastAsia="zh-CN" w:bidi="en-US"/>
        </w:rPr>
        <w:t>20. 4.1</w:t>
      </w:r>
      <w:r>
        <w:rPr>
          <w:rFonts w:hint="eastAsia" w:ascii="宋体" w:hAnsi="宋体" w:eastAsia="宋体" w:cs="宋体"/>
          <w:color w:val="auto"/>
          <w:kern w:val="2"/>
          <w:sz w:val="24"/>
          <w:szCs w:val="24"/>
          <w:highlight w:val="none"/>
          <w:lang w:val="zh-CN" w:eastAsia="zh-CN" w:bidi="zh-CN"/>
        </w:rPr>
        <w:t>项约定的第三者责任险，其保险费率、保险金额等有关内容在专用合同条款中约定。</w:t>
      </w:r>
    </w:p>
    <w:p w14:paraId="405A626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36E3DE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除专用合同条款另有约定外，承包人应为其施工设备、进场的材料和工程设备等办理保险。</w:t>
      </w:r>
    </w:p>
    <w:p w14:paraId="3F2E766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0AFF6538">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1保险凭证</w:t>
      </w:r>
    </w:p>
    <w:p w14:paraId="0B48D8B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承包人应在专用合同条款约定的期限内向发包人提交各项保险生效的证据和保险单副本，保险单必须与专用合同条款约定的条件保持一致。</w:t>
      </w:r>
    </w:p>
    <w:p w14:paraId="141E75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20.6.2</w:t>
      </w:r>
      <w:r>
        <w:rPr>
          <w:rFonts w:hint="eastAsia" w:ascii="宋体" w:hAnsi="宋体" w:eastAsia="宋体" w:cs="宋体"/>
          <w:color w:val="auto"/>
          <w:kern w:val="2"/>
          <w:sz w:val="24"/>
          <w:szCs w:val="24"/>
          <w:highlight w:val="none"/>
          <w:lang w:val="zh-CN" w:eastAsia="zh-CN" w:bidi="zh-CN"/>
        </w:rPr>
        <w:t>保险合同条款的变动</w:t>
      </w:r>
    </w:p>
    <w:p w14:paraId="1FD0D9D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承包人需要变动保险合同条款时，应事先征得发包人书面同意，并通知监理人。保险人作出变动的，承包人应在收到保险人通知后立即通知发包人和监理人。</w:t>
      </w:r>
    </w:p>
    <w:p w14:paraId="0D564F83">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w:t>
      </w:r>
      <w:r>
        <w:rPr>
          <w:rFonts w:hint="eastAsia" w:ascii="宋体" w:hAnsi="宋体" w:eastAsia="宋体" w:cs="宋体"/>
          <w:color w:val="auto"/>
          <w:kern w:val="0"/>
          <w:sz w:val="24"/>
          <w:szCs w:val="24"/>
          <w:highlight w:val="none"/>
          <w:lang w:val="zh-CN" w:eastAsia="zh-CN" w:bidi="zh-CN"/>
        </w:rPr>
        <w:t>3持续保险</w:t>
      </w:r>
    </w:p>
    <w:p w14:paraId="63C5E5B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承包人应与保险人保持联系，使保险人能够随时了解工程实施中的变动，并确保按保险合同条款要求持续保险。</w:t>
      </w:r>
    </w:p>
    <w:p w14:paraId="1EC8776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20.6.4</w:t>
      </w:r>
      <w:r>
        <w:rPr>
          <w:rFonts w:hint="eastAsia" w:ascii="宋体" w:hAnsi="宋体" w:eastAsia="宋体" w:cs="宋体"/>
          <w:color w:val="auto"/>
          <w:kern w:val="2"/>
          <w:sz w:val="24"/>
          <w:szCs w:val="24"/>
          <w:highlight w:val="none"/>
          <w:lang w:val="zh-CN" w:eastAsia="zh-CN" w:bidi="zh-CN"/>
        </w:rPr>
        <w:t>保险金不足的补偿</w:t>
      </w:r>
    </w:p>
    <w:p w14:paraId="1A7723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保险金不足以补偿损失时，应由承包人和发包人各自负责补偿的范围和金额在专用合 同条款中约定。</w:t>
      </w:r>
    </w:p>
    <w:p w14:paraId="695C079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20. 6.</w:t>
      </w:r>
      <w:r>
        <w:rPr>
          <w:rFonts w:hint="eastAsia" w:ascii="宋体" w:hAnsi="宋体" w:eastAsia="宋体" w:cs="宋体"/>
          <w:color w:val="auto"/>
          <w:kern w:val="2"/>
          <w:sz w:val="24"/>
          <w:szCs w:val="24"/>
          <w:highlight w:val="none"/>
          <w:lang w:val="zh-CN" w:eastAsia="zh-CN" w:bidi="zh-CN"/>
        </w:rPr>
        <w:t>5未按约定投保的补救</w:t>
      </w:r>
    </w:p>
    <w:p w14:paraId="6377CF40">
      <w:pPr>
        <w:pageBreakBefore w:val="0"/>
        <w:widowControl w:val="0"/>
        <w:numPr>
          <w:ilvl w:val="0"/>
          <w:numId w:val="26"/>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由于负有投保义务的一方当事人未按合同约定办理保险，或未能使保险持续有效的，另一方当事人可代为办理，所需费用由对方当事人承担。</w:t>
      </w:r>
    </w:p>
    <w:p w14:paraId="5D5EF409">
      <w:pPr>
        <w:pageBreakBefore w:val="0"/>
        <w:widowControl w:val="0"/>
        <w:numPr>
          <w:ilvl w:val="0"/>
          <w:numId w:val="26"/>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由于负有投保义务的一方当事人未按合同约定办理某项保险，导致受益人未能得到保险人的赔偿，原应从该项保险得到的保险金应由负有投保义务的一方当事人支付。</w:t>
      </w:r>
    </w:p>
    <w:p w14:paraId="30B3D51C">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20.6.6</w:t>
      </w:r>
      <w:r>
        <w:rPr>
          <w:rFonts w:hint="eastAsia" w:ascii="宋体" w:hAnsi="宋体" w:eastAsia="宋体" w:cs="宋体"/>
          <w:color w:val="auto"/>
          <w:kern w:val="0"/>
          <w:sz w:val="24"/>
          <w:szCs w:val="24"/>
          <w:highlight w:val="none"/>
          <w:lang w:val="zh-CN" w:eastAsia="zh-CN" w:bidi="zh-CN"/>
        </w:rPr>
        <w:t>报告义务</w:t>
      </w:r>
    </w:p>
    <w:p w14:paraId="32F406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当保险事故发生时，投保人应按照保险单规定的条件和期限及时向保险人报告。</w:t>
      </w:r>
    </w:p>
    <w:p w14:paraId="47FE33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20.7风险责任的转移</w:t>
      </w:r>
    </w:p>
    <w:p w14:paraId="05A36AE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工程通过合同工程完工验收并移交给发包人后，原由承包人应承担的风险责任，以及保险的责任、权利和义务同时转移给发包人，但承包人在缺陷责任期(工程质量保修期) 前造成损失和损坏情形除外</w:t>
      </w:r>
      <w:r>
        <w:rPr>
          <w:rFonts w:hint="eastAsia" w:ascii="宋体" w:hAnsi="宋体" w:eastAsia="宋体" w:cs="宋体"/>
          <w:color w:val="auto"/>
          <w:kern w:val="2"/>
          <w:sz w:val="24"/>
          <w:szCs w:val="24"/>
          <w:highlight w:val="none"/>
          <w:lang w:val="en-US" w:eastAsia="zh-CN" w:bidi="en-US"/>
        </w:rPr>
        <w:t>。</w:t>
      </w:r>
    </w:p>
    <w:p w14:paraId="7531805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29" w:name="_Toc19337"/>
      <w:r>
        <w:rPr>
          <w:rFonts w:hint="eastAsia" w:ascii="宋体" w:hAnsi="宋体" w:eastAsia="宋体" w:cs="宋体"/>
          <w:color w:val="auto"/>
          <w:kern w:val="2"/>
          <w:sz w:val="24"/>
          <w:szCs w:val="24"/>
          <w:highlight w:val="none"/>
          <w:lang w:val="en-US" w:eastAsia="zh-CN" w:bidi="ar-SA"/>
        </w:rPr>
        <w:t>21.不可抗力</w:t>
      </w:r>
      <w:bookmarkEnd w:id="229"/>
    </w:p>
    <w:p w14:paraId="1761D0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1638472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暴动、战争和专用合同条款约定的其他情形。</w:t>
      </w:r>
    </w:p>
    <w:p w14:paraId="25AD726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21.1.2</w:t>
      </w:r>
      <w:r>
        <w:rPr>
          <w:rFonts w:hint="eastAsia" w:ascii="宋体" w:hAnsi="宋体" w:eastAsia="宋体" w:cs="宋体"/>
          <w:color w:val="auto"/>
          <w:kern w:val="2"/>
          <w:sz w:val="24"/>
          <w:szCs w:val="24"/>
          <w:highlight w:val="none"/>
          <w:lang w:val="zh-CN" w:eastAsia="zh-CN" w:bidi="zh-CN"/>
        </w:rPr>
        <w:t>不可抗力发生后，发包人和承包人应及时认真统计所造成的损失，收集不可抗力造成损失的证据。合同双方对是否属于不可抗力或其损失的意见不一致的，由监理人按第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5款商定或确定。发生争议时，按第24条的约定办理。</w:t>
      </w:r>
    </w:p>
    <w:p w14:paraId="79338A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21.2不可抗力的通知</w:t>
      </w:r>
    </w:p>
    <w:p w14:paraId="0AA4348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21.2.1</w:t>
      </w:r>
      <w:r>
        <w:rPr>
          <w:rFonts w:hint="eastAsia" w:ascii="宋体" w:hAnsi="宋体" w:eastAsia="宋体" w:cs="宋体"/>
          <w:color w:val="auto"/>
          <w:kern w:val="2"/>
          <w:sz w:val="24"/>
          <w:szCs w:val="24"/>
          <w:highlight w:val="none"/>
          <w:lang w:val="zh-CN" w:eastAsia="zh-CN" w:bidi="zh-CN"/>
        </w:rPr>
        <w:t>合同一方当事人遇到不可抗力事件，使其履行合同义务受到阻碍时，应立即通知合同另一方当事人和监理人，书面说明不可抗力和受阻碍的详细情况，并提供必要的证明。</w:t>
      </w:r>
    </w:p>
    <w:p w14:paraId="4D313D4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21.2.2</w:t>
      </w:r>
      <w:r>
        <w:rPr>
          <w:rFonts w:hint="eastAsia" w:ascii="宋体" w:hAnsi="宋体" w:eastAsia="宋体" w:cs="宋体"/>
          <w:color w:val="auto"/>
          <w:kern w:val="2"/>
          <w:sz w:val="24"/>
          <w:szCs w:val="24"/>
          <w:highlight w:val="none"/>
          <w:lang w:val="zh-CN" w:eastAsia="zh-CN" w:bidi="zh-CN"/>
        </w:rPr>
        <w:t>如不可抗力持续发生，合同一方当事人应及时向合同另一方当事人和监理人提交中间报告，说明不可抗力和履行合同受阻的情况，并于不可抗力事件结束后28天内提交最终报告及有关资料。</w:t>
      </w:r>
    </w:p>
    <w:p w14:paraId="21338A9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21.3不可抗力后果及其处理</w:t>
      </w:r>
    </w:p>
    <w:p w14:paraId="620AC0F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21.3.1</w:t>
      </w:r>
      <w:r>
        <w:rPr>
          <w:rFonts w:hint="eastAsia" w:ascii="宋体" w:hAnsi="宋体" w:eastAsia="宋体" w:cs="宋体"/>
          <w:color w:val="auto"/>
          <w:kern w:val="2"/>
          <w:sz w:val="24"/>
          <w:szCs w:val="24"/>
          <w:highlight w:val="none"/>
          <w:lang w:val="zh-CN" w:eastAsia="zh-CN" w:bidi="zh-CN"/>
        </w:rPr>
        <w:t>不可抗力造成损害的责任</w:t>
      </w:r>
    </w:p>
    <w:p w14:paraId="05A896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除专用合同条款另有约定外，不可抗力导致的人员伤亡、财产损失、费用增加和(或) 工期延误等后果，由合同双方按以下原则承担：</w:t>
      </w:r>
    </w:p>
    <w:p w14:paraId="1477336D">
      <w:pPr>
        <w:pageBreakBefore w:val="0"/>
        <w:widowControl w:val="0"/>
        <w:numPr>
          <w:ilvl w:val="0"/>
          <w:numId w:val="27"/>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永久工程，包括已运至施工场地的材料和工程设备的损害，以及因工程损害造成的第三者人员伤亡和财产损失由发包人承担；</w:t>
      </w:r>
    </w:p>
    <w:p w14:paraId="292E07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承包人设备的损坏由承包人承担；</w:t>
      </w:r>
    </w:p>
    <w:p w14:paraId="4BD6F98C">
      <w:pPr>
        <w:pageBreakBefore w:val="0"/>
        <w:widowControl w:val="0"/>
        <w:numPr>
          <w:ilvl w:val="0"/>
          <w:numId w:val="27"/>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发包人和承包人各自承担其人员伤亡和其他财产损失及其相关费用；</w:t>
      </w:r>
    </w:p>
    <w:p w14:paraId="7904E911">
      <w:pPr>
        <w:pageBreakBefore w:val="0"/>
        <w:widowControl w:val="0"/>
        <w:numPr>
          <w:ilvl w:val="0"/>
          <w:numId w:val="27"/>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承包人的停工损失由承包人承担，但停工期间应监理人要求照管工程和清理、修复工程的金额由发包人承担；</w:t>
      </w:r>
    </w:p>
    <w:p w14:paraId="19D08F8A">
      <w:pPr>
        <w:pageBreakBefore w:val="0"/>
        <w:widowControl w:val="0"/>
        <w:numPr>
          <w:ilvl w:val="0"/>
          <w:numId w:val="27"/>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不能按期竣工的，应合理延长工期，承包人不需支付逾期竣工违约金。发包人要求赶工的，承包人应采取赶工措施，赶工费用由发包人承担。</w:t>
      </w:r>
    </w:p>
    <w:p w14:paraId="2264B34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21.3.2</w:t>
      </w:r>
      <w:r>
        <w:rPr>
          <w:rFonts w:hint="eastAsia" w:ascii="宋体" w:hAnsi="宋体" w:eastAsia="宋体" w:cs="宋体"/>
          <w:color w:val="auto"/>
          <w:kern w:val="2"/>
          <w:sz w:val="24"/>
          <w:szCs w:val="24"/>
          <w:highlight w:val="none"/>
          <w:lang w:val="zh-CN" w:eastAsia="zh-CN" w:bidi="zh-CN"/>
        </w:rPr>
        <w:t>延迟履行期间发生的不可抗力</w:t>
      </w:r>
    </w:p>
    <w:p w14:paraId="00BB6AA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合同一方当事人延迟履行，在延迟履行期间发生不可抗力的，不免除其责任。</w:t>
      </w:r>
    </w:p>
    <w:p w14:paraId="6815433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21.3.3</w:t>
      </w:r>
      <w:r>
        <w:rPr>
          <w:rFonts w:hint="eastAsia" w:ascii="宋体" w:hAnsi="宋体" w:eastAsia="宋体" w:cs="宋体"/>
          <w:color w:val="auto"/>
          <w:kern w:val="2"/>
          <w:sz w:val="24"/>
          <w:szCs w:val="24"/>
          <w:highlight w:val="none"/>
          <w:lang w:val="zh-CN" w:eastAsia="zh-CN" w:bidi="zh-CN"/>
        </w:rPr>
        <w:t>避免和减少不可抗力损失</w:t>
      </w:r>
    </w:p>
    <w:p w14:paraId="5F5B1067">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不可抗力发生后，发包人和承包人均应采取措施尽量避免和减少损失的扩大，任何一 方没有采取有效措施导致损失扩大的，应对扩大的损失承担责任。</w:t>
      </w:r>
    </w:p>
    <w:p w14:paraId="130CCAD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21.3.4因不可抗力解除合同</w:t>
      </w:r>
    </w:p>
    <w:p w14:paraId="6134BA3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合同一方当事人因不可抗力不能履行合同的，应当及时通知对方解除合同。合同解除后，承包人应按照第</w:t>
      </w:r>
      <w:r>
        <w:rPr>
          <w:rFonts w:hint="eastAsia" w:ascii="宋体" w:hAnsi="宋体" w:eastAsia="宋体" w:cs="宋体"/>
          <w:color w:val="auto"/>
          <w:kern w:val="2"/>
          <w:sz w:val="24"/>
          <w:szCs w:val="24"/>
          <w:highlight w:val="none"/>
          <w:lang w:val="en-US" w:eastAsia="zh-CN" w:bidi="en-US"/>
        </w:rPr>
        <w:t>22.2.5</w:t>
      </w:r>
      <w:r>
        <w:rPr>
          <w:rFonts w:hint="eastAsia" w:ascii="宋体" w:hAnsi="宋体" w:eastAsia="宋体" w:cs="宋体"/>
          <w:color w:val="auto"/>
          <w:kern w:val="2"/>
          <w:sz w:val="24"/>
          <w:szCs w:val="24"/>
          <w:highlight w:val="none"/>
          <w:lang w:val="zh-CN" w:eastAsia="zh-CN" w:bidi="zh-CN"/>
        </w:rPr>
        <w:t>项约定撤离施工场地。已经订货的材料、设备由订货方负责退货或解除订货合同，不能退还的货款和因退货、解除订货合同发生的费用，由发包人承担, 因未及时退货造成的损失由责任方承担。合同解除后的付款，参照第</w:t>
      </w:r>
      <w:r>
        <w:rPr>
          <w:rFonts w:hint="eastAsia" w:ascii="宋体" w:hAnsi="宋体" w:eastAsia="宋体" w:cs="宋体"/>
          <w:color w:val="auto"/>
          <w:kern w:val="2"/>
          <w:sz w:val="24"/>
          <w:szCs w:val="24"/>
          <w:highlight w:val="none"/>
          <w:lang w:val="en-US" w:eastAsia="zh-CN" w:bidi="en-US"/>
        </w:rPr>
        <w:t>22. 2.4</w:t>
      </w:r>
      <w:r>
        <w:rPr>
          <w:rFonts w:hint="eastAsia" w:ascii="宋体" w:hAnsi="宋体" w:eastAsia="宋体" w:cs="宋体"/>
          <w:color w:val="auto"/>
          <w:kern w:val="2"/>
          <w:sz w:val="24"/>
          <w:szCs w:val="24"/>
          <w:highlight w:val="none"/>
          <w:lang w:val="zh-CN" w:eastAsia="zh-CN" w:bidi="zh-CN"/>
        </w:rPr>
        <w:t>项约定，由监理人按第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w:t>
      </w:r>
    </w:p>
    <w:p w14:paraId="47AFA36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0" w:name="_Toc5287"/>
      <w:r>
        <w:rPr>
          <w:rFonts w:hint="eastAsia" w:ascii="宋体" w:hAnsi="宋体" w:eastAsia="宋体" w:cs="宋体"/>
          <w:color w:val="auto"/>
          <w:kern w:val="2"/>
          <w:sz w:val="24"/>
          <w:szCs w:val="24"/>
          <w:highlight w:val="none"/>
          <w:lang w:val="en-US" w:eastAsia="zh-CN" w:bidi="ar-SA"/>
        </w:rPr>
        <w:t>22.违约</w:t>
      </w:r>
      <w:bookmarkEnd w:id="230"/>
    </w:p>
    <w:p w14:paraId="560E432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22.1承包人违约</w:t>
      </w:r>
    </w:p>
    <w:p w14:paraId="151CC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承包人违约的情形</w:t>
      </w:r>
    </w:p>
    <w:p w14:paraId="3E21A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在履行合同过程中发生的下列情况属承包人违约：</w:t>
      </w:r>
    </w:p>
    <w:p w14:paraId="636F7982">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1.8</w:t>
      </w:r>
      <w:r>
        <w:rPr>
          <w:rFonts w:hint="eastAsia" w:ascii="宋体" w:hAnsi="宋体" w:eastAsia="宋体" w:cs="宋体"/>
          <w:color w:val="auto"/>
          <w:kern w:val="2"/>
          <w:sz w:val="24"/>
          <w:szCs w:val="24"/>
          <w:highlight w:val="none"/>
          <w:lang w:val="zh-CN" w:eastAsia="zh-CN" w:bidi="zh-CN"/>
        </w:rPr>
        <w:t>款或第</w:t>
      </w:r>
      <w:r>
        <w:rPr>
          <w:rFonts w:hint="eastAsia" w:ascii="宋体" w:hAnsi="宋体" w:eastAsia="宋体" w:cs="宋体"/>
          <w:color w:val="auto"/>
          <w:kern w:val="2"/>
          <w:sz w:val="24"/>
          <w:szCs w:val="24"/>
          <w:highlight w:val="none"/>
          <w:lang w:val="en-US" w:eastAsia="zh-CN" w:bidi="en-US"/>
        </w:rPr>
        <w:t xml:space="preserve">4. </w:t>
      </w:r>
      <w:r>
        <w:rPr>
          <w:rFonts w:hint="eastAsia" w:ascii="宋体" w:hAnsi="宋体" w:eastAsia="宋体" w:cs="宋体"/>
          <w:color w:val="auto"/>
          <w:kern w:val="2"/>
          <w:sz w:val="24"/>
          <w:szCs w:val="24"/>
          <w:highlight w:val="none"/>
          <w:lang w:val="zh-CN" w:eastAsia="zh-CN" w:bidi="zh-CN"/>
        </w:rPr>
        <w:t>3款的约定，私自将合同的全部或部分权利转让给其他人，或私自将合同的全部或部分义务转移给其他人；</w:t>
      </w:r>
    </w:p>
    <w:p w14:paraId="633E1C80">
      <w:pPr>
        <w:pageBreakBefore w:val="0"/>
        <w:widowControl w:val="0"/>
        <w:numPr>
          <w:ilvl w:val="0"/>
          <w:numId w:val="28"/>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3款或第</w:t>
      </w:r>
      <w:r>
        <w:rPr>
          <w:rFonts w:hint="eastAsia" w:ascii="宋体" w:hAnsi="宋体" w:eastAsia="宋体" w:cs="宋体"/>
          <w:color w:val="auto"/>
          <w:kern w:val="2"/>
          <w:sz w:val="24"/>
          <w:szCs w:val="24"/>
          <w:highlight w:val="none"/>
          <w:lang w:val="en-US" w:eastAsia="zh-CN" w:bidi="en-US"/>
        </w:rPr>
        <w:t xml:space="preserve">6. </w:t>
      </w:r>
      <w:r>
        <w:rPr>
          <w:rFonts w:hint="eastAsia" w:ascii="宋体" w:hAnsi="宋体" w:eastAsia="宋体" w:cs="宋体"/>
          <w:color w:val="auto"/>
          <w:kern w:val="2"/>
          <w:sz w:val="24"/>
          <w:szCs w:val="24"/>
          <w:highlight w:val="none"/>
          <w:lang w:val="zh-CN" w:eastAsia="zh-CN" w:bidi="zh-CN"/>
        </w:rPr>
        <w:t>4款的约定，未经监理人批准，私自将已按合同约定进入施工场地的施工设备、临时设施或材料撤离施工场地；</w:t>
      </w:r>
    </w:p>
    <w:p w14:paraId="6AE4D868">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承包人违反第</w:t>
      </w:r>
      <w:r>
        <w:rPr>
          <w:rFonts w:hint="eastAsia" w:ascii="宋体" w:hAnsi="宋体" w:eastAsia="宋体" w:cs="宋体"/>
          <w:color w:val="auto"/>
          <w:kern w:val="2"/>
          <w:sz w:val="24"/>
          <w:szCs w:val="24"/>
          <w:highlight w:val="none"/>
          <w:lang w:val="en-US" w:eastAsia="zh-CN" w:bidi="en-US"/>
        </w:rPr>
        <w:t xml:space="preserve">5. </w:t>
      </w:r>
      <w:r>
        <w:rPr>
          <w:rFonts w:hint="eastAsia" w:ascii="宋体" w:hAnsi="宋体" w:eastAsia="宋体" w:cs="宋体"/>
          <w:color w:val="auto"/>
          <w:kern w:val="2"/>
          <w:sz w:val="24"/>
          <w:szCs w:val="24"/>
          <w:highlight w:val="none"/>
          <w:lang w:val="zh-CN" w:eastAsia="zh-CN" w:bidi="zh-CN"/>
        </w:rPr>
        <w:t>4款的约定使用了不合格材料或工程设备，工程质量达不到标准要求，又拒绝清除不合格工程；</w:t>
      </w:r>
    </w:p>
    <w:p w14:paraId="19233152">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承包人未能按合同进度计划及时完成合同约定的工作，已造成或预期造成工期延误；</w:t>
      </w:r>
    </w:p>
    <w:p w14:paraId="04BA57E3">
      <w:pPr>
        <w:pageBreakBefore w:val="0"/>
        <w:widowControl w:val="0"/>
        <w:numPr>
          <w:ilvl w:val="0"/>
          <w:numId w:val="28"/>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承包人在缺陷责任期(工程质量保修期)内，未能对合同工程完工验收鉴定书中所列的缺陷清单的内容或缺陷责任期(工程质量保修期)内发生的缺陷进行修复，而又拒绝按监理人指示再进行修补；</w:t>
      </w:r>
    </w:p>
    <w:p w14:paraId="447A7F6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承包人无法继续履行或明确表示不履行或实质上已停止履行合同；</w:t>
      </w:r>
    </w:p>
    <w:p w14:paraId="6C5E9B81">
      <w:pPr>
        <w:pageBreakBefore w:val="0"/>
        <w:widowControl w:val="0"/>
        <w:numPr>
          <w:ilvl w:val="0"/>
          <w:numId w:val="28"/>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承包人不按合同约定履行义务的其他情况。</w:t>
      </w:r>
    </w:p>
    <w:p w14:paraId="6C0CFD6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en-US"/>
        </w:rPr>
        <w:t>22.1.2</w:t>
      </w:r>
      <w:r>
        <w:rPr>
          <w:rFonts w:hint="eastAsia" w:ascii="宋体" w:hAnsi="宋体" w:eastAsia="宋体" w:cs="宋体"/>
          <w:color w:val="auto"/>
          <w:kern w:val="2"/>
          <w:sz w:val="24"/>
          <w:szCs w:val="24"/>
          <w:highlight w:val="none"/>
          <w:lang w:val="zh-CN" w:eastAsia="zh-CN" w:bidi="zh-CN"/>
        </w:rPr>
        <w:t>对承包人违约的处理</w:t>
      </w:r>
    </w:p>
    <w:p w14:paraId="3A4DB0B7">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承包人发生第</w:t>
      </w:r>
      <w:r>
        <w:rPr>
          <w:rFonts w:hint="eastAsia" w:ascii="宋体" w:hAnsi="宋体" w:eastAsia="宋体" w:cs="宋体"/>
          <w:color w:val="auto"/>
          <w:kern w:val="2"/>
          <w:sz w:val="24"/>
          <w:szCs w:val="24"/>
          <w:highlight w:val="none"/>
          <w:lang w:val="en-US" w:eastAsia="zh-CN" w:bidi="en-US"/>
        </w:rPr>
        <w:t>22.1.1</w:t>
      </w:r>
      <w:r>
        <w:rPr>
          <w:rFonts w:hint="eastAsia" w:ascii="宋体" w:hAnsi="宋体" w:eastAsia="宋体" w:cs="宋体"/>
          <w:color w:val="auto"/>
          <w:kern w:val="2"/>
          <w:sz w:val="24"/>
          <w:szCs w:val="24"/>
          <w:highlight w:val="none"/>
          <w:lang w:val="zh-CN" w:eastAsia="zh-CN" w:bidi="zh-CN"/>
        </w:rPr>
        <w:t>(6)目约定的违约情况时，发包人可通知承包人立即解除合同，并按有关法律处理。</w:t>
      </w:r>
    </w:p>
    <w:p w14:paraId="3F5B8437">
      <w:pPr>
        <w:pageBreakBefore w:val="0"/>
        <w:widowControl w:val="0"/>
        <w:numPr>
          <w:ilvl w:val="0"/>
          <w:numId w:val="2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承包人发生除第</w:t>
      </w:r>
      <w:r>
        <w:rPr>
          <w:rFonts w:hint="eastAsia" w:ascii="宋体" w:hAnsi="宋体" w:eastAsia="宋体" w:cs="宋体"/>
          <w:color w:val="auto"/>
          <w:kern w:val="2"/>
          <w:sz w:val="24"/>
          <w:szCs w:val="24"/>
          <w:highlight w:val="none"/>
          <w:lang w:val="en-US" w:eastAsia="zh-CN" w:bidi="en-US"/>
        </w:rPr>
        <w:t>22.1.</w:t>
      </w:r>
      <w:r>
        <w:rPr>
          <w:rFonts w:hint="eastAsia" w:ascii="宋体" w:hAnsi="宋体" w:eastAsia="宋体" w:cs="宋体"/>
          <w:color w:val="auto"/>
          <w:kern w:val="2"/>
          <w:sz w:val="24"/>
          <w:szCs w:val="24"/>
          <w:highlight w:val="none"/>
          <w:lang w:val="zh-CN" w:eastAsia="zh-CN" w:bidi="zh-CN"/>
        </w:rPr>
        <w:t>1(6)目约定以外的其他违约情况时，监理人可向承包人发出整改通知，要求其在指定的期限内改正。承包人应承担其违约所引起的费用增加和 (或)工期延误。</w:t>
      </w:r>
    </w:p>
    <w:p w14:paraId="077637AD">
      <w:pPr>
        <w:pageBreakBefore w:val="0"/>
        <w:widowControl w:val="0"/>
        <w:numPr>
          <w:ilvl w:val="0"/>
          <w:numId w:val="2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经检查证明承包人已采取了有效措施纠正违约行为，具备复工条件的，可由监理人签发复工通知复工。</w:t>
      </w:r>
    </w:p>
    <w:p w14:paraId="044E0A6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22.1.3</w:t>
      </w:r>
      <w:r>
        <w:rPr>
          <w:rFonts w:hint="eastAsia" w:ascii="宋体" w:hAnsi="宋体" w:eastAsia="宋体" w:cs="宋体"/>
          <w:color w:val="auto"/>
          <w:kern w:val="2"/>
          <w:sz w:val="24"/>
          <w:szCs w:val="24"/>
          <w:highlight w:val="none"/>
          <w:lang w:val="zh-CN" w:eastAsia="zh-CN" w:bidi="zh-CN"/>
        </w:rPr>
        <w:t>承包人违约解除合同</w:t>
      </w:r>
    </w:p>
    <w:p w14:paraId="0908BF0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 定享有的索赔权利。</w:t>
      </w:r>
    </w:p>
    <w:p w14:paraId="296D9B8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22.1.4</w:t>
      </w:r>
      <w:r>
        <w:rPr>
          <w:rFonts w:hint="eastAsia" w:ascii="宋体" w:hAnsi="宋体" w:eastAsia="宋体" w:cs="宋体"/>
          <w:color w:val="auto"/>
          <w:kern w:val="2"/>
          <w:sz w:val="24"/>
          <w:szCs w:val="24"/>
          <w:highlight w:val="none"/>
          <w:lang w:val="zh-CN" w:eastAsia="zh-CN" w:bidi="zh-CN"/>
        </w:rPr>
        <w:t>合同解除后的估价、付款和结清</w:t>
      </w:r>
    </w:p>
    <w:p w14:paraId="4654A7B2">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合同解除后，监理人按第</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5款商定或确定承包人实际完成工作的价值，以及承包人已提供的材料、施工设备、工程设备和临时工程等的价值。</w:t>
      </w:r>
    </w:p>
    <w:p w14:paraId="4A9B0E8A">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合同解除后，发包人应暂停对承包人的一切付款，查清各项付款和已扣款金额, 包括承包人应支付的违约金。</w:t>
      </w:r>
    </w:p>
    <w:p w14:paraId="0FDE74FA">
      <w:pPr>
        <w:pageBreakBefore w:val="0"/>
        <w:widowControl w:val="0"/>
        <w:numPr>
          <w:ilvl w:val="0"/>
          <w:numId w:val="30"/>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合同解除后，发包人应按第</w:t>
      </w:r>
      <w:r>
        <w:rPr>
          <w:rFonts w:hint="eastAsia" w:ascii="宋体" w:hAnsi="宋体" w:eastAsia="宋体" w:cs="宋体"/>
          <w:color w:val="auto"/>
          <w:kern w:val="2"/>
          <w:sz w:val="24"/>
          <w:szCs w:val="24"/>
          <w:highlight w:val="none"/>
          <w:lang w:val="en-US" w:eastAsia="zh-CN" w:bidi="en-US"/>
        </w:rPr>
        <w:t xml:space="preserve">23. </w:t>
      </w:r>
      <w:r>
        <w:rPr>
          <w:rFonts w:hint="eastAsia" w:ascii="宋体" w:hAnsi="宋体" w:eastAsia="宋体" w:cs="宋体"/>
          <w:color w:val="auto"/>
          <w:kern w:val="2"/>
          <w:sz w:val="24"/>
          <w:szCs w:val="24"/>
          <w:highlight w:val="none"/>
          <w:lang w:val="zh-CN" w:eastAsia="zh-CN" w:bidi="zh-CN"/>
        </w:rPr>
        <w:t>4款的约定向承包人索赔由于解除合同给发包人造成的损失。</w:t>
      </w:r>
    </w:p>
    <w:p w14:paraId="71E8087A">
      <w:pPr>
        <w:pageBreakBefore w:val="0"/>
        <w:widowControl w:val="0"/>
        <w:numPr>
          <w:ilvl w:val="0"/>
          <w:numId w:val="30"/>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合同双方确认上述往来款项后，出具最终结清付款证书，结清全部合同款项。</w:t>
      </w:r>
    </w:p>
    <w:p w14:paraId="33CAABBD">
      <w:pPr>
        <w:pageBreakBefore w:val="0"/>
        <w:widowControl w:val="0"/>
        <w:numPr>
          <w:ilvl w:val="0"/>
          <w:numId w:val="30"/>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发包人和承包人未能就解除合同后的结清达成一致而形成争议的，按第24条的约定办理。</w:t>
      </w:r>
    </w:p>
    <w:p w14:paraId="6B253F7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22.1.5</w:t>
      </w:r>
      <w:r>
        <w:rPr>
          <w:rFonts w:hint="eastAsia" w:ascii="宋体" w:hAnsi="宋体" w:eastAsia="宋体" w:cs="宋体"/>
          <w:color w:val="auto"/>
          <w:kern w:val="2"/>
          <w:sz w:val="24"/>
          <w:szCs w:val="24"/>
          <w:highlight w:val="none"/>
          <w:lang w:val="zh-CN" w:eastAsia="zh-CN" w:bidi="zh-CN"/>
        </w:rPr>
        <w:t>协议利益的转让</w:t>
      </w:r>
    </w:p>
    <w:p w14:paraId="0FCFD25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因承包人违约解除合同的，发包人有权要求承包人将其为实施合同而签订的材料和设备的订货协议或任何服务协议利益转让给发包人，并在解除合同后的14天内，依法办理转让手续。</w:t>
      </w:r>
    </w:p>
    <w:p w14:paraId="4F46EA0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22.1.6紧急情况下无能力或不愿进行抢救</w:t>
      </w:r>
    </w:p>
    <w:p w14:paraId="6E4EA18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E2B94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22.2发包人违约</w:t>
      </w:r>
    </w:p>
    <w:p w14:paraId="170386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22.2.1</w:t>
      </w:r>
      <w:r>
        <w:rPr>
          <w:rFonts w:hint="eastAsia" w:ascii="宋体" w:hAnsi="宋体" w:eastAsia="宋体" w:cs="宋体"/>
          <w:color w:val="auto"/>
          <w:kern w:val="2"/>
          <w:sz w:val="24"/>
          <w:szCs w:val="24"/>
          <w:highlight w:val="none"/>
          <w:lang w:val="zh-CN" w:eastAsia="zh-CN" w:bidi="zh-CN"/>
        </w:rPr>
        <w:t>发包人违约的情形</w:t>
      </w:r>
    </w:p>
    <w:p w14:paraId="0B70408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在履行合同过程中发生的下列情形，属发包人违约：</w:t>
      </w:r>
    </w:p>
    <w:p w14:paraId="3F53A5EC">
      <w:pPr>
        <w:pageBreakBefore w:val="0"/>
        <w:widowControl w:val="0"/>
        <w:numPr>
          <w:ilvl w:val="0"/>
          <w:numId w:val="31"/>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发包人未能按合同约定支付预付款或合同价款，或拖延、拒绝批准付款申请和支付凭证，导致付款延误的；</w:t>
      </w:r>
    </w:p>
    <w:p w14:paraId="21105DEB">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发包人原因造成停工的；</w:t>
      </w:r>
    </w:p>
    <w:p w14:paraId="5D00EECF">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监理人无正当理由没有在约定期限内发出复工指示，导致承包人无法复工的；</w:t>
      </w:r>
    </w:p>
    <w:p w14:paraId="4008E460">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发包人无法继续履行或明确表示不履行或实质上已停止履行合同的；</w:t>
      </w:r>
    </w:p>
    <w:p w14:paraId="46B297D6">
      <w:pPr>
        <w:pageBreakBefore w:val="0"/>
        <w:widowControl w:val="0"/>
        <w:numPr>
          <w:ilvl w:val="0"/>
          <w:numId w:val="31"/>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发包人不履行合同约定其他义务的。</w:t>
      </w:r>
    </w:p>
    <w:p w14:paraId="56D5E39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22.2.2</w:t>
      </w:r>
      <w:r>
        <w:rPr>
          <w:rFonts w:hint="eastAsia" w:ascii="宋体" w:hAnsi="宋体" w:eastAsia="宋体" w:cs="宋体"/>
          <w:color w:val="auto"/>
          <w:kern w:val="2"/>
          <w:sz w:val="24"/>
          <w:szCs w:val="24"/>
          <w:highlight w:val="none"/>
          <w:lang w:val="zh-CN" w:eastAsia="zh-CN" w:bidi="zh-CN"/>
        </w:rPr>
        <w:t>承包人有权暂停施工</w:t>
      </w:r>
    </w:p>
    <w:p w14:paraId="3C0241A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发包人发生除第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F372F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en-US" w:bidi="zh-CN"/>
        </w:rPr>
        <w:t>22.2.3</w:t>
      </w:r>
      <w:r>
        <w:rPr>
          <w:rFonts w:hint="eastAsia" w:ascii="宋体" w:hAnsi="宋体" w:eastAsia="宋体" w:cs="宋体"/>
          <w:color w:val="auto"/>
          <w:kern w:val="2"/>
          <w:sz w:val="24"/>
          <w:szCs w:val="24"/>
          <w:highlight w:val="none"/>
          <w:lang w:val="zh-CN" w:eastAsia="zh-CN" w:bidi="zh-CN"/>
        </w:rPr>
        <w:t>发包人违约解除合同</w:t>
      </w:r>
    </w:p>
    <w:p w14:paraId="74BDA42E">
      <w:pPr>
        <w:pageBreakBefore w:val="0"/>
        <w:widowControl w:val="0"/>
        <w:numPr>
          <w:ilvl w:val="0"/>
          <w:numId w:val="32"/>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发生第</w:t>
      </w:r>
      <w:r>
        <w:rPr>
          <w:rFonts w:hint="eastAsia" w:ascii="宋体" w:hAnsi="宋体" w:eastAsia="宋体" w:cs="宋体"/>
          <w:color w:val="auto"/>
          <w:kern w:val="2"/>
          <w:sz w:val="24"/>
          <w:szCs w:val="24"/>
          <w:highlight w:val="none"/>
          <w:lang w:val="en-US" w:eastAsia="zh-CN" w:bidi="en-US"/>
        </w:rPr>
        <w:t xml:space="preserve">22.2.1 </w:t>
      </w:r>
      <w:r>
        <w:rPr>
          <w:rFonts w:hint="eastAsia" w:ascii="宋体" w:hAnsi="宋体" w:eastAsia="宋体" w:cs="宋体"/>
          <w:color w:val="auto"/>
          <w:kern w:val="2"/>
          <w:sz w:val="24"/>
          <w:szCs w:val="24"/>
          <w:highlight w:val="none"/>
          <w:lang w:val="zh-CN" w:eastAsia="zh-CN" w:bidi="zh-CN"/>
        </w:rPr>
        <w:t>(4)目的违约情况时，承包人可书面通知发包人解除合同。</w:t>
      </w:r>
    </w:p>
    <w:p w14:paraId="00319E2E">
      <w:pPr>
        <w:pageBreakBefore w:val="0"/>
        <w:widowControl w:val="0"/>
        <w:numPr>
          <w:ilvl w:val="0"/>
          <w:numId w:val="32"/>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承包人按</w:t>
      </w:r>
      <w:r>
        <w:rPr>
          <w:rFonts w:hint="eastAsia" w:ascii="宋体" w:hAnsi="宋体" w:eastAsia="宋体" w:cs="宋体"/>
          <w:color w:val="auto"/>
          <w:kern w:val="2"/>
          <w:sz w:val="24"/>
          <w:szCs w:val="24"/>
          <w:highlight w:val="none"/>
          <w:lang w:val="en-US" w:eastAsia="zh-CN" w:bidi="en-US"/>
        </w:rPr>
        <w:t xml:space="preserve">22. 2. </w:t>
      </w:r>
      <w:r>
        <w:rPr>
          <w:rFonts w:hint="eastAsia" w:ascii="宋体" w:hAnsi="宋体" w:eastAsia="宋体" w:cs="宋体"/>
          <w:color w:val="auto"/>
          <w:kern w:val="2"/>
          <w:sz w:val="24"/>
          <w:szCs w:val="24"/>
          <w:highlight w:val="none"/>
          <w:lang w:val="zh-CN" w:eastAsia="zh-CN" w:bidi="zh-CN"/>
        </w:rPr>
        <w:t>2项暂停施工28天后，发包人仍不纠正违约行为的，承包人可向发包人发出解除合同通知。但承包人的这一行动不免除发包人承担的违约责任，也不影响承包人根据合同约定享有的索赔权利。</w:t>
      </w:r>
    </w:p>
    <w:p w14:paraId="5DD4B7C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22.2.4</w:t>
      </w:r>
      <w:r>
        <w:rPr>
          <w:rFonts w:hint="eastAsia" w:ascii="宋体" w:hAnsi="宋体" w:eastAsia="宋体" w:cs="宋体"/>
          <w:color w:val="auto"/>
          <w:kern w:val="2"/>
          <w:sz w:val="24"/>
          <w:szCs w:val="24"/>
          <w:highlight w:val="none"/>
          <w:lang w:val="zh-CN" w:eastAsia="zh-CN" w:bidi="zh-CN"/>
        </w:rPr>
        <w:t>解除合同后的付款</w:t>
      </w:r>
    </w:p>
    <w:p w14:paraId="718CE66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因发包人违约解除合同的，发包人应在解除合同后28天内向承包人支付下列金额，承包人应在此期限内及时向发包人提交要求支付下列金额的有关资料和凭证：</w:t>
      </w:r>
    </w:p>
    <w:p w14:paraId="57EE5935">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合同解除日以前所完成工作的价款；</w:t>
      </w:r>
    </w:p>
    <w:p w14:paraId="0FD94E67">
      <w:pPr>
        <w:pageBreakBefore w:val="0"/>
        <w:widowControl w:val="0"/>
        <w:numPr>
          <w:ilvl w:val="0"/>
          <w:numId w:val="33"/>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承包人为该工程施工订购并已付款的材料、工程设备和其他物品的金额。发包人付还后，该材料、工程设备和其他物品归发包人所有；</w:t>
      </w:r>
    </w:p>
    <w:p w14:paraId="1E00E1E7">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承包人为完成工程所发生的，而发包人未支付的金额；</w:t>
      </w:r>
    </w:p>
    <w:p w14:paraId="167F278E">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承包人撤离施工场地以及遣散承包人人员的金额；</w:t>
      </w:r>
    </w:p>
    <w:p w14:paraId="6493292C">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由于解除合同应赔偿的承包人损失；</w:t>
      </w:r>
    </w:p>
    <w:p w14:paraId="5D9D11C8">
      <w:pPr>
        <w:pageBreakBefore w:val="0"/>
        <w:widowControl w:val="0"/>
        <w:numPr>
          <w:ilvl w:val="0"/>
          <w:numId w:val="33"/>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按合同约定在合同解除日前应支付给承包人的其他金额。</w:t>
      </w:r>
    </w:p>
    <w:p w14:paraId="52AF8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发包人应按本项约定支付上述金额并退还质量保证金和履约担保，但有权要求承包人支付应偿还给发包人的各项金额。</w:t>
      </w:r>
    </w:p>
    <w:p w14:paraId="4C33276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22.2.5解除合同后的承包人撤离</w:t>
      </w:r>
    </w:p>
    <w:p w14:paraId="7BDFAB5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因发包人违约而解除合同后，承包人应妥善做好已竣工工程和已购材料、设备的保护和移交工作，按发包人要求将承包人设备和人员撤出施工场地。承包人撤出施工场地应遵 守第</w:t>
      </w:r>
      <w:r>
        <w:rPr>
          <w:rFonts w:hint="eastAsia" w:ascii="宋体" w:hAnsi="宋体" w:eastAsia="宋体" w:cs="宋体"/>
          <w:color w:val="auto"/>
          <w:kern w:val="2"/>
          <w:sz w:val="24"/>
          <w:szCs w:val="24"/>
          <w:highlight w:val="none"/>
          <w:lang w:val="en-US" w:eastAsia="zh-CN" w:bidi="en-US"/>
        </w:rPr>
        <w:t xml:space="preserve">18. 7. </w:t>
      </w:r>
      <w:r>
        <w:rPr>
          <w:rFonts w:hint="eastAsia" w:ascii="宋体" w:hAnsi="宋体" w:eastAsia="宋体" w:cs="宋体"/>
          <w:color w:val="auto"/>
          <w:kern w:val="2"/>
          <w:sz w:val="24"/>
          <w:szCs w:val="24"/>
          <w:highlight w:val="none"/>
          <w:lang w:val="zh-CN" w:eastAsia="zh-CN" w:bidi="zh-CN"/>
        </w:rPr>
        <w:t>1项的约定，发包人应为承包人撤出提供必要条件。</w:t>
      </w:r>
    </w:p>
    <w:p w14:paraId="3FF2E44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22.3第三人造成的违约</w:t>
      </w:r>
    </w:p>
    <w:p w14:paraId="04BAF2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在履行合同过程中，一方当事人因第三人的原因造成违约的，应当向对方当事人承担违约责任。一方当事人和第三人之间的纠纷，依照法律规定或者按照约定解决。</w:t>
      </w:r>
    </w:p>
    <w:p w14:paraId="25D8EF7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1" w:name="_Toc15454"/>
      <w:r>
        <w:rPr>
          <w:rFonts w:hint="eastAsia" w:ascii="宋体" w:hAnsi="宋体" w:eastAsia="宋体" w:cs="宋体"/>
          <w:color w:val="auto"/>
          <w:kern w:val="2"/>
          <w:sz w:val="24"/>
          <w:szCs w:val="24"/>
          <w:highlight w:val="none"/>
          <w:lang w:val="en-US" w:eastAsia="zh-CN" w:bidi="ar-SA"/>
        </w:rPr>
        <w:t>23.索赔</w:t>
      </w:r>
      <w:bookmarkEnd w:id="231"/>
    </w:p>
    <w:p w14:paraId="1356755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23.1承包人索赔的提出</w:t>
      </w:r>
    </w:p>
    <w:p w14:paraId="7674C6B9">
      <w:pPr>
        <w:pageBreakBefore w:val="0"/>
        <w:widowControl w:val="0"/>
        <w:kinsoku/>
        <w:wordWrap/>
        <w:overflowPunct/>
        <w:topLinePunct w:val="0"/>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根据合同约定，承包人认为有权得到追加付款和(或)延长工期的，应按以下程序向发包人提出索赔：</w:t>
      </w:r>
    </w:p>
    <w:p w14:paraId="525224A0">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承包人应在知道或应当知道索赔事件发生后28天内，向监理人递交索赔意向通知书，并说明发生索赔事件的事由。承包人未在前述28天内发出索赔意向通知书的，丧失要求追加付款和(或)延长工期的权利；</w:t>
      </w:r>
    </w:p>
    <w:p w14:paraId="02698CD1">
      <w:pPr>
        <w:pageBreakBefore w:val="0"/>
        <w:widowControl w:val="0"/>
        <w:numPr>
          <w:ilvl w:val="0"/>
          <w:numId w:val="34"/>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承包人应在发出索赔意向通知书后28天内，向监理人正式递交索赔通知书。索赔通知书应详细说明索赔理由以及要求追加的付款金额和(或)延长的工期，并附必要的记 录和证明材料；</w:t>
      </w:r>
    </w:p>
    <w:p w14:paraId="39309D44">
      <w:pPr>
        <w:pageBreakBefore w:val="0"/>
        <w:widowControl w:val="0"/>
        <w:numPr>
          <w:ilvl w:val="0"/>
          <w:numId w:val="34"/>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索赔事件具有连续影响的，承包人应按合理时间间隔继续递交延续索赔通知，说明连续影响的实际情况和记录，列出累计的追加付款金额和(或)工期延长天数；</w:t>
      </w:r>
    </w:p>
    <w:p w14:paraId="00EAF10C">
      <w:pPr>
        <w:pageBreakBefore w:val="0"/>
        <w:widowControl w:val="0"/>
        <w:numPr>
          <w:ilvl w:val="0"/>
          <w:numId w:val="34"/>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在索赔事件影响结束后的28天内，承包人应向监理人递交最终索赔通知书，说明最终要求索赔的追加付款金额和延长的工期，并附必要的记录和证明材料。</w:t>
      </w:r>
    </w:p>
    <w:p w14:paraId="25609F0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23.2承包人索赔处理程序</w:t>
      </w:r>
    </w:p>
    <w:p w14:paraId="43A57DF2">
      <w:pPr>
        <w:pageBreakBefore w:val="0"/>
        <w:widowControl w:val="0"/>
        <w:numPr>
          <w:ilvl w:val="0"/>
          <w:numId w:val="35"/>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监理人收到承包人提交的索赔通知书后，应及时审查索赔通知书的内容、查验承包人的记录和证明材料，必要时监理人可要求承包人提交全部原始记录副本。</w:t>
      </w:r>
    </w:p>
    <w:p w14:paraId="33CF9504">
      <w:pPr>
        <w:pageBreakBefore w:val="0"/>
        <w:widowControl w:val="0"/>
        <w:numPr>
          <w:ilvl w:val="0"/>
          <w:numId w:val="35"/>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监理人应按第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5款商定或确定追加的付款和(或)延长的工期，并在收到上述索赔通知书或有关索赔的进一步证明材料后的42天内，将索赔处理结果答复承包人。</w:t>
      </w:r>
    </w:p>
    <w:p w14:paraId="66BA4D21">
      <w:pPr>
        <w:pageBreakBefore w:val="0"/>
        <w:widowControl w:val="0"/>
        <w:numPr>
          <w:ilvl w:val="0"/>
          <w:numId w:val="35"/>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承包人接受索赔处理结果的，发包人应在作出索赔处理结果答复后28天内完成赔付。承包人不接受索赔处理结果的，按第24条的约定办理。</w:t>
      </w:r>
    </w:p>
    <w:p w14:paraId="29B5B0C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23.3承包人提出索赔的期限</w:t>
      </w:r>
    </w:p>
    <w:p w14:paraId="1C6061A8">
      <w:pPr>
        <w:pageBreakBefore w:val="0"/>
        <w:widowControl w:val="0"/>
        <w:numPr>
          <w:ilvl w:val="0"/>
          <w:numId w:val="36"/>
        </w:numPr>
        <w:tabs>
          <w:tab w:val="left" w:pos="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1承包人按第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5款的约定接受了完工付款证书后，应被认为已无权再提出在合同工程完工证书颁发前所发生的任何索赔。</w:t>
      </w:r>
    </w:p>
    <w:p w14:paraId="5C8764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23.3.2</w:t>
      </w:r>
      <w:r>
        <w:rPr>
          <w:rFonts w:hint="eastAsia" w:ascii="宋体" w:hAnsi="宋体" w:eastAsia="宋体" w:cs="宋体"/>
          <w:color w:val="auto"/>
          <w:kern w:val="2"/>
          <w:sz w:val="24"/>
          <w:szCs w:val="24"/>
          <w:highlight w:val="none"/>
          <w:lang w:val="zh-CN" w:eastAsia="zh-CN" w:bidi="zh-CN"/>
        </w:rPr>
        <w:t>承包人按第</w:t>
      </w:r>
      <w:r>
        <w:rPr>
          <w:rFonts w:hint="eastAsia" w:ascii="宋体" w:hAnsi="宋体" w:eastAsia="宋体" w:cs="宋体"/>
          <w:color w:val="auto"/>
          <w:kern w:val="2"/>
          <w:sz w:val="24"/>
          <w:szCs w:val="24"/>
          <w:highlight w:val="none"/>
          <w:lang w:val="en-US" w:eastAsia="zh-CN" w:bidi="en-US"/>
        </w:rPr>
        <w:t xml:space="preserve">17. </w:t>
      </w:r>
      <w:r>
        <w:rPr>
          <w:rFonts w:hint="eastAsia" w:ascii="宋体" w:hAnsi="宋体" w:eastAsia="宋体" w:cs="宋体"/>
          <w:color w:val="auto"/>
          <w:kern w:val="2"/>
          <w:sz w:val="24"/>
          <w:szCs w:val="24"/>
          <w:highlight w:val="none"/>
          <w:lang w:val="zh-CN" w:eastAsia="zh-CN" w:bidi="zh-CN"/>
        </w:rPr>
        <w:t>6款的约定提交的最终结清申请单中，只限于提出合同工程完工证书颁发后发生的索赔。提出索赔的期限自接受最终结清证书时终止。</w:t>
      </w:r>
    </w:p>
    <w:p w14:paraId="54BB9C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23.4发包人的索赔</w:t>
      </w:r>
    </w:p>
    <w:p w14:paraId="07282B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23.4.1</w:t>
      </w:r>
      <w:r>
        <w:rPr>
          <w:rFonts w:hint="eastAsia" w:ascii="宋体" w:hAnsi="宋体" w:eastAsia="宋体" w:cs="宋体"/>
          <w:color w:val="auto"/>
          <w:kern w:val="2"/>
          <w:sz w:val="24"/>
          <w:szCs w:val="24"/>
          <w:highlight w:val="none"/>
          <w:lang w:val="zh-CN" w:eastAsia="zh-CN" w:bidi="zh-CN"/>
        </w:rPr>
        <w:t>发生索赔事件后，监理人应及时书面通知承包人，详细说明发包人有权得到的索赔金额和(或)延长缺陷责任期的细节和依据。发包人提出索赔的期限和要求与第</w:t>
      </w:r>
      <w:r>
        <w:rPr>
          <w:rFonts w:hint="eastAsia" w:ascii="宋体" w:hAnsi="宋体" w:eastAsia="宋体" w:cs="宋体"/>
          <w:color w:val="auto"/>
          <w:kern w:val="2"/>
          <w:sz w:val="24"/>
          <w:szCs w:val="24"/>
          <w:highlight w:val="none"/>
          <w:lang w:val="en-US" w:eastAsia="zh-CN" w:bidi="zh-CN"/>
        </w:rPr>
        <w:t>23.</w:t>
      </w:r>
      <w:r>
        <w:rPr>
          <w:rFonts w:hint="eastAsia" w:ascii="宋体" w:hAnsi="宋体" w:eastAsia="宋体" w:cs="宋体"/>
          <w:color w:val="auto"/>
          <w:kern w:val="2"/>
          <w:sz w:val="24"/>
          <w:szCs w:val="24"/>
          <w:highlight w:val="none"/>
          <w:lang w:val="zh-CN" w:eastAsia="zh-CN" w:bidi="zh-CN"/>
        </w:rPr>
        <w:t>3款的约定相同，延长缺陷责任期的通知应在缺陷责任期届满前发出。</w:t>
      </w:r>
    </w:p>
    <w:p w14:paraId="3AC014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监理人按第</w:t>
      </w:r>
      <w:r>
        <w:rPr>
          <w:rFonts w:hint="eastAsia" w:ascii="宋体" w:hAnsi="宋体" w:eastAsia="宋体" w:cs="宋体"/>
          <w:color w:val="auto"/>
          <w:kern w:val="2"/>
          <w:sz w:val="24"/>
          <w:szCs w:val="24"/>
          <w:highlight w:val="none"/>
          <w:lang w:val="en-US" w:eastAsia="zh-CN" w:bidi="en-US"/>
        </w:rPr>
        <w:t xml:space="preserve">3. </w:t>
      </w:r>
      <w:r>
        <w:rPr>
          <w:rFonts w:hint="eastAsia" w:ascii="宋体" w:hAnsi="宋体" w:eastAsia="宋体" w:cs="宋体"/>
          <w:color w:val="auto"/>
          <w:kern w:val="2"/>
          <w:sz w:val="24"/>
          <w:szCs w:val="24"/>
          <w:highlight w:val="none"/>
          <w:lang w:val="zh-CN" w:eastAsia="zh-CN" w:bidi="zh-CN"/>
        </w:rPr>
        <w:t>5款商定或确定发包人从承包人处得到赔付的金额和(或)缺陷责任期的延长期。承包人应付给发包人的金额可从拟支付给承包人的合同价款中扣除, 或由承包人以其他方式支付给发包人。</w:t>
      </w:r>
    </w:p>
    <w:p w14:paraId="313D3BF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23. 4. </w:t>
      </w:r>
      <w:r>
        <w:rPr>
          <w:rFonts w:hint="eastAsia" w:ascii="宋体" w:hAnsi="宋体" w:eastAsia="宋体" w:cs="宋体"/>
          <w:color w:val="auto"/>
          <w:kern w:val="2"/>
          <w:sz w:val="24"/>
          <w:szCs w:val="24"/>
          <w:highlight w:val="none"/>
          <w:lang w:val="zh-CN" w:eastAsia="zh-CN" w:bidi="zh-CN"/>
        </w:rPr>
        <w:t>3承包人对监理人按第</w:t>
      </w:r>
      <w:r>
        <w:rPr>
          <w:rFonts w:hint="eastAsia" w:ascii="宋体" w:hAnsi="宋体" w:eastAsia="宋体" w:cs="宋体"/>
          <w:color w:val="auto"/>
          <w:kern w:val="2"/>
          <w:sz w:val="24"/>
          <w:szCs w:val="24"/>
          <w:highlight w:val="none"/>
          <w:lang w:val="en-US" w:eastAsia="zh-CN" w:bidi="en-US"/>
        </w:rPr>
        <w:t xml:space="preserve">23.4. </w:t>
      </w:r>
      <w:r>
        <w:rPr>
          <w:rFonts w:hint="eastAsia" w:ascii="宋体" w:hAnsi="宋体" w:eastAsia="宋体" w:cs="宋体"/>
          <w:color w:val="auto"/>
          <w:kern w:val="2"/>
          <w:sz w:val="24"/>
          <w:szCs w:val="24"/>
          <w:highlight w:val="none"/>
          <w:lang w:val="zh-CN" w:eastAsia="zh-CN" w:bidi="zh-CN"/>
        </w:rPr>
        <w:t>1项发出的索赔书面通知内容持异议时，应在收到书面通知后的14天内，将持有异议的书面报告及其证明材料提交监理人。监理人应在收到 承包人书面报告后的14天内，将异议的处理意见通知承包人，并按第</w:t>
      </w:r>
      <w:r>
        <w:rPr>
          <w:rFonts w:hint="eastAsia" w:ascii="宋体" w:hAnsi="宋体" w:eastAsia="宋体" w:cs="宋体"/>
          <w:color w:val="auto"/>
          <w:kern w:val="2"/>
          <w:sz w:val="24"/>
          <w:szCs w:val="24"/>
          <w:highlight w:val="none"/>
          <w:lang w:val="en-US" w:eastAsia="zh-CN" w:bidi="en-US"/>
        </w:rPr>
        <w:t>23.4.2</w:t>
      </w:r>
      <w:r>
        <w:rPr>
          <w:rFonts w:hint="eastAsia" w:ascii="宋体" w:hAnsi="宋体" w:eastAsia="宋体" w:cs="宋体"/>
          <w:color w:val="auto"/>
          <w:kern w:val="2"/>
          <w:sz w:val="24"/>
          <w:szCs w:val="24"/>
          <w:highlight w:val="none"/>
          <w:lang w:val="zh-CN" w:eastAsia="zh-CN" w:bidi="zh-CN"/>
        </w:rPr>
        <w:t>项的约定执 行赔付。若承包人不接受监理人的索赔处理意见，可按本合同第24条的规定办理。</w:t>
      </w:r>
    </w:p>
    <w:p w14:paraId="31D344F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32" w:name="_Toc25077"/>
      <w:r>
        <w:rPr>
          <w:rFonts w:hint="eastAsia" w:ascii="宋体" w:hAnsi="宋体" w:eastAsia="宋体" w:cs="宋体"/>
          <w:color w:val="auto"/>
          <w:kern w:val="2"/>
          <w:sz w:val="24"/>
          <w:szCs w:val="24"/>
          <w:highlight w:val="none"/>
          <w:lang w:val="en-US" w:eastAsia="zh-CN" w:bidi="ar-SA"/>
        </w:rPr>
        <w:t>24.争议的解决</w:t>
      </w:r>
      <w:bookmarkEnd w:id="232"/>
    </w:p>
    <w:p w14:paraId="7B7AA0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75F6DEE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DCD74F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向约定的仲裁委员会申请仲裁；</w:t>
      </w:r>
    </w:p>
    <w:p w14:paraId="5F801FD0">
      <w:pPr>
        <w:pageBreakBefore w:val="0"/>
        <w:widowControl w:val="0"/>
        <w:numPr>
          <w:ilvl w:val="0"/>
          <w:numId w:val="37"/>
        </w:numPr>
        <w:tabs>
          <w:tab w:val="left" w:pos="90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向有管辖权的人民法院提起诉讼。</w:t>
      </w:r>
    </w:p>
    <w:p w14:paraId="3F29D80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24.2友好解决</w:t>
      </w:r>
    </w:p>
    <w:p w14:paraId="228BC9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在提请争议评审、仲裁或者诉讼前，以及在争议评审、仲裁或诉讼过程中，发包人和承包人均可共同努力友好协商解决争议。</w:t>
      </w:r>
    </w:p>
    <w:p w14:paraId="619088F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24.3争议评审</w:t>
      </w:r>
    </w:p>
    <w:p w14:paraId="11D6B7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24.3.1</w:t>
      </w:r>
      <w:r>
        <w:rPr>
          <w:rFonts w:hint="eastAsia" w:ascii="宋体" w:hAnsi="宋体" w:eastAsia="宋体" w:cs="宋体"/>
          <w:color w:val="auto"/>
          <w:kern w:val="2"/>
          <w:sz w:val="24"/>
          <w:szCs w:val="24"/>
          <w:highlight w:val="none"/>
          <w:lang w:val="zh-CN" w:eastAsia="zh-CN" w:bidi="zh-CN"/>
        </w:rPr>
        <w:t>采用争议评审的，发包人和承包人应在开工日后的28天内或在争议发生后, 协商成立争议评审组。争议评审组由有合同管理和工程实践经验的专家组成。</w:t>
      </w:r>
    </w:p>
    <w:p w14:paraId="0E0C235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24.3.2</w:t>
      </w:r>
      <w:r>
        <w:rPr>
          <w:rFonts w:hint="eastAsia" w:ascii="宋体" w:hAnsi="宋体" w:eastAsia="宋体" w:cs="宋体"/>
          <w:color w:val="auto"/>
          <w:kern w:val="2"/>
          <w:sz w:val="24"/>
          <w:szCs w:val="24"/>
          <w:highlight w:val="none"/>
          <w:lang w:val="zh-CN" w:eastAsia="zh-CN" w:bidi="zh-CN"/>
        </w:rPr>
        <w:t>合同双方的争议，应首先由申请人向争议评审组提交一份详细的评审申请报告，并附必要的文件、图纸和证明材料，申请人还应将上述报告的副本同时提交给被申请人和监理人。</w:t>
      </w:r>
    </w:p>
    <w:p w14:paraId="3D83C66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24.3.3</w:t>
      </w:r>
      <w:r>
        <w:rPr>
          <w:rFonts w:hint="eastAsia" w:ascii="宋体" w:hAnsi="宋体" w:eastAsia="宋体" w:cs="宋体"/>
          <w:color w:val="auto"/>
          <w:kern w:val="2"/>
          <w:sz w:val="24"/>
          <w:szCs w:val="24"/>
          <w:highlight w:val="none"/>
          <w:lang w:val="zh-CN" w:eastAsia="zh-CN" w:bidi="zh-CN"/>
        </w:rPr>
        <w:t>被申请人在收到申请人评审申请报告副本后的28天内，向争议评审组提交一份答辩报告，并附证明材料。被申请人应将答辩报告的副本同时提交给申请人和监理人。</w:t>
      </w:r>
    </w:p>
    <w:p w14:paraId="345FD44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24.3.4</w:t>
      </w:r>
      <w:r>
        <w:rPr>
          <w:rFonts w:hint="eastAsia" w:ascii="宋体" w:hAnsi="宋体" w:eastAsia="宋体" w:cs="宋体"/>
          <w:color w:val="auto"/>
          <w:kern w:val="2"/>
          <w:sz w:val="24"/>
          <w:szCs w:val="24"/>
          <w:highlight w:val="none"/>
          <w:lang w:val="zh-CN" w:eastAsia="zh-CN" w:bidi="zh-CN"/>
        </w:rPr>
        <w:t>除专用合同条款另有约定外，争议评审组在收到合同双方报告后的14天内， 邀请双方代表和有关人员举行调查会，向双方调查争议细节；必要时争议评审组可要求双方进一步提供补充材料。</w:t>
      </w:r>
    </w:p>
    <w:p w14:paraId="23BA28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24.3.5除专用合同条款另有约定外，在调查会结束后的14天内，争议评审组应在不受任何干扰的情况下进行独立、公正的评审，作出书面评审意见，并说明理由。在争议评审期间，争议双方暂按总监理工程师的确定执行。</w:t>
      </w:r>
    </w:p>
    <w:p w14:paraId="369A20D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24.3.6</w:t>
      </w:r>
      <w:r>
        <w:rPr>
          <w:rFonts w:hint="eastAsia" w:ascii="宋体" w:hAnsi="宋体" w:eastAsia="宋体" w:cs="宋体"/>
          <w:color w:val="auto"/>
          <w:kern w:val="2"/>
          <w:sz w:val="24"/>
          <w:szCs w:val="24"/>
          <w:highlight w:val="none"/>
          <w:lang w:val="zh-CN" w:eastAsia="zh-CN" w:bidi="zh-CN"/>
        </w:rPr>
        <w:t>发包人和承包人接受评审意见的，由监理人根据评审意见拟定执行协议，经争议双方签字后作为合同的补充文件，并遵照执行。</w:t>
      </w:r>
    </w:p>
    <w:p w14:paraId="6CD9E7B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24.3.7</w:t>
      </w:r>
      <w:r>
        <w:rPr>
          <w:rFonts w:hint="eastAsia" w:ascii="宋体" w:hAnsi="宋体" w:eastAsia="宋体" w:cs="宋体"/>
          <w:color w:val="auto"/>
          <w:kern w:val="2"/>
          <w:sz w:val="24"/>
          <w:szCs w:val="24"/>
          <w:highlight w:val="none"/>
          <w:lang w:val="zh-CN" w:eastAsia="zh-CN" w:bidi="zh-CN"/>
        </w:rPr>
        <w:t>发包人或承包人不接受评审意见，并要求提交仲裁或提起诉讼的，应在收到评审意见后的14天内将仲裁或起诉意向书面通知另一方，并抄送监理人，但在仲裁或诉讼结束前应暂按总监理工程师的确定执行。</w:t>
      </w:r>
    </w:p>
    <w:p w14:paraId="470FF3F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24.4仲裁</w:t>
      </w:r>
    </w:p>
    <w:p w14:paraId="1736455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24.4.1</w:t>
      </w:r>
      <w:r>
        <w:rPr>
          <w:rFonts w:hint="eastAsia" w:ascii="宋体" w:hAnsi="宋体" w:eastAsia="宋体" w:cs="宋体"/>
          <w:color w:val="auto"/>
          <w:kern w:val="2"/>
          <w:sz w:val="24"/>
          <w:szCs w:val="24"/>
          <w:highlight w:val="none"/>
          <w:lang w:val="zh-CN" w:eastAsia="zh-CN" w:bidi="zh-CN"/>
        </w:rPr>
        <w:t>若合同双方商定直接向仲裁机构申请仲裁，应签订仲裁协议并约定仲裁机构。</w:t>
      </w:r>
    </w:p>
    <w:p w14:paraId="7AD8682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24.4.2</w:t>
      </w:r>
      <w:r>
        <w:rPr>
          <w:rFonts w:hint="eastAsia" w:ascii="宋体" w:hAnsi="宋体" w:eastAsia="宋体" w:cs="宋体"/>
          <w:color w:val="auto"/>
          <w:kern w:val="2"/>
          <w:sz w:val="24"/>
          <w:szCs w:val="24"/>
          <w:highlight w:val="none"/>
          <w:lang w:val="zh-CN" w:eastAsia="zh-CN" w:bidi="zh-CN"/>
        </w:rPr>
        <w:t>若合同双方未能达成仲裁协议，则本合同的仲裁条款无效，任一方均有权向人民法院提起诉讼。</w:t>
      </w:r>
    </w:p>
    <w:p w14:paraId="5F2A6D4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33" w:name="bookmark1581"/>
      <w:bookmarkEnd w:id="233"/>
      <w:bookmarkStart w:id="234" w:name="_Toc27368"/>
      <w:bookmarkStart w:id="235" w:name="_Toc1972"/>
      <w:bookmarkStart w:id="236" w:name="bookmark1576"/>
      <w:bookmarkStart w:id="237" w:name="bookmark1578"/>
      <w:bookmarkStart w:id="238" w:name="bookmark1577"/>
      <w:bookmarkStart w:id="239" w:name="_Toc21852"/>
      <w:bookmarkStart w:id="240" w:name="bookmark1580"/>
      <w:bookmarkStart w:id="241" w:name="bookmark1579"/>
      <w:bookmarkStart w:id="242" w:name="_Toc30818"/>
      <w:bookmarkStart w:id="243" w:name="bookmark1582"/>
      <w:r>
        <w:rPr>
          <w:rFonts w:hint="eastAsia" w:ascii="宋体" w:hAnsi="宋体" w:eastAsia="宋体" w:cs="宋体"/>
          <w:b/>
          <w:bCs/>
          <w:color w:val="auto"/>
          <w:kern w:val="44"/>
          <w:sz w:val="24"/>
          <w:szCs w:val="24"/>
          <w:highlight w:val="none"/>
          <w:lang w:val="en-US" w:eastAsia="zh-CN" w:bidi="ar-SA"/>
        </w:rPr>
        <w:br w:type="page"/>
      </w:r>
      <w:bookmarkStart w:id="244" w:name="_Toc26919"/>
      <w:r>
        <w:rPr>
          <w:rFonts w:hint="eastAsia" w:ascii="宋体" w:hAnsi="宋体" w:eastAsia="宋体" w:cs="宋体"/>
          <w:b/>
          <w:bCs/>
          <w:color w:val="auto"/>
          <w:kern w:val="44"/>
          <w:sz w:val="44"/>
          <w:szCs w:val="44"/>
          <w:highlight w:val="none"/>
          <w:lang w:val="en-US" w:eastAsia="zh-CN" w:bidi="ar-SA"/>
        </w:rPr>
        <w:t>第四节 专用合同条款</w:t>
      </w:r>
      <w:bookmarkEnd w:id="234"/>
      <w:bookmarkEnd w:id="235"/>
      <w:bookmarkEnd w:id="236"/>
      <w:bookmarkEnd w:id="237"/>
      <w:bookmarkEnd w:id="238"/>
      <w:bookmarkEnd w:id="244"/>
    </w:p>
    <w:p w14:paraId="5A6F095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5" w:name="_Toc16670"/>
      <w:r>
        <w:rPr>
          <w:rFonts w:hint="eastAsia" w:ascii="宋体" w:hAnsi="宋体" w:eastAsia="宋体" w:cs="宋体"/>
          <w:color w:val="auto"/>
          <w:kern w:val="2"/>
          <w:sz w:val="24"/>
          <w:szCs w:val="24"/>
          <w:highlight w:val="none"/>
          <w:lang w:val="en-US" w:eastAsia="zh-CN" w:bidi="ar-SA"/>
        </w:rPr>
        <w:t>1. 一般约定</w:t>
      </w:r>
      <w:bookmarkEnd w:id="239"/>
      <w:bookmarkEnd w:id="240"/>
      <w:bookmarkEnd w:id="241"/>
      <w:bookmarkEnd w:id="242"/>
      <w:bookmarkEnd w:id="243"/>
      <w:bookmarkEnd w:id="245"/>
    </w:p>
    <w:p w14:paraId="660C9DE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1.1词语定义</w:t>
      </w:r>
    </w:p>
    <w:p w14:paraId="7CCB11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1.1.2</w:t>
      </w:r>
      <w:r>
        <w:rPr>
          <w:rFonts w:hint="eastAsia" w:ascii="宋体" w:hAnsi="宋体" w:eastAsia="宋体" w:cs="宋体"/>
          <w:color w:val="auto"/>
          <w:kern w:val="2"/>
          <w:sz w:val="24"/>
          <w:szCs w:val="24"/>
          <w:highlight w:val="none"/>
          <w:lang w:val="zh-CN" w:eastAsia="zh-CN" w:bidi="zh-CN"/>
        </w:rPr>
        <w:t>合同当事人和人员</w:t>
      </w:r>
    </w:p>
    <w:p w14:paraId="4BCA3191">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2发包人：</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14:paraId="467B9BCE">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3承包人：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lang w:val="en-US" w:eastAsia="zh-CN" w:bidi="ar-SA"/>
        </w:rPr>
        <w:t>。</w:t>
      </w:r>
    </w:p>
    <w:p w14:paraId="4271A997">
      <w:pPr>
        <w:pageBreakBefore w:val="0"/>
        <w:widowControl w:val="0"/>
        <w:tabs>
          <w:tab w:val="left" w:pos="4066"/>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zh-CN" w:eastAsia="zh-CN" w:bidi="zh-CN"/>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en-US" w:eastAsia="zh-CN" w:bidi="zh-CN"/>
        </w:rPr>
        <w:t>4承包人项目负责人、技术负责人和专职安全员</w:t>
      </w:r>
      <w:r>
        <w:rPr>
          <w:rFonts w:hint="eastAsia" w:ascii="宋体" w:hAnsi="宋体" w:eastAsia="宋体" w:cs="宋体"/>
          <w:color w:val="auto"/>
          <w:kern w:val="0"/>
          <w:sz w:val="24"/>
          <w:szCs w:val="24"/>
          <w:highlight w:val="none"/>
          <w:lang w:val="zh-CN" w:eastAsia="zh-CN" w:bidi="zh-CN"/>
        </w:rPr>
        <w:t>：</w:t>
      </w:r>
    </w:p>
    <w:p w14:paraId="6C2C9AD4">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项目负责人姓名：</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 xml:space="preserve"> </w:t>
      </w:r>
    </w:p>
    <w:p w14:paraId="04001F6A">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项目负责人身份证号号码：</w:t>
      </w:r>
      <w:r>
        <w:rPr>
          <w:rFonts w:hint="eastAsia" w:ascii="宋体" w:hAnsi="宋体" w:eastAsia="宋体" w:cs="宋体"/>
          <w:color w:val="auto"/>
          <w:kern w:val="0"/>
          <w:sz w:val="24"/>
          <w:szCs w:val="24"/>
          <w:highlight w:val="none"/>
          <w:u w:val="single"/>
          <w:lang w:val="en-US" w:eastAsia="zh-CN" w:bidi="ar-SA"/>
        </w:rPr>
        <w:t xml:space="preserve">    </w:t>
      </w:r>
    </w:p>
    <w:p w14:paraId="56EDF785">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项目负责人执业证书号码：</w:t>
      </w:r>
      <w:r>
        <w:rPr>
          <w:rFonts w:hint="eastAsia" w:ascii="宋体" w:hAnsi="宋体" w:eastAsia="宋体" w:cs="宋体"/>
          <w:color w:val="auto"/>
          <w:kern w:val="0"/>
          <w:sz w:val="24"/>
          <w:szCs w:val="24"/>
          <w:highlight w:val="none"/>
          <w:u w:val="single"/>
          <w:lang w:val="en-US" w:eastAsia="zh-CN" w:bidi="ar-SA"/>
        </w:rPr>
        <w:t xml:space="preserve">    </w:t>
      </w:r>
    </w:p>
    <w:p w14:paraId="5418D40D">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项目负责人水行政主管部门颁发的安全生产考核合格证书号码：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51280070">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技术负责人姓名：</w:t>
      </w:r>
      <w:r>
        <w:rPr>
          <w:rFonts w:hint="eastAsia" w:ascii="宋体" w:hAnsi="宋体" w:eastAsia="宋体" w:cs="宋体"/>
          <w:color w:val="auto"/>
          <w:kern w:val="0"/>
          <w:sz w:val="24"/>
          <w:szCs w:val="24"/>
          <w:highlight w:val="none"/>
          <w:u w:val="single"/>
          <w:lang w:val="en-US" w:eastAsia="zh-CN" w:bidi="ar-SA"/>
        </w:rPr>
        <w:t xml:space="preserve">     </w:t>
      </w:r>
    </w:p>
    <w:p w14:paraId="631D9D78">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技术负责人身份证号码：</w:t>
      </w:r>
      <w:r>
        <w:rPr>
          <w:rFonts w:hint="eastAsia" w:ascii="宋体" w:hAnsi="宋体" w:eastAsia="宋体" w:cs="宋体"/>
          <w:color w:val="auto"/>
          <w:kern w:val="0"/>
          <w:sz w:val="24"/>
          <w:szCs w:val="24"/>
          <w:highlight w:val="none"/>
          <w:u w:val="single"/>
          <w:lang w:val="en-US" w:eastAsia="zh-CN" w:bidi="ar-SA"/>
        </w:rPr>
        <w:t xml:space="preserve">    </w:t>
      </w:r>
    </w:p>
    <w:p w14:paraId="74DE2FEE">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专职安全员姓名：</w:t>
      </w:r>
      <w:r>
        <w:rPr>
          <w:rFonts w:hint="eastAsia" w:ascii="宋体" w:hAnsi="宋体" w:eastAsia="宋体" w:cs="宋体"/>
          <w:color w:val="auto"/>
          <w:kern w:val="0"/>
          <w:sz w:val="24"/>
          <w:szCs w:val="24"/>
          <w:highlight w:val="none"/>
          <w:u w:val="single"/>
          <w:lang w:val="en-US" w:eastAsia="zh-CN" w:bidi="ar-SA"/>
        </w:rPr>
        <w:t xml:space="preserve">     </w:t>
      </w:r>
    </w:p>
    <w:p w14:paraId="2A28F2D8">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专职安全员身份证号号码：</w:t>
      </w:r>
      <w:r>
        <w:rPr>
          <w:rFonts w:hint="eastAsia" w:ascii="宋体" w:hAnsi="宋体" w:eastAsia="宋体" w:cs="宋体"/>
          <w:color w:val="auto"/>
          <w:kern w:val="0"/>
          <w:sz w:val="24"/>
          <w:szCs w:val="24"/>
          <w:highlight w:val="none"/>
          <w:u w:val="single"/>
          <w:lang w:val="en-US" w:eastAsia="zh-CN" w:bidi="ar-SA"/>
        </w:rPr>
        <w:t xml:space="preserve">     </w:t>
      </w:r>
    </w:p>
    <w:p w14:paraId="146A42E9">
      <w:pPr>
        <w:pageBreakBefore w:val="0"/>
        <w:widowControl w:val="0"/>
        <w:tabs>
          <w:tab w:val="left" w:pos="4064"/>
        </w:tabs>
        <w:kinsoku/>
        <w:wordWrap/>
        <w:overflowPunct/>
        <w:topLinePunct w:val="0"/>
        <w:bidi w:val="0"/>
        <w:spacing w:after="0" w:line="360" w:lineRule="auto"/>
        <w:ind w:left="0" w:leftChars="0" w:firstLine="480" w:firstLineChars="200"/>
        <w:jc w:val="both"/>
        <w:rPr>
          <w:rFonts w:hint="default"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lang w:val="en-US" w:eastAsia="zh-CN" w:bidi="ar-SA"/>
        </w:rPr>
        <w:t>专职安全员水行政主管部门颁发的安全生产考核合格证书号码：</w:t>
      </w:r>
      <w:r>
        <w:rPr>
          <w:rFonts w:hint="eastAsia" w:ascii="宋体" w:hAnsi="宋体" w:eastAsia="宋体" w:cs="宋体"/>
          <w:color w:val="auto"/>
          <w:kern w:val="0"/>
          <w:sz w:val="24"/>
          <w:szCs w:val="24"/>
          <w:highlight w:val="none"/>
          <w:u w:val="single"/>
          <w:lang w:val="en-US" w:eastAsia="zh-CN" w:bidi="ar-SA"/>
        </w:rPr>
        <w:t xml:space="preserve">       </w:t>
      </w:r>
    </w:p>
    <w:p w14:paraId="1CE13ADF">
      <w:pPr>
        <w:pageBreakBefore w:val="0"/>
        <w:widowControl w:val="0"/>
        <w:tabs>
          <w:tab w:val="left" w:pos="4064"/>
        </w:tabs>
        <w:kinsoku/>
        <w:wordWrap/>
        <w:overflowPunct/>
        <w:topLinePunct w:val="0"/>
        <w:bidi w:val="0"/>
        <w:spacing w:after="0" w:line="360" w:lineRule="auto"/>
        <w:ind w:left="0" w:leftChars="0" w:firstLine="0" w:firstLineChars="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（项目负责人、技术负责人和专职安全员的姓名、身份证号号码，项目负责人执业证书号码以及项目负责人和专职安全员水行政主管部门颁发的安全生产考核合格证书号码）。</w:t>
      </w:r>
    </w:p>
    <w:p w14:paraId="03D441EC">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w:t>
      </w:r>
      <w:r>
        <w:rPr>
          <w:rFonts w:hint="eastAsia" w:ascii="宋体" w:hAnsi="宋体" w:eastAsia="宋体" w:cs="宋体"/>
          <w:color w:val="auto"/>
          <w:kern w:val="0"/>
          <w:sz w:val="24"/>
          <w:szCs w:val="24"/>
          <w:highlight w:val="none"/>
          <w:lang w:val="zh-CN" w:eastAsia="zh-CN" w:bidi="zh-CN"/>
        </w:rPr>
        <w:t>5分包人:</w:t>
      </w:r>
      <w:r>
        <w:rPr>
          <w:rFonts w:hint="eastAsia" w:ascii="宋体" w:hAnsi="宋体" w:eastAsia="宋体" w:cs="宋体"/>
          <w:color w:val="auto"/>
          <w:kern w:val="0"/>
          <w:sz w:val="24"/>
          <w:szCs w:val="24"/>
          <w:highlight w:val="none"/>
          <w:u w:val="single"/>
          <w:lang w:val="en-US" w:eastAsia="zh-CN" w:bidi="ar-SA"/>
        </w:rPr>
        <w:tab/>
      </w:r>
      <w:r>
        <w:rPr>
          <w:rFonts w:hint="eastAsia" w:ascii="宋体" w:hAnsi="宋体" w:eastAsia="宋体" w:cs="宋体"/>
          <w:color w:val="auto"/>
          <w:kern w:val="0"/>
          <w:sz w:val="24"/>
          <w:szCs w:val="24"/>
          <w:highlight w:val="none"/>
          <w:u w:val="single"/>
          <w:lang w:val="en-US" w:eastAsia="zh-CN" w:bidi="ar-SA"/>
        </w:rPr>
        <w:t xml:space="preserve"> 无        </w:t>
      </w:r>
      <w:r>
        <w:rPr>
          <w:rFonts w:hint="eastAsia" w:ascii="宋体" w:hAnsi="宋体" w:eastAsia="宋体" w:cs="宋体"/>
          <w:color w:val="auto"/>
          <w:kern w:val="0"/>
          <w:sz w:val="24"/>
          <w:szCs w:val="24"/>
          <w:highlight w:val="none"/>
          <w:lang w:val="en-US" w:eastAsia="zh-CN" w:bidi="ar-SA"/>
        </w:rPr>
        <w:t>。</w:t>
      </w:r>
    </w:p>
    <w:p w14:paraId="190ACCE5">
      <w:pPr>
        <w:pageBreakBefore w:val="0"/>
        <w:widowControl w:val="0"/>
        <w:tabs>
          <w:tab w:val="left" w:pos="4064"/>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1.1.2.6</w:t>
      </w:r>
      <w:r>
        <w:rPr>
          <w:rFonts w:hint="eastAsia" w:ascii="宋体" w:hAnsi="宋体" w:eastAsia="宋体" w:cs="宋体"/>
          <w:color w:val="auto"/>
          <w:kern w:val="0"/>
          <w:sz w:val="24"/>
          <w:szCs w:val="24"/>
          <w:highlight w:val="none"/>
          <w:lang w:val="zh-CN" w:eastAsia="zh-CN" w:bidi="zh-CN"/>
        </w:rPr>
        <w:t>监理人：</w:t>
      </w:r>
      <w:r>
        <w:rPr>
          <w:rFonts w:hint="eastAsia" w:ascii="宋体" w:hAnsi="宋体" w:eastAsia="宋体" w:cs="宋体"/>
          <w:color w:val="auto"/>
          <w:kern w:val="0"/>
          <w:sz w:val="24"/>
          <w:szCs w:val="24"/>
          <w:highlight w:val="none"/>
          <w:u w:val="single"/>
          <w:lang w:val="en-US" w:eastAsia="zh-CN" w:bidi="zh-CN"/>
        </w:rPr>
        <w:t xml:space="preserve">                          </w:t>
      </w:r>
      <w:r>
        <w:rPr>
          <w:rFonts w:hint="eastAsia" w:ascii="宋体" w:hAnsi="宋体" w:eastAsia="宋体" w:cs="宋体"/>
          <w:color w:val="auto"/>
          <w:kern w:val="0"/>
          <w:sz w:val="24"/>
          <w:szCs w:val="24"/>
          <w:highlight w:val="none"/>
          <w:lang w:val="en-US" w:eastAsia="zh-CN" w:bidi="ar-SA"/>
        </w:rPr>
        <w:t>。</w:t>
      </w:r>
    </w:p>
    <w:p w14:paraId="7DD25F5C">
      <w:pPr>
        <w:pageBreakBefore w:val="0"/>
        <w:widowControl w:val="0"/>
        <w:tabs>
          <w:tab w:val="left" w:pos="3649"/>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1.1.4</w:t>
      </w:r>
      <w:r>
        <w:rPr>
          <w:rFonts w:hint="eastAsia" w:ascii="宋体" w:hAnsi="宋体" w:eastAsia="宋体" w:cs="宋体"/>
          <w:color w:val="auto"/>
          <w:kern w:val="0"/>
          <w:sz w:val="24"/>
          <w:szCs w:val="24"/>
          <w:highlight w:val="none"/>
          <w:lang w:val="zh-CN" w:eastAsia="zh-CN" w:bidi="zh-CN"/>
        </w:rPr>
        <w:t>日期：</w:t>
      </w:r>
      <w:r>
        <w:rPr>
          <w:rFonts w:hint="eastAsia" w:ascii="宋体" w:hAnsi="宋体" w:eastAsia="宋体" w:cs="宋体"/>
          <w:color w:val="auto"/>
          <w:kern w:val="0"/>
          <w:sz w:val="24"/>
          <w:szCs w:val="24"/>
          <w:highlight w:val="none"/>
          <w:u w:val="single"/>
          <w:lang w:val="zh-CN" w:eastAsia="zh-CN" w:bidi="zh-CN"/>
        </w:rPr>
        <w:t>实际开工日期以监理单位发出的开工令载明的日期为准</w:t>
      </w:r>
      <w:r>
        <w:rPr>
          <w:rFonts w:hint="eastAsia" w:ascii="宋体" w:hAnsi="宋体" w:eastAsia="宋体" w:cs="宋体"/>
          <w:color w:val="auto"/>
          <w:kern w:val="0"/>
          <w:sz w:val="24"/>
          <w:szCs w:val="24"/>
          <w:highlight w:val="none"/>
          <w:lang w:val="zh-CN" w:eastAsia="zh-CN" w:bidi="zh-CN"/>
        </w:rPr>
        <w:t>。</w:t>
      </w:r>
    </w:p>
    <w:p w14:paraId="2BE57F6E">
      <w:pPr>
        <w:pageBreakBefore w:val="0"/>
        <w:widowControl w:val="0"/>
        <w:tabs>
          <w:tab w:val="left" w:pos="63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1.1.4.</w:t>
      </w:r>
      <w:r>
        <w:rPr>
          <w:rFonts w:hint="eastAsia" w:ascii="宋体" w:hAnsi="宋体" w:eastAsia="宋体" w:cs="宋体"/>
          <w:color w:val="auto"/>
          <w:kern w:val="2"/>
          <w:sz w:val="24"/>
          <w:szCs w:val="24"/>
          <w:highlight w:val="none"/>
          <w:lang w:val="zh-CN" w:eastAsia="zh-CN" w:bidi="zh-CN"/>
        </w:rPr>
        <w:t>5缺陷责任期(工程质量保修期)</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u w:val="single"/>
          <w:lang w:val="zh-CN" w:eastAsia="zh-CN" w:bidi="zh-CN"/>
        </w:rPr>
        <w:t>竣工验收合格后1年</w:t>
      </w:r>
      <w:r>
        <w:rPr>
          <w:rFonts w:hint="eastAsia" w:ascii="宋体" w:hAnsi="宋体" w:eastAsia="宋体" w:cs="宋体"/>
          <w:color w:val="auto"/>
          <w:kern w:val="2"/>
          <w:sz w:val="24"/>
          <w:szCs w:val="24"/>
          <w:highlight w:val="none"/>
          <w:lang w:val="en-US" w:eastAsia="zh-CN" w:bidi="en-US"/>
        </w:rPr>
        <w:t>。</w:t>
      </w:r>
    </w:p>
    <w:p w14:paraId="6862ECF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1.4合同文件的优先顺序</w:t>
      </w:r>
    </w:p>
    <w:p w14:paraId="4256CD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进入合同的各项文件及其优先顺序如下：</w:t>
      </w:r>
    </w:p>
    <w:p w14:paraId="614484AB">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合同协议书(包括补充协议、合同谈判备忘录)；</w:t>
      </w:r>
    </w:p>
    <w:p w14:paraId="256B14BF">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中标通知书；</w:t>
      </w:r>
    </w:p>
    <w:p w14:paraId="4859E2DC">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投标函及投标函附录；</w:t>
      </w:r>
    </w:p>
    <w:p w14:paraId="30A9954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专用合同条款(含附加条款)；</w:t>
      </w:r>
    </w:p>
    <w:p w14:paraId="653EF44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通用合同条款；</w:t>
      </w:r>
    </w:p>
    <w:p w14:paraId="289D8A3A">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技术标准和要求(合同技术条款)；</w:t>
      </w:r>
    </w:p>
    <w:p w14:paraId="08422D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图纸；</w:t>
      </w:r>
    </w:p>
    <w:p w14:paraId="5D061E62">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已标价工程量清单；</w:t>
      </w:r>
    </w:p>
    <w:p w14:paraId="240D97E7">
      <w:pPr>
        <w:pageBreakBefore w:val="0"/>
        <w:widowControl w:val="0"/>
        <w:numPr>
          <w:ilvl w:val="0"/>
          <w:numId w:val="38"/>
        </w:numPr>
        <w:tabs>
          <w:tab w:val="left" w:pos="9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投标文件其他内容；</w:t>
      </w:r>
    </w:p>
    <w:p w14:paraId="18489150">
      <w:pPr>
        <w:pageBreakBefore w:val="0"/>
        <w:widowControl w:val="0"/>
        <w:numPr>
          <w:ilvl w:val="0"/>
          <w:numId w:val="38"/>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其他合同文件。</w:t>
      </w:r>
    </w:p>
    <w:p w14:paraId="7192A6E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1.7联络</w:t>
      </w:r>
    </w:p>
    <w:p w14:paraId="3C98830F">
      <w:pPr>
        <w:pageBreakBefore w:val="0"/>
        <w:widowControl w:val="0"/>
        <w:tabs>
          <w:tab w:val="left" w:pos="207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w:t>
      </w:r>
      <w:r>
        <w:rPr>
          <w:rFonts w:hint="eastAsia" w:ascii="宋体" w:hAnsi="宋体" w:eastAsia="宋体" w:cs="宋体"/>
          <w:color w:val="auto"/>
          <w:kern w:val="2"/>
          <w:sz w:val="24"/>
          <w:szCs w:val="24"/>
          <w:highlight w:val="none"/>
          <w:lang w:val="zh-CN" w:eastAsia="zh-CN" w:bidi="zh-CN"/>
        </w:rPr>
        <w:t>来往函件均应按技术标准和要求(合同技术条款)约定的期限送</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en-US" w:eastAsia="zh-CN" w:bidi="en-US"/>
        </w:rPr>
        <w:t>。</w:t>
      </w:r>
    </w:p>
    <w:p w14:paraId="58548EDD">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6" w:name="_Toc12357"/>
      <w:r>
        <w:rPr>
          <w:rFonts w:hint="eastAsia" w:ascii="宋体" w:hAnsi="宋体" w:eastAsia="宋体" w:cs="宋体"/>
          <w:color w:val="auto"/>
          <w:kern w:val="2"/>
          <w:sz w:val="24"/>
          <w:szCs w:val="24"/>
          <w:highlight w:val="none"/>
          <w:lang w:val="en-US" w:eastAsia="zh-CN" w:bidi="ar-SA"/>
        </w:rPr>
        <w:t>2. 发包人义务</w:t>
      </w:r>
      <w:bookmarkEnd w:id="246"/>
    </w:p>
    <w:p w14:paraId="1D93C21B">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2.3提供施工场地</w:t>
      </w:r>
    </w:p>
    <w:p w14:paraId="73EC03D1">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2.3.2发包人提供的施工场地范围为： 发包人负责办理工地范围内的征地、拆迁和移民等有关手续，并提供施工场地周围管线（含地上及地下）和邻近建筑物、构筑物(含文物保护建筑)、古树名木等相关资料，向承包人提供施工用地。</w:t>
      </w:r>
    </w:p>
    <w:p w14:paraId="1C1AA8AB">
      <w:pPr>
        <w:pageBreakBefore w:val="0"/>
        <w:widowControl w:val="0"/>
        <w:tabs>
          <w:tab w:val="left" w:pos="822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2.3.3发包人应在开工前14天内，向承包人提供与施工现场相关的工程地质和地下管线资料，对资料的真实准确性负责。但发包人对承包人在使用上述资料时所作的分析、判断和推论不承担责任。发包人负责协调处理施工场地周围地下管线和邻近建筑物、构筑物的保护工作，并协助解决对承包人施工有干扰的外部条件。</w:t>
      </w:r>
    </w:p>
    <w:p w14:paraId="64D6AA3E">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7" w:name="_Toc32414"/>
      <w:r>
        <w:rPr>
          <w:rFonts w:hint="eastAsia" w:ascii="宋体" w:hAnsi="宋体" w:eastAsia="宋体" w:cs="宋体"/>
          <w:color w:val="auto"/>
          <w:kern w:val="2"/>
          <w:sz w:val="24"/>
          <w:szCs w:val="24"/>
          <w:highlight w:val="none"/>
          <w:lang w:val="en-US" w:eastAsia="zh-CN" w:bidi="ar-SA"/>
        </w:rPr>
        <w:t>3. 监理人</w:t>
      </w:r>
      <w:bookmarkEnd w:id="247"/>
    </w:p>
    <w:p w14:paraId="4D417A2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3.1监理人的职责和权力</w:t>
      </w:r>
    </w:p>
    <w:p w14:paraId="4C8673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3.1.1</w:t>
      </w:r>
      <w:r>
        <w:rPr>
          <w:rFonts w:hint="eastAsia" w:ascii="宋体" w:hAnsi="宋体" w:eastAsia="宋体" w:cs="宋体"/>
          <w:color w:val="auto"/>
          <w:kern w:val="2"/>
          <w:sz w:val="24"/>
          <w:szCs w:val="24"/>
          <w:highlight w:val="none"/>
          <w:lang w:val="zh-CN" w:eastAsia="zh-CN" w:bidi="zh-CN"/>
        </w:rPr>
        <w:t>监理人须根据发包人事先批准的权力范围行使权力，发包人批准的权力范围： 按本工程委托监理合同。</w:t>
      </w:r>
    </w:p>
    <w:p w14:paraId="659E08CF">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8" w:name="_Toc32089"/>
      <w:r>
        <w:rPr>
          <w:rFonts w:hint="eastAsia" w:ascii="宋体" w:hAnsi="宋体" w:eastAsia="宋体" w:cs="宋体"/>
          <w:color w:val="auto"/>
          <w:kern w:val="2"/>
          <w:sz w:val="24"/>
          <w:szCs w:val="24"/>
          <w:highlight w:val="none"/>
          <w:lang w:val="en-US" w:eastAsia="zh-CN" w:bidi="ar-SA"/>
        </w:rPr>
        <w:t>4. 承包人</w:t>
      </w:r>
      <w:bookmarkEnd w:id="248"/>
    </w:p>
    <w:p w14:paraId="40FD4C4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4.1承包人的一般义务</w:t>
      </w:r>
    </w:p>
    <w:p w14:paraId="619DB71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4.1.10其他义务</w:t>
      </w:r>
    </w:p>
    <w:p w14:paraId="1F5011A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（一）办理有关保险。</w:t>
      </w:r>
    </w:p>
    <w:p w14:paraId="068D894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必须在工程开工前，为参加本合同工程现场施工的所有作业人员及管理人员，包括参加工程建设的管理人员、施工人员(含民工)办理工伤保险，并缴纳工伤保险费。保险期限自投保之日(工程开工之日)起至工程竣工验收时止, 时间上涵盖施工全过程的任一时段。</w:t>
      </w:r>
    </w:p>
    <w:p w14:paraId="2BD13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按照《中华人民共和国建筑法》规定，鼓励为从事危险作业的职工办理意外伤害保险。</w:t>
      </w:r>
    </w:p>
    <w:p w14:paraId="2DAADB9E">
      <w:pPr>
        <w:pageBreakBefore w:val="0"/>
        <w:widowControl w:val="0"/>
        <w:tabs>
          <w:tab w:val="left" w:pos="10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二）依法与招用的农民工签订并履行劳动合同，建立职工名册，及时办理劳动用工备案。根据《广西壮族自治区人力资源和社会保障厅等8部门关于印发广西壮族自治区工程建设领域农民工工资专用账广管理暂行办法实施顺的通知》（桂人社规〔2022〕5号）</w:t>
      </w:r>
      <w:r>
        <w:rPr>
          <w:rFonts w:hint="eastAsia" w:ascii="宋体" w:hAnsi="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lang w:val="zh-CN" w:eastAsia="zh-CN" w:bidi="zh-CN"/>
        </w:rPr>
        <w:t>有关</w:t>
      </w:r>
      <w:r>
        <w:rPr>
          <w:rFonts w:hint="eastAsia" w:ascii="宋体" w:hAnsi="宋体" w:cs="宋体"/>
          <w:color w:val="auto"/>
          <w:kern w:val="2"/>
          <w:sz w:val="24"/>
          <w:szCs w:val="24"/>
          <w:highlight w:val="none"/>
          <w:lang w:val="en-US" w:eastAsia="zh-CN" w:bidi="zh-CN"/>
        </w:rPr>
        <w:t>规定</w:t>
      </w:r>
      <w:r>
        <w:rPr>
          <w:rFonts w:hint="eastAsia" w:ascii="宋体" w:hAnsi="宋体" w:cs="宋体"/>
          <w:color w:val="auto"/>
          <w:kern w:val="2"/>
          <w:sz w:val="24"/>
          <w:szCs w:val="24"/>
          <w:highlight w:val="none"/>
          <w:lang w:val="zh-CN" w:eastAsia="zh-CN" w:bidi="zh-CN"/>
        </w:rPr>
        <w:t>，</w:t>
      </w:r>
      <w:r>
        <w:rPr>
          <w:rFonts w:hint="eastAsia" w:ascii="宋体" w:hAnsi="宋体" w:cs="宋体"/>
          <w:color w:val="auto"/>
          <w:kern w:val="2"/>
          <w:sz w:val="24"/>
          <w:szCs w:val="24"/>
          <w:highlight w:val="none"/>
          <w:lang w:val="en-US" w:eastAsia="zh-CN" w:bidi="zh-CN"/>
        </w:rPr>
        <w:t>本项目</w:t>
      </w:r>
      <w:r>
        <w:rPr>
          <w:rFonts w:hint="eastAsia" w:ascii="宋体" w:hAnsi="宋体" w:cs="宋体"/>
          <w:color w:val="auto"/>
          <w:kern w:val="2"/>
          <w:sz w:val="24"/>
          <w:szCs w:val="24"/>
          <w:highlight w:val="none"/>
          <w:lang w:val="zh-CN" w:eastAsia="zh-CN" w:bidi="zh-CN"/>
        </w:rPr>
        <w:t>由</w:t>
      </w:r>
      <w:r>
        <w:rPr>
          <w:rFonts w:hint="eastAsia" w:ascii="宋体" w:hAnsi="宋体" w:cs="宋体"/>
          <w:color w:val="auto"/>
          <w:kern w:val="2"/>
          <w:sz w:val="24"/>
          <w:szCs w:val="24"/>
          <w:highlight w:val="none"/>
          <w:lang w:val="en-US" w:eastAsia="zh-CN" w:bidi="zh-CN"/>
        </w:rPr>
        <w:t>承包人</w:t>
      </w:r>
      <w:r>
        <w:rPr>
          <w:rFonts w:hint="eastAsia" w:ascii="宋体" w:hAnsi="宋体" w:cs="宋体"/>
          <w:color w:val="auto"/>
          <w:kern w:val="2"/>
          <w:sz w:val="24"/>
          <w:szCs w:val="24"/>
          <w:highlight w:val="none"/>
          <w:lang w:val="zh-CN" w:eastAsia="zh-CN" w:bidi="zh-CN"/>
        </w:rPr>
        <w:t>将农民工工资直接支付到农民工本人的银行账户</w:t>
      </w:r>
      <w:r>
        <w:rPr>
          <w:rFonts w:hint="eastAsia" w:ascii="宋体" w:hAnsi="宋体" w:eastAsia="宋体" w:cs="宋体"/>
          <w:color w:val="auto"/>
          <w:kern w:val="2"/>
          <w:sz w:val="24"/>
          <w:szCs w:val="24"/>
          <w:highlight w:val="none"/>
          <w:lang w:val="zh-CN" w:eastAsia="zh-CN" w:bidi="zh-CN"/>
        </w:rPr>
        <w:t>。</w:t>
      </w:r>
    </w:p>
    <w:p w14:paraId="494398D0">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（三）工程施工的义务和责任</w:t>
      </w:r>
    </w:p>
    <w:p w14:paraId="1DE49290">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545A3710">
      <w:pPr>
        <w:pageBreakBefore w:val="0"/>
        <w:widowControl w:val="0"/>
        <w:numPr>
          <w:ilvl w:val="0"/>
          <w:numId w:val="39"/>
        </w:numPr>
        <w:tabs>
          <w:tab w:val="left" w:pos="9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除民房外，承包人应按监理人的指示负责拆除、清理已征用土地上的杂物、灌木、 树木、树根、杂草等。</w:t>
      </w:r>
    </w:p>
    <w:p w14:paraId="17629F04">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承包人应充分理解有一些设施(如施工道路、桥梁)可能会有其它人和单位使用通行，在使用过程中发生干扰时，应立即通知监理人并服从监理人的决定。</w:t>
      </w:r>
    </w:p>
    <w:p w14:paraId="55914DB0">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承包人应为监理人、发包人现场代表对施工现场的检查监督提供必要的配合，并对这种配合对施工的影响应有充分的考虑。</w:t>
      </w:r>
    </w:p>
    <w:p w14:paraId="50AC9844">
      <w:pPr>
        <w:pageBreakBefore w:val="0"/>
        <w:widowControl w:val="0"/>
        <w:numPr>
          <w:ilvl w:val="0"/>
          <w:numId w:val="39"/>
        </w:numPr>
        <w:tabs>
          <w:tab w:val="left" w:pos="91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工程竣工后，承包人应按监理人的指示清理施工现场直至监理人、发包人满意 为止。</w:t>
      </w:r>
    </w:p>
    <w:p w14:paraId="0048F073">
      <w:pPr>
        <w:pageBreakBefore w:val="0"/>
        <w:widowControl w:val="0"/>
        <w:numPr>
          <w:ilvl w:val="0"/>
          <w:numId w:val="39"/>
        </w:numPr>
        <w:tabs>
          <w:tab w:val="left" w:pos="92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对上述(1) ~ (5)项工作，费用已包括在有关单价和总价中，发包人不再另行支付由此所发生的一切费用。</w:t>
      </w:r>
    </w:p>
    <w:p w14:paraId="5A357F6C">
      <w:pPr>
        <w:pageBreakBefore w:val="0"/>
        <w:widowControl w:val="0"/>
        <w:numPr>
          <w:ilvl w:val="0"/>
          <w:numId w:val="39"/>
        </w:numPr>
        <w:tabs>
          <w:tab w:val="left" w:pos="922"/>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经过公路、城市道路的施工车辆，必须按交警、城管、环保、环卫等部门规定执行。施工车辆的营运手续办理、清洗等一切费用由承包人承担。由于车辆超载、带泥或洒漏造成的道路损坏、环境污染等，其责任和费用均由承包人承担。</w:t>
      </w:r>
    </w:p>
    <w:p w14:paraId="4525E729">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承包人必须文明、安全施工，在施工期间发生的一切人员伤亡和财产损失等责任事故和所发生的一切费用概由承包人承担。</w:t>
      </w:r>
    </w:p>
    <w:p w14:paraId="3B3C952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按照发包人的要求做好安全文明宣传、监督检查宣传等工作，相关费用由承包人承担。</w:t>
      </w:r>
    </w:p>
    <w:p w14:paraId="3620FC78">
      <w:pPr>
        <w:pageBreakBefore w:val="0"/>
        <w:widowControl w:val="0"/>
        <w:numPr>
          <w:ilvl w:val="0"/>
          <w:numId w:val="39"/>
        </w:numPr>
        <w:tabs>
          <w:tab w:val="left" w:pos="9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承包人应按约定时间和要求，完成以下工作：</w:t>
      </w:r>
    </w:p>
    <w:p w14:paraId="2F845AF4">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按时提交施工组织设计、单位工程的施工方案。</w:t>
      </w:r>
    </w:p>
    <w:p w14:paraId="3E12955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每月25日向监理人提交当月工程进度报表及下月进度计划。</w:t>
      </w:r>
    </w:p>
    <w:p w14:paraId="140BCFB9">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承包人自行负责施工安全保卫工作及夜间施工照明。</w:t>
      </w:r>
    </w:p>
    <w:p w14:paraId="0D2B2B7A">
      <w:pPr>
        <w:pageBreakBefore w:val="0"/>
        <w:widowControl w:val="0"/>
        <w:numPr>
          <w:ilvl w:val="0"/>
          <w:numId w:val="40"/>
        </w:numPr>
        <w:tabs>
          <w:tab w:val="left" w:pos="7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需承包人办理的有关施工场地交通、环卫和施工噪音降尘管理等手续：遵守有关部门对施工现场交通、环卫和施工噪音降尘管理规定，如有发生，费用由承包人承担。</w:t>
      </w:r>
    </w:p>
    <w:p w14:paraId="20EA4E0F">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已完工程成品保护的特殊要求及费用承担：已完工工程未交付发包人之前，承包人按协议条款约定负责已完成工程的成品保护工作，保护期间发生损坏，承包人自费予以修复。</w:t>
      </w:r>
    </w:p>
    <w:p w14:paraId="21019C2F">
      <w:pPr>
        <w:pageBreakBefore w:val="0"/>
        <w:widowControl w:val="0"/>
        <w:numPr>
          <w:ilvl w:val="0"/>
          <w:numId w:val="40"/>
        </w:numPr>
        <w:tabs>
          <w:tab w:val="left" w:pos="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承包人有义务对施工场地周围管线(含地上及地下)和邻近建筑物、构筑物(含文物保护建筑)、古树名木等进行探明并负责保护。</w:t>
      </w:r>
    </w:p>
    <w:p w14:paraId="1E072EDA">
      <w:pPr>
        <w:pageBreakBefore w:val="0"/>
        <w:widowControl w:val="0"/>
        <w:numPr>
          <w:ilvl w:val="0"/>
          <w:numId w:val="40"/>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施工场地清洁卫生的要求：按城建卫生有关规定执行，由承包人负责，费用由承包人承担。</w:t>
      </w:r>
    </w:p>
    <w:p w14:paraId="7B69A06E">
      <w:pPr>
        <w:pageBreakBefore w:val="0"/>
        <w:widowControl w:val="0"/>
        <w:numPr>
          <w:ilvl w:val="0"/>
          <w:numId w:val="40"/>
        </w:numPr>
        <w:tabs>
          <w:tab w:val="left" w:pos="8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承包人承担施工场地、水电及运输通道的修建和维护、清场等费用。</w:t>
      </w:r>
    </w:p>
    <w:p w14:paraId="56618500">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双方约定承包人应做的其他工作：</w:t>
      </w:r>
    </w:p>
    <w:p w14:paraId="1D6A27DC">
      <w:pPr>
        <w:pageBreakBefore w:val="0"/>
        <w:widowControl w:val="0"/>
        <w:numPr>
          <w:ilvl w:val="0"/>
          <w:numId w:val="41"/>
        </w:numPr>
        <w:tabs>
          <w:tab w:val="left" w:pos="81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凡属于需要承包人交付给其他承包人的工作面以及与其他承包人交叉作业的工作面, 承包人必须服从监理人的决定，按规定的完工日期完成并将清理好的工作面移交给发包人, 并取得监理人的同意。</w:t>
      </w:r>
    </w:p>
    <w:p w14:paraId="68E0F2AF">
      <w:pPr>
        <w:pageBreakBefore w:val="0"/>
        <w:widowControl w:val="0"/>
        <w:numPr>
          <w:ilvl w:val="0"/>
          <w:numId w:val="41"/>
        </w:numPr>
        <w:tabs>
          <w:tab w:val="left" w:pos="81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完工后，承包人应按监理人的指示清理施工现场。并在工程完工后6个月内完成并提交工程竣工资料和工程结算资料。承包人逾期提交，发包人将对承包人的拖延行为视为违约，并按100元/天计算违约金，违约金从承包人应得的工程款中扣除，但其最终的累计总金额与各项逾期完工违约金合计不超过合同价格的5%。</w:t>
      </w:r>
    </w:p>
    <w:p w14:paraId="58D2375D">
      <w:pPr>
        <w:pageBreakBefore w:val="0"/>
        <w:widowControl w:val="0"/>
        <w:numPr>
          <w:ilvl w:val="0"/>
          <w:numId w:val="39"/>
        </w:numPr>
        <w:tabs>
          <w:tab w:val="left" w:pos="102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其他未尽事宜待签订施工合同时双方再协商。</w:t>
      </w:r>
    </w:p>
    <w:p w14:paraId="327A1B1D">
      <w:pPr>
        <w:pageBreakBefore w:val="0"/>
        <w:widowControl w:val="0"/>
        <w:tabs>
          <w:tab w:val="left" w:pos="103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（四）鼓励承包人根据工程建设实际，吸纳建档立卡贫困劳动力参加工程建设。</w:t>
      </w:r>
    </w:p>
    <w:p w14:paraId="6DEB7E5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（五）执行自治区关于松材线虫病防控工作的有关规定，工程建设采用的模板、支撑及脚手架以钢模板、钢支撑为主，不使用松木及其包装材料。木质模板及仿材尽量就地采购，避免长途转运。</w:t>
      </w:r>
    </w:p>
    <w:p w14:paraId="4DC108B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4.2履约担保</w:t>
      </w:r>
    </w:p>
    <w:p w14:paraId="249B8BF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4.2.1本工程履约担保可采取银行担保、银行转账、工程担保或保证保险等形式（严禁要求中标人以现金方式提交保证金的行为），不计利息，按签约合同总价的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%交纳。</w:t>
      </w:r>
    </w:p>
    <w:p w14:paraId="07FE5C81">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4.2.2履约保证金金额：签约合同总价的</w:t>
      </w:r>
      <w:r>
        <w:rPr>
          <w:rFonts w:hint="eastAsia" w:ascii="宋体" w:hAnsi="宋体" w:eastAsia="宋体" w:cs="宋体"/>
          <w:color w:val="auto"/>
          <w:kern w:val="2"/>
          <w:sz w:val="24"/>
          <w:szCs w:val="24"/>
          <w:highlight w:val="none"/>
          <w:lang w:val="en-US" w:eastAsia="zh-CN" w:bidi="zh-CN"/>
        </w:rPr>
        <w:t>2</w:t>
      </w:r>
      <w:r>
        <w:rPr>
          <w:rFonts w:hint="eastAsia" w:ascii="宋体" w:hAnsi="宋体" w:eastAsia="宋体" w:cs="宋体"/>
          <w:color w:val="auto"/>
          <w:kern w:val="2"/>
          <w:sz w:val="24"/>
          <w:szCs w:val="24"/>
          <w:highlight w:val="none"/>
          <w:lang w:val="zh-CN" w:eastAsia="zh-CN" w:bidi="zh-CN"/>
        </w:rPr>
        <w:t xml:space="preserve">%。 </w:t>
      </w:r>
    </w:p>
    <w:p w14:paraId="69B8D26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4.2.3履约保证金递交方式：转帐、网上银行支付等非现金形式</w:t>
      </w:r>
      <w:r>
        <w:rPr>
          <w:rFonts w:hint="eastAsia" w:ascii="宋体" w:hAnsi="宋体" w:cs="宋体"/>
          <w:color w:val="auto"/>
          <w:kern w:val="2"/>
          <w:sz w:val="24"/>
          <w:szCs w:val="24"/>
          <w:highlight w:val="none"/>
          <w:lang w:val="zh-CN" w:eastAsia="zh-CN" w:bidi="zh-CN"/>
        </w:rPr>
        <w:t>（银行回执单上请注明“XXXX项目履约金”）</w:t>
      </w:r>
      <w:r>
        <w:rPr>
          <w:rFonts w:hint="eastAsia" w:ascii="宋体" w:hAnsi="宋体" w:eastAsia="宋体" w:cs="宋体"/>
          <w:color w:val="auto"/>
          <w:kern w:val="2"/>
          <w:sz w:val="24"/>
          <w:szCs w:val="24"/>
          <w:highlight w:val="none"/>
          <w:lang w:val="zh-CN" w:eastAsia="zh-CN" w:bidi="zh-CN"/>
        </w:rPr>
        <w:t>。</w:t>
      </w:r>
    </w:p>
    <w:p w14:paraId="51A13992">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4.4.4</w:t>
      </w:r>
      <w:r>
        <w:rPr>
          <w:rFonts w:hint="eastAsia" w:ascii="宋体" w:hAnsi="宋体" w:eastAsia="宋体" w:cs="宋体"/>
          <w:color w:val="auto"/>
          <w:kern w:val="2"/>
          <w:sz w:val="24"/>
          <w:szCs w:val="24"/>
          <w:highlight w:val="none"/>
          <w:lang w:val="en-US" w:eastAsia="zh-CN" w:bidi="zh-CN"/>
        </w:rPr>
        <w:t>履约保证金返还：合同履约保证金待验收合格后，按照有关规定办理退还手续。履约保证金必须在招标人书面确认项目完成并同意后才能退还，并无息退还到中标人的基本帐户，返还时中标人须提供以下资料：</w:t>
      </w:r>
    </w:p>
    <w:p w14:paraId="7074C483">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（1）《履约保证金返还审批表》一式四份；</w:t>
      </w:r>
    </w:p>
    <w:p w14:paraId="65622B4E">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（2）《合同工程完工证书》；</w:t>
      </w:r>
    </w:p>
    <w:p w14:paraId="1E12C78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（3）《合同》复印件；</w:t>
      </w:r>
    </w:p>
    <w:p w14:paraId="0150BDC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（4）银行开户许可证或银行转账底单复印件（加盖公章）。</w:t>
      </w:r>
    </w:p>
    <w:p w14:paraId="0B21FA6D">
      <w:pPr>
        <w:pageBreakBefore w:val="0"/>
        <w:widowControl w:val="0"/>
        <w:tabs>
          <w:tab w:val="left" w:pos="10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备注：（1）履约保证金不足额缴纳的，或金融机构、担保机构出具的保函额度不足的或者保函有效期低于合同履行期限（即签订合同之日起至履行完合同约定的权利及义务之日止）的，不予签订合同。（2）采用金融机构、担保机构出具的保函的，必须为无条件保函，否则不予签订合同。</w:t>
      </w:r>
      <w:r>
        <w:rPr>
          <w:rFonts w:hint="eastAsia" w:ascii="宋体" w:hAnsi="宋体" w:cs="宋体"/>
          <w:color w:val="auto"/>
          <w:kern w:val="2"/>
          <w:sz w:val="24"/>
          <w:szCs w:val="24"/>
          <w:highlight w:val="none"/>
          <w:lang w:val="zh-CN" w:eastAsia="zh-CN" w:bidi="zh-CN"/>
        </w:rPr>
        <w:t>（</w:t>
      </w:r>
      <w:r>
        <w:rPr>
          <w:rFonts w:hint="eastAsia" w:ascii="宋体" w:hAnsi="宋体" w:cs="宋体"/>
          <w:color w:val="auto"/>
          <w:kern w:val="2"/>
          <w:sz w:val="24"/>
          <w:szCs w:val="24"/>
          <w:highlight w:val="none"/>
          <w:lang w:val="en-US" w:eastAsia="zh-CN" w:bidi="zh-CN"/>
        </w:rPr>
        <w:t>3</w:t>
      </w:r>
      <w:r>
        <w:rPr>
          <w:rFonts w:hint="eastAsia" w:ascii="宋体" w:hAnsi="宋体" w:cs="宋体"/>
          <w:color w:val="auto"/>
          <w:kern w:val="2"/>
          <w:sz w:val="24"/>
          <w:szCs w:val="24"/>
          <w:highlight w:val="none"/>
          <w:lang w:val="zh-CN" w:eastAsia="zh-CN" w:bidi="zh-CN"/>
        </w:rPr>
        <w:t>）承包方应按相关规定办理合同履约保证金。承包方违反本合同条款的，发包方有权扣留合同履约保证金，并将承包方违约情况上报有关工程建设诚信系统。</w:t>
      </w:r>
    </w:p>
    <w:p w14:paraId="5160D6D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4.3分包</w:t>
      </w:r>
    </w:p>
    <w:p w14:paraId="0A721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4.3.1</w:t>
      </w:r>
      <w:r>
        <w:rPr>
          <w:rFonts w:hint="eastAsia" w:ascii="宋体" w:hAnsi="宋体" w:eastAsia="宋体" w:cs="宋体"/>
          <w:color w:val="auto"/>
          <w:kern w:val="2"/>
          <w:sz w:val="24"/>
          <w:szCs w:val="24"/>
          <w:highlight w:val="none"/>
          <w:lang w:val="zh-CN" w:eastAsia="zh-CN" w:bidi="zh-CN"/>
        </w:rPr>
        <w:t>承包人不得将其承包的全部工程转包给第三人，或将其承包的全部工程肢解后以分包的名义转包给第三人。</w:t>
      </w:r>
    </w:p>
    <w:p w14:paraId="7B257FE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zh-CN"/>
        </w:rPr>
        <w:t>4.3.</w:t>
      </w:r>
      <w:r>
        <w:rPr>
          <w:rFonts w:hint="eastAsia" w:ascii="宋体" w:hAnsi="宋体" w:eastAsia="宋体" w:cs="宋体"/>
          <w:color w:val="auto"/>
          <w:kern w:val="2"/>
          <w:sz w:val="24"/>
          <w:szCs w:val="24"/>
          <w:highlight w:val="none"/>
          <w:lang w:val="zh-CN" w:eastAsia="zh-CN" w:bidi="zh-CN"/>
        </w:rPr>
        <w:t>2允许承包人分包的工程项目、工作内容与分包金额限额为：无。</w:t>
      </w:r>
    </w:p>
    <w:p w14:paraId="56E525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4.5承包人项目负责人</w:t>
      </w:r>
    </w:p>
    <w:p w14:paraId="3C04A85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4.5.5（1）同一施工项目负责人不能同时在两个及以上的工程项目上担任施工项目负责人</w:t>
      </w:r>
    </w:p>
    <w:p w14:paraId="7CAF0B74">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（2）承包人应保证项目负责人每月在工地现场的时间不少于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 xml:space="preserve">  日，否则将按每人每天人民币 </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由有关行政监督部门处理后报请有关行政监督部门将结果记入市场主体信用档案，公布不良行为记录。上述人员因其他事务需短期离开工地，应向发包人请假，经批准后方可离开，离开期间应委托项目相关负责人负责其外出时的日常工作。 </w:t>
      </w:r>
    </w:p>
    <w:p w14:paraId="0900DEF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4.6承包人人员的管理</w:t>
      </w:r>
    </w:p>
    <w:p w14:paraId="7347408F">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4.6.5包人应保证项目经理、技术负责人、质量管理人员、专职安全员每月在工地现场的时间不少于</w:t>
      </w:r>
      <w:r>
        <w:rPr>
          <w:rFonts w:hint="eastAsia" w:ascii="宋体" w:hAnsi="宋体" w:eastAsia="宋体" w:cs="宋体"/>
          <w:color w:val="auto"/>
          <w:kern w:val="2"/>
          <w:sz w:val="24"/>
          <w:szCs w:val="24"/>
          <w:highlight w:val="none"/>
          <w:u w:val="single"/>
          <w:lang w:val="en-US" w:eastAsia="zh-CN" w:bidi="en-US"/>
        </w:rPr>
        <w:t xml:space="preserve"> 22  </w:t>
      </w:r>
      <w:r>
        <w:rPr>
          <w:rFonts w:hint="eastAsia" w:ascii="宋体" w:hAnsi="宋体" w:eastAsia="宋体" w:cs="宋体"/>
          <w:color w:val="auto"/>
          <w:kern w:val="2"/>
          <w:sz w:val="24"/>
          <w:szCs w:val="24"/>
          <w:highlight w:val="none"/>
          <w:lang w:val="en-US" w:eastAsia="zh-CN" w:bidi="en-US"/>
        </w:rPr>
        <w:t>日，否则项目经理、技术负责人将按每人每天人民币</w:t>
      </w:r>
      <w:r>
        <w:rPr>
          <w:rFonts w:hint="eastAsia" w:ascii="宋体" w:hAnsi="宋体" w:eastAsia="宋体" w:cs="宋体"/>
          <w:color w:val="auto"/>
          <w:kern w:val="2"/>
          <w:sz w:val="24"/>
          <w:szCs w:val="24"/>
          <w:highlight w:val="none"/>
          <w:u w:val="single"/>
          <w:lang w:val="en-US" w:eastAsia="zh-CN" w:bidi="en-US"/>
        </w:rPr>
        <w:t xml:space="preserve">500 </w:t>
      </w:r>
      <w:r>
        <w:rPr>
          <w:rFonts w:hint="eastAsia" w:ascii="宋体" w:hAnsi="宋体" w:eastAsia="宋体" w:cs="宋体"/>
          <w:color w:val="auto"/>
          <w:kern w:val="2"/>
          <w:sz w:val="24"/>
          <w:szCs w:val="24"/>
          <w:highlight w:val="none"/>
          <w:lang w:val="en-US" w:eastAsia="zh-CN" w:bidi="en-US"/>
        </w:rPr>
        <w:t>元的标准计算违约金，质量管理人员、专职安全员将按每人每天人民币</w:t>
      </w:r>
      <w:r>
        <w:rPr>
          <w:rFonts w:hint="eastAsia" w:ascii="宋体" w:hAnsi="宋体" w:eastAsia="宋体" w:cs="宋体"/>
          <w:color w:val="auto"/>
          <w:kern w:val="2"/>
          <w:sz w:val="24"/>
          <w:szCs w:val="24"/>
          <w:highlight w:val="none"/>
          <w:u w:val="single"/>
          <w:lang w:val="en-US" w:eastAsia="zh-CN" w:bidi="en-US"/>
        </w:rPr>
        <w:t xml:space="preserve"> 300 </w:t>
      </w:r>
      <w:r>
        <w:rPr>
          <w:rFonts w:hint="eastAsia" w:ascii="宋体" w:hAnsi="宋体" w:eastAsia="宋体" w:cs="宋体"/>
          <w:color w:val="auto"/>
          <w:kern w:val="2"/>
          <w:sz w:val="24"/>
          <w:szCs w:val="24"/>
          <w:highlight w:val="none"/>
          <w:lang w:val="en-US" w:eastAsia="zh-CN" w:bidi="en-US"/>
        </w:rPr>
        <w:t>元的标准计算违约金，违约金在工程款中扣除。</w:t>
      </w:r>
    </w:p>
    <w:p w14:paraId="53CCBD8E">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上述人员因其他事务需短期离开工地，应向发包人请假，经批准后方可离开，离开期间应委托项目相关负责人负责其外出时的日常工作。对未按规定到位和在岗的，发包人将报告县、市、自治区水行政主管部门，纳入市场主体信用管理体系。</w:t>
      </w:r>
    </w:p>
    <w:p w14:paraId="79C5383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4.7撤换承包人项目经理和其他人员</w:t>
      </w:r>
    </w:p>
    <w:p w14:paraId="5FA6E95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4.7.</w:t>
      </w:r>
      <w:r>
        <w:rPr>
          <w:rFonts w:hint="eastAsia" w:ascii="宋体" w:hAnsi="宋体" w:eastAsia="宋体" w:cs="宋体"/>
          <w:color w:val="auto"/>
          <w:kern w:val="2"/>
          <w:sz w:val="24"/>
          <w:szCs w:val="24"/>
          <w:highlight w:val="none"/>
          <w:lang w:val="zh-CN" w:eastAsia="zh-CN" w:bidi="zh-CN"/>
        </w:rPr>
        <w:t>1中标人根据投标文件的承诺，投入本项目的项目经理、技术负责人、质量管理员、安全管理员等主要管理人员中标后不得更换(除因故去世、调离本单位、因病无法进行履行工作职责外)。</w:t>
      </w:r>
    </w:p>
    <w:p w14:paraId="338DC37B">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52"/>
      </w:r>
      <w:r>
        <w:rPr>
          <w:rFonts w:hint="eastAsia" w:ascii="宋体" w:hAnsi="宋体" w:eastAsia="宋体" w:cs="宋体"/>
          <w:color w:val="auto"/>
          <w:kern w:val="2"/>
          <w:sz w:val="24"/>
          <w:szCs w:val="24"/>
          <w:highlight w:val="none"/>
          <w:lang w:val="en-US" w:eastAsia="zh-CN" w:bidi="en-US"/>
        </w:rPr>
        <w:t>4.7.1投入本项目的项目经理、技术负责人、质量管理员、专职管理员等主要管理人员中标后，经中标人申请、监理机构审核允许、招标人同意后方可变更为不低于同等条件的人员。</w:t>
      </w:r>
    </w:p>
    <w:p w14:paraId="35A5EFE5">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4.7.2除非发包人要求或者批准，承包人擅自更换项目经理、项目副经理、技术负责人、专职安全员的，将按每人每天人民币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元的标准计算违约金，由有关行政监督部门处理后报请有关行政监督部门将结果记入市场主体信用档案，公布不良行为记录。</w:t>
      </w:r>
    </w:p>
    <w:p w14:paraId="62BD3817">
      <w:pPr>
        <w:pageBreakBefore w:val="0"/>
        <w:widowControl w:val="0"/>
        <w:tabs>
          <w:tab w:val="left" w:pos="584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4.7.3尽管承包人已按第4.6.2款的规定派遣了各类人员，但仍然不能满足合同工程的进度计划或质量要求时，发包人有权要求承包人继续增派（/或更换）人员。承包人在接到通知14天内，增派（和/或更换）的人员要到岗，否则，承包人应按每人每天人民币</w:t>
      </w:r>
      <w:r>
        <w:rPr>
          <w:rFonts w:hint="eastAsia" w:ascii="宋体" w:hAnsi="宋体" w:eastAsia="宋体" w:cs="宋体"/>
          <w:color w:val="auto"/>
          <w:kern w:val="2"/>
          <w:sz w:val="24"/>
          <w:szCs w:val="24"/>
          <w:highlight w:val="none"/>
          <w:u w:val="single"/>
          <w:lang w:val="en-US" w:eastAsia="zh-CN" w:bidi="en-US"/>
        </w:rPr>
        <w:t xml:space="preserve">   500  </w:t>
      </w:r>
      <w:r>
        <w:rPr>
          <w:rFonts w:hint="eastAsia" w:ascii="宋体" w:hAnsi="宋体" w:eastAsia="宋体" w:cs="宋体"/>
          <w:color w:val="auto"/>
          <w:kern w:val="2"/>
          <w:sz w:val="24"/>
          <w:szCs w:val="24"/>
          <w:highlight w:val="none"/>
          <w:lang w:val="en-US" w:eastAsia="zh-CN" w:bidi="en-US"/>
        </w:rPr>
        <w:t xml:space="preserve"> 元的标准计算违约金，直至按照发包人的要求增派（和/或更换）的人员到岗为此。</w:t>
      </w:r>
    </w:p>
    <w:p w14:paraId="63C9918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4.11不利物质条件</w:t>
      </w:r>
    </w:p>
    <w:p w14:paraId="141C4806">
      <w:pPr>
        <w:pageBreakBefore w:val="0"/>
        <w:widowControl w:val="0"/>
        <w:tabs>
          <w:tab w:val="left" w:pos="823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4.11.1</w:t>
      </w:r>
      <w:r>
        <w:rPr>
          <w:rFonts w:hint="eastAsia" w:ascii="宋体" w:hAnsi="宋体" w:eastAsia="宋体" w:cs="宋体"/>
          <w:color w:val="auto"/>
          <w:kern w:val="2"/>
          <w:sz w:val="24"/>
          <w:szCs w:val="24"/>
          <w:highlight w:val="none"/>
          <w:lang w:val="zh-CN" w:eastAsia="zh-CN" w:bidi="zh-CN"/>
        </w:rPr>
        <w:t>不利物质条件的范围：</w:t>
      </w:r>
      <w:r>
        <w:rPr>
          <w:rFonts w:hint="eastAsia" w:ascii="宋体" w:hAnsi="宋体" w:eastAsia="宋体" w:cs="宋体"/>
          <w:color w:val="auto"/>
          <w:kern w:val="2"/>
          <w:sz w:val="24"/>
          <w:szCs w:val="24"/>
          <w:highlight w:val="none"/>
          <w:u w:val="single"/>
          <w:lang w:val="zh-CN" w:eastAsia="zh-CN" w:bidi="zh-CN"/>
        </w:rPr>
        <w:t xml:space="preserve"> 不可预见的自然物质条件、非自然的物质障碍和污染物，包括地下和水文条件，但不包括气候条件，由发包人、监理人和承包人现场确定</w:t>
      </w:r>
      <w:r>
        <w:rPr>
          <w:rFonts w:hint="eastAsia" w:ascii="宋体" w:hAnsi="宋体" w:eastAsia="宋体" w:cs="宋体"/>
          <w:color w:val="auto"/>
          <w:kern w:val="2"/>
          <w:sz w:val="24"/>
          <w:szCs w:val="24"/>
          <w:highlight w:val="none"/>
          <w:lang w:val="en-US" w:eastAsia="zh-CN" w:bidi="en-US"/>
        </w:rPr>
        <w:t>。</w:t>
      </w:r>
    </w:p>
    <w:p w14:paraId="373AEC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49" w:name="_Toc19524"/>
      <w:r>
        <w:rPr>
          <w:rFonts w:hint="eastAsia" w:ascii="宋体" w:hAnsi="宋体" w:eastAsia="宋体" w:cs="宋体"/>
          <w:color w:val="auto"/>
          <w:kern w:val="2"/>
          <w:sz w:val="24"/>
          <w:szCs w:val="24"/>
          <w:highlight w:val="none"/>
          <w:lang w:val="en-US" w:eastAsia="zh-CN" w:bidi="ar-SA"/>
        </w:rPr>
        <w:t>5. 材料和工程设备</w:t>
      </w:r>
      <w:bookmarkEnd w:id="249"/>
    </w:p>
    <w:p w14:paraId="7818AB3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5.2发包人提供的材料和工程设备</w:t>
      </w:r>
    </w:p>
    <w:p w14:paraId="50FE10C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b w:val="0"/>
          <w:color w:val="auto"/>
          <w:kern w:val="2"/>
          <w:sz w:val="24"/>
          <w:szCs w:val="24"/>
          <w:highlight w:val="none"/>
          <w:u w:val="none"/>
          <w:lang w:val="zh-CN" w:eastAsia="zh-CN" w:bidi="zh-CN"/>
        </w:rPr>
      </w:pPr>
      <w:bookmarkStart w:id="250" w:name="_Toc9445"/>
      <w:r>
        <w:rPr>
          <w:rFonts w:hint="eastAsia" w:ascii="宋体" w:hAnsi="宋体" w:eastAsia="宋体" w:cs="宋体"/>
          <w:b w:val="0"/>
          <w:color w:val="auto"/>
          <w:kern w:val="2"/>
          <w:sz w:val="24"/>
          <w:szCs w:val="24"/>
          <w:highlight w:val="none"/>
          <w:u w:val="none"/>
          <w:lang w:val="zh-CN" w:eastAsia="zh-CN" w:bidi="zh-CN"/>
        </w:rPr>
        <w:t>5.2.1发包人提供的材料和工程设备：无。</w:t>
      </w:r>
      <w:bookmarkEnd w:id="250"/>
    </w:p>
    <w:p w14:paraId="7665B63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1" w:name="_Toc5835"/>
      <w:r>
        <w:rPr>
          <w:rFonts w:hint="eastAsia" w:ascii="宋体" w:hAnsi="宋体" w:eastAsia="宋体" w:cs="宋体"/>
          <w:color w:val="auto"/>
          <w:kern w:val="2"/>
          <w:sz w:val="24"/>
          <w:szCs w:val="24"/>
          <w:highlight w:val="none"/>
          <w:lang w:val="en-US" w:eastAsia="zh-CN" w:bidi="ar-SA"/>
        </w:rPr>
        <w:t>6. 施工设备和临时设施</w:t>
      </w:r>
      <w:bookmarkEnd w:id="251"/>
    </w:p>
    <w:p w14:paraId="14C8AD4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6.1承包人提供的施工设备和临时设施</w:t>
      </w:r>
    </w:p>
    <w:p w14:paraId="2F6189E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6.1.2</w:t>
      </w:r>
      <w:r>
        <w:rPr>
          <w:rFonts w:hint="eastAsia" w:ascii="宋体" w:hAnsi="宋体" w:eastAsia="宋体" w:cs="宋体"/>
          <w:color w:val="auto"/>
          <w:kern w:val="2"/>
          <w:sz w:val="24"/>
          <w:szCs w:val="24"/>
          <w:highlight w:val="none"/>
          <w:lang w:val="zh-CN" w:eastAsia="zh-CN" w:bidi="zh-CN"/>
        </w:rPr>
        <w:t>承包人自行承担修建临时设施的费用，需要临时占地的，由承包人办理相关申请手续，发包人予以协助，发生的相关费用由承包人承担。</w:t>
      </w:r>
    </w:p>
    <w:p w14:paraId="49BFAAB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6.2发包人提供的施工设备和临时设施</w:t>
      </w:r>
    </w:p>
    <w:p w14:paraId="5939003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（1）发包人提供的的施工设备：</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4187281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（2）发包人提供的临时设施：</w:t>
      </w:r>
      <w:r>
        <w:rPr>
          <w:rFonts w:hint="eastAsia" w:ascii="宋体" w:hAnsi="宋体" w:eastAsia="宋体" w:cs="宋体"/>
          <w:color w:val="auto"/>
          <w:kern w:val="2"/>
          <w:sz w:val="24"/>
          <w:szCs w:val="24"/>
          <w:highlight w:val="none"/>
          <w:u w:val="single"/>
          <w:lang w:val="en-US" w:eastAsia="zh-CN" w:bidi="en-US"/>
        </w:rPr>
        <w:t>无</w:t>
      </w:r>
      <w:r>
        <w:rPr>
          <w:rFonts w:hint="eastAsia" w:ascii="宋体" w:hAnsi="宋体" w:eastAsia="宋体" w:cs="宋体"/>
          <w:color w:val="auto"/>
          <w:kern w:val="2"/>
          <w:sz w:val="24"/>
          <w:szCs w:val="24"/>
          <w:highlight w:val="none"/>
          <w:lang w:val="en-US" w:eastAsia="zh-CN" w:bidi="en-US"/>
        </w:rPr>
        <w:t>。</w:t>
      </w:r>
    </w:p>
    <w:p w14:paraId="77A47DA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2" w:name="_Toc10732"/>
      <w:r>
        <w:rPr>
          <w:rFonts w:hint="eastAsia" w:ascii="宋体" w:hAnsi="宋体" w:eastAsia="宋体" w:cs="宋体"/>
          <w:color w:val="auto"/>
          <w:kern w:val="2"/>
          <w:sz w:val="24"/>
          <w:szCs w:val="24"/>
          <w:highlight w:val="none"/>
          <w:lang w:val="en-US" w:eastAsia="zh-CN" w:bidi="ar-SA"/>
        </w:rPr>
        <w:t>7. 交通运输</w:t>
      </w:r>
      <w:bookmarkEnd w:id="252"/>
    </w:p>
    <w:p w14:paraId="2F39911F">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7.1道路通行权和场外设施</w:t>
      </w:r>
    </w:p>
    <w:p w14:paraId="0BD57AA3">
      <w:pPr>
        <w:keepNext w:val="0"/>
        <w:keepLines w:val="0"/>
        <w:pageBreakBefore w:val="0"/>
        <w:widowControl w:val="0"/>
        <w:tabs>
          <w:tab w:val="left" w:pos="8218"/>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道路通行权和场外设施的约定：</w:t>
      </w:r>
      <w:r>
        <w:rPr>
          <w:rFonts w:hint="eastAsia" w:ascii="宋体" w:hAnsi="宋体" w:eastAsia="宋体" w:cs="宋体"/>
          <w:color w:val="auto"/>
          <w:kern w:val="2"/>
          <w:sz w:val="24"/>
          <w:szCs w:val="24"/>
          <w:highlight w:val="none"/>
          <w:u w:val="single"/>
          <w:lang w:val="zh-CN" w:eastAsia="zh-CN" w:bidi="zh-CN"/>
        </w:rPr>
        <w:t xml:space="preserve"> 承包人应根据合同工程的施工需要，负责办理取得出入施工场地的专用和临时道路的通行权，以及取得为工程建设所需修建场外设施的权利 </w:t>
      </w:r>
      <w:r>
        <w:rPr>
          <w:rFonts w:hint="eastAsia" w:ascii="宋体" w:hAnsi="宋体" w:eastAsia="宋体" w:cs="宋体"/>
          <w:color w:val="auto"/>
          <w:kern w:val="2"/>
          <w:sz w:val="24"/>
          <w:szCs w:val="24"/>
          <w:highlight w:val="none"/>
          <w:lang w:val="en-US" w:eastAsia="zh-CN" w:bidi="en-US"/>
        </w:rPr>
        <w:t>。</w:t>
      </w:r>
    </w:p>
    <w:p w14:paraId="468E9A2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3" w:name="_Toc24958"/>
      <w:r>
        <w:rPr>
          <w:rFonts w:hint="eastAsia" w:ascii="宋体" w:hAnsi="宋体" w:eastAsia="宋体" w:cs="宋体"/>
          <w:color w:val="auto"/>
          <w:kern w:val="2"/>
          <w:sz w:val="24"/>
          <w:szCs w:val="24"/>
          <w:highlight w:val="none"/>
          <w:lang w:val="en-US" w:eastAsia="zh-CN" w:bidi="ar-SA"/>
        </w:rPr>
        <w:t>8. 测量放线</w:t>
      </w:r>
      <w:bookmarkEnd w:id="253"/>
    </w:p>
    <w:p w14:paraId="7856145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8.1施工控制网</w:t>
      </w:r>
    </w:p>
    <w:p w14:paraId="688FCD0D">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zh-CN"/>
        </w:rPr>
        <w:t>8.1.</w:t>
      </w:r>
      <w:r>
        <w:rPr>
          <w:rFonts w:hint="eastAsia" w:ascii="宋体" w:hAnsi="宋体" w:eastAsia="宋体" w:cs="宋体"/>
          <w:color w:val="auto"/>
          <w:kern w:val="0"/>
          <w:sz w:val="24"/>
          <w:szCs w:val="24"/>
          <w:highlight w:val="none"/>
          <w:lang w:val="zh-CN" w:eastAsia="zh-CN" w:bidi="zh-CN"/>
        </w:rPr>
        <w:t>1 施工控制网的约定：由</w:t>
      </w:r>
      <w:r>
        <w:rPr>
          <w:rFonts w:hint="eastAsia" w:ascii="宋体" w:hAnsi="宋体" w:eastAsia="宋体" w:cs="宋体"/>
          <w:color w:val="auto"/>
          <w:kern w:val="0"/>
          <w:sz w:val="24"/>
          <w:szCs w:val="24"/>
          <w:highlight w:val="none"/>
          <w:u w:val="single"/>
          <w:lang w:val="zh-CN" w:eastAsia="zh-CN" w:bidi="zh-CN"/>
        </w:rPr>
        <w:t>承包人负责测设，并报监理人审批，相关费用由承包人承担</w:t>
      </w:r>
      <w:r>
        <w:rPr>
          <w:rFonts w:hint="eastAsia" w:ascii="宋体" w:hAnsi="宋体" w:eastAsia="宋体" w:cs="宋体"/>
          <w:color w:val="auto"/>
          <w:kern w:val="0"/>
          <w:sz w:val="24"/>
          <w:szCs w:val="24"/>
          <w:highlight w:val="none"/>
          <w:lang w:val="en-US" w:eastAsia="zh-CN" w:bidi="ar-SA"/>
        </w:rPr>
        <w:t>。</w:t>
      </w:r>
    </w:p>
    <w:p w14:paraId="00362670">
      <w:pPr>
        <w:pageBreakBefore w:val="0"/>
        <w:widowControl w:val="0"/>
        <w:tabs>
          <w:tab w:val="left" w:pos="750"/>
          <w:tab w:val="left" w:pos="4898"/>
        </w:tabs>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增加以下条款：</w:t>
      </w:r>
    </w:p>
    <w:p w14:paraId="362333E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8.1.3对基准坐标资料的内容的确认与维护</w:t>
      </w:r>
    </w:p>
    <w:p w14:paraId="4FA5842D">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承包人应根据发包人书面移交的控制网数据，负责对原始控制网数据的复测，根据工程施工放样的需要对控制网进行加密。承包人有义务提出并纠正发包人提供的基本坐标资料中的差错，并对所有放线的准确性负责。</w:t>
      </w:r>
    </w:p>
    <w:p w14:paraId="39AD8867">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（2）对因自身原因造成原始控制点的破坏，不得因此向发包人索取可能延长的工期和可能增加的费用；</w:t>
      </w:r>
    </w:p>
    <w:p w14:paraId="25C96ACF">
      <w:pPr>
        <w:keepNext w:val="0"/>
        <w:keepLines w:val="0"/>
        <w:pageBreakBefore w:val="0"/>
        <w:widowControl w:val="0"/>
        <w:tabs>
          <w:tab w:val="left" w:pos="750"/>
          <w:tab w:val="left" w:pos="4898"/>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（3）施工控制网允许发包人、监理人以及其它承包人使用。</w:t>
      </w:r>
    </w:p>
    <w:p w14:paraId="63D79692">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4" w:name="_Toc9628"/>
      <w:r>
        <w:rPr>
          <w:rFonts w:hint="eastAsia" w:ascii="宋体" w:hAnsi="宋体" w:eastAsia="宋体" w:cs="宋体"/>
          <w:color w:val="auto"/>
          <w:kern w:val="2"/>
          <w:sz w:val="24"/>
          <w:szCs w:val="24"/>
          <w:highlight w:val="none"/>
          <w:lang w:val="en-US" w:eastAsia="zh-CN" w:bidi="ar-SA"/>
        </w:rPr>
        <w:t>9. 施工安全、治安保卫和环境保护</w:t>
      </w:r>
      <w:bookmarkEnd w:id="254"/>
    </w:p>
    <w:p w14:paraId="31E03E7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9.2承包人的施工安全责任</w:t>
      </w:r>
    </w:p>
    <w:p w14:paraId="6B66F551">
      <w:pPr>
        <w:pageBreakBefore w:val="0"/>
        <w:widowControl w:val="0"/>
        <w:tabs>
          <w:tab w:val="left" w:pos="4162"/>
          <w:tab w:val="left" w:pos="613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9. 2. </w:t>
      </w:r>
      <w:r>
        <w:rPr>
          <w:rFonts w:hint="eastAsia" w:ascii="宋体" w:hAnsi="宋体" w:eastAsia="宋体" w:cs="宋体"/>
          <w:color w:val="auto"/>
          <w:kern w:val="2"/>
          <w:sz w:val="24"/>
          <w:szCs w:val="24"/>
          <w:highlight w:val="none"/>
          <w:lang w:val="zh-CN" w:eastAsia="zh-CN" w:bidi="zh-CN"/>
        </w:rPr>
        <w:t>1下列工程应编制专项施工方案：</w:t>
      </w:r>
      <w:r>
        <w:rPr>
          <w:rFonts w:hint="eastAsia" w:ascii="宋体" w:hAnsi="宋体" w:eastAsia="宋体" w:cs="宋体"/>
          <w:color w:val="auto"/>
          <w:kern w:val="2"/>
          <w:sz w:val="24"/>
          <w:szCs w:val="24"/>
          <w:highlight w:val="none"/>
          <w:u w:val="single"/>
          <w:lang w:val="zh-CN" w:eastAsia="zh-CN" w:bidi="zh-CN"/>
        </w:rPr>
        <w:t>（1）土方和石方开挖工程，包括拆除、爆破，料场开挖及运输等；（2）基础处理，包括基础灌浆等；（3）金属结构安装；（4）其它危险性较大的工程。专项施工方案评审发生的费用由承包人负责</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其中应组织专家论证和审查的专项施工方案：</w:t>
      </w:r>
      <w:r>
        <w:rPr>
          <w:rFonts w:hint="eastAsia" w:ascii="宋体" w:hAnsi="宋体" w:eastAsia="宋体" w:cs="宋体"/>
          <w:color w:val="auto"/>
          <w:kern w:val="2"/>
          <w:sz w:val="24"/>
          <w:szCs w:val="24"/>
          <w:highlight w:val="none"/>
          <w:u w:val="single"/>
          <w:lang w:val="zh-CN" w:eastAsia="zh-CN" w:bidi="zh-CN"/>
        </w:rPr>
        <w:t>高边坡、深基坑、地下暗挖工程、高大模板工程的专项施工方案</w:t>
      </w:r>
      <w:r>
        <w:rPr>
          <w:rFonts w:hint="eastAsia" w:ascii="宋体" w:hAnsi="宋体" w:eastAsia="宋体" w:cs="宋体"/>
          <w:color w:val="auto"/>
          <w:kern w:val="2"/>
          <w:sz w:val="24"/>
          <w:szCs w:val="24"/>
          <w:highlight w:val="none"/>
          <w:lang w:val="en-US" w:eastAsia="zh-CN" w:bidi="en-US"/>
        </w:rPr>
        <w:t>。</w:t>
      </w:r>
    </w:p>
    <w:p w14:paraId="600B539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9.7文明工地</w:t>
      </w:r>
    </w:p>
    <w:p w14:paraId="63060A0E">
      <w:pPr>
        <w:pageBreakBefore w:val="0"/>
        <w:widowControl w:val="0"/>
        <w:tabs>
          <w:tab w:val="left" w:pos="532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en-US"/>
        </w:rPr>
        <w:t xml:space="preserve">9.7. </w:t>
      </w:r>
      <w:r>
        <w:rPr>
          <w:rFonts w:hint="eastAsia" w:ascii="宋体" w:hAnsi="宋体" w:eastAsia="宋体" w:cs="宋体"/>
          <w:color w:val="auto"/>
          <w:kern w:val="2"/>
          <w:sz w:val="24"/>
          <w:szCs w:val="24"/>
          <w:highlight w:val="none"/>
          <w:lang w:val="zh-CN" w:eastAsia="zh-CN" w:bidi="zh-CN"/>
        </w:rPr>
        <w:t>1本合同文明工地的约定：</w:t>
      </w:r>
      <w:r>
        <w:rPr>
          <w:rFonts w:hint="eastAsia" w:ascii="宋体" w:hAnsi="宋体" w:eastAsia="宋体" w:cs="宋体"/>
          <w:color w:val="auto"/>
          <w:kern w:val="2"/>
          <w:sz w:val="24"/>
          <w:szCs w:val="24"/>
          <w:highlight w:val="none"/>
          <w:u w:val="single"/>
          <w:lang w:val="zh-CN" w:eastAsia="zh-CN" w:bidi="zh-CN"/>
        </w:rPr>
        <w:t>积极创建文明工地</w:t>
      </w:r>
      <w:r>
        <w:rPr>
          <w:rFonts w:hint="eastAsia" w:ascii="宋体" w:hAnsi="宋体" w:eastAsia="宋体" w:cs="宋体"/>
          <w:color w:val="auto"/>
          <w:kern w:val="2"/>
          <w:sz w:val="24"/>
          <w:szCs w:val="24"/>
          <w:highlight w:val="none"/>
          <w:lang w:val="en-US" w:eastAsia="zh-CN" w:bidi="zh-CN"/>
        </w:rPr>
        <w:t>。</w:t>
      </w:r>
    </w:p>
    <w:p w14:paraId="42FF92C7">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5" w:name="_Toc8115"/>
      <w:r>
        <w:rPr>
          <w:rFonts w:hint="eastAsia" w:ascii="宋体" w:hAnsi="宋体" w:eastAsia="宋体" w:cs="宋体"/>
          <w:color w:val="auto"/>
          <w:kern w:val="2"/>
          <w:sz w:val="24"/>
          <w:szCs w:val="24"/>
          <w:highlight w:val="none"/>
          <w:lang w:val="en-US" w:eastAsia="zh-CN" w:bidi="ar-SA"/>
        </w:rPr>
        <w:t>11. 开工和竣工（完工）</w:t>
      </w:r>
      <w:bookmarkEnd w:id="255"/>
    </w:p>
    <w:p w14:paraId="6603725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lang w:val="en-US" w:eastAsia="zh-CN" w:bidi="ar-SA"/>
        </w:rPr>
        <w:t>本工程主体工程完工时间为：</w:t>
      </w:r>
      <w:r>
        <w:rPr>
          <w:rFonts w:hint="eastAsia" w:ascii="宋体" w:hAnsi="宋体" w:eastAsia="宋体" w:cs="宋体"/>
          <w:color w:val="auto"/>
          <w:kern w:val="0"/>
          <w:sz w:val="24"/>
          <w:szCs w:val="24"/>
          <w:highlight w:val="none"/>
          <w:u w:val="none"/>
          <w:lang w:val="en-US" w:eastAsia="zh-CN" w:bidi="ar-SA"/>
        </w:rPr>
        <w:t xml:space="preserve">    年     月      日</w:t>
      </w:r>
      <w:r>
        <w:rPr>
          <w:rFonts w:hint="eastAsia" w:ascii="宋体" w:hAnsi="宋体" w:eastAsia="宋体" w:cs="宋体"/>
          <w:color w:val="auto"/>
          <w:kern w:val="0"/>
          <w:sz w:val="24"/>
          <w:szCs w:val="24"/>
          <w:highlight w:val="none"/>
          <w:lang w:val="en-US" w:eastAsia="zh-CN" w:bidi="ar-SA"/>
        </w:rPr>
        <w:t>。</w:t>
      </w:r>
    </w:p>
    <w:p w14:paraId="7A194DDD">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发包人的工期延误</w:t>
      </w:r>
    </w:p>
    <w:p w14:paraId="57C3F71E">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w:t>
      </w: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异常恶劣的气候条件</w:t>
      </w:r>
    </w:p>
    <w:p w14:paraId="243F84E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11.</w:t>
      </w:r>
      <w:r>
        <w:rPr>
          <w:rFonts w:hint="eastAsia" w:ascii="宋体" w:hAnsi="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en-US" w:eastAsia="zh-CN" w:bidi="en-US"/>
        </w:rPr>
        <w:t>.3</w:t>
      </w:r>
      <w:r>
        <w:rPr>
          <w:rFonts w:hint="eastAsia" w:ascii="宋体" w:hAnsi="宋体" w:eastAsia="宋体" w:cs="宋体"/>
          <w:color w:val="auto"/>
          <w:kern w:val="2"/>
          <w:sz w:val="24"/>
          <w:szCs w:val="24"/>
          <w:highlight w:val="none"/>
          <w:lang w:val="zh-CN" w:eastAsia="zh-CN" w:bidi="zh-CN"/>
        </w:rPr>
        <w:t>本合同工程界定异常恶劣气候条件的范围为：</w:t>
      </w:r>
    </w:p>
    <w:p w14:paraId="0AAE3730">
      <w:pPr>
        <w:pageBreakBefore w:val="0"/>
        <w:widowControl w:val="0"/>
        <w:numPr>
          <w:ilvl w:val="0"/>
          <w:numId w:val="42"/>
        </w:numPr>
        <w:tabs>
          <w:tab w:val="left" w:pos="903"/>
          <w:tab w:val="left" w:pos="2959"/>
          <w:tab w:val="left" w:pos="526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日降雨量大于</w:t>
      </w:r>
      <w:r>
        <w:rPr>
          <w:rFonts w:hint="eastAsia" w:ascii="宋体" w:hAnsi="宋体" w:eastAsia="宋体" w:cs="宋体"/>
          <w:color w:val="auto"/>
          <w:kern w:val="2"/>
          <w:sz w:val="24"/>
          <w:szCs w:val="24"/>
          <w:highlight w:val="none"/>
          <w:u w:val="single"/>
          <w:lang w:val="en-US" w:eastAsia="zh-CN" w:bidi="zh-CN"/>
        </w:rPr>
        <w:t>50</w:t>
      </w:r>
      <w:r>
        <w:rPr>
          <w:rFonts w:hint="eastAsia" w:ascii="宋体" w:hAnsi="宋体" w:eastAsia="宋体" w:cs="宋体"/>
          <w:color w:val="auto"/>
          <w:kern w:val="2"/>
          <w:sz w:val="24"/>
          <w:szCs w:val="24"/>
          <w:highlight w:val="none"/>
          <w:lang w:val="en-US" w:eastAsia="zh-CN" w:bidi="en-US"/>
        </w:rPr>
        <w:t>mm</w:t>
      </w:r>
      <w:r>
        <w:rPr>
          <w:rFonts w:hint="eastAsia" w:ascii="宋体" w:hAnsi="宋体" w:eastAsia="宋体" w:cs="宋体"/>
          <w:color w:val="auto"/>
          <w:kern w:val="2"/>
          <w:sz w:val="24"/>
          <w:szCs w:val="24"/>
          <w:highlight w:val="none"/>
          <w:lang w:val="zh-CN" w:eastAsia="zh-CN" w:bidi="zh-CN"/>
        </w:rPr>
        <w:t>的雨日超过</w:t>
      </w:r>
      <w:r>
        <w:rPr>
          <w:rFonts w:hint="eastAsia" w:ascii="宋体" w:hAnsi="宋体" w:eastAsia="宋体" w:cs="宋体"/>
          <w:color w:val="auto"/>
          <w:kern w:val="2"/>
          <w:sz w:val="24"/>
          <w:szCs w:val="24"/>
          <w:highlight w:val="none"/>
          <w:u w:val="single"/>
          <w:lang w:val="en-US" w:eastAsia="zh-CN" w:bidi="zh-CN"/>
        </w:rPr>
        <w:t xml:space="preserve"> 1</w:t>
      </w:r>
      <w:r>
        <w:rPr>
          <w:rFonts w:hint="eastAsia" w:ascii="宋体" w:hAnsi="宋体" w:eastAsia="宋体" w:cs="宋体"/>
          <w:color w:val="auto"/>
          <w:kern w:val="2"/>
          <w:sz w:val="24"/>
          <w:szCs w:val="24"/>
          <w:highlight w:val="none"/>
          <w:lang w:val="zh-CN" w:eastAsia="zh-CN" w:bidi="zh-CN"/>
        </w:rPr>
        <w:t>天；</w:t>
      </w:r>
    </w:p>
    <w:p w14:paraId="057BA187">
      <w:pPr>
        <w:pageBreakBefore w:val="0"/>
        <w:widowControl w:val="0"/>
        <w:numPr>
          <w:ilvl w:val="0"/>
          <w:numId w:val="42"/>
        </w:numPr>
        <w:tabs>
          <w:tab w:val="left" w:pos="903"/>
          <w:tab w:val="left" w:pos="2539"/>
          <w:tab w:val="left" w:pos="404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风速大于</w:t>
      </w:r>
      <w:r>
        <w:rPr>
          <w:rFonts w:hint="eastAsia" w:ascii="宋体" w:hAnsi="宋体" w:eastAsia="宋体" w:cs="宋体"/>
          <w:color w:val="auto"/>
          <w:kern w:val="2"/>
          <w:sz w:val="24"/>
          <w:szCs w:val="24"/>
          <w:highlight w:val="none"/>
          <w:u w:val="single"/>
          <w:lang w:val="en-US" w:eastAsia="zh-CN" w:bidi="zh-CN"/>
        </w:rPr>
        <w:t xml:space="preserve"> 20 </w:t>
      </w:r>
      <w:r>
        <w:rPr>
          <w:rFonts w:hint="eastAsia" w:ascii="宋体" w:hAnsi="宋体" w:eastAsia="宋体" w:cs="宋体"/>
          <w:color w:val="auto"/>
          <w:kern w:val="2"/>
          <w:sz w:val="24"/>
          <w:szCs w:val="24"/>
          <w:highlight w:val="none"/>
          <w:lang w:val="en-US" w:eastAsia="zh-CN" w:bidi="en-US"/>
        </w:rPr>
        <w:t>m/s</w:t>
      </w:r>
      <w:r>
        <w:rPr>
          <w:rFonts w:hint="eastAsia" w:ascii="宋体" w:hAnsi="宋体" w:eastAsia="宋体" w:cs="宋体"/>
          <w:color w:val="auto"/>
          <w:kern w:val="2"/>
          <w:sz w:val="24"/>
          <w:szCs w:val="24"/>
          <w:highlight w:val="none"/>
          <w:lang w:val="zh-CN" w:eastAsia="zh-CN" w:bidi="zh-CN"/>
        </w:rPr>
        <w:t>的</w:t>
      </w:r>
      <w:r>
        <w:rPr>
          <w:rFonts w:hint="eastAsia" w:ascii="宋体" w:hAnsi="宋体" w:eastAsia="宋体" w:cs="宋体"/>
          <w:color w:val="auto"/>
          <w:kern w:val="2"/>
          <w:sz w:val="24"/>
          <w:szCs w:val="24"/>
          <w:highlight w:val="none"/>
          <w:u w:val="single"/>
          <w:lang w:val="en-US" w:eastAsia="zh-CN" w:bidi="zh-CN"/>
        </w:rPr>
        <w:t xml:space="preserve"> 8</w:t>
      </w:r>
      <w:r>
        <w:rPr>
          <w:rFonts w:hint="eastAsia" w:ascii="宋体" w:hAnsi="宋体" w:eastAsia="宋体" w:cs="宋体"/>
          <w:color w:val="auto"/>
          <w:kern w:val="2"/>
          <w:sz w:val="24"/>
          <w:szCs w:val="24"/>
          <w:highlight w:val="none"/>
          <w:lang w:val="zh-CN" w:eastAsia="zh-CN" w:bidi="zh-CN"/>
        </w:rPr>
        <w:t>级以上台风灾害；</w:t>
      </w:r>
    </w:p>
    <w:p w14:paraId="4CBD6FC0">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日气温超过</w:t>
      </w:r>
      <w:r>
        <w:rPr>
          <w:rFonts w:hint="eastAsia" w:ascii="宋体" w:hAnsi="宋体" w:eastAsia="宋体" w:cs="宋体"/>
          <w:color w:val="auto"/>
          <w:kern w:val="2"/>
          <w:sz w:val="24"/>
          <w:szCs w:val="24"/>
          <w:highlight w:val="none"/>
          <w:u w:val="single"/>
          <w:lang w:val="en-US" w:eastAsia="zh-CN" w:bidi="zh-CN"/>
        </w:rPr>
        <w:t xml:space="preserve"> 40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的高温大于</w:t>
      </w:r>
      <w:r>
        <w:rPr>
          <w:rFonts w:hint="eastAsia" w:ascii="宋体" w:hAnsi="宋体" w:eastAsia="宋体" w:cs="宋体"/>
          <w:color w:val="auto"/>
          <w:kern w:val="2"/>
          <w:sz w:val="24"/>
          <w:szCs w:val="24"/>
          <w:highlight w:val="none"/>
          <w:u w:val="single"/>
          <w:lang w:val="en-US" w:eastAsia="zh-CN" w:bidi="zh-CN"/>
        </w:rPr>
        <w:t xml:space="preserve"> 2 </w:t>
      </w:r>
      <w:r>
        <w:rPr>
          <w:rFonts w:hint="eastAsia" w:ascii="宋体" w:hAnsi="宋体" w:eastAsia="宋体" w:cs="宋体"/>
          <w:color w:val="auto"/>
          <w:kern w:val="2"/>
          <w:sz w:val="24"/>
          <w:szCs w:val="24"/>
          <w:highlight w:val="none"/>
          <w:lang w:val="zh-CN" w:eastAsia="zh-CN" w:bidi="zh-CN"/>
        </w:rPr>
        <w:t>天；</w:t>
      </w:r>
    </w:p>
    <w:p w14:paraId="0FD0B082">
      <w:pPr>
        <w:pageBreakBefore w:val="0"/>
        <w:widowControl w:val="0"/>
        <w:numPr>
          <w:ilvl w:val="0"/>
          <w:numId w:val="42"/>
        </w:numPr>
        <w:tabs>
          <w:tab w:val="left" w:pos="903"/>
          <w:tab w:val="left" w:pos="2750"/>
          <w:tab w:val="left" w:pos="485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日气温低于</w:t>
      </w:r>
      <w:r>
        <w:rPr>
          <w:rFonts w:hint="eastAsia" w:ascii="宋体" w:hAnsi="宋体" w:eastAsia="宋体" w:cs="宋体"/>
          <w:color w:val="auto"/>
          <w:kern w:val="2"/>
          <w:sz w:val="24"/>
          <w:szCs w:val="24"/>
          <w:highlight w:val="none"/>
          <w:u w:val="single"/>
          <w:lang w:val="en-US" w:eastAsia="zh-CN" w:bidi="zh-CN"/>
        </w:rPr>
        <w:t xml:space="preserve">-10 </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的严寒大于</w:t>
      </w:r>
      <w:r>
        <w:rPr>
          <w:rFonts w:hint="eastAsia" w:ascii="宋体" w:hAnsi="宋体" w:eastAsia="宋体" w:cs="宋体"/>
          <w:color w:val="auto"/>
          <w:kern w:val="2"/>
          <w:sz w:val="24"/>
          <w:szCs w:val="24"/>
          <w:highlight w:val="none"/>
          <w:u w:val="single"/>
          <w:lang w:val="en-US" w:eastAsia="zh-CN" w:bidi="zh-CN"/>
        </w:rPr>
        <w:t xml:space="preserve"> 2</w:t>
      </w:r>
      <w:r>
        <w:rPr>
          <w:rFonts w:hint="eastAsia" w:ascii="宋体" w:hAnsi="宋体" w:eastAsia="宋体" w:cs="宋体"/>
          <w:color w:val="auto"/>
          <w:kern w:val="2"/>
          <w:sz w:val="24"/>
          <w:szCs w:val="24"/>
          <w:highlight w:val="none"/>
          <w:lang w:val="zh-CN" w:eastAsia="zh-CN" w:bidi="zh-CN"/>
        </w:rPr>
        <w:t>天。</w:t>
      </w:r>
    </w:p>
    <w:p w14:paraId="0D60615B">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造成工程损坏的冰雹和大雪灾害；</w:t>
      </w:r>
    </w:p>
    <w:p w14:paraId="20F3CDBE">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3 </w:t>
      </w:r>
      <w:r>
        <w:rPr>
          <w:rFonts w:hint="eastAsia" w:ascii="宋体" w:hAnsi="宋体" w:eastAsia="宋体" w:cs="宋体"/>
          <w:color w:val="auto"/>
          <w:kern w:val="2"/>
          <w:sz w:val="24"/>
          <w:szCs w:val="24"/>
          <w:highlight w:val="none"/>
          <w:lang w:val="zh-CN" w:eastAsia="zh-CN" w:bidi="zh-CN"/>
        </w:rPr>
        <w:t>级以上的地震；</w:t>
      </w:r>
    </w:p>
    <w:p w14:paraId="29B03BD7">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u w:val="single"/>
          <w:lang w:val="en-US" w:eastAsia="zh-CN" w:bidi="zh-CN"/>
        </w:rPr>
        <w:t xml:space="preserve"> 50 </w:t>
      </w:r>
      <w:r>
        <w:rPr>
          <w:rFonts w:hint="eastAsia" w:ascii="宋体" w:hAnsi="宋体" w:eastAsia="宋体" w:cs="宋体"/>
          <w:color w:val="auto"/>
          <w:kern w:val="2"/>
          <w:sz w:val="24"/>
          <w:szCs w:val="24"/>
          <w:highlight w:val="none"/>
          <w:lang w:val="zh-CN" w:eastAsia="zh-CN" w:bidi="zh-CN"/>
        </w:rPr>
        <w:t>年一遇及以上的洪水；</w:t>
      </w:r>
    </w:p>
    <w:p w14:paraId="06D83890">
      <w:pPr>
        <w:pageBreakBefore w:val="0"/>
        <w:widowControl w:val="0"/>
        <w:numPr>
          <w:ilvl w:val="0"/>
          <w:numId w:val="42"/>
        </w:numPr>
        <w:tabs>
          <w:tab w:val="left" w:pos="903"/>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其他异常恶劣气候灾害。</w:t>
      </w:r>
    </w:p>
    <w:p w14:paraId="0773299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11.5承包人工期延误</w:t>
      </w:r>
    </w:p>
    <w:p w14:paraId="7019A6DE">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(1)逾期完工违约金表(参考格式)</w:t>
      </w:r>
    </w:p>
    <w:tbl>
      <w:tblPr>
        <w:tblStyle w:val="27"/>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576"/>
        <w:gridCol w:w="3255"/>
        <w:gridCol w:w="2980"/>
        <w:gridCol w:w="1541"/>
      </w:tblGrid>
      <w:tr w14:paraId="6E0C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1" w:hRule="exact"/>
          <w:jc w:val="center"/>
        </w:trPr>
        <w:tc>
          <w:tcPr>
            <w:tcW w:w="576" w:type="dxa"/>
            <w:shd w:val="clear" w:color="auto" w:fill="FFFFFF"/>
            <w:noWrap w:val="0"/>
            <w:vAlign w:val="center"/>
          </w:tcPr>
          <w:p w14:paraId="1721999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255" w:type="dxa"/>
            <w:shd w:val="clear" w:color="auto" w:fill="FFFFFF"/>
            <w:noWrap w:val="0"/>
            <w:vAlign w:val="center"/>
          </w:tcPr>
          <w:p w14:paraId="77DEF230">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项目及其说明</w:t>
            </w:r>
          </w:p>
        </w:tc>
        <w:tc>
          <w:tcPr>
            <w:tcW w:w="2980" w:type="dxa"/>
            <w:shd w:val="clear" w:color="auto" w:fill="FFFFFF"/>
            <w:noWrap w:val="0"/>
            <w:vAlign w:val="center"/>
          </w:tcPr>
          <w:p w14:paraId="10AB5FA3">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要求完工日期</w:t>
            </w:r>
          </w:p>
        </w:tc>
        <w:tc>
          <w:tcPr>
            <w:tcW w:w="1541" w:type="dxa"/>
            <w:shd w:val="clear" w:color="auto" w:fill="FFFFFF"/>
            <w:noWrap w:val="0"/>
            <w:vAlign w:val="center"/>
          </w:tcPr>
          <w:p w14:paraId="4C497C61">
            <w:pPr>
              <w:pStyle w:val="5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违约金(元/天)</w:t>
            </w:r>
          </w:p>
        </w:tc>
      </w:tr>
      <w:tr w14:paraId="102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89" w:hRule="exact"/>
          <w:jc w:val="center"/>
        </w:trPr>
        <w:tc>
          <w:tcPr>
            <w:tcW w:w="576" w:type="dxa"/>
            <w:shd w:val="clear" w:color="auto" w:fill="FFFFFF"/>
            <w:noWrap w:val="0"/>
            <w:vAlign w:val="center"/>
          </w:tcPr>
          <w:p w14:paraId="1F33F9F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255" w:type="dxa"/>
            <w:shd w:val="clear" w:color="auto" w:fill="FFFFFF"/>
            <w:noWrap w:val="0"/>
            <w:vAlign w:val="center"/>
          </w:tcPr>
          <w:p w14:paraId="0ED47F3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工程完工</w:t>
            </w:r>
          </w:p>
        </w:tc>
        <w:tc>
          <w:tcPr>
            <w:tcW w:w="2980" w:type="dxa"/>
            <w:shd w:val="clear" w:color="auto" w:fill="FFFFFF"/>
            <w:noWrap w:val="0"/>
            <w:vAlign w:val="center"/>
          </w:tcPr>
          <w:p w14:paraId="7065DF2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工期</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日历天，开工日期以监理人签发的开工令为准</w:t>
            </w:r>
          </w:p>
        </w:tc>
        <w:tc>
          <w:tcPr>
            <w:tcW w:w="1541" w:type="dxa"/>
            <w:shd w:val="clear" w:color="auto" w:fill="FFFFFF"/>
            <w:noWrap w:val="0"/>
            <w:vAlign w:val="center"/>
          </w:tcPr>
          <w:p w14:paraId="045AC9C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1000</w:t>
            </w:r>
          </w:p>
        </w:tc>
      </w:tr>
    </w:tbl>
    <w:p w14:paraId="3E4FD0B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sz w:val="24"/>
          <w:szCs w:val="24"/>
          <w:highlight w:val="none"/>
        </w:rPr>
      </w:pPr>
    </w:p>
    <w:p w14:paraId="1CC4245C">
      <w:pPr>
        <w:pageBreakBefore w:val="0"/>
        <w:widowControl w:val="0"/>
        <w:tabs>
          <w:tab w:val="left" w:pos="7999"/>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承包人如未能按上表各节点要求的完工日期前完工，逾期完工违约金按</w:t>
      </w:r>
      <w:r>
        <w:rPr>
          <w:rFonts w:hint="eastAsia" w:ascii="宋体" w:hAnsi="宋体" w:eastAsia="宋体" w:cs="宋体"/>
          <w:color w:val="auto"/>
          <w:kern w:val="2"/>
          <w:sz w:val="24"/>
          <w:szCs w:val="24"/>
          <w:highlight w:val="none"/>
          <w:u w:val="single"/>
          <w:lang w:val="en-US" w:eastAsia="zh-CN" w:bidi="zh-CN"/>
        </w:rPr>
        <w:t xml:space="preserve">   1000  </w:t>
      </w:r>
      <w:r>
        <w:rPr>
          <w:rFonts w:hint="eastAsia" w:ascii="宋体" w:hAnsi="宋体" w:eastAsia="宋体" w:cs="宋体"/>
          <w:color w:val="auto"/>
          <w:kern w:val="2"/>
          <w:sz w:val="24"/>
          <w:szCs w:val="24"/>
          <w:highlight w:val="none"/>
          <w:lang w:val="zh-CN" w:eastAsia="zh-CN" w:bidi="zh-CN"/>
        </w:rPr>
        <w:t>元/ 天</w:t>
      </w:r>
      <w:r>
        <w:rPr>
          <w:rFonts w:hint="eastAsia" w:ascii="宋体" w:hAnsi="宋体" w:eastAsia="宋体" w:cs="宋体"/>
          <w:i/>
          <w:iCs/>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计算。</w:t>
      </w:r>
    </w:p>
    <w:p w14:paraId="2055E180">
      <w:pPr>
        <w:pageBreakBefore w:val="0"/>
        <w:widowControl w:val="0"/>
        <w:numPr>
          <w:ilvl w:val="0"/>
          <w:numId w:val="43"/>
        </w:numPr>
        <w:tabs>
          <w:tab w:val="left" w:pos="922"/>
          <w:tab w:val="left" w:pos="6190"/>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全部逾期完工违约金的总限额不超过合同总价的</w:t>
      </w:r>
      <w:r>
        <w:rPr>
          <w:rFonts w:hint="eastAsia" w:ascii="宋体" w:hAnsi="宋体" w:eastAsia="宋体" w:cs="宋体"/>
          <w:color w:val="auto"/>
          <w:kern w:val="2"/>
          <w:sz w:val="24"/>
          <w:szCs w:val="24"/>
          <w:highlight w:val="none"/>
          <w:u w:val="single"/>
          <w:lang w:val="en-US" w:eastAsia="zh-CN" w:bidi="zh-CN"/>
        </w:rPr>
        <w:t xml:space="preserve">  5 </w:t>
      </w:r>
      <w:r>
        <w:rPr>
          <w:rFonts w:hint="eastAsia" w:ascii="宋体" w:hAnsi="宋体" w:eastAsia="宋体" w:cs="宋体"/>
          <w:color w:val="auto"/>
          <w:kern w:val="2"/>
          <w:sz w:val="24"/>
          <w:szCs w:val="24"/>
          <w:highlight w:val="none"/>
          <w:lang w:val="zh-CN" w:eastAsia="zh-CN" w:bidi="zh-CN"/>
        </w:rPr>
        <w:t>%,发包人可从应向承包人支付的任何金额中扣除此项违约金或以其他方式收回此款，此违约金的支付并不能免除承包人应完成工程的责任或合同规定的其他责任。</w:t>
      </w:r>
    </w:p>
    <w:p w14:paraId="17A2100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11.6工期提前</w:t>
      </w:r>
    </w:p>
    <w:p w14:paraId="25F14147">
      <w:pPr>
        <w:pageBreakBefore w:val="0"/>
        <w:widowControl w:val="0"/>
        <w:tabs>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工期提前的资金约定：</w:t>
      </w:r>
      <w:r>
        <w:rPr>
          <w:rFonts w:hint="eastAsia" w:ascii="宋体" w:hAnsi="宋体" w:eastAsia="宋体" w:cs="宋体"/>
          <w:color w:val="auto"/>
          <w:kern w:val="2"/>
          <w:sz w:val="24"/>
          <w:szCs w:val="24"/>
          <w:highlight w:val="none"/>
          <w:u w:val="single"/>
          <w:lang w:val="zh-CN" w:eastAsia="zh-CN" w:bidi="zh-CN"/>
        </w:rPr>
        <w:t xml:space="preserve">在保证工程质量的前提下，发包人鼓励承包人提前完工，但本合同工程无提前工期奖金 </w:t>
      </w:r>
      <w:r>
        <w:rPr>
          <w:rFonts w:hint="eastAsia" w:ascii="宋体" w:hAnsi="宋体" w:eastAsia="宋体" w:cs="宋体"/>
          <w:color w:val="auto"/>
          <w:kern w:val="2"/>
          <w:sz w:val="24"/>
          <w:szCs w:val="24"/>
          <w:highlight w:val="none"/>
          <w:lang w:val="en-US" w:eastAsia="zh-CN" w:bidi="en-US"/>
        </w:rPr>
        <w:t>。</w:t>
      </w:r>
    </w:p>
    <w:p w14:paraId="3F0336AB">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6" w:name="_Toc2378"/>
      <w:r>
        <w:rPr>
          <w:rFonts w:hint="eastAsia" w:ascii="宋体" w:hAnsi="宋体" w:eastAsia="宋体" w:cs="宋体"/>
          <w:color w:val="auto"/>
          <w:kern w:val="2"/>
          <w:sz w:val="24"/>
          <w:szCs w:val="24"/>
          <w:highlight w:val="none"/>
          <w:lang w:val="en-US" w:eastAsia="zh-CN" w:bidi="ar-SA"/>
        </w:rPr>
        <w:t>12. 暂停施工</w:t>
      </w:r>
      <w:bookmarkEnd w:id="256"/>
    </w:p>
    <w:p w14:paraId="2EC0905A">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12.1承包人暂停施工的责任</w:t>
      </w:r>
    </w:p>
    <w:p w14:paraId="5AE21EE0">
      <w:pPr>
        <w:keepNext w:val="0"/>
        <w:keepLines w:val="0"/>
        <w:pageBreakBefore w:val="0"/>
        <w:widowControl w:val="0"/>
        <w:tabs>
          <w:tab w:val="left" w:pos="8220"/>
        </w:tabs>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en-US" w:eastAsia="zh-CN" w:bidi="zh-CN"/>
        </w:rPr>
        <w:t>承包人承担暂停施工责任的其它情形： 由于承包人资金、人员、材料、设备不能按时到位的由承包人承担停工责任，或由于承包人原因造成的质量事故及安全事故或</w:t>
      </w:r>
      <w:r>
        <w:rPr>
          <w:rFonts w:hint="eastAsia" w:ascii="宋体" w:hAnsi="宋体" w:eastAsia="宋体" w:cs="宋体"/>
          <w:b/>
          <w:bCs/>
          <w:color w:val="auto"/>
          <w:kern w:val="2"/>
          <w:sz w:val="24"/>
          <w:szCs w:val="24"/>
          <w:highlight w:val="none"/>
          <w:u w:val="single"/>
          <w:lang w:val="en-US" w:eastAsia="zh-CN" w:bidi="zh-CN"/>
        </w:rPr>
        <w:t>由于承包人原因造成的其他不利影响</w:t>
      </w:r>
      <w:r>
        <w:rPr>
          <w:rFonts w:hint="eastAsia" w:ascii="宋体" w:hAnsi="宋体" w:eastAsia="宋体" w:cs="宋体"/>
          <w:color w:val="auto"/>
          <w:kern w:val="2"/>
          <w:sz w:val="24"/>
          <w:szCs w:val="24"/>
          <w:highlight w:val="none"/>
          <w:u w:val="single"/>
          <w:lang w:val="en-US" w:eastAsia="zh-CN" w:bidi="zh-CN"/>
        </w:rPr>
        <w:t>引起的暂停施工，发包人不再补偿停工所造成的工程费用增加和工期延误。</w:t>
      </w:r>
    </w:p>
    <w:p w14:paraId="3B6A9068">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12.2发包人暂停施工的责任</w:t>
      </w:r>
    </w:p>
    <w:p w14:paraId="3609B26D">
      <w:pPr>
        <w:pageBreakBefore w:val="0"/>
        <w:widowControl w:val="0"/>
        <w:numPr>
          <w:ilvl w:val="0"/>
          <w:numId w:val="43"/>
        </w:numPr>
        <w:tabs>
          <w:tab w:val="left" w:pos="923"/>
          <w:tab w:val="left" w:pos="82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发包人承担暂停施工责任的其它情形：</w:t>
      </w:r>
      <w:r>
        <w:rPr>
          <w:rFonts w:hint="eastAsia" w:ascii="宋体" w:hAnsi="宋体" w:eastAsia="宋体" w:cs="宋体"/>
          <w:color w:val="auto"/>
          <w:kern w:val="2"/>
          <w:sz w:val="24"/>
          <w:szCs w:val="24"/>
          <w:highlight w:val="none"/>
          <w:u w:val="single"/>
          <w:lang w:val="zh-CN" w:eastAsia="zh-CN" w:bidi="zh-CN"/>
        </w:rPr>
        <w:t xml:space="preserve"> 如因发包人原因导致的停工，工期应顺延</w:t>
      </w:r>
      <w:r>
        <w:rPr>
          <w:rFonts w:hint="eastAsia" w:ascii="宋体" w:hAnsi="宋体" w:eastAsia="宋体" w:cs="宋体"/>
          <w:color w:val="auto"/>
          <w:kern w:val="2"/>
          <w:sz w:val="24"/>
          <w:szCs w:val="24"/>
          <w:highlight w:val="none"/>
          <w:lang w:val="en-US" w:eastAsia="zh-CN" w:bidi="en-US"/>
        </w:rPr>
        <w:t>。</w:t>
      </w:r>
    </w:p>
    <w:p w14:paraId="5F51BF1C">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7" w:name="_Toc862"/>
      <w:r>
        <w:rPr>
          <w:rFonts w:hint="eastAsia" w:ascii="宋体" w:hAnsi="宋体" w:eastAsia="宋体" w:cs="宋体"/>
          <w:color w:val="auto"/>
          <w:kern w:val="2"/>
          <w:sz w:val="24"/>
          <w:szCs w:val="24"/>
          <w:highlight w:val="none"/>
          <w:lang w:val="en-US" w:eastAsia="zh-CN" w:bidi="ar-SA"/>
        </w:rPr>
        <w:t>13. 工程质量</w:t>
      </w:r>
      <w:bookmarkEnd w:id="257"/>
    </w:p>
    <w:p w14:paraId="378EE33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13.7质量评定</w:t>
      </w:r>
    </w:p>
    <w:p w14:paraId="7BAA8964">
      <w:pPr>
        <w:pageBreakBefore w:val="0"/>
        <w:widowControl w:val="0"/>
        <w:tabs>
          <w:tab w:val="left" w:pos="82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13.7.4</w:t>
      </w:r>
      <w:r>
        <w:rPr>
          <w:rFonts w:hint="eastAsia" w:ascii="宋体" w:hAnsi="宋体" w:eastAsia="宋体" w:cs="宋体"/>
          <w:color w:val="auto"/>
          <w:kern w:val="2"/>
          <w:sz w:val="24"/>
          <w:szCs w:val="24"/>
          <w:highlight w:val="none"/>
          <w:lang w:val="zh-CN" w:eastAsia="zh-CN" w:bidi="zh-CN"/>
        </w:rPr>
        <w:t>重要隐蔽单元工程和关键部位单元工程质量评定的约定：</w:t>
      </w:r>
      <w:r>
        <w:rPr>
          <w:rFonts w:hint="eastAsia" w:ascii="宋体" w:hAnsi="宋体" w:eastAsia="宋体" w:cs="宋体"/>
          <w:color w:val="auto"/>
          <w:kern w:val="2"/>
          <w:sz w:val="24"/>
          <w:szCs w:val="24"/>
          <w:highlight w:val="none"/>
          <w:u w:val="single"/>
          <w:lang w:val="zh-CN" w:eastAsia="zh-CN" w:bidi="zh-CN"/>
        </w:rPr>
        <w:t xml:space="preserve"> 经建设单位、施工单位、 监理单位、设计单位联检合格后才能进行下一道工序的施工 </w:t>
      </w:r>
      <w:r>
        <w:rPr>
          <w:rFonts w:hint="eastAsia" w:ascii="宋体" w:hAnsi="宋体" w:eastAsia="宋体" w:cs="宋体"/>
          <w:color w:val="auto"/>
          <w:kern w:val="2"/>
          <w:sz w:val="24"/>
          <w:szCs w:val="24"/>
          <w:highlight w:val="none"/>
          <w:lang w:val="en-US" w:eastAsia="zh-CN" w:bidi="en-US"/>
        </w:rPr>
        <w:t>。</w:t>
      </w:r>
    </w:p>
    <w:p w14:paraId="50F3515D">
      <w:pPr>
        <w:pageBreakBefore w:val="0"/>
        <w:widowControl w:val="0"/>
        <w:tabs>
          <w:tab w:val="left" w:pos="3751"/>
          <w:tab w:val="left" w:pos="4834"/>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13.7.7 </w:t>
      </w:r>
      <w:r>
        <w:rPr>
          <w:rFonts w:hint="eastAsia" w:ascii="宋体" w:hAnsi="宋体" w:eastAsia="宋体" w:cs="宋体"/>
          <w:color w:val="auto"/>
          <w:kern w:val="2"/>
          <w:sz w:val="24"/>
          <w:szCs w:val="24"/>
          <w:highlight w:val="none"/>
          <w:lang w:val="zh-CN" w:eastAsia="zh-CN" w:bidi="zh-CN"/>
        </w:rPr>
        <w:t>工程合格标准为：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按《水利水电建设工程验收规程》（SL/T223—2025)进行质量检验评定，施工质量达到合格等级 </w:t>
      </w:r>
      <w:r>
        <w:rPr>
          <w:rFonts w:hint="eastAsia" w:ascii="宋体" w:hAnsi="宋体" w:eastAsia="宋体" w:cs="宋体"/>
          <w:color w:val="auto"/>
          <w:kern w:val="2"/>
          <w:sz w:val="24"/>
          <w:szCs w:val="24"/>
          <w:highlight w:val="none"/>
          <w:lang w:val="zh-CN" w:eastAsia="zh-CN" w:bidi="zh-CN"/>
        </w:rPr>
        <w:t>；优良标准为：</w:t>
      </w:r>
      <w:r>
        <w:rPr>
          <w:rFonts w:hint="eastAsia" w:ascii="宋体" w:hAnsi="宋体" w:eastAsia="宋体" w:cs="宋体"/>
          <w:color w:val="auto"/>
          <w:kern w:val="2"/>
          <w:sz w:val="24"/>
          <w:szCs w:val="24"/>
          <w:highlight w:val="none"/>
          <w:u w:val="single"/>
          <w:lang w:val="zh-CN" w:eastAsia="zh-CN" w:bidi="zh-CN"/>
        </w:rPr>
        <w:t xml:space="preserve"> 按《水利水电建设工程验收规程》（SL/T223—2025)进行质量检验评定，施工质量达到优良等级</w:t>
      </w:r>
      <w:r>
        <w:rPr>
          <w:rFonts w:hint="eastAsia" w:ascii="宋体" w:hAnsi="宋体" w:eastAsia="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达到优良的奖金为：</w:t>
      </w:r>
      <w:r>
        <w:rPr>
          <w:rFonts w:hint="eastAsia" w:ascii="宋体" w:hAnsi="宋体" w:eastAsia="宋体" w:cs="宋体"/>
          <w:color w:val="auto"/>
          <w:kern w:val="2"/>
          <w:sz w:val="24"/>
          <w:szCs w:val="24"/>
          <w:highlight w:val="none"/>
          <w:u w:val="single"/>
          <w:lang w:val="zh-CN" w:eastAsia="zh-CN" w:bidi="zh-CN"/>
        </w:rPr>
        <w:t xml:space="preserve"> 无  </w:t>
      </w:r>
      <w:r>
        <w:rPr>
          <w:rFonts w:hint="eastAsia" w:ascii="宋体" w:hAnsi="宋体" w:eastAsia="宋体" w:cs="宋体"/>
          <w:color w:val="auto"/>
          <w:kern w:val="2"/>
          <w:sz w:val="24"/>
          <w:szCs w:val="24"/>
          <w:highlight w:val="none"/>
          <w:lang w:val="en-US" w:eastAsia="zh-CN" w:bidi="en-US"/>
        </w:rPr>
        <w:t>。</w:t>
      </w:r>
    </w:p>
    <w:p w14:paraId="0D9D5C8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13.8质量事故处理</w:t>
      </w:r>
    </w:p>
    <w:p w14:paraId="1A7F8BD8">
      <w:pPr>
        <w:pageBreakBefore w:val="0"/>
        <w:widowControl w:val="0"/>
        <w:tabs>
          <w:tab w:val="left" w:pos="481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13.8.4</w:t>
      </w:r>
      <w:r>
        <w:rPr>
          <w:rFonts w:hint="eastAsia" w:ascii="宋体" w:hAnsi="宋体" w:eastAsia="宋体" w:cs="宋体"/>
          <w:color w:val="auto"/>
          <w:kern w:val="2"/>
          <w:sz w:val="24"/>
          <w:szCs w:val="24"/>
          <w:highlight w:val="none"/>
          <w:lang w:val="zh-CN" w:eastAsia="zh-CN" w:bidi="zh-CN"/>
        </w:rPr>
        <w:t>工程竣工验收时，</w:t>
      </w:r>
      <w:r>
        <w:rPr>
          <w:rFonts w:hint="eastAsia" w:ascii="宋体" w:hAnsi="宋体" w:eastAsia="宋体" w:cs="宋体"/>
          <w:color w:val="auto"/>
          <w:kern w:val="2"/>
          <w:sz w:val="24"/>
          <w:szCs w:val="24"/>
          <w:highlight w:val="none"/>
          <w:u w:val="single"/>
          <w:lang w:val="en-US" w:eastAsia="zh-CN" w:bidi="zh-CN"/>
        </w:rPr>
        <w:t xml:space="preserve">  项目法人    </w:t>
      </w:r>
      <w:r>
        <w:rPr>
          <w:rFonts w:hint="eastAsia" w:ascii="宋体" w:hAnsi="宋体" w:eastAsia="宋体" w:cs="宋体"/>
          <w:color w:val="auto"/>
          <w:kern w:val="2"/>
          <w:sz w:val="24"/>
          <w:szCs w:val="24"/>
          <w:highlight w:val="none"/>
          <w:lang w:val="zh-CN" w:eastAsia="zh-CN" w:bidi="zh-CN"/>
        </w:rPr>
        <w:t>向竣工验收委员会汇报并提交历次质量缺陷处理的备案资料。</w:t>
      </w:r>
    </w:p>
    <w:p w14:paraId="7D84FA59">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58" w:name="_Toc30022"/>
      <w:bookmarkStart w:id="259" w:name="_Toc6407"/>
      <w:r>
        <w:rPr>
          <w:rFonts w:hint="eastAsia" w:ascii="宋体" w:hAnsi="宋体" w:eastAsia="宋体" w:cs="宋体"/>
          <w:color w:val="auto"/>
          <w:kern w:val="2"/>
          <w:sz w:val="24"/>
          <w:szCs w:val="24"/>
          <w:highlight w:val="none"/>
          <w:lang w:val="en-US" w:eastAsia="zh-CN" w:bidi="ar-SA"/>
        </w:rPr>
        <w:t>14 . 试验和检验</w:t>
      </w:r>
      <w:bookmarkEnd w:id="258"/>
      <w:bookmarkEnd w:id="259"/>
    </w:p>
    <w:p w14:paraId="4341C246">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14.1材料、工程设备和工程的试验和检验</w:t>
      </w:r>
    </w:p>
    <w:p w14:paraId="6A9EB1C3">
      <w:pPr>
        <w:pageBreakBefore w:val="0"/>
        <w:widowControl w:val="0"/>
        <w:tabs>
          <w:tab w:val="left" w:pos="207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14.1.5</w:t>
      </w:r>
      <w:r>
        <w:rPr>
          <w:rFonts w:hint="eastAsia" w:ascii="宋体" w:hAnsi="宋体" w:eastAsia="宋体" w:cs="宋体"/>
          <w:color w:val="auto"/>
          <w:kern w:val="2"/>
          <w:sz w:val="24"/>
          <w:szCs w:val="24"/>
          <w:highlight w:val="none"/>
          <w:lang w:val="zh-CN" w:eastAsia="zh-CN" w:bidi="zh-CN"/>
        </w:rPr>
        <w:t>水工金属结构、启闭机及机电产品进场后的交货检查和验收中，承包人负责</w:t>
      </w:r>
      <w:r>
        <w:rPr>
          <w:rFonts w:hint="eastAsia" w:ascii="宋体" w:hAnsi="宋体" w:eastAsia="宋体" w:cs="宋体"/>
          <w:color w:val="auto"/>
          <w:kern w:val="2"/>
          <w:sz w:val="24"/>
          <w:szCs w:val="24"/>
          <w:highlight w:val="none"/>
          <w:u w:val="single"/>
          <w:lang w:val="zh-CN" w:eastAsia="zh-CN" w:bidi="zh-CN"/>
        </w:rPr>
        <w:t>提供相关材料</w:t>
      </w:r>
      <w:r>
        <w:rPr>
          <w:rFonts w:hint="eastAsia" w:ascii="宋体" w:hAnsi="宋体" w:eastAsia="宋体" w:cs="宋体"/>
          <w:color w:val="auto"/>
          <w:kern w:val="2"/>
          <w:sz w:val="24"/>
          <w:szCs w:val="24"/>
          <w:highlight w:val="none"/>
          <w:u w:val="single"/>
          <w:lang w:val="zh-CN" w:eastAsia="zh-CN" w:bidi="zh-CN"/>
        </w:rPr>
        <w:tab/>
      </w:r>
      <w:r>
        <w:rPr>
          <w:rFonts w:hint="eastAsia" w:ascii="宋体" w:hAnsi="宋体" w:eastAsia="宋体" w:cs="宋体"/>
          <w:color w:val="auto"/>
          <w:kern w:val="2"/>
          <w:sz w:val="24"/>
          <w:szCs w:val="24"/>
          <w:highlight w:val="none"/>
          <w:lang w:val="en-US" w:eastAsia="zh-CN" w:bidi="en-US"/>
        </w:rPr>
        <w:t>。</w:t>
      </w:r>
    </w:p>
    <w:p w14:paraId="18F9B3E9">
      <w:pPr>
        <w:pageBreakBefore w:val="0"/>
        <w:widowControl w:val="0"/>
        <w:tabs>
          <w:tab w:val="left" w:pos="75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14.1.6</w:t>
      </w:r>
      <w:r>
        <w:rPr>
          <w:rFonts w:hint="eastAsia" w:ascii="宋体" w:hAnsi="宋体" w:eastAsia="宋体" w:cs="宋体"/>
          <w:color w:val="auto"/>
          <w:kern w:val="2"/>
          <w:sz w:val="24"/>
          <w:szCs w:val="24"/>
          <w:highlight w:val="none"/>
          <w:lang w:val="zh-CN" w:eastAsia="zh-CN" w:bidi="zh-CN"/>
        </w:rPr>
        <w:t>本工程实行见证取样的试块、试件及有关材料：</w:t>
      </w:r>
      <w:r>
        <w:rPr>
          <w:rFonts w:hint="eastAsia" w:ascii="宋体" w:hAnsi="宋体" w:eastAsia="宋体" w:cs="宋体"/>
          <w:color w:val="auto"/>
          <w:kern w:val="2"/>
          <w:sz w:val="24"/>
          <w:szCs w:val="24"/>
          <w:highlight w:val="none"/>
          <w:u w:val="single"/>
          <w:lang w:val="zh-CN" w:eastAsia="zh-CN" w:bidi="zh-CN"/>
        </w:rPr>
        <w:t>按通用条款执行</w:t>
      </w:r>
      <w:r>
        <w:rPr>
          <w:rFonts w:hint="eastAsia" w:ascii="宋体" w:hAnsi="宋体" w:eastAsia="宋体" w:cs="宋体"/>
          <w:color w:val="auto"/>
          <w:kern w:val="2"/>
          <w:sz w:val="24"/>
          <w:szCs w:val="24"/>
          <w:highlight w:val="none"/>
          <w:lang w:val="en-US" w:eastAsia="zh-CN" w:bidi="en-US"/>
        </w:rPr>
        <w:t>。</w:t>
      </w:r>
    </w:p>
    <w:p w14:paraId="0A1386C8">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0" w:name="_Toc12563"/>
      <w:r>
        <w:rPr>
          <w:rFonts w:hint="eastAsia" w:ascii="宋体" w:hAnsi="宋体" w:eastAsia="宋体" w:cs="宋体"/>
          <w:color w:val="auto"/>
          <w:kern w:val="2"/>
          <w:sz w:val="24"/>
          <w:szCs w:val="24"/>
          <w:highlight w:val="none"/>
          <w:lang w:val="en-US" w:eastAsia="zh-CN" w:bidi="ar-SA"/>
        </w:rPr>
        <w:t>15. 变更</w:t>
      </w:r>
      <w:bookmarkEnd w:id="260"/>
    </w:p>
    <w:p w14:paraId="7CA984A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15.1变更的范围和内容</w:t>
      </w:r>
    </w:p>
    <w:p w14:paraId="0DDF7C40">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cs="宋体"/>
          <w:color w:val="auto"/>
          <w:kern w:val="2"/>
          <w:sz w:val="24"/>
          <w:szCs w:val="24"/>
          <w:highlight w:val="none"/>
          <w:lang w:val="en-US" w:eastAsia="zh-CN" w:bidi="en-US"/>
        </w:rPr>
        <w:t>☑</w:t>
      </w: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zh-CN"/>
        </w:rPr>
        <w:t>6</w:t>
      </w:r>
      <w:r>
        <w:rPr>
          <w:rFonts w:hint="eastAsia" w:ascii="宋体" w:hAnsi="宋体" w:eastAsia="宋体" w:cs="宋体"/>
          <w:color w:val="auto"/>
          <w:kern w:val="2"/>
          <w:sz w:val="24"/>
          <w:szCs w:val="24"/>
          <w:highlight w:val="none"/>
          <w:lang w:val="zh-CN" w:eastAsia="zh-CN" w:bidi="zh-CN"/>
        </w:rPr>
        <w:t>）增加或减少合同中关键项目的工程量，需发包人、监理人签字签证，并且不得超过总工程量的10%，</w:t>
      </w:r>
      <w:r>
        <w:rPr>
          <w:rFonts w:hint="eastAsia" w:ascii="宋体" w:hAnsi="宋体" w:cs="宋体"/>
          <w:color w:val="auto"/>
          <w:kern w:val="2"/>
          <w:sz w:val="24"/>
          <w:szCs w:val="24"/>
          <w:highlight w:val="none"/>
          <w:lang w:val="en-US" w:eastAsia="zh-CN" w:bidi="zh-CN"/>
        </w:rPr>
        <w:t>以</w:t>
      </w:r>
      <w:r>
        <w:rPr>
          <w:rFonts w:hint="eastAsia" w:ascii="宋体" w:hAnsi="宋体" w:eastAsia="宋体" w:cs="宋体"/>
          <w:color w:val="auto"/>
          <w:kern w:val="2"/>
          <w:sz w:val="24"/>
          <w:szCs w:val="24"/>
          <w:highlight w:val="none"/>
          <w:lang w:val="zh-CN" w:eastAsia="zh-CN" w:bidi="zh-CN"/>
        </w:rPr>
        <w:t>最终结算财评为准</w:t>
      </w: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zh-CN" w:eastAsia="zh-CN" w:bidi="zh-CN"/>
        </w:rPr>
        <w:t>单价调整方式：</w:t>
      </w:r>
      <w:r>
        <w:rPr>
          <w:rFonts w:hint="eastAsia" w:ascii="宋体" w:hAnsi="宋体" w:eastAsia="宋体" w:cs="宋体"/>
          <w:color w:val="auto"/>
          <w:kern w:val="2"/>
          <w:sz w:val="24"/>
          <w:szCs w:val="24"/>
          <w:highlight w:val="none"/>
          <w:u w:val="single"/>
          <w:lang w:val="zh-CN" w:eastAsia="zh-CN" w:bidi="zh-CN"/>
        </w:rPr>
        <w:t>按有关规定</w:t>
      </w:r>
      <w:r>
        <w:rPr>
          <w:rFonts w:hint="eastAsia" w:ascii="宋体" w:hAnsi="宋体" w:eastAsia="宋体" w:cs="宋体"/>
          <w:color w:val="auto"/>
          <w:kern w:val="2"/>
          <w:sz w:val="24"/>
          <w:szCs w:val="24"/>
          <w:highlight w:val="none"/>
          <w:lang w:val="en-US" w:eastAsia="zh-CN" w:bidi="en-US"/>
        </w:rPr>
        <w:t>。</w:t>
      </w:r>
    </w:p>
    <w:p w14:paraId="1DA1BE19">
      <w:pPr>
        <w:pageBreakBefore w:val="0"/>
        <w:widowControl w:val="0"/>
        <w:tabs>
          <w:tab w:val="left" w:pos="2244"/>
          <w:tab w:val="left" w:pos="5791"/>
          <w:tab w:val="left" w:pos="722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sym w:font="Wingdings 2" w:char="00A3"/>
      </w:r>
      <w:r>
        <w:rPr>
          <w:rFonts w:hint="eastAsia" w:ascii="宋体" w:hAnsi="宋体" w:eastAsia="宋体" w:cs="宋体"/>
          <w:color w:val="auto"/>
          <w:kern w:val="2"/>
          <w:sz w:val="24"/>
          <w:szCs w:val="24"/>
          <w:highlight w:val="none"/>
          <w:lang w:val="en-US" w:eastAsia="zh-CN" w:bidi="en-US"/>
        </w:rPr>
        <w:t>（6）本合同工程不因增加或减少合同工程量而调整合同单价。</w:t>
      </w:r>
    </w:p>
    <w:p w14:paraId="0F67C943">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15.4变更的估价原则</w:t>
      </w:r>
    </w:p>
    <w:p w14:paraId="324FFFA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15.4.3</w:t>
      </w:r>
      <w:r>
        <w:rPr>
          <w:rFonts w:hint="eastAsia" w:ascii="宋体" w:hAnsi="宋体" w:eastAsia="宋体" w:cs="宋体"/>
          <w:color w:val="auto"/>
          <w:kern w:val="2"/>
          <w:sz w:val="24"/>
          <w:szCs w:val="24"/>
          <w:highlight w:val="none"/>
          <w:lang w:val="zh-CN" w:eastAsia="zh-CN" w:bidi="zh-CN"/>
        </w:rPr>
        <w:t>已标价工程量清单中无适用或类似子目的单价，按照以下原则确定：</w:t>
      </w:r>
    </w:p>
    <w:p w14:paraId="38B917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①有定额可套的，套用编制控制价所选定额计算，并乘以中标价下浮系数(中标价下浮系数为中标价与控制价的比值)，其中材料价格有信息价的按当地同期信息价，无信息的由发包人、承包人、监理人市场询价确定。</w:t>
      </w:r>
    </w:p>
    <w:p w14:paraId="0DB31F95">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②无定额可套的，由发包人、承包人、监理人市场询价确定。</w:t>
      </w:r>
    </w:p>
    <w:p w14:paraId="4EF129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15.5承包人的合理化建议</w:t>
      </w:r>
    </w:p>
    <w:p w14:paraId="4DE20B68">
      <w:pPr>
        <w:pageBreakBefore w:val="0"/>
        <w:widowControl w:val="0"/>
        <w:tabs>
          <w:tab w:val="left" w:pos="841"/>
          <w:tab w:val="left" w:pos="666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15.5. </w:t>
      </w:r>
      <w:r>
        <w:rPr>
          <w:rFonts w:hint="eastAsia" w:ascii="宋体" w:hAnsi="宋体" w:eastAsia="宋体" w:cs="宋体"/>
          <w:color w:val="auto"/>
          <w:kern w:val="2"/>
          <w:sz w:val="24"/>
          <w:szCs w:val="24"/>
          <w:highlight w:val="none"/>
          <w:lang w:val="zh-CN" w:eastAsia="zh-CN" w:bidi="zh-CN"/>
        </w:rPr>
        <w:t xml:space="preserve">2承包人实现合理化建议的奖励金额为： </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7CFB21B0">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1" w:name="_Toc29519"/>
      <w:r>
        <w:rPr>
          <w:rFonts w:hint="eastAsia" w:ascii="宋体" w:hAnsi="宋体" w:eastAsia="宋体" w:cs="宋体"/>
          <w:color w:val="auto"/>
          <w:kern w:val="2"/>
          <w:sz w:val="24"/>
          <w:szCs w:val="24"/>
          <w:highlight w:val="none"/>
          <w:lang w:val="en-US" w:eastAsia="zh-CN" w:bidi="ar-SA"/>
        </w:rPr>
        <w:t>16 .价格调整</w:t>
      </w:r>
      <w:bookmarkEnd w:id="261"/>
    </w:p>
    <w:p w14:paraId="0E1C90B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16.1物价波动引起的价格调整</w:t>
      </w:r>
    </w:p>
    <w:p w14:paraId="6DAA566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口本项目不因为物价波动原因引起合同价格变动而调整。</w:t>
      </w:r>
    </w:p>
    <w:p w14:paraId="59A2C24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52"/>
      </w:r>
      <w:r>
        <w:rPr>
          <w:rFonts w:hint="eastAsia" w:ascii="宋体" w:hAnsi="宋体" w:eastAsia="宋体" w:cs="宋体"/>
          <w:color w:val="auto"/>
          <w:kern w:val="2"/>
          <w:sz w:val="24"/>
          <w:szCs w:val="24"/>
          <w:highlight w:val="none"/>
          <w:lang w:val="zh-CN" w:eastAsia="zh-CN" w:bidi="zh-CN"/>
        </w:rPr>
        <w:t>本项目由于物价波动原因引起合同价格变动时，对其价格按下列方式进行调整。</w:t>
      </w:r>
    </w:p>
    <w:p w14:paraId="2BFE38F6">
      <w:pPr>
        <w:pageBreakBefore w:val="0"/>
        <w:widowControl w:val="0"/>
        <w:tabs>
          <w:tab w:val="left" w:pos="841"/>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16.1. </w:t>
      </w:r>
      <w:r>
        <w:rPr>
          <w:rFonts w:hint="eastAsia" w:ascii="宋体" w:hAnsi="宋体" w:eastAsia="宋体" w:cs="宋体"/>
          <w:color w:val="auto"/>
          <w:kern w:val="2"/>
          <w:sz w:val="24"/>
          <w:szCs w:val="24"/>
          <w:highlight w:val="none"/>
          <w:lang w:val="zh-CN" w:eastAsia="zh-CN" w:bidi="zh-CN"/>
        </w:rPr>
        <w:t>1物价波动引起的价格调整方式：</w:t>
      </w:r>
      <w:r>
        <w:rPr>
          <w:rFonts w:hint="eastAsia" w:ascii="宋体" w:hAnsi="宋体" w:eastAsia="宋体" w:cs="宋体"/>
          <w:color w:val="auto"/>
          <w:kern w:val="2"/>
          <w:sz w:val="24"/>
          <w:szCs w:val="24"/>
          <w:highlight w:val="none"/>
          <w:u w:val="single"/>
          <w:lang w:val="zh-CN" w:eastAsia="zh-CN" w:bidi="zh-CN"/>
        </w:rPr>
        <w:t>主要材料价格变化幅度超过±5%时，超过±5%的部分调整材料价差，并计列相应的税金</w:t>
      </w:r>
      <w:r>
        <w:rPr>
          <w:rFonts w:hint="eastAsia" w:ascii="宋体" w:hAnsi="宋体" w:eastAsia="宋体" w:cs="宋体"/>
          <w:color w:val="auto"/>
          <w:kern w:val="2"/>
          <w:sz w:val="24"/>
          <w:szCs w:val="24"/>
          <w:highlight w:val="none"/>
          <w:lang w:val="en-US" w:eastAsia="zh-CN" w:bidi="en-US"/>
        </w:rPr>
        <w:t>。</w:t>
      </w:r>
    </w:p>
    <w:p w14:paraId="6AEEF2AF">
      <w:pPr>
        <w:pageBreakBefore w:val="0"/>
        <w:widowControl w:val="0"/>
        <w:tabs>
          <w:tab w:val="left" w:pos="519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16. 1.2</w:t>
      </w:r>
      <w:r>
        <w:rPr>
          <w:rFonts w:hint="eastAsia" w:ascii="宋体" w:hAnsi="宋体" w:eastAsia="宋体" w:cs="宋体"/>
          <w:color w:val="auto"/>
          <w:kern w:val="2"/>
          <w:sz w:val="24"/>
          <w:szCs w:val="24"/>
          <w:highlight w:val="none"/>
          <w:lang w:val="zh-CN" w:eastAsia="zh-CN" w:bidi="zh-CN"/>
        </w:rPr>
        <w:t>调整价格的主要材料：</w:t>
      </w:r>
      <w:r>
        <w:rPr>
          <w:rFonts w:hint="eastAsia" w:ascii="宋体" w:hAnsi="宋体" w:eastAsia="宋体" w:cs="宋体"/>
          <w:color w:val="auto"/>
          <w:kern w:val="2"/>
          <w:sz w:val="24"/>
          <w:szCs w:val="24"/>
          <w:highlight w:val="none"/>
          <w:u w:val="single"/>
          <w:lang w:val="zh-CN" w:eastAsia="zh-CN" w:bidi="zh-CN"/>
        </w:rPr>
        <w:t>对超过±5%部分的价格调整，仅对市场上购买的水泥、钢筋、砂、石、镀锌管及PE管等管材进行补差，其它材料价格一律不予调整</w:t>
      </w:r>
      <w:r>
        <w:rPr>
          <w:rFonts w:hint="eastAsia" w:ascii="宋体" w:hAnsi="宋体" w:eastAsia="宋体" w:cs="宋体"/>
          <w:color w:val="auto"/>
          <w:kern w:val="2"/>
          <w:sz w:val="24"/>
          <w:szCs w:val="24"/>
          <w:highlight w:val="none"/>
          <w:lang w:val="en-US" w:eastAsia="zh-CN" w:bidi="en-US"/>
        </w:rPr>
        <w:t>。</w:t>
      </w:r>
    </w:p>
    <w:p w14:paraId="666BEC26">
      <w:pPr>
        <w:pageBreakBefore w:val="0"/>
        <w:widowControl w:val="0"/>
        <w:tabs>
          <w:tab w:val="left" w:pos="56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16.1.3</w:t>
      </w:r>
      <w:r>
        <w:rPr>
          <w:rFonts w:hint="eastAsia" w:ascii="宋体" w:hAnsi="宋体" w:eastAsia="宋体" w:cs="宋体"/>
          <w:color w:val="auto"/>
          <w:kern w:val="2"/>
          <w:sz w:val="24"/>
          <w:szCs w:val="24"/>
          <w:highlight w:val="none"/>
          <w:lang w:val="zh-CN" w:eastAsia="zh-CN" w:bidi="zh-CN"/>
        </w:rPr>
        <w:t xml:space="preserve">主要材料补差的计算方法： </w:t>
      </w:r>
    </w:p>
    <w:p w14:paraId="339DB55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position w:val="-34"/>
          <w:sz w:val="24"/>
          <w:szCs w:val="24"/>
          <w:highlight w:val="none"/>
          <w:lang w:val="zh-CN" w:eastAsia="zh-CN" w:bidi="zh-CN"/>
        </w:rPr>
        <w:object>
          <v:shape id="_x0000_i1026" o:spt="75" type="#_x0000_t75" style="height:49.5pt;width:324.05pt;" o:ole="t" filled="f" o:preferrelative="t" stroked="f" coordsize="21600,21600">
            <v:path/>
            <v:fill on="f" focussize="0,0"/>
            <v:stroke on="f"/>
            <v:imagedata r:id="rId24" embosscolor="#FFFFFF" o:title=""/>
            <o:lock v:ext="edit" grouping="f" rotation="f" text="f" aspectratio="t"/>
            <w10:wrap type="none"/>
            <w10:anchorlock/>
          </v:shape>
          <o:OLEObject Type="Embed" ProgID="Equation.3" ShapeID="_x0000_i1026" DrawAspect="Content" ObjectID="_1468075726" r:id="rId25">
            <o:LockedField>false</o:LockedField>
          </o:OLEObject>
        </w:object>
      </w:r>
    </w:p>
    <w:p w14:paraId="35BD802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p>
    <w:p w14:paraId="3067059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式中： △P -- 需调整的价格差额；</w:t>
      </w:r>
    </w:p>
    <w:p w14:paraId="263D095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P0 -- 约定的付款证书中承包人应得到的已完成工程量的金额。此项金额应不包括价格调整、不计质量保证金的扣留和支付、预付款的支付和扣回。约定的变更及其他金额已按现行价格计价的，也不计在内；</w:t>
      </w:r>
    </w:p>
    <w:p w14:paraId="182A028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A -- 定值权重(即不调部分的权重)；</w:t>
      </w:r>
    </w:p>
    <w:p w14:paraId="5B63A03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B1；B2；B3·····Bn -- 各可调因子的变值权重(即可调部分的权重)为各可调因子在投标函投标总报价中所占的比例；</w:t>
      </w:r>
    </w:p>
    <w:p w14:paraId="15BC629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Ft1；Ft2；Ft3·····Ftn -- 各可调因子的现行价格指数，施工期间《南宁建设工程造价信息》发布的隆安县价格；；</w:t>
      </w:r>
    </w:p>
    <w:p w14:paraId="7024747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Fo1；Fo2; Fo3·····Fon -- 各可调因子的基本价格指数，指基准日期的各可调因子的价格指数。</w:t>
      </w:r>
    </w:p>
    <w:p w14:paraId="7D998F0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16.1.4</w:t>
      </w:r>
      <w:r>
        <w:rPr>
          <w:rFonts w:hint="eastAsia" w:ascii="宋体" w:hAnsi="宋体" w:eastAsia="宋体" w:cs="宋体"/>
          <w:color w:val="auto"/>
          <w:kern w:val="2"/>
          <w:sz w:val="24"/>
          <w:szCs w:val="24"/>
          <w:highlight w:val="none"/>
          <w:lang w:val="zh-CN" w:eastAsia="zh-CN" w:bidi="zh-CN"/>
        </w:rPr>
        <w:t>采用造价信息调整价格差额：</w:t>
      </w:r>
    </w:p>
    <w:p w14:paraId="5432C22E">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u w:val="single"/>
          <w:lang w:val="zh-CN" w:eastAsia="zh-CN" w:bidi="zh-CN"/>
        </w:rPr>
      </w:pPr>
      <w:r>
        <w:rPr>
          <w:rFonts w:hint="eastAsia" w:ascii="宋体" w:hAnsi="宋体" w:eastAsia="宋体" w:cs="宋体"/>
          <w:color w:val="auto"/>
          <w:kern w:val="2"/>
          <w:sz w:val="24"/>
          <w:szCs w:val="24"/>
          <w:highlight w:val="none"/>
          <w:lang w:val="zh-CN" w:eastAsia="zh-CN" w:bidi="zh-CN"/>
        </w:rPr>
        <w:t>工程造价信息的来源：</w:t>
      </w:r>
      <w:r>
        <w:rPr>
          <w:rFonts w:hint="eastAsia" w:ascii="宋体" w:hAnsi="宋体" w:eastAsia="宋体" w:cs="宋体"/>
          <w:color w:val="auto"/>
          <w:kern w:val="2"/>
          <w:sz w:val="24"/>
          <w:szCs w:val="24"/>
          <w:highlight w:val="none"/>
          <w:u w:val="single"/>
          <w:lang w:val="zh-CN" w:eastAsia="zh-CN" w:bidi="zh-CN"/>
        </w:rPr>
        <w:t>本项目材料价采用《南宁市建设工程造价信息》2026年第1月下半月中隆安县信息价格计算，隆安县信息价没有的参考南宁市，南宁市信息价上没有的参考市场价。</w:t>
      </w:r>
    </w:p>
    <w:p w14:paraId="779D2928">
      <w:pPr>
        <w:pageBreakBefore w:val="0"/>
        <w:widowControl w:val="0"/>
        <w:tabs>
          <w:tab w:val="left" w:pos="459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价格调整的项目和系数：</w:t>
      </w:r>
      <w:r>
        <w:rPr>
          <w:rFonts w:hint="eastAsia" w:ascii="宋体" w:hAnsi="宋体" w:eastAsia="宋体" w:cs="宋体"/>
          <w:color w:val="auto"/>
          <w:kern w:val="2"/>
          <w:sz w:val="24"/>
          <w:szCs w:val="24"/>
          <w:highlight w:val="none"/>
          <w:u w:val="single"/>
          <w:lang w:val="zh-CN" w:eastAsia="zh-CN" w:bidi="zh-CN"/>
        </w:rPr>
        <w:t>（1）计算当月《南宁建设工程造价信息》（工程所在地）主要补差材料信息价格高于基准期主要补差价格（合同工程量清单主要材料价格）5%的，承包人提出书面报告，由发包人在7个工作日内确认后对超过部分以价格之差予以价差调整。承包人应当在以上情况发生后14天内，将调整原因，金额以书面形式通知监理工程师，监理工程师确认调整金额后作为追加合同价款，经审计，财政部门评审认可后与工程款同期支付。（2）计算月的《南宁建设工程造价信息》（工程所在地）主要补差材料信息价格低于基准期主要补差材料价格5%的，发包人在当期合同款中对超出部门予以价差调整并扣除相关款项</w:t>
      </w:r>
      <w:r>
        <w:rPr>
          <w:rFonts w:hint="eastAsia" w:ascii="宋体" w:hAnsi="宋体" w:eastAsia="宋体" w:cs="宋体"/>
          <w:color w:val="auto"/>
          <w:kern w:val="2"/>
          <w:sz w:val="24"/>
          <w:szCs w:val="24"/>
          <w:highlight w:val="none"/>
          <w:lang w:val="en-US" w:eastAsia="zh-CN" w:bidi="en-US"/>
        </w:rPr>
        <w:t>。</w:t>
      </w:r>
    </w:p>
    <w:p w14:paraId="15137C76">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2" w:name="_Toc3365"/>
      <w:r>
        <w:rPr>
          <w:rFonts w:hint="eastAsia" w:ascii="宋体" w:hAnsi="宋体" w:eastAsia="宋体" w:cs="宋体"/>
          <w:color w:val="auto"/>
          <w:kern w:val="2"/>
          <w:sz w:val="24"/>
          <w:szCs w:val="24"/>
          <w:highlight w:val="none"/>
          <w:lang w:val="en-US" w:eastAsia="zh-CN" w:bidi="ar-SA"/>
        </w:rPr>
        <w:t>17. 计量与支付</w:t>
      </w:r>
      <w:bookmarkEnd w:id="262"/>
    </w:p>
    <w:p w14:paraId="12F0B0F2">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17.2预付款</w:t>
      </w:r>
    </w:p>
    <w:p w14:paraId="3ABCA137">
      <w:pPr>
        <w:pageBreakBefore w:val="0"/>
        <w:widowControl w:val="0"/>
        <w:kinsoku/>
        <w:wordWrap/>
        <w:overflowPunct/>
        <w:topLinePunct w:val="0"/>
        <w:bidi w:val="0"/>
        <w:spacing w:after="0" w:line="360" w:lineRule="auto"/>
        <w:ind w:left="0" w:leftChars="0" w:firstLine="480" w:firstLineChars="20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17.2.1</w:t>
      </w:r>
      <w:r>
        <w:rPr>
          <w:rFonts w:hint="eastAsia" w:ascii="宋体" w:hAnsi="宋体" w:eastAsia="宋体" w:cs="宋体"/>
          <w:color w:val="auto"/>
          <w:kern w:val="0"/>
          <w:sz w:val="24"/>
          <w:szCs w:val="24"/>
          <w:highlight w:val="none"/>
          <w:lang w:val="zh-CN" w:eastAsia="zh-CN" w:bidi="zh-CN"/>
        </w:rPr>
        <w:t>预付款</w:t>
      </w:r>
    </w:p>
    <w:p w14:paraId="41D74545">
      <w:pPr>
        <w:pageBreakBefore w:val="0"/>
        <w:widowControl w:val="0"/>
        <w:numPr>
          <w:ilvl w:val="0"/>
          <w:numId w:val="0"/>
        </w:numPr>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bookmarkStart w:id="263" w:name="bookmark1784"/>
      <w:bookmarkEnd w:id="263"/>
      <w:r>
        <w:rPr>
          <w:rFonts w:hint="eastAsia" w:ascii="宋体" w:hAnsi="宋体" w:eastAsia="宋体" w:cs="宋体"/>
          <w:color w:val="auto"/>
          <w:kern w:val="2"/>
          <w:sz w:val="24"/>
          <w:szCs w:val="24"/>
          <w:highlight w:val="none"/>
          <w:lang w:val="en-US" w:eastAsia="zh-CN" w:bidi="en-US"/>
        </w:rPr>
        <w:t>（2）工程预付款总金额为合同价格的</w:t>
      </w:r>
      <w:r>
        <w:rPr>
          <w:rFonts w:hint="eastAsia" w:ascii="宋体" w:hAnsi="宋体" w:eastAsia="宋体" w:cs="宋体"/>
          <w:color w:val="auto"/>
          <w:kern w:val="2"/>
          <w:sz w:val="24"/>
          <w:szCs w:val="24"/>
          <w:highlight w:val="none"/>
          <w:u w:val="single"/>
          <w:lang w:val="en-US" w:eastAsia="zh-CN" w:bidi="en-US"/>
        </w:rPr>
        <w:t xml:space="preserve"> </w:t>
      </w:r>
      <w:r>
        <w:rPr>
          <w:rFonts w:hint="eastAsia" w:ascii="宋体" w:hAnsi="宋体" w:eastAsia="宋体" w:cs="宋体"/>
          <w:b/>
          <w:bCs/>
          <w:color w:val="auto"/>
          <w:kern w:val="2"/>
          <w:sz w:val="24"/>
          <w:szCs w:val="24"/>
          <w:highlight w:val="none"/>
          <w:u w:val="single"/>
          <w:lang w:val="en-US" w:eastAsia="zh-CN" w:bidi="en-US"/>
        </w:rPr>
        <w:t xml:space="preserve">30 </w:t>
      </w:r>
      <w:r>
        <w:rPr>
          <w:rFonts w:hint="eastAsia" w:ascii="宋体" w:hAnsi="宋体" w:eastAsia="宋体" w:cs="宋体"/>
          <w:color w:val="auto"/>
          <w:kern w:val="2"/>
          <w:sz w:val="24"/>
          <w:szCs w:val="24"/>
          <w:highlight w:val="none"/>
          <w:lang w:val="en-US" w:eastAsia="zh-CN" w:bidi="en-US"/>
        </w:rPr>
        <w:t xml:space="preserve"> %，在承包人缴纳合同履约保证金并设备人员进场施工后，由承包人提出书面申请，经监理人核实后出具付款证书提交给发包人，发包人收到监理人出具的付款证书后办理支付手续给承包人。</w:t>
      </w:r>
    </w:p>
    <w:p w14:paraId="0CFE6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17.2.3</w:t>
      </w:r>
      <w:r>
        <w:rPr>
          <w:rFonts w:hint="eastAsia" w:ascii="宋体" w:hAnsi="宋体" w:eastAsia="宋体" w:cs="宋体"/>
          <w:color w:val="auto"/>
          <w:kern w:val="2"/>
          <w:sz w:val="24"/>
          <w:szCs w:val="24"/>
          <w:highlight w:val="none"/>
          <w:lang w:val="zh-CN" w:eastAsia="zh-CN" w:bidi="zh-CN"/>
        </w:rPr>
        <w:t>预付款的扣回与还清</w:t>
      </w:r>
    </w:p>
    <w:p w14:paraId="052DC362">
      <w:pPr>
        <w:pageBreakBefore w:val="0"/>
        <w:widowControl w:val="0"/>
        <w:tabs>
          <w:tab w:val="left" w:pos="3967"/>
          <w:tab w:val="left" w:pos="6151"/>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工程预付款在合同累计完成金额达到签约合同价格的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10 </w:t>
      </w:r>
      <w:r>
        <w:rPr>
          <w:rFonts w:hint="eastAsia" w:ascii="宋体" w:hAnsi="宋体" w:eastAsia="宋体" w:cs="宋体"/>
          <w:color w:val="auto"/>
          <w:kern w:val="2"/>
          <w:sz w:val="24"/>
          <w:szCs w:val="24"/>
          <w:highlight w:val="none"/>
          <w:lang w:val="zh-CN" w:eastAsia="zh-CN" w:bidi="zh-CN"/>
        </w:rPr>
        <w:t>%时开始扣款，直至合 同累计完成金额达到签约合同价的</w:t>
      </w:r>
      <w:r>
        <w:rPr>
          <w:rFonts w:hint="eastAsia" w:ascii="宋体" w:hAnsi="宋体" w:eastAsia="宋体" w:cs="宋体"/>
          <w:color w:val="auto"/>
          <w:kern w:val="2"/>
          <w:sz w:val="24"/>
          <w:szCs w:val="24"/>
          <w:highlight w:val="none"/>
          <w:lang w:val="en-US" w:eastAsia="zh-CN" w:bidi="zh-CN"/>
        </w:rPr>
        <w:t xml:space="preserve"> </w:t>
      </w:r>
      <w:r>
        <w:rPr>
          <w:rFonts w:hint="eastAsia" w:ascii="宋体" w:hAnsi="宋体" w:eastAsia="宋体" w:cs="宋体"/>
          <w:color w:val="auto"/>
          <w:kern w:val="2"/>
          <w:sz w:val="24"/>
          <w:szCs w:val="24"/>
          <w:highlight w:val="none"/>
          <w:u w:val="single"/>
          <w:lang w:val="en-US" w:eastAsia="zh-CN" w:bidi="zh-CN"/>
        </w:rPr>
        <w:t xml:space="preserve"> 30 </w:t>
      </w:r>
      <w:r>
        <w:rPr>
          <w:rFonts w:hint="eastAsia" w:ascii="宋体" w:hAnsi="宋体" w:eastAsia="宋体" w:cs="宋体"/>
          <w:color w:val="auto"/>
          <w:kern w:val="2"/>
          <w:sz w:val="24"/>
          <w:szCs w:val="24"/>
          <w:highlight w:val="none"/>
          <w:lang w:val="zh-CN" w:eastAsia="zh-CN" w:bidi="zh-CN"/>
        </w:rPr>
        <w:t>%时全部扣清。</w:t>
      </w:r>
    </w:p>
    <w:p w14:paraId="5DC4081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pict>
          <v:shape id="_x0000_s1027" o:spid="_x0000_s1027" o:spt="75" type="#_x0000_t75" style="position:absolute;left:0pt;margin-left:63pt;margin-top:7.95pt;height:31.5pt;width:126.4pt;mso-wrap-distance-bottom:0pt;mso-wrap-distance-left:9pt;mso-wrap-distance-right:9pt;mso-wrap-distance-top:0pt;z-index:251659264;mso-width-relative:page;mso-height-relative:page;" o:ole="t" filled="f" o:preferrelative="t" stroked="f" coordsize="21600,21600">
            <v:path/>
            <v:fill on="f" focussize="0,0"/>
            <v:stroke on="f"/>
            <v:imagedata r:id="rId27" embosscolor="#FFFFFF" o:title=""/>
            <o:lock v:ext="edit" grouping="f" rotation="f" text="f" aspectratio="t"/>
            <w10:wrap type="square"/>
          </v:shape>
          <o:OLEObject Type="Embed" ProgID="" ShapeID="_x0000_s1027" DrawAspect="Content" ObjectID="_1468075727" r:id="rId26">
            <o:LockedField>false</o:LockedField>
          </o:OLEObject>
        </w:pict>
      </w:r>
    </w:p>
    <w:p w14:paraId="690BE7D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式中：R——每次进度付款中累计扣回的金额；</w:t>
      </w:r>
    </w:p>
    <w:p w14:paraId="0C3ACD1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4" w:name="_Toc221951241"/>
      <w:r>
        <w:rPr>
          <w:rFonts w:hint="eastAsia" w:ascii="宋体" w:hAnsi="宋体" w:eastAsia="宋体" w:cs="宋体"/>
          <w:color w:val="auto"/>
          <w:kern w:val="2"/>
          <w:sz w:val="24"/>
          <w:szCs w:val="24"/>
          <w:highlight w:val="none"/>
          <w:lang w:val="zh-CN" w:eastAsia="zh-CN" w:bidi="mn-Mong-CN"/>
        </w:rPr>
        <w:t>A——工程预付款总金额；</w:t>
      </w:r>
      <w:bookmarkEnd w:id="264"/>
    </w:p>
    <w:p w14:paraId="0C5B42A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5" w:name="_Toc221951242"/>
      <w:r>
        <w:rPr>
          <w:rFonts w:hint="eastAsia" w:ascii="宋体" w:hAnsi="宋体" w:eastAsia="宋体" w:cs="宋体"/>
          <w:color w:val="auto"/>
          <w:kern w:val="2"/>
          <w:sz w:val="24"/>
          <w:szCs w:val="24"/>
          <w:highlight w:val="none"/>
          <w:lang w:val="zh-CN" w:eastAsia="zh-CN" w:bidi="mn-Mong-CN"/>
        </w:rPr>
        <w:t>S——签约合同价格；</w:t>
      </w:r>
      <w:bookmarkEnd w:id="265"/>
    </w:p>
    <w:p w14:paraId="48207E8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6" w:name="_Toc221951243"/>
      <w:r>
        <w:rPr>
          <w:rFonts w:hint="eastAsia" w:ascii="宋体" w:hAnsi="宋体" w:eastAsia="宋体" w:cs="宋体"/>
          <w:color w:val="auto"/>
          <w:kern w:val="2"/>
          <w:sz w:val="24"/>
          <w:szCs w:val="24"/>
          <w:highlight w:val="none"/>
          <w:lang w:val="zh-CN" w:eastAsia="zh-CN" w:bidi="mn-Mong-CN"/>
        </w:rPr>
        <w:t>C——合同累计完成金额；</w:t>
      </w:r>
      <w:bookmarkEnd w:id="266"/>
    </w:p>
    <w:p w14:paraId="2C413731">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mn-Mong-CN"/>
        </w:rPr>
      </w:pPr>
      <w:r>
        <w:rPr>
          <w:rFonts w:hint="eastAsia" w:ascii="宋体" w:hAnsi="宋体" w:eastAsia="宋体" w:cs="宋体"/>
          <w:color w:val="auto"/>
          <w:kern w:val="2"/>
          <w:sz w:val="24"/>
          <w:szCs w:val="24"/>
          <w:highlight w:val="none"/>
          <w:lang w:val="zh-CN" w:eastAsia="zh-CN" w:bidi="mn-Mong-CN"/>
        </w:rPr>
        <w:t xml:space="preserve">      </w:t>
      </w:r>
      <w:bookmarkStart w:id="267" w:name="_Toc221951244"/>
      <w:r>
        <w:rPr>
          <w:rFonts w:hint="eastAsia" w:ascii="宋体" w:hAnsi="宋体" w:eastAsia="宋体" w:cs="宋体"/>
          <w:color w:val="auto"/>
          <w:kern w:val="2"/>
          <w:sz w:val="24"/>
          <w:szCs w:val="24"/>
          <w:highlight w:val="none"/>
          <w:lang w:val="zh-CN" w:eastAsia="zh-CN" w:bidi="mn-Mong-CN"/>
        </w:rPr>
        <w:t>F</w:t>
      </w:r>
      <w:r>
        <w:rPr>
          <w:rFonts w:hint="eastAsia" w:ascii="宋体" w:hAnsi="宋体" w:eastAsia="宋体" w:cs="宋体"/>
          <w:color w:val="auto"/>
          <w:kern w:val="2"/>
          <w:sz w:val="24"/>
          <w:szCs w:val="24"/>
          <w:highlight w:val="none"/>
          <w:vertAlign w:val="subscript"/>
          <w:lang w:val="zh-CN" w:eastAsia="zh-CN" w:bidi="mn-Mong-CN"/>
        </w:rPr>
        <w:t>1</w:t>
      </w:r>
      <w:r>
        <w:rPr>
          <w:rFonts w:hint="eastAsia" w:ascii="宋体" w:hAnsi="宋体" w:eastAsia="宋体" w:cs="宋体"/>
          <w:color w:val="auto"/>
          <w:kern w:val="2"/>
          <w:sz w:val="24"/>
          <w:szCs w:val="24"/>
          <w:highlight w:val="none"/>
          <w:lang w:val="zh-CN" w:eastAsia="zh-CN" w:bidi="mn-Mong-CN"/>
        </w:rPr>
        <w:t>——开始扣款时合同累计完成金额达到签约合同价格的比例；</w:t>
      </w:r>
      <w:bookmarkEnd w:id="267"/>
    </w:p>
    <w:p w14:paraId="1F283F7C">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mn-Mong-CN"/>
        </w:rPr>
      </w:pPr>
      <w:r>
        <w:rPr>
          <w:rFonts w:hint="eastAsia" w:ascii="宋体" w:hAnsi="宋体" w:eastAsia="宋体" w:cs="宋体"/>
          <w:color w:val="auto"/>
          <w:kern w:val="2"/>
          <w:sz w:val="24"/>
          <w:szCs w:val="24"/>
          <w:highlight w:val="none"/>
          <w:lang w:val="en-US" w:eastAsia="zh-CN" w:bidi="mn-Mong-CN"/>
        </w:rPr>
        <w:t xml:space="preserve">      </w:t>
      </w:r>
      <w:bookmarkStart w:id="268" w:name="_Toc221951245"/>
      <w:r>
        <w:rPr>
          <w:rFonts w:hint="eastAsia" w:ascii="宋体" w:hAnsi="宋体" w:eastAsia="宋体" w:cs="宋体"/>
          <w:color w:val="auto"/>
          <w:kern w:val="2"/>
          <w:sz w:val="24"/>
          <w:szCs w:val="24"/>
          <w:highlight w:val="none"/>
          <w:lang w:val="en-US" w:eastAsia="zh-CN" w:bidi="mn-Mong-CN"/>
        </w:rPr>
        <w:t>F</w:t>
      </w:r>
      <w:r>
        <w:rPr>
          <w:rFonts w:hint="eastAsia" w:ascii="宋体" w:hAnsi="宋体" w:eastAsia="宋体" w:cs="宋体"/>
          <w:color w:val="auto"/>
          <w:kern w:val="2"/>
          <w:sz w:val="24"/>
          <w:szCs w:val="24"/>
          <w:highlight w:val="none"/>
          <w:vertAlign w:val="subscript"/>
          <w:lang w:val="en-US" w:eastAsia="zh-CN" w:bidi="mn-Mong-CN"/>
        </w:rPr>
        <w:t>2</w:t>
      </w:r>
      <w:r>
        <w:rPr>
          <w:rFonts w:hint="eastAsia" w:ascii="宋体" w:hAnsi="宋体" w:eastAsia="宋体" w:cs="宋体"/>
          <w:color w:val="auto"/>
          <w:kern w:val="2"/>
          <w:sz w:val="24"/>
          <w:szCs w:val="24"/>
          <w:highlight w:val="none"/>
          <w:lang w:val="en-US" w:eastAsia="zh-CN" w:bidi="mn-Mong-CN"/>
        </w:rPr>
        <w:t>——全部扣清时合同累计完成金额达到签约合同价格的比例。</w:t>
      </w:r>
      <w:bookmarkEnd w:id="268"/>
    </w:p>
    <w:p w14:paraId="7E958E7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上述合同累计完成金额均指价格调整前未扣质量保证金的金额。</w:t>
      </w:r>
    </w:p>
    <w:p w14:paraId="33BC129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17.3工程进度付款</w:t>
      </w:r>
    </w:p>
    <w:p w14:paraId="1450394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17.3.2</w:t>
      </w:r>
      <w:r>
        <w:rPr>
          <w:rFonts w:hint="eastAsia" w:ascii="宋体" w:hAnsi="宋体" w:eastAsia="宋体" w:cs="宋体"/>
          <w:color w:val="auto"/>
          <w:kern w:val="2"/>
          <w:sz w:val="24"/>
          <w:szCs w:val="24"/>
          <w:highlight w:val="none"/>
          <w:lang w:val="zh-CN" w:eastAsia="zh-CN" w:bidi="zh-CN"/>
        </w:rPr>
        <w:t>进度付款申请单</w:t>
      </w:r>
    </w:p>
    <w:p w14:paraId="31B6A916">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zh-CN" w:eastAsia="zh-CN" w:bidi="zh-CN"/>
        </w:rPr>
        <w:t>承包人提交进度付款申请单的份数：</w:t>
      </w:r>
      <w:r>
        <w:rPr>
          <w:rFonts w:hint="eastAsia" w:ascii="宋体" w:hAnsi="宋体" w:eastAsia="宋体" w:cs="宋体"/>
          <w:color w:val="auto"/>
          <w:kern w:val="2"/>
          <w:sz w:val="24"/>
          <w:szCs w:val="24"/>
          <w:highlight w:val="none"/>
          <w:u w:val="single"/>
          <w:lang w:val="en-US" w:eastAsia="zh-CN" w:bidi="zh-CN"/>
        </w:rPr>
        <w:t xml:space="preserve"> 4份 </w:t>
      </w:r>
      <w:r>
        <w:rPr>
          <w:rFonts w:hint="eastAsia" w:ascii="宋体" w:hAnsi="宋体" w:eastAsia="宋体" w:cs="宋体"/>
          <w:color w:val="auto"/>
          <w:kern w:val="2"/>
          <w:sz w:val="24"/>
          <w:szCs w:val="24"/>
          <w:highlight w:val="none"/>
          <w:lang w:val="en-US" w:eastAsia="zh-CN" w:bidi="en-US"/>
        </w:rPr>
        <w:t>。</w:t>
      </w:r>
    </w:p>
    <w:p w14:paraId="621E01A3">
      <w:pPr>
        <w:pageBreakBefore w:val="0"/>
        <w:widowControl w:val="0"/>
        <w:tabs>
          <w:tab w:val="left" w:pos="4613"/>
          <w:tab w:val="left" w:pos="797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17.3.3</w:t>
      </w:r>
      <w:r>
        <w:rPr>
          <w:rFonts w:hint="eastAsia" w:ascii="宋体" w:hAnsi="宋体" w:eastAsia="宋体" w:cs="宋体"/>
          <w:color w:val="auto"/>
          <w:kern w:val="2"/>
          <w:sz w:val="24"/>
          <w:szCs w:val="24"/>
          <w:highlight w:val="none"/>
          <w:lang w:val="zh-CN" w:eastAsia="zh-CN" w:bidi="zh-CN"/>
        </w:rPr>
        <w:t>进度付款证书和支付时间</w:t>
      </w:r>
    </w:p>
    <w:p w14:paraId="1DD664C7">
      <w:pPr>
        <w:pageBreakBefore w:val="0"/>
        <w:widowControl w:val="0"/>
        <w:tabs>
          <w:tab w:val="left" w:pos="442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(2)本款“专用合同条款的约定支付逾期付款违约金”为按中国人民银行规定的同期贷款利率计算的逾期付款金额的利息。</w:t>
      </w:r>
    </w:p>
    <w:p w14:paraId="673ABE3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17.3.5</w:t>
      </w:r>
      <w:r>
        <w:rPr>
          <w:rFonts w:hint="eastAsia" w:ascii="宋体" w:hAnsi="宋体" w:eastAsia="宋体" w:cs="宋体"/>
          <w:color w:val="auto"/>
          <w:kern w:val="2"/>
          <w:sz w:val="24"/>
          <w:szCs w:val="24"/>
          <w:highlight w:val="none"/>
          <w:lang w:val="zh-CN" w:eastAsia="zh-CN" w:bidi="zh-CN"/>
        </w:rPr>
        <w:t>工程进度付款的支付比例</w:t>
      </w:r>
    </w:p>
    <w:p w14:paraId="149D7F13">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承包人缴纳合同履约保证金并设备人员进场施工后，支付合同价30%的预付款，工程竣工验收合格后，可申请工程款累计至合同工程量价款的90%。</w:t>
      </w:r>
    </w:p>
    <w:p w14:paraId="61ACC31D">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工程竣工验收合格并结算评审后，以评审审定的工程造价（按合同固定单价结算）拨付至97%，留存工程结算评审造价的3%作为工程质量保证金。</w:t>
      </w:r>
    </w:p>
    <w:p w14:paraId="0AC53ECF">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17.3.6工程款中应支付农民工工资的比例</w:t>
      </w:r>
    </w:p>
    <w:p w14:paraId="35CD2FA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工程款中农民工工资比例为</w:t>
      </w:r>
      <w:r>
        <w:rPr>
          <w:rFonts w:hint="eastAsia" w:ascii="宋体" w:hAnsi="宋体" w:cs="宋体"/>
          <w:color w:val="auto"/>
          <w:kern w:val="2"/>
          <w:sz w:val="24"/>
          <w:szCs w:val="24"/>
          <w:highlight w:val="none"/>
          <w:u w:val="single"/>
          <w:lang w:val="en-US" w:eastAsia="zh-CN" w:bidi="en-US"/>
        </w:rPr>
        <w:t xml:space="preserve">   </w:t>
      </w:r>
      <w:r>
        <w:rPr>
          <w:rFonts w:hint="eastAsia" w:ascii="宋体" w:hAnsi="宋体" w:eastAsia="宋体" w:cs="宋体"/>
          <w:color w:val="auto"/>
          <w:kern w:val="2"/>
          <w:sz w:val="24"/>
          <w:szCs w:val="24"/>
          <w:highlight w:val="none"/>
          <w:u w:val="none"/>
          <w:lang w:val="en-US" w:eastAsia="zh-CN" w:bidi="en-US"/>
        </w:rPr>
        <w:t>%</w:t>
      </w:r>
      <w:r>
        <w:rPr>
          <w:rFonts w:hint="eastAsia" w:ascii="宋体" w:hAnsi="宋体" w:eastAsia="宋体" w:cs="宋体"/>
          <w:color w:val="auto"/>
          <w:kern w:val="2"/>
          <w:sz w:val="24"/>
          <w:szCs w:val="24"/>
          <w:highlight w:val="none"/>
          <w:lang w:val="en-US" w:eastAsia="zh-CN" w:bidi="en-US"/>
        </w:rPr>
        <w:t>，乙方按月足额支付农民工工资，不得将农民工工资专用款挪做其它用途。</w:t>
      </w:r>
    </w:p>
    <w:p w14:paraId="4B909B3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17.4质量保证金</w:t>
      </w:r>
    </w:p>
    <w:p w14:paraId="7E8DC17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17.4.1.1</w:t>
      </w:r>
      <w:r>
        <w:rPr>
          <w:rFonts w:hint="eastAsia" w:ascii="宋体" w:hAnsi="宋体" w:eastAsia="宋体" w:cs="宋体"/>
          <w:color w:val="auto"/>
          <w:kern w:val="2"/>
          <w:sz w:val="24"/>
          <w:szCs w:val="24"/>
          <w:highlight w:val="none"/>
          <w:lang w:val="zh-CN" w:eastAsia="zh-CN" w:bidi="zh-CN"/>
        </w:rPr>
        <w:t xml:space="preserve">每个付款周期扣留的质量保证金为工程进度付款的3%，扣留的质量保证金总额为工程价款结算总额的3% </w:t>
      </w:r>
      <w:r>
        <w:rPr>
          <w:rFonts w:hint="eastAsia" w:ascii="宋体" w:hAnsi="宋体" w:eastAsia="宋体" w:cs="宋体"/>
          <w:color w:val="auto"/>
          <w:kern w:val="2"/>
          <w:sz w:val="24"/>
          <w:szCs w:val="24"/>
          <w:highlight w:val="none"/>
          <w:lang w:val="en-US" w:eastAsia="zh-CN" w:bidi="en-US"/>
        </w:rPr>
        <w:t>。</w:t>
      </w:r>
    </w:p>
    <w:p w14:paraId="36B08D9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cs="宋体"/>
          <w:color w:val="auto"/>
          <w:kern w:val="2"/>
          <w:sz w:val="24"/>
          <w:szCs w:val="24"/>
          <w:highlight w:val="none"/>
          <w:lang w:val="zh-CN" w:eastAsia="zh-CN" w:bidi="zh-CN"/>
        </w:rPr>
        <w:t>☑</w:t>
      </w:r>
      <w:r>
        <w:rPr>
          <w:rFonts w:hint="eastAsia" w:ascii="宋体" w:hAnsi="宋体" w:eastAsia="宋体" w:cs="宋体"/>
          <w:color w:val="auto"/>
          <w:kern w:val="2"/>
          <w:sz w:val="24"/>
          <w:szCs w:val="24"/>
          <w:highlight w:val="none"/>
          <w:lang w:val="en-US" w:eastAsia="zh-CN" w:bidi="en-US"/>
        </w:rPr>
        <w:t>17.4.1.2</w:t>
      </w:r>
      <w:r>
        <w:rPr>
          <w:rFonts w:hint="eastAsia" w:ascii="宋体" w:hAnsi="宋体" w:eastAsia="宋体" w:cs="宋体"/>
          <w:color w:val="auto"/>
          <w:kern w:val="2"/>
          <w:sz w:val="24"/>
          <w:szCs w:val="24"/>
          <w:highlight w:val="none"/>
          <w:lang w:val="zh-CN" w:eastAsia="zh-CN" w:bidi="zh-CN"/>
        </w:rPr>
        <w:t>工程完工验收后，按工程结算评审造价的3%留存。承包方在工程竣工验收合格1年后，经实地检验工程无质量缺陷，向发包方申请拨付工程质量保证金。</w:t>
      </w:r>
    </w:p>
    <w:p w14:paraId="512F1F8A">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sym w:font="Wingdings 2" w:char="00A3"/>
      </w:r>
      <w:r>
        <w:rPr>
          <w:rFonts w:hint="eastAsia" w:ascii="宋体" w:hAnsi="宋体" w:eastAsia="宋体" w:cs="宋体"/>
          <w:color w:val="auto"/>
          <w:kern w:val="2"/>
          <w:sz w:val="24"/>
          <w:szCs w:val="24"/>
          <w:highlight w:val="none"/>
          <w:lang w:val="en-US" w:eastAsia="zh-CN" w:bidi="en-US"/>
        </w:rPr>
        <w:t>17.4.1.3</w:t>
      </w:r>
      <w:r>
        <w:rPr>
          <w:rFonts w:hint="eastAsia" w:ascii="宋体" w:hAnsi="宋体" w:eastAsia="宋体" w:cs="宋体"/>
          <w:color w:val="auto"/>
          <w:kern w:val="2"/>
          <w:sz w:val="24"/>
          <w:szCs w:val="24"/>
          <w:highlight w:val="none"/>
          <w:lang w:val="zh-CN" w:eastAsia="zh-CN" w:bidi="zh-CN"/>
        </w:rPr>
        <w:t>在工程项目完工前，已经缴纳履约保证金的，发包人不得同时扣留工程质量保证金。</w:t>
      </w:r>
      <w:r>
        <w:rPr>
          <w:rFonts w:hint="eastAsia" w:ascii="宋体" w:hAnsi="宋体" w:eastAsia="宋体" w:cs="宋体"/>
          <w:color w:val="auto"/>
          <w:kern w:val="2"/>
          <w:sz w:val="24"/>
          <w:szCs w:val="24"/>
          <w:highlight w:val="none"/>
          <w:lang w:val="en-US" w:eastAsia="zh-CN" w:bidi="zh-CN"/>
        </w:rPr>
        <w:t>施工单位提交质量保证金（质量保证金按工程结算价的3%收取）的同时我方将</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退回履约保证金，直至质量缺陷期结束后</w:t>
      </w:r>
      <w:r>
        <w:rPr>
          <w:rFonts w:hint="eastAsia" w:ascii="宋体" w:hAnsi="宋体" w:eastAsia="宋体" w:cs="宋体"/>
          <w:b/>
          <w:bCs/>
          <w:color w:val="auto"/>
          <w:kern w:val="2"/>
          <w:sz w:val="24"/>
          <w:szCs w:val="24"/>
          <w:highlight w:val="none"/>
          <w:lang w:val="en-US" w:eastAsia="zh-CN" w:bidi="zh-CN"/>
        </w:rPr>
        <w:t>无息</w:t>
      </w:r>
      <w:r>
        <w:rPr>
          <w:rFonts w:hint="eastAsia" w:ascii="宋体" w:hAnsi="宋体" w:eastAsia="宋体" w:cs="宋体"/>
          <w:color w:val="auto"/>
          <w:kern w:val="2"/>
          <w:sz w:val="24"/>
          <w:szCs w:val="24"/>
          <w:highlight w:val="none"/>
          <w:lang w:val="en-US" w:eastAsia="zh-CN" w:bidi="zh-CN"/>
        </w:rPr>
        <w:t>退还质量保证金。</w:t>
      </w:r>
    </w:p>
    <w:p w14:paraId="359418D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17.5竣工（完工）结算</w:t>
      </w:r>
    </w:p>
    <w:p w14:paraId="6F45586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17.5.1</w:t>
      </w:r>
      <w:r>
        <w:rPr>
          <w:rFonts w:hint="eastAsia" w:ascii="宋体" w:hAnsi="宋体" w:eastAsia="宋体" w:cs="宋体"/>
          <w:color w:val="auto"/>
          <w:kern w:val="2"/>
          <w:sz w:val="24"/>
          <w:szCs w:val="24"/>
          <w:highlight w:val="none"/>
          <w:lang w:val="zh-CN" w:eastAsia="zh-CN" w:bidi="zh-CN"/>
        </w:rPr>
        <w:t>竣工（完工）付款申请单</w:t>
      </w:r>
    </w:p>
    <w:p w14:paraId="652A9E82">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（1）承包人应提交竣工付款申请单份数：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zh-CN" w:eastAsia="zh-CN" w:bidi="zh-CN"/>
        </w:rPr>
        <w:t>。</w:t>
      </w:r>
    </w:p>
    <w:p w14:paraId="301348E0">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17.5.3</w:t>
      </w:r>
      <w:r>
        <w:rPr>
          <w:rFonts w:hint="eastAsia" w:ascii="宋体" w:hAnsi="宋体" w:eastAsia="宋体" w:cs="宋体"/>
          <w:color w:val="auto"/>
          <w:kern w:val="2"/>
          <w:sz w:val="24"/>
          <w:szCs w:val="24"/>
          <w:highlight w:val="none"/>
          <w:lang w:val="zh-CN" w:eastAsia="zh-CN" w:bidi="zh-CN"/>
        </w:rPr>
        <w:t>除按通用合同条款所说的内容外，增加以下内容：最终结算以财政评审结果为准。</w:t>
      </w:r>
    </w:p>
    <w:p w14:paraId="3908BCEC">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17.6最终结清</w:t>
      </w:r>
    </w:p>
    <w:p w14:paraId="4E06256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17.6.1</w:t>
      </w:r>
      <w:r>
        <w:rPr>
          <w:rFonts w:hint="eastAsia" w:ascii="宋体" w:hAnsi="宋体" w:eastAsia="宋体" w:cs="宋体"/>
          <w:color w:val="auto"/>
          <w:kern w:val="2"/>
          <w:sz w:val="24"/>
          <w:szCs w:val="24"/>
          <w:highlight w:val="none"/>
          <w:lang w:val="zh-CN" w:eastAsia="zh-CN" w:bidi="zh-CN"/>
        </w:rPr>
        <w:t>最终结清申请单</w:t>
      </w:r>
    </w:p>
    <w:p w14:paraId="1F2C997D">
      <w:pPr>
        <w:pageBreakBefore w:val="0"/>
        <w:widowControl w:val="0"/>
        <w:tabs>
          <w:tab w:val="left" w:pos="607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（1）承包人应提交最终结清申请单份数：</w:t>
      </w:r>
      <w:r>
        <w:rPr>
          <w:rFonts w:hint="eastAsia" w:ascii="宋体" w:hAnsi="宋体" w:eastAsia="宋体" w:cs="宋体"/>
          <w:color w:val="auto"/>
          <w:kern w:val="2"/>
          <w:sz w:val="24"/>
          <w:szCs w:val="24"/>
          <w:highlight w:val="none"/>
          <w:u w:val="single"/>
          <w:lang w:val="en-US" w:eastAsia="zh-CN" w:bidi="zh-CN"/>
        </w:rPr>
        <w:t>4份</w:t>
      </w:r>
      <w:r>
        <w:rPr>
          <w:rFonts w:hint="eastAsia" w:ascii="宋体" w:hAnsi="宋体" w:eastAsia="宋体" w:cs="宋体"/>
          <w:color w:val="auto"/>
          <w:kern w:val="2"/>
          <w:sz w:val="24"/>
          <w:szCs w:val="24"/>
          <w:highlight w:val="none"/>
          <w:lang w:val="en-US" w:eastAsia="zh-CN" w:bidi="en-US"/>
        </w:rPr>
        <w:t>。</w:t>
      </w:r>
    </w:p>
    <w:p w14:paraId="4BC57BA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17.7竣工财务决算</w:t>
      </w:r>
    </w:p>
    <w:p w14:paraId="2533E027">
      <w:pPr>
        <w:pageBreakBefore w:val="0"/>
        <w:widowControl w:val="0"/>
        <w:tabs>
          <w:tab w:val="left" w:pos="6264"/>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承包人应为竣工财务决算编制提供的资料：</w:t>
      </w:r>
      <w:r>
        <w:rPr>
          <w:rFonts w:hint="eastAsia" w:ascii="宋体" w:hAnsi="宋体" w:eastAsia="宋体" w:cs="宋体"/>
          <w:color w:val="auto"/>
          <w:kern w:val="2"/>
          <w:sz w:val="24"/>
          <w:szCs w:val="24"/>
          <w:highlight w:val="none"/>
          <w:u w:val="single"/>
          <w:lang w:val="zh-CN" w:eastAsia="zh-CN" w:bidi="zh-CN"/>
        </w:rPr>
        <w:t>承包人应为竣工财务决算编制提供的资料：按现行《水利基本建设项目竣工财务决算编制规程》（SL19-2014）及相关法律、法规和规章制度执行。决算费用由发包人另行支付</w:t>
      </w:r>
      <w:r>
        <w:rPr>
          <w:rFonts w:hint="eastAsia" w:ascii="宋体" w:hAnsi="宋体" w:eastAsia="宋体" w:cs="宋体"/>
          <w:color w:val="auto"/>
          <w:kern w:val="2"/>
          <w:sz w:val="24"/>
          <w:szCs w:val="24"/>
          <w:highlight w:val="none"/>
          <w:lang w:val="en-US" w:eastAsia="zh-CN" w:bidi="en-US"/>
        </w:rPr>
        <w:t>。</w:t>
      </w:r>
    </w:p>
    <w:p w14:paraId="4BF4A145">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69" w:name="_Toc6578"/>
      <w:r>
        <w:rPr>
          <w:rFonts w:hint="eastAsia" w:ascii="宋体" w:hAnsi="宋体" w:eastAsia="宋体" w:cs="宋体"/>
          <w:color w:val="auto"/>
          <w:kern w:val="2"/>
          <w:sz w:val="24"/>
          <w:szCs w:val="24"/>
          <w:highlight w:val="none"/>
          <w:lang w:val="en-US" w:eastAsia="zh-CN" w:bidi="ar-SA"/>
        </w:rPr>
        <w:t>18. 竣工验收（验收）</w:t>
      </w:r>
      <w:bookmarkEnd w:id="269"/>
    </w:p>
    <w:p w14:paraId="701E3671">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18.1验收工作分类</w:t>
      </w:r>
    </w:p>
    <w:p w14:paraId="7A1E2026">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根据《水利工程建设项目验收管理规定》（水利部令第</w:t>
      </w:r>
      <w:r>
        <w:rPr>
          <w:rFonts w:hint="eastAsia" w:ascii="宋体" w:hAnsi="宋体" w:eastAsia="宋体" w:cs="宋体"/>
          <w:color w:val="auto"/>
          <w:kern w:val="2"/>
          <w:sz w:val="24"/>
          <w:szCs w:val="24"/>
          <w:highlight w:val="none"/>
          <w:lang w:val="en-US" w:eastAsia="zh-CN" w:bidi="zh-CN"/>
        </w:rPr>
        <w:t>49</w:t>
      </w:r>
      <w:r>
        <w:rPr>
          <w:rFonts w:hint="eastAsia" w:ascii="宋体" w:hAnsi="宋体" w:eastAsia="宋体" w:cs="宋体"/>
          <w:color w:val="auto"/>
          <w:kern w:val="2"/>
          <w:sz w:val="24"/>
          <w:szCs w:val="24"/>
          <w:highlight w:val="none"/>
          <w:lang w:val="zh-CN" w:eastAsia="zh-CN" w:bidi="zh-CN"/>
        </w:rPr>
        <w:t>号）和《水利水电建设工程验收规程》（SL/T223—2025)的相关规定执行。</w:t>
      </w:r>
    </w:p>
    <w:p w14:paraId="61C0719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18.2分部工程验收</w:t>
      </w:r>
    </w:p>
    <w:p w14:paraId="46F84D6C">
      <w:pPr>
        <w:pageBreakBefore w:val="0"/>
        <w:widowControl w:val="0"/>
        <w:tabs>
          <w:tab w:val="left" w:pos="7018"/>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18.2.</w:t>
      </w:r>
      <w:r>
        <w:rPr>
          <w:rFonts w:hint="eastAsia" w:ascii="宋体" w:hAnsi="宋体" w:eastAsia="宋体" w:cs="宋体"/>
          <w:color w:val="auto"/>
          <w:kern w:val="2"/>
          <w:sz w:val="24"/>
          <w:szCs w:val="24"/>
          <w:highlight w:val="none"/>
          <w:lang w:val="zh-CN" w:eastAsia="zh-CN" w:bidi="zh-CN"/>
        </w:rPr>
        <w:t>2本工程由发包人主持的分部工程验收为：</w:t>
      </w:r>
      <w:r>
        <w:rPr>
          <w:rFonts w:hint="eastAsia" w:ascii="宋体" w:hAnsi="宋体" w:eastAsia="宋体" w:cs="宋体"/>
          <w:color w:val="auto"/>
          <w:kern w:val="2"/>
          <w:sz w:val="24"/>
          <w:szCs w:val="24"/>
          <w:highlight w:val="none"/>
          <w:u w:val="single"/>
          <w:lang w:val="en-US" w:eastAsia="zh-CN" w:bidi="zh-CN"/>
        </w:rPr>
        <w:t xml:space="preserve"> 按相关规范规定  </w:t>
      </w:r>
      <w:r>
        <w:rPr>
          <w:rFonts w:hint="eastAsia" w:ascii="宋体" w:hAnsi="宋体" w:eastAsia="宋体" w:cs="宋体"/>
          <w:color w:val="auto"/>
          <w:kern w:val="2"/>
          <w:sz w:val="24"/>
          <w:szCs w:val="24"/>
          <w:highlight w:val="none"/>
          <w:lang w:val="zh-CN" w:eastAsia="zh-CN" w:bidi="zh-CN"/>
        </w:rPr>
        <w:t>。</w:t>
      </w:r>
    </w:p>
    <w:p w14:paraId="6844DD89">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18.3单位工程验收</w:t>
      </w:r>
    </w:p>
    <w:p w14:paraId="63B6735B">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18.3.4</w:t>
      </w:r>
      <w:r>
        <w:rPr>
          <w:rFonts w:hint="eastAsia" w:ascii="宋体" w:hAnsi="宋体" w:eastAsia="宋体" w:cs="宋体"/>
          <w:color w:val="auto"/>
          <w:kern w:val="2"/>
          <w:sz w:val="24"/>
          <w:szCs w:val="24"/>
          <w:highlight w:val="none"/>
          <w:lang w:val="zh-CN" w:eastAsia="zh-CN" w:bidi="zh-CN"/>
        </w:rPr>
        <w:t>提前投入使用的单位工程包括：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031D6EC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18.5阶段验收</w:t>
      </w:r>
    </w:p>
    <w:p w14:paraId="3CD4A4AD">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18.5.1</w:t>
      </w:r>
      <w:r>
        <w:rPr>
          <w:rFonts w:hint="eastAsia" w:ascii="宋体" w:hAnsi="宋体" w:eastAsia="宋体" w:cs="宋体"/>
          <w:color w:val="auto"/>
          <w:kern w:val="2"/>
          <w:sz w:val="24"/>
          <w:szCs w:val="24"/>
          <w:highlight w:val="none"/>
          <w:lang w:val="zh-CN" w:eastAsia="zh-CN" w:bidi="zh-CN"/>
        </w:rPr>
        <w:t xml:space="preserve">本合同工程阶段验收类别包括： </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6708A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18.6专项验收</w:t>
      </w:r>
    </w:p>
    <w:p w14:paraId="5AC91B02">
      <w:pPr>
        <w:pageBreakBefore w:val="0"/>
        <w:widowControl w:val="0"/>
        <w:tabs>
          <w:tab w:val="left" w:pos="603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18.6.2</w:t>
      </w:r>
      <w:r>
        <w:rPr>
          <w:rFonts w:hint="eastAsia" w:ascii="宋体" w:hAnsi="宋体" w:eastAsia="宋体" w:cs="宋体"/>
          <w:color w:val="auto"/>
          <w:kern w:val="2"/>
          <w:sz w:val="24"/>
          <w:szCs w:val="24"/>
          <w:highlight w:val="none"/>
          <w:lang w:val="zh-CN" w:eastAsia="zh-CN" w:bidi="zh-CN"/>
        </w:rPr>
        <w:t>本合同工程专项验收类别包括：</w:t>
      </w:r>
      <w:r>
        <w:rPr>
          <w:rFonts w:hint="eastAsia" w:ascii="宋体" w:hAnsi="宋体" w:eastAsia="宋体" w:cs="宋体"/>
          <w:color w:val="auto"/>
          <w:kern w:val="2"/>
          <w:sz w:val="24"/>
          <w:szCs w:val="24"/>
          <w:highlight w:val="none"/>
          <w:u w:val="single"/>
          <w:lang w:val="en-US" w:eastAsia="zh-CN" w:bidi="zh-CN"/>
        </w:rPr>
        <w:t>按相关规范规定</w:t>
      </w:r>
      <w:r>
        <w:rPr>
          <w:rFonts w:hint="eastAsia" w:ascii="宋体" w:hAnsi="宋体" w:eastAsia="宋体" w:cs="宋体"/>
          <w:color w:val="auto"/>
          <w:kern w:val="2"/>
          <w:sz w:val="24"/>
          <w:szCs w:val="24"/>
          <w:highlight w:val="none"/>
          <w:lang w:val="en-US" w:eastAsia="zh-CN" w:bidi="en-US"/>
        </w:rPr>
        <w:t>。</w:t>
      </w:r>
    </w:p>
    <w:p w14:paraId="74C7733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18.8施工期运行</w:t>
      </w:r>
    </w:p>
    <w:p w14:paraId="35C688B9">
      <w:pPr>
        <w:pageBreakBefore w:val="0"/>
        <w:widowControl w:val="0"/>
        <w:tabs>
          <w:tab w:val="left" w:pos="7296"/>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18.8.1</w:t>
      </w:r>
      <w:r>
        <w:rPr>
          <w:rFonts w:hint="eastAsia" w:ascii="宋体" w:hAnsi="宋体" w:eastAsia="宋体" w:cs="宋体"/>
          <w:color w:val="auto"/>
          <w:kern w:val="2"/>
          <w:sz w:val="24"/>
          <w:szCs w:val="24"/>
          <w:highlight w:val="none"/>
          <w:lang w:val="zh-CN" w:eastAsia="zh-CN" w:bidi="zh-CN"/>
        </w:rPr>
        <w:t>需要在施工期运行的单位工程或工程设备为：</w:t>
      </w:r>
      <w:r>
        <w:rPr>
          <w:rFonts w:hint="eastAsia" w:ascii="宋体" w:hAnsi="宋体" w:eastAsia="宋体" w:cs="宋体"/>
          <w:color w:val="auto"/>
          <w:kern w:val="2"/>
          <w:sz w:val="24"/>
          <w:szCs w:val="24"/>
          <w:highlight w:val="none"/>
          <w:u w:val="single"/>
          <w:lang w:val="zh-CN" w:eastAsia="zh-CN" w:bidi="zh-CN"/>
        </w:rPr>
        <w:t>无</w:t>
      </w:r>
      <w:r>
        <w:rPr>
          <w:rFonts w:hint="eastAsia" w:ascii="宋体" w:hAnsi="宋体" w:eastAsia="宋体" w:cs="宋体"/>
          <w:color w:val="auto"/>
          <w:kern w:val="2"/>
          <w:sz w:val="24"/>
          <w:szCs w:val="24"/>
          <w:highlight w:val="none"/>
          <w:lang w:val="en-US" w:eastAsia="zh-CN" w:bidi="en-US"/>
        </w:rPr>
        <w:t>。</w:t>
      </w:r>
    </w:p>
    <w:p w14:paraId="02E4CC5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18.9试运行</w:t>
      </w:r>
    </w:p>
    <w:p w14:paraId="1FBB4B59">
      <w:pPr>
        <w:pageBreakBefore w:val="0"/>
        <w:widowControl w:val="0"/>
        <w:tabs>
          <w:tab w:val="left" w:pos="4570"/>
          <w:tab w:val="left" w:pos="7697"/>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18. 9.1</w:t>
      </w:r>
      <w:r>
        <w:rPr>
          <w:rFonts w:hint="eastAsia" w:ascii="宋体" w:hAnsi="宋体" w:eastAsia="宋体" w:cs="宋体"/>
          <w:color w:val="auto"/>
          <w:kern w:val="2"/>
          <w:sz w:val="24"/>
          <w:szCs w:val="24"/>
          <w:highlight w:val="none"/>
          <w:lang w:val="zh-CN" w:eastAsia="zh-CN" w:bidi="zh-CN"/>
        </w:rPr>
        <w:t>试运行的组织：</w:t>
      </w:r>
      <w:r>
        <w:rPr>
          <w:rFonts w:hint="eastAsia" w:ascii="宋体" w:hAnsi="宋体" w:eastAsia="宋体" w:cs="宋体"/>
          <w:color w:val="auto"/>
          <w:kern w:val="2"/>
          <w:sz w:val="24"/>
          <w:szCs w:val="24"/>
          <w:highlight w:val="none"/>
          <w:u w:val="single"/>
          <w:lang w:val="zh-CN" w:eastAsia="zh-CN" w:bidi="zh-CN"/>
        </w:rPr>
        <w:t>发包人</w:t>
      </w:r>
      <w:r>
        <w:rPr>
          <w:rFonts w:hint="eastAsia" w:ascii="宋体" w:hAnsi="宋体" w:eastAsia="宋体" w:cs="宋体"/>
          <w:color w:val="auto"/>
          <w:kern w:val="2"/>
          <w:sz w:val="24"/>
          <w:szCs w:val="24"/>
          <w:highlight w:val="none"/>
          <w:lang w:val="zh-CN" w:eastAsia="zh-CN" w:bidi="zh-CN"/>
        </w:rPr>
        <w:t>。</w:t>
      </w:r>
    </w:p>
    <w:p w14:paraId="67B2CE03">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0" w:name="_Toc13008"/>
      <w:r>
        <w:rPr>
          <w:rFonts w:hint="eastAsia" w:ascii="宋体" w:hAnsi="宋体" w:eastAsia="宋体" w:cs="宋体"/>
          <w:color w:val="auto"/>
          <w:kern w:val="2"/>
          <w:sz w:val="24"/>
          <w:szCs w:val="24"/>
          <w:highlight w:val="none"/>
          <w:lang w:val="en-US" w:eastAsia="zh-CN" w:bidi="ar-SA"/>
        </w:rPr>
        <w:t>19. 缺陷责任与保修责任</w:t>
      </w:r>
      <w:bookmarkEnd w:id="270"/>
    </w:p>
    <w:p w14:paraId="29A098B7">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19.1缺陷责任期（工程质量保修期）的起算时间</w:t>
      </w:r>
    </w:p>
    <w:p w14:paraId="3881E5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本工程缺陷责任期（工程质量保修）计算如下：起算日按通用条款</w:t>
      </w:r>
      <w:r>
        <w:rPr>
          <w:rFonts w:hint="eastAsia" w:ascii="宋体" w:hAnsi="宋体" w:eastAsia="宋体" w:cs="宋体"/>
          <w:color w:val="auto"/>
          <w:kern w:val="2"/>
          <w:sz w:val="24"/>
          <w:szCs w:val="24"/>
          <w:highlight w:val="none"/>
          <w:lang w:val="en-US" w:eastAsia="zh-CN" w:bidi="en-US"/>
        </w:rPr>
        <w:t>19.1</w:t>
      </w:r>
      <w:r>
        <w:rPr>
          <w:rFonts w:hint="eastAsia" w:ascii="宋体" w:hAnsi="宋体" w:eastAsia="宋体" w:cs="宋体"/>
          <w:color w:val="auto"/>
          <w:kern w:val="2"/>
          <w:sz w:val="24"/>
          <w:szCs w:val="24"/>
          <w:highlight w:val="none"/>
          <w:lang w:val="zh-CN" w:eastAsia="zh-CN" w:bidi="zh-CN"/>
        </w:rPr>
        <w:t>和</w:t>
      </w:r>
      <w:r>
        <w:rPr>
          <w:rFonts w:hint="eastAsia" w:ascii="宋体" w:hAnsi="宋体" w:eastAsia="宋体" w:cs="宋体"/>
          <w:color w:val="auto"/>
          <w:kern w:val="2"/>
          <w:sz w:val="24"/>
          <w:szCs w:val="24"/>
          <w:highlight w:val="none"/>
          <w:lang w:val="en-US" w:eastAsia="zh-CN" w:bidi="en-US"/>
        </w:rPr>
        <w:t>19.</w:t>
      </w:r>
      <w:r>
        <w:rPr>
          <w:rFonts w:hint="eastAsia" w:ascii="宋体" w:hAnsi="宋体" w:eastAsia="宋体" w:cs="宋体"/>
          <w:color w:val="auto"/>
          <w:kern w:val="2"/>
          <w:sz w:val="24"/>
          <w:szCs w:val="24"/>
          <w:highlight w:val="none"/>
          <w:lang w:val="zh-CN" w:eastAsia="zh-CN" w:bidi="zh-CN"/>
        </w:rPr>
        <w:t>7的约定，终止日按专用条款</w:t>
      </w:r>
      <w:r>
        <w:rPr>
          <w:rFonts w:hint="eastAsia" w:ascii="宋体" w:hAnsi="宋体" w:eastAsia="宋体" w:cs="宋体"/>
          <w:color w:val="auto"/>
          <w:kern w:val="2"/>
          <w:sz w:val="24"/>
          <w:szCs w:val="24"/>
          <w:highlight w:val="none"/>
          <w:lang w:val="en-US" w:eastAsia="zh-CN" w:bidi="en-US"/>
        </w:rPr>
        <w:t>1.1.4.5</w:t>
      </w:r>
      <w:r>
        <w:rPr>
          <w:rFonts w:hint="eastAsia" w:ascii="宋体" w:hAnsi="宋体" w:eastAsia="宋体" w:cs="宋体"/>
          <w:color w:val="auto"/>
          <w:kern w:val="2"/>
          <w:sz w:val="24"/>
          <w:szCs w:val="24"/>
          <w:highlight w:val="none"/>
          <w:lang w:val="zh-CN" w:eastAsia="zh-CN" w:bidi="zh-CN"/>
        </w:rPr>
        <w:t>约定。</w:t>
      </w:r>
    </w:p>
    <w:p w14:paraId="1F36803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19.7保修责任</w:t>
      </w:r>
    </w:p>
    <w:p w14:paraId="6491AB08">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zh-CN" w:eastAsia="zh-CN" w:bidi="zh-CN"/>
        </w:rPr>
        <w:t>本合同工程的保修期为：</w:t>
      </w:r>
      <w:r>
        <w:rPr>
          <w:rFonts w:hint="eastAsia" w:ascii="宋体" w:hAnsi="宋体" w:eastAsia="宋体" w:cs="宋体"/>
          <w:color w:val="auto"/>
          <w:kern w:val="2"/>
          <w:sz w:val="24"/>
          <w:szCs w:val="24"/>
          <w:highlight w:val="none"/>
          <w:u w:val="single"/>
          <w:lang w:val="en-US" w:eastAsia="zh-CN" w:bidi="zh-CN"/>
        </w:rPr>
        <w:t xml:space="preserve"> 起算日按通用条款19.1和19. 7的约定，工程缺陷责任期：12个月 </w:t>
      </w:r>
      <w:r>
        <w:rPr>
          <w:rFonts w:hint="eastAsia" w:ascii="宋体" w:hAnsi="宋体" w:eastAsia="宋体" w:cs="宋体"/>
          <w:color w:val="auto"/>
          <w:kern w:val="2"/>
          <w:sz w:val="24"/>
          <w:szCs w:val="24"/>
          <w:highlight w:val="none"/>
          <w:lang w:val="en-US" w:eastAsia="zh-CN" w:bidi="zh-CN"/>
        </w:rPr>
        <w:t>；</w:t>
      </w:r>
    </w:p>
    <w:p w14:paraId="08033A24">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保修范围：</w:t>
      </w:r>
      <w:r>
        <w:rPr>
          <w:rFonts w:hint="eastAsia" w:ascii="宋体" w:hAnsi="宋体" w:eastAsia="宋体" w:cs="宋体"/>
          <w:color w:val="auto"/>
          <w:kern w:val="2"/>
          <w:sz w:val="24"/>
          <w:szCs w:val="24"/>
          <w:highlight w:val="none"/>
          <w:u w:val="single"/>
          <w:lang w:val="en-US" w:eastAsia="zh-CN" w:bidi="zh-CN"/>
        </w:rPr>
        <w:t xml:space="preserve"> 所有施工内容 </w:t>
      </w:r>
      <w:r>
        <w:rPr>
          <w:rFonts w:hint="eastAsia" w:ascii="宋体" w:hAnsi="宋体" w:eastAsia="宋体" w:cs="宋体"/>
          <w:color w:val="auto"/>
          <w:kern w:val="2"/>
          <w:sz w:val="24"/>
          <w:szCs w:val="24"/>
          <w:highlight w:val="none"/>
          <w:lang w:val="en-US" w:eastAsia="zh-CN" w:bidi="zh-CN"/>
        </w:rPr>
        <w:t>。</w:t>
      </w:r>
    </w:p>
    <w:p w14:paraId="56B55E59">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保修责任：由承包人负责并承担相关的一切费用。</w:t>
      </w:r>
    </w:p>
    <w:p w14:paraId="7E14CD1A">
      <w:pPr>
        <w:keepNext/>
        <w:keepLines/>
        <w:pageBreakBefore w:val="0"/>
        <w:widowControl w:val="0"/>
        <w:kinsoku/>
        <w:wordWrap/>
        <w:overflowPunct/>
        <w:topLinePunct w:val="0"/>
        <w:bidi w:val="0"/>
        <w:spacing w:before="0" w:beforeLines="0" w:after="0" w:afterLines="0" w:line="360" w:lineRule="auto"/>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1" w:name="_Toc1113"/>
      <w:r>
        <w:rPr>
          <w:rFonts w:hint="eastAsia" w:ascii="宋体" w:hAnsi="宋体" w:eastAsia="宋体" w:cs="宋体"/>
          <w:color w:val="auto"/>
          <w:kern w:val="2"/>
          <w:sz w:val="24"/>
          <w:szCs w:val="24"/>
          <w:highlight w:val="none"/>
          <w:lang w:val="en-US" w:eastAsia="zh-CN" w:bidi="ar-SA"/>
        </w:rPr>
        <w:t>20. 保险</w:t>
      </w:r>
      <w:bookmarkEnd w:id="271"/>
    </w:p>
    <w:p w14:paraId="17ACC275">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20.1工程保险</w:t>
      </w:r>
    </w:p>
    <w:p w14:paraId="0E4EBF9B">
      <w:pPr>
        <w:pageBreakBefore w:val="0"/>
        <w:widowControl w:val="0"/>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建筑工程一切险和（或）安装工程一切险投保人：</w:t>
      </w:r>
      <w:r>
        <w:rPr>
          <w:rFonts w:hint="eastAsia" w:ascii="宋体" w:hAnsi="宋体" w:eastAsia="宋体" w:cs="宋体"/>
          <w:color w:val="auto"/>
          <w:kern w:val="2"/>
          <w:sz w:val="24"/>
          <w:szCs w:val="24"/>
          <w:highlight w:val="none"/>
          <w:u w:val="single"/>
          <w:lang w:val="zh-CN" w:eastAsia="zh-CN" w:bidi="zh-CN"/>
        </w:rPr>
        <w:t xml:space="preserve"> 承包人</w:t>
      </w:r>
      <w:r>
        <w:rPr>
          <w:rFonts w:hint="eastAsia" w:ascii="宋体" w:hAnsi="宋体" w:eastAsia="宋体" w:cs="宋体"/>
          <w:color w:val="auto"/>
          <w:kern w:val="2"/>
          <w:sz w:val="24"/>
          <w:szCs w:val="24"/>
          <w:highlight w:val="none"/>
          <w:u w:val="single"/>
          <w:lang w:val="en-US"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投保内容：</w:t>
      </w:r>
      <w:r>
        <w:rPr>
          <w:rFonts w:hint="eastAsia" w:ascii="宋体" w:hAnsi="宋体" w:eastAsia="宋体" w:cs="宋体"/>
          <w:color w:val="auto"/>
          <w:kern w:val="2"/>
          <w:sz w:val="24"/>
          <w:szCs w:val="24"/>
          <w:highlight w:val="none"/>
          <w:u w:val="single"/>
          <w:lang w:val="zh-CN" w:eastAsia="zh-CN" w:bidi="zh-CN"/>
        </w:rPr>
        <w:t xml:space="preserve"> 建筑意外伤害保险</w:t>
      </w:r>
      <w:r>
        <w:rPr>
          <w:rFonts w:hint="eastAsia" w:ascii="宋体" w:hAnsi="宋体" w:cs="宋体"/>
          <w:color w:val="auto"/>
          <w:kern w:val="2"/>
          <w:sz w:val="24"/>
          <w:szCs w:val="24"/>
          <w:highlight w:val="none"/>
          <w:u w:val="single"/>
          <w:lang w:val="zh-CN" w:eastAsia="zh-CN" w:bidi="zh-CN"/>
        </w:rPr>
        <w:t>、</w:t>
      </w:r>
      <w:r>
        <w:rPr>
          <w:rFonts w:hint="eastAsia" w:ascii="宋体" w:hAnsi="宋体" w:eastAsia="宋体" w:cs="宋体"/>
          <w:color w:val="auto"/>
          <w:kern w:val="2"/>
          <w:sz w:val="24"/>
          <w:szCs w:val="24"/>
          <w:highlight w:val="none"/>
          <w:u w:val="single"/>
          <w:lang w:val="zh-CN" w:eastAsia="zh-CN" w:bidi="zh-CN"/>
        </w:rPr>
        <w:t>工伤保险</w:t>
      </w:r>
      <w:r>
        <w:rPr>
          <w:rFonts w:hint="eastAsia" w:ascii="宋体" w:hAnsi="宋体" w:cs="宋体"/>
          <w:color w:val="auto"/>
          <w:kern w:val="2"/>
          <w:sz w:val="24"/>
          <w:szCs w:val="24"/>
          <w:highlight w:val="none"/>
          <w:u w:val="single"/>
          <w:lang w:val="zh-CN" w:eastAsia="zh-CN" w:bidi="zh-CN"/>
        </w:rPr>
        <w:t>、安全生产责任险</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；保险金额、保险费率：</w:t>
      </w:r>
      <w:r>
        <w:rPr>
          <w:rFonts w:hint="eastAsia" w:ascii="宋体" w:hAnsi="宋体" w:eastAsia="宋体" w:cs="宋体"/>
          <w:color w:val="auto"/>
          <w:kern w:val="2"/>
          <w:sz w:val="24"/>
          <w:szCs w:val="24"/>
          <w:highlight w:val="none"/>
          <w:u w:val="single"/>
          <w:lang w:val="zh-CN" w:eastAsia="zh-CN" w:bidi="zh-CN"/>
        </w:rPr>
        <w:t>保险金额按建筑意外伤害保险及工伤保险相关规定投保，</w:t>
      </w:r>
      <w:r>
        <w:rPr>
          <w:rFonts w:hint="eastAsia" w:ascii="宋体" w:hAnsi="宋体" w:eastAsia="宋体" w:cs="宋体"/>
          <w:color w:val="auto"/>
          <w:kern w:val="2"/>
          <w:sz w:val="24"/>
          <w:szCs w:val="24"/>
          <w:highlight w:val="none"/>
          <w:lang w:val="zh-CN" w:eastAsia="zh-CN" w:bidi="zh-CN"/>
        </w:rPr>
        <w:t xml:space="preserve">保险期限: </w:t>
      </w:r>
      <w:r>
        <w:rPr>
          <w:rFonts w:hint="eastAsia" w:ascii="宋体" w:hAnsi="宋体" w:eastAsia="宋体" w:cs="宋体"/>
          <w:color w:val="auto"/>
          <w:kern w:val="2"/>
          <w:sz w:val="24"/>
          <w:szCs w:val="24"/>
          <w:highlight w:val="none"/>
          <w:u w:val="single"/>
          <w:lang w:val="zh-CN" w:eastAsia="zh-CN" w:bidi="zh-CN"/>
        </w:rPr>
        <w:t xml:space="preserve"> 保险期限自投保之日（工程开工之日）起至工程竣工（或投入使用）验收时止，时间上涵盖施工全过程的任一时段</w:t>
      </w:r>
      <w:r>
        <w:rPr>
          <w:rFonts w:hint="eastAsia" w:ascii="宋体" w:hAnsi="宋体" w:eastAsia="宋体" w:cs="宋体"/>
          <w:color w:val="auto"/>
          <w:kern w:val="2"/>
          <w:sz w:val="24"/>
          <w:szCs w:val="24"/>
          <w:highlight w:val="none"/>
          <w:lang w:val="en-US" w:eastAsia="zh-CN" w:bidi="zh-CN"/>
        </w:rPr>
        <w:t>。</w:t>
      </w:r>
    </w:p>
    <w:p w14:paraId="4242BDD0">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20.4第三者责任险</w:t>
      </w:r>
    </w:p>
    <w:p w14:paraId="06513882">
      <w:pPr>
        <w:pageBreakBefore w:val="0"/>
        <w:widowControl w:val="0"/>
        <w:tabs>
          <w:tab w:val="left" w:pos="8225"/>
        </w:tabs>
        <w:kinsoku/>
        <w:wordWrap/>
        <w:overflowPunct/>
        <w:topLinePunct w:val="0"/>
        <w:bidi w:val="0"/>
        <w:spacing w:line="360" w:lineRule="auto"/>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 xml:space="preserve">20.4.2 </w:t>
      </w:r>
      <w:r>
        <w:rPr>
          <w:rFonts w:hint="eastAsia" w:ascii="宋体" w:hAnsi="宋体" w:eastAsia="宋体" w:cs="宋体"/>
          <w:color w:val="auto"/>
          <w:kern w:val="2"/>
          <w:sz w:val="24"/>
          <w:szCs w:val="24"/>
          <w:highlight w:val="none"/>
          <w:lang w:val="zh-CN" w:eastAsia="zh-CN" w:bidi="zh-CN"/>
        </w:rPr>
        <w:t>第三者责任险保险费率：</w:t>
      </w:r>
      <w:r>
        <w:rPr>
          <w:rFonts w:hint="eastAsia" w:ascii="宋体" w:hAnsi="宋体" w:eastAsia="宋体" w:cs="宋体"/>
          <w:color w:val="auto"/>
          <w:kern w:val="2"/>
          <w:sz w:val="24"/>
          <w:szCs w:val="24"/>
          <w:highlight w:val="none"/>
          <w:u w:val="single"/>
          <w:lang w:val="zh-CN" w:eastAsia="zh-CN" w:bidi="zh-CN"/>
        </w:rPr>
        <w:t xml:space="preserve">由承包人自行投保 </w:t>
      </w:r>
      <w:r>
        <w:rPr>
          <w:rFonts w:hint="eastAsia" w:ascii="宋体" w:hAnsi="宋体" w:eastAsia="宋体" w:cs="宋体"/>
          <w:color w:val="auto"/>
          <w:kern w:val="2"/>
          <w:sz w:val="24"/>
          <w:szCs w:val="24"/>
          <w:highlight w:val="none"/>
          <w:lang w:val="zh-CN" w:eastAsia="zh-CN" w:bidi="zh-CN"/>
        </w:rPr>
        <w:t>； 第三者责任险保险金额：</w:t>
      </w:r>
      <w:r>
        <w:rPr>
          <w:rFonts w:hint="eastAsia" w:ascii="宋体" w:hAnsi="宋体" w:eastAsia="宋体" w:cs="宋体"/>
          <w:color w:val="auto"/>
          <w:kern w:val="2"/>
          <w:sz w:val="24"/>
          <w:szCs w:val="24"/>
          <w:highlight w:val="none"/>
          <w:u w:val="single"/>
          <w:lang w:val="zh-CN" w:eastAsia="zh-CN" w:bidi="zh-CN"/>
        </w:rPr>
        <w:t xml:space="preserve">  由承包人自行投保</w:t>
      </w:r>
      <w:r>
        <w:rPr>
          <w:rFonts w:hint="eastAsia" w:ascii="宋体" w:hAnsi="宋体" w:eastAsia="宋体" w:cs="宋体"/>
          <w:color w:val="auto"/>
          <w:kern w:val="2"/>
          <w:sz w:val="24"/>
          <w:szCs w:val="24"/>
          <w:highlight w:val="none"/>
          <w:lang w:val="en-US" w:eastAsia="zh-CN" w:bidi="en-US"/>
        </w:rPr>
        <w:t>。</w:t>
      </w:r>
    </w:p>
    <w:p w14:paraId="3D2A3FB4">
      <w:pPr>
        <w:pageBreakBefore w:val="0"/>
        <w:widowControl w:val="0"/>
        <w:kinsoku/>
        <w:wordWrap/>
        <w:overflowPunct/>
        <w:topLinePunct w:val="0"/>
        <w:bidi w:val="0"/>
        <w:adjustRightInd w:val="0"/>
        <w:spacing w:before="0" w:after="0" w:line="360" w:lineRule="auto"/>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20.5其他保险</w:t>
      </w:r>
    </w:p>
    <w:p w14:paraId="157179ED">
      <w:pPr>
        <w:tabs>
          <w:tab w:val="left" w:pos="8220"/>
        </w:tabs>
        <w:spacing w:line="360" w:lineRule="auto"/>
        <w:ind w:firstLine="480" w:firstLineChars="200"/>
        <w:rPr>
          <w:rFonts w:ascii="宋体" w:hAnsi="宋体" w:eastAsia="宋体" w:cs="宋体"/>
          <w:color w:val="auto"/>
          <w:kern w:val="0"/>
          <w:sz w:val="24"/>
          <w:highlight w:val="none"/>
          <w:lang w:bidi="zh-CN"/>
        </w:rPr>
      </w:pPr>
      <w:r>
        <w:rPr>
          <w:rFonts w:hint="eastAsia" w:ascii="宋体" w:hAnsi="宋体" w:eastAsia="宋体" w:cs="宋体"/>
          <w:color w:val="auto"/>
          <w:kern w:val="0"/>
          <w:sz w:val="24"/>
          <w:highlight w:val="none"/>
          <w:lang w:bidi="zh-CN"/>
        </w:rPr>
        <w:t>20.5.1安全生产责任险投保人：</w:t>
      </w:r>
      <w:r>
        <w:rPr>
          <w:rFonts w:hint="eastAsia" w:ascii="宋体" w:hAnsi="宋体" w:eastAsia="宋体" w:cs="宋体"/>
          <w:color w:val="auto"/>
          <w:kern w:val="0"/>
          <w:sz w:val="24"/>
          <w:highlight w:val="none"/>
          <w:u w:val="single"/>
          <w:lang w:bidi="zh-CN"/>
        </w:rPr>
        <w:t>承包人</w:t>
      </w:r>
      <w:r>
        <w:rPr>
          <w:rFonts w:hint="eastAsia" w:ascii="宋体" w:hAnsi="宋体" w:eastAsia="宋体" w:cs="宋体"/>
          <w:color w:val="auto"/>
          <w:kern w:val="0"/>
          <w:sz w:val="24"/>
          <w:highlight w:val="none"/>
          <w:lang w:bidi="zh-CN"/>
        </w:rPr>
        <w:t>；投保内容及要求按《南宁市水利局关于进一步推进水利工程建设领域安全生产责任保险工作的通知》（南水监督〔2024〕46号）文件执行。</w:t>
      </w:r>
    </w:p>
    <w:p w14:paraId="35B4D636">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0"/>
          <w:sz w:val="24"/>
          <w:highlight w:val="none"/>
          <w:lang w:bidi="zh-CN"/>
        </w:rPr>
        <w:t>20.5.2</w:t>
      </w:r>
      <w:r>
        <w:rPr>
          <w:rFonts w:hint="eastAsia" w:ascii="宋体" w:hAnsi="宋体" w:eastAsia="宋体" w:cs="宋体"/>
          <w:color w:val="auto"/>
          <w:kern w:val="0"/>
          <w:sz w:val="24"/>
          <w:highlight w:val="none"/>
          <w:lang w:val="zh-CN" w:bidi="zh-CN"/>
        </w:rPr>
        <w:t>需要投保的其他内容：</w:t>
      </w:r>
      <w:r>
        <w:rPr>
          <w:rFonts w:hint="eastAsia" w:ascii="宋体" w:hAnsi="宋体" w:eastAsia="宋体" w:cs="宋体"/>
          <w:color w:val="auto"/>
          <w:kern w:val="0"/>
          <w:sz w:val="24"/>
          <w:highlight w:val="none"/>
          <w:u w:val="single"/>
          <w:lang w:val="zh-CN" w:bidi="zh-CN"/>
        </w:rPr>
        <w:t xml:space="preserve">  由承包人自行投保  </w:t>
      </w:r>
      <w:r>
        <w:rPr>
          <w:rFonts w:hint="eastAsia" w:ascii="宋体" w:hAnsi="宋体" w:eastAsia="宋体" w:cs="宋体"/>
          <w:color w:val="auto"/>
          <w:kern w:val="0"/>
          <w:sz w:val="24"/>
          <w:highlight w:val="none"/>
          <w:lang w:val="zh-CN" w:bidi="zh-CN"/>
        </w:rPr>
        <w:t>；保险金额、保险费率和保险期限：</w:t>
      </w:r>
      <w:r>
        <w:rPr>
          <w:rFonts w:hint="eastAsia" w:ascii="宋体" w:hAnsi="宋体" w:eastAsia="宋体" w:cs="宋体"/>
          <w:color w:val="auto"/>
          <w:kern w:val="0"/>
          <w:sz w:val="24"/>
          <w:highlight w:val="none"/>
          <w:u w:val="single"/>
          <w:lang w:val="zh-CN" w:bidi="zh-CN"/>
        </w:rPr>
        <w:t xml:space="preserve">由承包人自行投保  </w:t>
      </w:r>
      <w:r>
        <w:rPr>
          <w:rFonts w:hint="eastAsia" w:ascii="宋体" w:hAnsi="宋体" w:eastAsia="宋体" w:cs="宋体"/>
          <w:color w:val="auto"/>
          <w:kern w:val="0"/>
          <w:sz w:val="24"/>
          <w:highlight w:val="none"/>
          <w:u w:val="none"/>
          <w:lang w:val="zh-CN" w:bidi="zh-CN"/>
        </w:rPr>
        <w:t>。</w:t>
      </w:r>
    </w:p>
    <w:p w14:paraId="306202E4">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20.6对各项保险的一般要求</w:t>
      </w:r>
    </w:p>
    <w:p w14:paraId="37FDC915">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20.6.1保险凭证</w:t>
      </w:r>
    </w:p>
    <w:p w14:paraId="5751CC80">
      <w:pPr>
        <w:pageBreakBefore w:val="0"/>
        <w:widowControl w:val="0"/>
        <w:tabs>
          <w:tab w:val="left" w:pos="822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承包人提交保险凭证的期限：</w:t>
      </w:r>
      <w:r>
        <w:rPr>
          <w:rFonts w:hint="eastAsia" w:ascii="宋体" w:hAnsi="宋体" w:eastAsia="宋体" w:cs="宋体"/>
          <w:color w:val="auto"/>
          <w:kern w:val="2"/>
          <w:sz w:val="24"/>
          <w:szCs w:val="24"/>
          <w:highlight w:val="none"/>
          <w:u w:val="single"/>
          <w:lang w:val="zh-CN" w:eastAsia="zh-CN" w:bidi="zh-CN"/>
        </w:rPr>
        <w:t xml:space="preserve"> 签订合同之日起15天内  </w:t>
      </w:r>
      <w:r>
        <w:rPr>
          <w:rFonts w:hint="eastAsia" w:ascii="宋体" w:hAnsi="宋体" w:eastAsia="宋体" w:cs="宋体"/>
          <w:color w:val="auto"/>
          <w:kern w:val="2"/>
          <w:sz w:val="24"/>
          <w:szCs w:val="24"/>
          <w:highlight w:val="none"/>
          <w:lang w:val="zh-CN" w:eastAsia="zh-CN" w:bidi="zh-CN"/>
        </w:rPr>
        <w:t>； 保险条件：</w:t>
      </w:r>
      <w:r>
        <w:rPr>
          <w:rFonts w:hint="eastAsia" w:ascii="宋体" w:hAnsi="宋体" w:eastAsia="宋体" w:cs="宋体"/>
          <w:color w:val="auto"/>
          <w:kern w:val="2"/>
          <w:sz w:val="24"/>
          <w:szCs w:val="24"/>
          <w:highlight w:val="none"/>
          <w:u w:val="single"/>
          <w:lang w:val="zh-CN" w:eastAsia="zh-CN" w:bidi="zh-CN"/>
        </w:rPr>
        <w:t xml:space="preserve">  按相关规定执行 </w:t>
      </w:r>
      <w:r>
        <w:rPr>
          <w:rFonts w:hint="eastAsia" w:ascii="宋体" w:hAnsi="宋体" w:eastAsia="宋体" w:cs="宋体"/>
          <w:color w:val="auto"/>
          <w:kern w:val="2"/>
          <w:sz w:val="24"/>
          <w:szCs w:val="24"/>
          <w:highlight w:val="none"/>
          <w:lang w:val="zh-CN" w:eastAsia="zh-CN" w:bidi="zh-CN"/>
        </w:rPr>
        <w:t>。</w:t>
      </w:r>
    </w:p>
    <w:p w14:paraId="1747DE67">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20. 6.</w:t>
      </w:r>
      <w:r>
        <w:rPr>
          <w:rFonts w:hint="eastAsia" w:ascii="宋体" w:hAnsi="宋体" w:eastAsia="宋体" w:cs="宋体"/>
          <w:color w:val="auto"/>
          <w:kern w:val="2"/>
          <w:sz w:val="24"/>
          <w:szCs w:val="24"/>
          <w:highlight w:val="none"/>
          <w:lang w:val="zh-CN" w:eastAsia="zh-CN" w:bidi="zh-CN"/>
        </w:rPr>
        <w:t>4保险金不足的补偿</w:t>
      </w:r>
    </w:p>
    <w:p w14:paraId="527764CD">
      <w:pPr>
        <w:pageBreakBefore w:val="0"/>
        <w:widowControl w:val="0"/>
        <w:tabs>
          <w:tab w:val="left" w:pos="8215"/>
          <w:tab w:val="left" w:pos="8218"/>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承包人负责补偿的范围与金额：</w:t>
      </w:r>
      <w:r>
        <w:rPr>
          <w:rFonts w:hint="eastAsia" w:ascii="宋体" w:hAnsi="宋体" w:eastAsia="宋体" w:cs="宋体"/>
          <w:color w:val="auto"/>
          <w:kern w:val="2"/>
          <w:sz w:val="24"/>
          <w:szCs w:val="24"/>
          <w:highlight w:val="none"/>
          <w:u w:val="single"/>
          <w:lang w:val="zh-CN" w:eastAsia="zh-CN" w:bidi="zh-CN"/>
        </w:rPr>
        <w:t xml:space="preserve"> 保险金额不足的补偿由承包人负责</w:t>
      </w:r>
      <w:r>
        <w:rPr>
          <w:rFonts w:hint="eastAsia" w:ascii="宋体" w:hAnsi="宋体" w:eastAsia="宋体" w:cs="宋体"/>
          <w:bCs/>
          <w:color w:val="auto"/>
          <w:kern w:val="0"/>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u w:val="single"/>
          <w:lang w:val="zh-CN" w:eastAsia="zh-CN" w:bidi="zh-CN"/>
        </w:rPr>
        <w:t xml:space="preserve"> </w:t>
      </w:r>
      <w:r>
        <w:rPr>
          <w:rFonts w:hint="eastAsia" w:ascii="宋体" w:hAnsi="宋体" w:eastAsia="宋体" w:cs="宋体"/>
          <w:color w:val="auto"/>
          <w:kern w:val="2"/>
          <w:sz w:val="24"/>
          <w:szCs w:val="24"/>
          <w:highlight w:val="none"/>
          <w:lang w:val="zh-CN" w:eastAsia="zh-CN" w:bidi="zh-CN"/>
        </w:rPr>
        <w:t>； 发包人负责补偿的范围与金额：</w:t>
      </w:r>
      <w:r>
        <w:rPr>
          <w:rFonts w:hint="eastAsia" w:ascii="宋体" w:hAnsi="宋体" w:eastAsia="宋体" w:cs="宋体"/>
          <w:color w:val="auto"/>
          <w:kern w:val="2"/>
          <w:sz w:val="24"/>
          <w:szCs w:val="24"/>
          <w:highlight w:val="none"/>
          <w:u w:val="single"/>
          <w:lang w:val="zh-CN" w:eastAsia="zh-CN" w:bidi="zh-CN"/>
        </w:rPr>
        <w:t xml:space="preserve"> 由于本工程一切保险均有投标人负责投保，其费用均列入报价，故发包人不承担保险金不足的补偿 </w:t>
      </w:r>
      <w:r>
        <w:rPr>
          <w:rFonts w:hint="eastAsia" w:ascii="宋体" w:hAnsi="宋体" w:eastAsia="宋体" w:cs="宋体"/>
          <w:color w:val="auto"/>
          <w:kern w:val="2"/>
          <w:sz w:val="24"/>
          <w:szCs w:val="24"/>
          <w:highlight w:val="none"/>
          <w:lang w:val="en-US" w:eastAsia="zh-CN" w:bidi="en-US"/>
        </w:rPr>
        <w:t>。</w:t>
      </w:r>
    </w:p>
    <w:p w14:paraId="2821C3FD">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2" w:name="_Toc28038"/>
      <w:r>
        <w:rPr>
          <w:rFonts w:hint="eastAsia" w:ascii="宋体" w:hAnsi="宋体" w:eastAsia="宋体" w:cs="宋体"/>
          <w:color w:val="auto"/>
          <w:kern w:val="2"/>
          <w:sz w:val="24"/>
          <w:szCs w:val="24"/>
          <w:highlight w:val="none"/>
          <w:lang w:val="en-US" w:eastAsia="zh-CN" w:bidi="ar-SA"/>
        </w:rPr>
        <w:t>21. 不可抗力</w:t>
      </w:r>
      <w:bookmarkEnd w:id="272"/>
    </w:p>
    <w:p w14:paraId="48EA2D06">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21.1不可抗力的确认</w:t>
      </w:r>
    </w:p>
    <w:p w14:paraId="6B1F52F1">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en-US" w:eastAsia="zh-CN" w:bidi="en-US"/>
        </w:rPr>
        <w:t>21.1.1</w:t>
      </w:r>
      <w:r>
        <w:rPr>
          <w:rFonts w:hint="eastAsia" w:ascii="宋体" w:hAnsi="宋体" w:eastAsia="宋体" w:cs="宋体"/>
          <w:color w:val="auto"/>
          <w:kern w:val="2"/>
          <w:sz w:val="24"/>
          <w:szCs w:val="24"/>
          <w:highlight w:val="none"/>
          <w:lang w:val="zh-CN" w:eastAsia="zh-CN" w:bidi="zh-CN"/>
        </w:rPr>
        <w:t>不可抗力是指承包人和发包人在订立合同时不可预见，在工程施工过程中不可避免发生并不能克服的自然灾害和社会性突发事件，如地震、海啸、瘟疫、水灾、骚乱、 暴动、战争和本合同专用合同条款第</w:t>
      </w:r>
      <w:r>
        <w:rPr>
          <w:rFonts w:hint="eastAsia" w:ascii="宋体" w:hAnsi="宋体" w:eastAsia="宋体" w:cs="宋体"/>
          <w:color w:val="auto"/>
          <w:kern w:val="2"/>
          <w:sz w:val="24"/>
          <w:szCs w:val="24"/>
          <w:highlight w:val="none"/>
          <w:lang w:val="en-US" w:eastAsia="zh-CN" w:bidi="en-US"/>
        </w:rPr>
        <w:t xml:space="preserve">11. </w:t>
      </w:r>
      <w:r>
        <w:rPr>
          <w:rFonts w:hint="eastAsia" w:ascii="宋体" w:hAnsi="宋体" w:eastAsia="宋体" w:cs="宋体"/>
          <w:color w:val="auto"/>
          <w:kern w:val="2"/>
          <w:sz w:val="24"/>
          <w:szCs w:val="24"/>
          <w:highlight w:val="none"/>
          <w:lang w:val="zh-CN" w:eastAsia="zh-CN" w:bidi="zh-CN"/>
        </w:rPr>
        <w:t>4款的约定。</w:t>
      </w:r>
    </w:p>
    <w:p w14:paraId="13B08422">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3" w:name="_Toc15187"/>
      <w:r>
        <w:rPr>
          <w:rFonts w:hint="eastAsia" w:ascii="宋体" w:hAnsi="宋体" w:eastAsia="宋体" w:cs="宋体"/>
          <w:color w:val="auto"/>
          <w:kern w:val="2"/>
          <w:sz w:val="24"/>
          <w:szCs w:val="24"/>
          <w:highlight w:val="none"/>
          <w:lang w:val="en-US" w:eastAsia="zh-CN" w:bidi="ar-SA"/>
        </w:rPr>
        <w:t>24. 争议的解决</w:t>
      </w:r>
      <w:bookmarkEnd w:id="273"/>
    </w:p>
    <w:p w14:paraId="5DE9D50B">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24.1争议的解决方式</w:t>
      </w:r>
    </w:p>
    <w:p w14:paraId="444F084B">
      <w:pPr>
        <w:pageBreakBefore w:val="0"/>
        <w:widowControl w:val="0"/>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u w:val="single"/>
          <w:lang w:val="en-US" w:eastAsia="zh-CN" w:bidi="zh-CN"/>
        </w:rPr>
      </w:pPr>
      <w:r>
        <w:rPr>
          <w:rFonts w:hint="eastAsia" w:ascii="宋体" w:hAnsi="宋体" w:eastAsia="宋体" w:cs="宋体"/>
          <w:color w:val="auto"/>
          <w:kern w:val="2"/>
          <w:sz w:val="24"/>
          <w:szCs w:val="24"/>
          <w:highlight w:val="none"/>
          <w:lang w:val="en-US" w:eastAsia="zh-CN" w:bidi="zh-CN"/>
        </w:rPr>
        <w:t>合同当事人友好协商解决不成、不愿提请争议评审或不接受争议评审组意见的，约定的合同争议解决方式：</w:t>
      </w:r>
      <w:r>
        <w:rPr>
          <w:rFonts w:hint="eastAsia" w:ascii="宋体" w:hAnsi="宋体" w:eastAsia="宋体" w:cs="宋体"/>
          <w:color w:val="auto"/>
          <w:kern w:val="2"/>
          <w:sz w:val="24"/>
          <w:szCs w:val="24"/>
          <w:highlight w:val="none"/>
          <w:u w:val="single"/>
          <w:lang w:val="en-US" w:eastAsia="zh-CN" w:bidi="zh-CN"/>
        </w:rPr>
        <w:t>向甲方所在地有管辖权的人民法院提起诉讼。</w:t>
      </w:r>
    </w:p>
    <w:p w14:paraId="7A45DF00">
      <w:pPr>
        <w:keepNext/>
        <w:keepLines/>
        <w:pageBreakBefore w:val="0"/>
        <w:widowControl w:val="0"/>
        <w:kinsoku/>
        <w:wordWrap/>
        <w:overflowPunct/>
        <w:topLinePunct w:val="0"/>
        <w:autoSpaceDE/>
        <w:autoSpaceDN/>
        <w:bidi w:val="0"/>
        <w:snapToGrid/>
        <w:spacing w:before="0" w:beforeLines="0" w:after="0" w:afterLines="0" w:line="440" w:lineRule="exact"/>
        <w:ind w:left="0" w:leftChars="0" w:firstLine="480" w:firstLineChars="200"/>
        <w:jc w:val="both"/>
        <w:outlineLvl w:val="2"/>
        <w:rPr>
          <w:rFonts w:hint="eastAsia" w:ascii="宋体" w:hAnsi="宋体" w:eastAsia="宋体" w:cs="宋体"/>
          <w:color w:val="auto"/>
          <w:kern w:val="2"/>
          <w:sz w:val="24"/>
          <w:szCs w:val="24"/>
          <w:highlight w:val="none"/>
          <w:lang w:val="en-US" w:eastAsia="zh-CN" w:bidi="ar-SA"/>
        </w:rPr>
      </w:pPr>
      <w:bookmarkStart w:id="274" w:name="_Toc3549"/>
      <w:r>
        <w:rPr>
          <w:rFonts w:hint="eastAsia" w:ascii="宋体" w:hAnsi="宋体" w:eastAsia="宋体" w:cs="宋体"/>
          <w:color w:val="auto"/>
          <w:kern w:val="2"/>
          <w:sz w:val="24"/>
          <w:szCs w:val="24"/>
          <w:highlight w:val="none"/>
          <w:lang w:val="en-US" w:eastAsia="zh-CN" w:bidi="ar-SA"/>
        </w:rPr>
        <w:t>25. 附加条款</w:t>
      </w:r>
      <w:bookmarkEnd w:id="274"/>
    </w:p>
    <w:p w14:paraId="169A06BD">
      <w:pPr>
        <w:pageBreakBefore w:val="0"/>
        <w:widowControl w:val="0"/>
        <w:kinsoku/>
        <w:wordWrap/>
        <w:overflowPunct/>
        <w:topLinePunct w:val="0"/>
        <w:autoSpaceDE/>
        <w:autoSpaceDN/>
        <w:bidi w:val="0"/>
        <w:adjustRightInd w:val="0"/>
        <w:snapToGrid/>
        <w:spacing w:before="0" w:after="0" w:line="440" w:lineRule="exact"/>
        <w:ind w:left="0" w:leftChars="0" w:firstLine="480" w:firstLineChars="200"/>
        <w:jc w:val="both"/>
        <w:textAlignment w:val="baseline"/>
        <w:outlineLvl w:val="3"/>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25.1对承包人的要求</w:t>
      </w:r>
    </w:p>
    <w:p w14:paraId="78903481">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 使用承包人设备、临时工程和材料，另行组织人员或委托其他承包人施工，但发包人的这一行为不免除承包人按合同规定应负的责任。</w:t>
      </w:r>
    </w:p>
    <w:p w14:paraId="514F6F15">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遵守国务院《建设工程质量管理条例》，根据水利部、自治区和水利厅的有关质量管理规定，建立健全质量管理机构，结合工程实际制定完善的可操作性强的质量管理制度，施工质量等级达到合同约定等级。</w:t>
      </w:r>
    </w:p>
    <w:p w14:paraId="3FB29A64">
      <w:pPr>
        <w:pageBreakBefore w:val="0"/>
        <w:widowControl w:val="0"/>
        <w:numPr>
          <w:ilvl w:val="0"/>
          <w:numId w:val="44"/>
        </w:numPr>
        <w:tabs>
          <w:tab w:val="left" w:pos="707"/>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国家《中华人民共和国安全生产法》、《建设工程安全生产管理条例》、自治区安全生产法规和水利水电工程施工安全操作规程的规定建立健全安全管理机构和安全管理制度，采取安全施工保障措施保障工程施工安全。</w:t>
      </w:r>
    </w:p>
    <w:p w14:paraId="0159F0AB">
      <w:pPr>
        <w:pageBreakBefore w:val="0"/>
        <w:widowControl w:val="0"/>
        <w:numPr>
          <w:ilvl w:val="0"/>
          <w:numId w:val="44"/>
        </w:numPr>
        <w:tabs>
          <w:tab w:val="left" w:pos="70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按有关施工规程规范及本招标文件技术条款进行组织施工并实施施工过程和移交前工程保护措施。</w:t>
      </w:r>
    </w:p>
    <w:p w14:paraId="0926A438">
      <w:pPr>
        <w:pageBreakBefore w:val="0"/>
        <w:widowControl w:val="0"/>
        <w:numPr>
          <w:ilvl w:val="0"/>
          <w:numId w:val="44"/>
        </w:numPr>
        <w:tabs>
          <w:tab w:val="left" w:pos="71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承包人违约有以下情况之一者，发包人有权采取合同规定的以下措施处理，并视情节轻重处予违约金。</w:t>
      </w:r>
    </w:p>
    <w:p w14:paraId="1252D2FC">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未经发包人批准，施工期内承包人调走主要施工技术人员(包括建造师、专业工程师)，经发现不及时调回的，违约金额为履约保证金金额的5%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4094B1FB">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未经发包人批准，施工期内自行调走主要施工机械，经发现不及时调回的，违约金额为履约保证金金额的5% ～20% (视情节严重而定)</w:t>
      </w:r>
      <w:r>
        <w:rPr>
          <w:rFonts w:hint="eastAsia" w:ascii="宋体" w:hAnsi="宋体" w:eastAsia="宋体" w:cs="宋体"/>
          <w:color w:val="auto"/>
          <w:kern w:val="2"/>
          <w:sz w:val="24"/>
          <w:szCs w:val="24"/>
          <w:highlight w:val="none"/>
          <w:lang w:val="en-US" w:eastAsia="zh-CN" w:bidi="en-US"/>
        </w:rPr>
        <w:t>。</w:t>
      </w:r>
    </w:p>
    <w:p w14:paraId="6E135ED7">
      <w:pPr>
        <w:pageBreakBefore w:val="0"/>
        <w:widowControl w:val="0"/>
        <w:numPr>
          <w:ilvl w:val="0"/>
          <w:numId w:val="45"/>
        </w:numPr>
        <w:tabs>
          <w:tab w:val="left" w:pos="883"/>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所有以上违约金额均在承包人的履约保证金(包括银行利息)及计量支付款内扣除，承包人履约保证金被扣除后，由发包人从最后一次计量支付时扣相应金额补足履约保证金。</w:t>
      </w:r>
    </w:p>
    <w:p w14:paraId="7A4013E5">
      <w:pPr>
        <w:pageBreakBefore w:val="0"/>
        <w:widowControl w:val="0"/>
        <w:numPr>
          <w:ilvl w:val="0"/>
          <w:numId w:val="45"/>
        </w:numPr>
        <w:tabs>
          <w:tab w:val="left" w:pos="885"/>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 械、材料和劳动力不能满足施工进度要求，有权指令承包人增加机械、材料和劳动力投入, 承包人不得拒绝。</w:t>
      </w:r>
    </w:p>
    <w:p w14:paraId="6D214F2C">
      <w:pPr>
        <w:pageBreakBefore w:val="0"/>
        <w:widowControl w:val="0"/>
        <w:numPr>
          <w:ilvl w:val="0"/>
          <w:numId w:val="45"/>
        </w:numPr>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合同履行过程中，承包人未按规定要求落实安全生产措施费用专款专用，挪用、 扣减安全生产措施费用，且不服从发包人或监理人的安全生产管理，发包人有权对违反安 全生产相关规定的行为处以罚款直至终止合同。</w:t>
      </w:r>
    </w:p>
    <w:p w14:paraId="5C85B1B6">
      <w:pPr>
        <w:pageBreakBefore w:val="0"/>
        <w:widowControl w:val="0"/>
        <w:numPr>
          <w:ilvl w:val="0"/>
          <w:numId w:val="44"/>
        </w:numPr>
        <w:tabs>
          <w:tab w:val="left" w:pos="73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承包人生活设施及施工场地，应自费配备消防设备，防止火灾发生。</w:t>
      </w:r>
    </w:p>
    <w:p w14:paraId="10249066">
      <w:pPr>
        <w:pageBreakBefore w:val="0"/>
        <w:widowControl w:val="0"/>
        <w:numPr>
          <w:ilvl w:val="0"/>
          <w:numId w:val="44"/>
        </w:numPr>
        <w:tabs>
          <w:tab w:val="left" w:pos="71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承包人使用的劳动力均应进行保险，否则不准安排工作，禁止使用童工。</w:t>
      </w:r>
    </w:p>
    <w:p w14:paraId="3B18E7B2">
      <w:pPr>
        <w:pageBreakBefore w:val="0"/>
        <w:widowControl w:val="0"/>
        <w:tabs>
          <w:tab w:val="left" w:pos="880"/>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8.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496EF9D2">
      <w:pPr>
        <w:pageBreakBefore w:val="0"/>
        <w:widowControl w:val="0"/>
        <w:tabs>
          <w:tab w:val="left" w:pos="299"/>
        </w:tabs>
        <w:kinsoku/>
        <w:wordWrap/>
        <w:overflowPunct/>
        <w:topLinePunct w:val="0"/>
        <w:autoSpaceDE/>
        <w:autoSpaceDN/>
        <w:bidi w:val="0"/>
        <w:snapToGrid/>
        <w:spacing w:line="440" w:lineRule="exact"/>
        <w:ind w:left="0" w:leftChars="0" w:firstLine="480" w:firstLineChars="200"/>
        <w:jc w:val="both"/>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kern w:val="2"/>
          <w:sz w:val="24"/>
          <w:szCs w:val="24"/>
          <w:highlight w:val="none"/>
          <w:lang w:val="zh-CN" w:eastAsia="zh-CN" w:bidi="zh-CN"/>
        </w:rPr>
        <w:t>25.2发包人所有付款（含预付款）均转入如下承包人单位基本账户（签订施工合同时标明），承包人单位基本账户发生改变时，承包人应书面通知 （法定代表人签字并加盖单位电子公章）发包人。</w:t>
      </w:r>
    </w:p>
    <w:p w14:paraId="21A7ACAD">
      <w:pPr>
        <w:pStyle w:val="32"/>
        <w:rPr>
          <w:rFonts w:hint="eastAsia" w:ascii="宋体" w:hAnsi="宋体" w:eastAsia="宋体" w:cs="宋体"/>
          <w:color w:val="auto"/>
          <w:kern w:val="2"/>
          <w:sz w:val="24"/>
          <w:szCs w:val="24"/>
          <w:highlight w:val="none"/>
          <w:lang w:val="zh-CN" w:eastAsia="zh-CN" w:bidi="zh-CN"/>
        </w:rPr>
      </w:pPr>
    </w:p>
    <w:p w14:paraId="257856D2">
      <w:pPr>
        <w:pStyle w:val="32"/>
        <w:rPr>
          <w:rFonts w:hint="eastAsia" w:ascii="宋体" w:hAnsi="宋体" w:eastAsia="宋体" w:cs="宋体"/>
          <w:color w:val="auto"/>
          <w:kern w:val="2"/>
          <w:sz w:val="24"/>
          <w:szCs w:val="24"/>
          <w:highlight w:val="none"/>
          <w:lang w:val="zh-CN" w:eastAsia="zh-CN" w:bidi="zh-CN"/>
        </w:rPr>
      </w:pPr>
    </w:p>
    <w:p w14:paraId="0BFA0124">
      <w:pPr>
        <w:pStyle w:val="32"/>
        <w:rPr>
          <w:rFonts w:hint="eastAsia" w:ascii="宋体" w:hAnsi="宋体" w:eastAsia="宋体" w:cs="宋体"/>
          <w:color w:val="auto"/>
          <w:kern w:val="2"/>
          <w:sz w:val="24"/>
          <w:szCs w:val="24"/>
          <w:highlight w:val="none"/>
          <w:lang w:val="zh-CN" w:eastAsia="zh-CN" w:bidi="zh-CN"/>
        </w:rPr>
      </w:pPr>
    </w:p>
    <w:p w14:paraId="64016F72">
      <w:pPr>
        <w:pStyle w:val="32"/>
        <w:rPr>
          <w:rFonts w:hint="eastAsia" w:ascii="宋体" w:hAnsi="宋体" w:eastAsia="宋体" w:cs="宋体"/>
          <w:color w:val="auto"/>
          <w:kern w:val="2"/>
          <w:sz w:val="24"/>
          <w:szCs w:val="24"/>
          <w:highlight w:val="none"/>
          <w:lang w:val="zh-CN" w:eastAsia="zh-CN" w:bidi="zh-CN"/>
        </w:rPr>
      </w:pPr>
    </w:p>
    <w:p w14:paraId="14F590B8">
      <w:pPr>
        <w:pStyle w:val="32"/>
        <w:rPr>
          <w:rFonts w:hint="eastAsia" w:ascii="宋体" w:hAnsi="宋体" w:eastAsia="宋体" w:cs="宋体"/>
          <w:color w:val="auto"/>
          <w:kern w:val="2"/>
          <w:sz w:val="24"/>
          <w:szCs w:val="24"/>
          <w:highlight w:val="none"/>
          <w:lang w:val="zh-CN" w:eastAsia="zh-CN" w:bidi="zh-CN"/>
        </w:rPr>
      </w:pPr>
    </w:p>
    <w:p w14:paraId="4861E179">
      <w:pPr>
        <w:pStyle w:val="32"/>
        <w:rPr>
          <w:rFonts w:hint="eastAsia" w:ascii="宋体" w:hAnsi="宋体" w:eastAsia="宋体" w:cs="宋体"/>
          <w:color w:val="auto"/>
          <w:kern w:val="2"/>
          <w:sz w:val="24"/>
          <w:szCs w:val="24"/>
          <w:highlight w:val="none"/>
          <w:lang w:val="zh-CN" w:eastAsia="zh-CN" w:bidi="zh-CN"/>
        </w:rPr>
      </w:pPr>
    </w:p>
    <w:p w14:paraId="17D39D24">
      <w:pPr>
        <w:pStyle w:val="32"/>
        <w:rPr>
          <w:rFonts w:hint="eastAsia" w:ascii="宋体" w:hAnsi="宋体" w:eastAsia="宋体" w:cs="宋体"/>
          <w:color w:val="auto"/>
          <w:kern w:val="2"/>
          <w:sz w:val="24"/>
          <w:szCs w:val="24"/>
          <w:highlight w:val="none"/>
          <w:lang w:val="zh-CN" w:eastAsia="zh-CN" w:bidi="zh-CN"/>
        </w:rPr>
      </w:pPr>
    </w:p>
    <w:p w14:paraId="1706A00C">
      <w:pPr>
        <w:pStyle w:val="32"/>
        <w:rPr>
          <w:rFonts w:hint="eastAsia" w:ascii="宋体" w:hAnsi="宋体" w:eastAsia="宋体" w:cs="宋体"/>
          <w:color w:val="auto"/>
          <w:kern w:val="2"/>
          <w:sz w:val="24"/>
          <w:szCs w:val="24"/>
          <w:highlight w:val="none"/>
          <w:lang w:val="zh-CN" w:eastAsia="zh-CN" w:bidi="zh-CN"/>
        </w:rPr>
      </w:pPr>
    </w:p>
    <w:p w14:paraId="1D4E07BB">
      <w:pPr>
        <w:pStyle w:val="32"/>
        <w:rPr>
          <w:rFonts w:hint="eastAsia" w:ascii="宋体" w:hAnsi="宋体" w:eastAsia="宋体" w:cs="宋体"/>
          <w:color w:val="auto"/>
          <w:kern w:val="2"/>
          <w:sz w:val="24"/>
          <w:szCs w:val="24"/>
          <w:highlight w:val="none"/>
          <w:lang w:val="zh-CN" w:eastAsia="zh-CN" w:bidi="zh-CN"/>
        </w:rPr>
      </w:pPr>
    </w:p>
    <w:p w14:paraId="11B1181F">
      <w:pPr>
        <w:pStyle w:val="32"/>
        <w:rPr>
          <w:rFonts w:hint="eastAsia" w:ascii="宋体" w:hAnsi="宋体" w:eastAsia="宋体" w:cs="宋体"/>
          <w:color w:val="auto"/>
          <w:kern w:val="2"/>
          <w:sz w:val="24"/>
          <w:szCs w:val="24"/>
          <w:highlight w:val="none"/>
          <w:lang w:val="zh-CN" w:eastAsia="zh-CN" w:bidi="zh-CN"/>
        </w:rPr>
      </w:pPr>
    </w:p>
    <w:p w14:paraId="4A59CAB1">
      <w:pPr>
        <w:pStyle w:val="32"/>
        <w:rPr>
          <w:rFonts w:hint="eastAsia" w:ascii="宋体" w:hAnsi="宋体" w:eastAsia="宋体" w:cs="宋体"/>
          <w:color w:val="auto"/>
          <w:kern w:val="2"/>
          <w:sz w:val="24"/>
          <w:szCs w:val="24"/>
          <w:highlight w:val="none"/>
          <w:lang w:val="zh-CN" w:eastAsia="zh-CN" w:bidi="zh-CN"/>
        </w:rPr>
      </w:pPr>
    </w:p>
    <w:p w14:paraId="1F8231AD">
      <w:pPr>
        <w:pStyle w:val="32"/>
        <w:rPr>
          <w:rFonts w:hint="eastAsia" w:ascii="宋体" w:hAnsi="宋体" w:eastAsia="宋体" w:cs="宋体"/>
          <w:color w:val="auto"/>
          <w:kern w:val="2"/>
          <w:sz w:val="24"/>
          <w:szCs w:val="24"/>
          <w:highlight w:val="none"/>
          <w:lang w:val="zh-CN" w:eastAsia="zh-CN" w:bidi="zh-CN"/>
        </w:rPr>
      </w:pPr>
    </w:p>
    <w:p w14:paraId="6457313B">
      <w:pPr>
        <w:pStyle w:val="32"/>
        <w:rPr>
          <w:rFonts w:hint="eastAsia" w:ascii="宋体" w:hAnsi="宋体" w:eastAsia="宋体" w:cs="宋体"/>
          <w:color w:val="auto"/>
          <w:kern w:val="2"/>
          <w:sz w:val="24"/>
          <w:szCs w:val="24"/>
          <w:highlight w:val="none"/>
          <w:lang w:val="zh-CN" w:eastAsia="zh-CN" w:bidi="zh-CN"/>
        </w:rPr>
      </w:pPr>
    </w:p>
    <w:p w14:paraId="0F273BE4">
      <w:pPr>
        <w:pStyle w:val="32"/>
        <w:rPr>
          <w:rFonts w:hint="eastAsia" w:ascii="宋体" w:hAnsi="宋体" w:eastAsia="宋体" w:cs="宋体"/>
          <w:color w:val="auto"/>
          <w:kern w:val="2"/>
          <w:sz w:val="24"/>
          <w:szCs w:val="24"/>
          <w:highlight w:val="none"/>
          <w:lang w:val="zh-CN" w:eastAsia="zh-CN" w:bidi="zh-CN"/>
        </w:rPr>
      </w:pPr>
    </w:p>
    <w:p w14:paraId="07519C3B">
      <w:pPr>
        <w:pStyle w:val="32"/>
        <w:rPr>
          <w:rFonts w:hint="eastAsia" w:ascii="宋体" w:hAnsi="宋体" w:eastAsia="宋体" w:cs="宋体"/>
          <w:color w:val="auto"/>
          <w:kern w:val="2"/>
          <w:sz w:val="24"/>
          <w:szCs w:val="24"/>
          <w:highlight w:val="none"/>
          <w:lang w:val="zh-CN" w:eastAsia="zh-CN" w:bidi="zh-CN"/>
        </w:rPr>
      </w:pPr>
    </w:p>
    <w:p w14:paraId="530C712A">
      <w:pPr>
        <w:pStyle w:val="32"/>
        <w:rPr>
          <w:rFonts w:hint="eastAsia" w:ascii="宋体" w:hAnsi="宋体" w:eastAsia="宋体" w:cs="宋体"/>
          <w:color w:val="auto"/>
          <w:kern w:val="2"/>
          <w:sz w:val="24"/>
          <w:szCs w:val="24"/>
          <w:highlight w:val="none"/>
          <w:lang w:val="zh-CN" w:eastAsia="zh-CN" w:bidi="zh-CN"/>
        </w:rPr>
      </w:pPr>
    </w:p>
    <w:p w14:paraId="5221A46B">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1"/>
        <w:rPr>
          <w:rFonts w:hint="eastAsia" w:ascii="宋体" w:hAnsi="宋体" w:eastAsia="宋体" w:cs="宋体"/>
          <w:b/>
          <w:bCs/>
          <w:color w:val="auto"/>
          <w:kern w:val="44"/>
          <w:sz w:val="44"/>
          <w:szCs w:val="44"/>
          <w:highlight w:val="none"/>
          <w:lang w:val="en-US" w:eastAsia="zh-CN" w:bidi="ar-SA"/>
        </w:rPr>
      </w:pPr>
      <w:bookmarkStart w:id="275" w:name="_Toc6814"/>
      <w:r>
        <w:rPr>
          <w:rFonts w:hint="eastAsia" w:ascii="宋体" w:hAnsi="宋体" w:eastAsia="宋体" w:cs="宋体"/>
          <w:b/>
          <w:bCs/>
          <w:color w:val="auto"/>
          <w:kern w:val="44"/>
          <w:sz w:val="44"/>
          <w:szCs w:val="44"/>
          <w:highlight w:val="none"/>
          <w:lang w:val="en-US" w:eastAsia="zh-CN" w:bidi="ar-SA"/>
        </w:rPr>
        <w:t>第五节 合同附件格式</w:t>
      </w:r>
      <w:bookmarkEnd w:id="275"/>
    </w:p>
    <w:p w14:paraId="7AB8C3D1">
      <w:pPr>
        <w:keepNext/>
        <w:keepLines/>
        <w:widowControl w:val="0"/>
        <w:spacing w:before="280" w:after="290" w:line="372" w:lineRule="auto"/>
        <w:jc w:val="both"/>
        <w:outlineLvl w:val="4"/>
        <w:rPr>
          <w:rFonts w:hint="eastAsia" w:ascii="仿宋" w:hAnsi="仿宋" w:eastAsia="仿宋" w:cs="Times New Roman"/>
          <w:b/>
          <w:color w:val="auto"/>
          <w:sz w:val="44"/>
          <w:szCs w:val="44"/>
          <w:highlight w:val="none"/>
        </w:rPr>
      </w:pPr>
      <w:r>
        <w:rPr>
          <w:rFonts w:hint="eastAsia" w:ascii="宋体" w:hAnsi="宋体" w:eastAsia="宋体" w:cs="宋体"/>
          <w:b/>
          <w:color w:val="auto"/>
          <w:kern w:val="2"/>
          <w:sz w:val="28"/>
          <w:szCs w:val="24"/>
          <w:highlight w:val="none"/>
          <w:lang w:val="en-US" w:eastAsia="zh-CN" w:bidi="ar-SA"/>
        </w:rPr>
        <w:t>附件一：廉政合同</w:t>
      </w:r>
    </w:p>
    <w:p w14:paraId="762AAE64">
      <w:pPr>
        <w:spacing w:before="120" w:after="120" w:line="480" w:lineRule="exact"/>
        <w:jc w:val="center"/>
        <w:rPr>
          <w:rFonts w:ascii="仿宋" w:hAnsi="仿宋" w:eastAsia="仿宋" w:cs="Times New Roman"/>
          <w:b/>
          <w:color w:val="auto"/>
          <w:sz w:val="44"/>
          <w:szCs w:val="44"/>
          <w:highlight w:val="none"/>
        </w:rPr>
      </w:pPr>
      <w:r>
        <w:rPr>
          <w:rFonts w:hint="eastAsia" w:ascii="仿宋" w:hAnsi="仿宋" w:eastAsia="仿宋" w:cs="Times New Roman"/>
          <w:b/>
          <w:color w:val="auto"/>
          <w:sz w:val="44"/>
          <w:szCs w:val="44"/>
          <w:highlight w:val="none"/>
        </w:rPr>
        <w:t>廉政合同</w:t>
      </w:r>
    </w:p>
    <w:p w14:paraId="46B029D0">
      <w:pPr>
        <w:numPr>
          <w:ilvl w:val="0"/>
          <w:numId w:val="0"/>
        </w:num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根据《关于在</w:t>
      </w:r>
      <w:r>
        <w:rPr>
          <w:rFonts w:hint="eastAsia" w:ascii="仿宋" w:hAnsi="仿宋" w:eastAsia="仿宋" w:cs="Times New Roman"/>
          <w:color w:val="auto"/>
          <w:sz w:val="32"/>
          <w:szCs w:val="32"/>
          <w:highlight w:val="none"/>
          <w:lang w:val="en-US" w:eastAsia="zh-CN"/>
        </w:rPr>
        <w:t>水利</w:t>
      </w:r>
      <w:r>
        <w:rPr>
          <w:rFonts w:hint="eastAsia" w:ascii="仿宋" w:hAnsi="仿宋" w:eastAsia="仿宋" w:cs="Times New Roman"/>
          <w:color w:val="auto"/>
          <w:sz w:val="32"/>
          <w:szCs w:val="32"/>
          <w:highlight w:val="none"/>
        </w:rPr>
        <w:t>基础设施建设中加强廉政建设的若干意见》以及有关工程建设、廉政建设的规定，为做好工程建设中的党风廉政建设，保证工程建设高效优质，保证建设资金的安全和有效使用以及投资效益，</w:t>
      </w:r>
      <w:r>
        <w:rPr>
          <w:rFonts w:hint="eastAsia" w:hAnsi="仿宋" w:eastAsia="仿宋" w:cs="Times New Roman"/>
          <w:color w:val="auto"/>
          <w:sz w:val="32"/>
          <w:szCs w:val="32"/>
          <w:highlight w:val="none"/>
          <w:lang w:eastAsia="zh-CN"/>
        </w:rPr>
        <w:t>隆安县丁当镇保湾村农田水利设施项目（驮湾屯、农怀屯）</w:t>
      </w:r>
      <w:r>
        <w:rPr>
          <w:rFonts w:hint="eastAsia" w:ascii="仿宋" w:hAnsi="仿宋" w:eastAsia="仿宋" w:cs="Times New Roman"/>
          <w:color w:val="auto"/>
          <w:sz w:val="32"/>
          <w:szCs w:val="32"/>
          <w:highlight w:val="none"/>
        </w:rPr>
        <w:t>法人</w:t>
      </w:r>
      <w:r>
        <w:rPr>
          <w:rFonts w:hint="eastAsia" w:ascii="仿宋" w:hAnsi="仿宋" w:eastAsia="仿宋" w:cs="Times New Roman"/>
          <w:color w:val="auto"/>
          <w:sz w:val="32"/>
          <w:szCs w:val="32"/>
          <w:highlight w:val="none"/>
          <w:u w:val="single"/>
          <w:lang w:eastAsia="zh-CN"/>
        </w:rPr>
        <w:t>隆安县丁当镇人民政府</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（项目法人名称，以下简称“发包人”）与该项目施工单位</w:t>
      </w:r>
      <w:r>
        <w:rPr>
          <w:rFonts w:hint="eastAsia" w:ascii="Times New Roman" w:hAnsi="仿宋" w:eastAsia="仿宋" w:cs="Times New Roman"/>
          <w:color w:val="auto"/>
          <w:sz w:val="32"/>
          <w:szCs w:val="32"/>
          <w:highlight w:val="none"/>
          <w:u w:val="single"/>
          <w:lang w:val="en-US" w:eastAsia="zh-CN"/>
        </w:rPr>
        <w:t xml:space="preserve">             </w:t>
      </w:r>
      <w:r>
        <w:rPr>
          <w:rFonts w:hint="eastAsia" w:ascii="仿宋" w:hAnsi="仿宋" w:eastAsia="仿宋" w:cs="Times New Roman"/>
          <w:color w:val="auto"/>
          <w:sz w:val="32"/>
          <w:szCs w:val="32"/>
          <w:highlight w:val="none"/>
        </w:rPr>
        <w:t>（施工单位名称，以下简称“承包人”），特订立如下合同。</w:t>
      </w:r>
    </w:p>
    <w:p w14:paraId="5E72777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．发包人和承包人双方的权利和义务</w:t>
      </w:r>
    </w:p>
    <w:p w14:paraId="66F05BB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）严格遵守党的政策规定和国家有关法律法规及交通运输部的有关规定。</w:t>
      </w:r>
    </w:p>
    <w:p w14:paraId="0E72250A">
      <w:pPr>
        <w:numPr>
          <w:ilvl w:val="0"/>
          <w:numId w:val="0"/>
        </w:numPr>
        <w:spacing w:line="480" w:lineRule="exact"/>
        <w:ind w:firstLine="640" w:firstLineChars="200"/>
        <w:rPr>
          <w:rFonts w:ascii="黑体" w:hAnsi="黑体" w:eastAsia="黑体"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）严格执行</w:t>
      </w:r>
      <w:r>
        <w:rPr>
          <w:rFonts w:hint="eastAsia" w:hAnsi="仿宋" w:eastAsia="仿宋" w:cs="Times New Roman"/>
          <w:color w:val="auto"/>
          <w:sz w:val="32"/>
          <w:szCs w:val="32"/>
          <w:highlight w:val="none"/>
          <w:lang w:eastAsia="zh-CN"/>
        </w:rPr>
        <w:t>隆安县丁当镇保湾村农田水利设施项目（驮湾屯、农怀屯）</w:t>
      </w:r>
      <w:r>
        <w:rPr>
          <w:rFonts w:hint="eastAsia" w:ascii="仿宋" w:hAnsi="仿宋" w:eastAsia="仿宋" w:cs="Times New Roman"/>
          <w:color w:val="auto"/>
          <w:sz w:val="32"/>
          <w:szCs w:val="32"/>
          <w:highlight w:val="none"/>
        </w:rPr>
        <w:t>施工合同文件，自觉按合同办事。</w:t>
      </w:r>
    </w:p>
    <w:p w14:paraId="0868E91D">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）双方的业务活动坚持公开、公正、诚信、透明的原则（法律认定的商业秘密和合同文件另有规定除外），不得损害国家和集体利益，不得违反工程建设管理规章制度。</w:t>
      </w:r>
    </w:p>
    <w:p w14:paraId="06725D6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）建立健全廉政制度，开展廉政教育，设立廉政告示牌，公布举报电话，监督并认真查处违法违纪行为。</w:t>
      </w:r>
    </w:p>
    <w:p w14:paraId="4BF67F5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）发现对方在业务活动中有违反廉政规定的行为，有及时提醒对方纠正的权利和义务。</w:t>
      </w:r>
    </w:p>
    <w:p w14:paraId="7F81B76E">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）发现对方严重违反本合同义务条款的行为，有向其上级有关部门举报、建议给予处理并要求告知处理结果的权利。</w:t>
      </w:r>
    </w:p>
    <w:p w14:paraId="1D4C2D1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．发包人的义务</w:t>
      </w:r>
    </w:p>
    <w:p w14:paraId="2C14F6B9">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）发包人及其工作人员不得索要或接受承包人的礼金、有价证券和贵重物品，不得让承包人报销任何应由发包人或发包人工作人员个人支付的费用等。</w:t>
      </w:r>
    </w:p>
    <w:p w14:paraId="08BACE6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）发包人工作人员不得参加承包人安排的超标准宴请和娱乐活动；不得接受承包人提供的通讯工具、交通工具和高档办公用品等。</w:t>
      </w:r>
    </w:p>
    <w:p w14:paraId="3645381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）发包人及其工作人员不能要求或者接受承包人为其住房装修、婚丧嫁娶活动、配偶子女的工作安排以及出国出境、旅游等提供方便等。</w:t>
      </w:r>
    </w:p>
    <w:p w14:paraId="474D05C7">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）发包人工作人员及其配偶、子女不得从事与发包人工作有关的材料设备供应、工程分包、劳务等经济活动等。</w:t>
      </w:r>
    </w:p>
    <w:p w14:paraId="6336367A">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）发包人及其工作人员不得以任何理由向承包人推荐分包单位或推销材料，不得要求承包人购买合同规定外的材料和设备。</w:t>
      </w:r>
    </w:p>
    <w:p w14:paraId="69B792F5">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）发包人工作人员要秉公办事，不准营私舞弊，不准利用职权从事各种个人有偿中介活动和安排个人施工队伍。</w:t>
      </w:r>
    </w:p>
    <w:p w14:paraId="32493A7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．承包人的义务</w:t>
      </w:r>
    </w:p>
    <w:p w14:paraId="1964009B">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）承包人不得以任何理由向发包人及其工作人员行贿或馈赠礼金、有价证券、贵重礼品。</w:t>
      </w:r>
    </w:p>
    <w:p w14:paraId="14EEEC17">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）承包人不得以任何名义为发包人及其工作人员报销应由发包人单位或个人支付的任何费用。</w:t>
      </w:r>
    </w:p>
    <w:p w14:paraId="2404661A">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）承包人不得以任何理由安排发包人工作人员参加超标准宴请及娱乐活动。</w:t>
      </w:r>
    </w:p>
    <w:p w14:paraId="786F7BA0">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）承包人不得为发包人单位和个人购置或提供通讯工具、交通工具和高档办公用品等。</w:t>
      </w:r>
    </w:p>
    <w:p w14:paraId="7BE3973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．违约责任</w:t>
      </w:r>
    </w:p>
    <w:p w14:paraId="3EC51A84">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）发包人及其工作人员违反本合同第</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条，按管理权限，依据有关规定给予党纪、政纪或组织处理；涉嫌犯罪的，移交司法机关追究刑事责任；给承包人单位造成经济损失的，应予以赔偿。</w:t>
      </w:r>
    </w:p>
    <w:p w14:paraId="042113D6">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）承包人及其工作人员违反本合同第</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w:t>
      </w: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条，按管理权限，依据有关规定给予党纪、政纪或组织处理；给发包人单位造成经济损失的，应予以赔偿；情节严重的，发包人建议交通主管部门给予承包人一至三年内不得进入其主管的公路建设市场的处罚。</w:t>
      </w:r>
    </w:p>
    <w:p w14:paraId="5305F58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778AEFC">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本合同有效期为发包人和承包人签署之日起至该工程项目竣工验收后止。</w:t>
      </w:r>
    </w:p>
    <w:p w14:paraId="16A2A6E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7</w:t>
      </w:r>
      <w:r>
        <w:rPr>
          <w:rFonts w:hint="eastAsia" w:ascii="仿宋" w:hAnsi="仿宋" w:eastAsia="仿宋" w:cs="Times New Roman"/>
          <w:color w:val="auto"/>
          <w:sz w:val="32"/>
          <w:szCs w:val="32"/>
          <w:highlight w:val="none"/>
        </w:rPr>
        <w:t>．本合同作为</w:t>
      </w:r>
      <w:r>
        <w:rPr>
          <w:rFonts w:hint="eastAsia" w:ascii="仿宋" w:hAnsi="仿宋" w:eastAsia="仿宋" w:cs="Times New Roman"/>
          <w:color w:val="auto"/>
          <w:sz w:val="32"/>
          <w:szCs w:val="32"/>
          <w:highlight w:val="none"/>
          <w:u w:val="single"/>
        </w:rPr>
        <w:t>项目</w:t>
      </w:r>
      <w:r>
        <w:rPr>
          <w:rFonts w:hint="eastAsia" w:ascii="仿宋" w:hAnsi="仿宋" w:eastAsia="仿宋" w:cs="Times New Roman"/>
          <w:color w:val="auto"/>
          <w:sz w:val="32"/>
          <w:szCs w:val="32"/>
          <w:highlight w:val="none"/>
        </w:rPr>
        <w:t>施工合同的附件，与工程施工合同具有同等的法律效力，经合同双方签署后立即生效。</w:t>
      </w:r>
    </w:p>
    <w:p w14:paraId="3826D0C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8</w:t>
      </w:r>
      <w:r>
        <w:rPr>
          <w:rFonts w:hint="eastAsia" w:ascii="仿宋" w:hAnsi="仿宋" w:eastAsia="仿宋" w:cs="Times New Roman"/>
          <w:color w:val="auto"/>
          <w:sz w:val="32"/>
          <w:szCs w:val="32"/>
          <w:highlight w:val="none"/>
        </w:rPr>
        <w:t>．本合同一式贰份，由发包人和承包人各执</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份。</w:t>
      </w:r>
    </w:p>
    <w:p w14:paraId="373DCF29">
      <w:pPr>
        <w:spacing w:line="480" w:lineRule="exact"/>
        <w:rPr>
          <w:rFonts w:ascii="仿宋" w:hAnsi="仿宋" w:eastAsia="仿宋" w:cs="Times New Roman"/>
          <w:color w:val="auto"/>
          <w:sz w:val="32"/>
          <w:szCs w:val="32"/>
          <w:highlight w:val="none"/>
        </w:rPr>
      </w:pPr>
    </w:p>
    <w:p w14:paraId="377DA863">
      <w:pPr>
        <w:spacing w:line="480" w:lineRule="exact"/>
        <w:ind w:left="6080" w:hanging="6080" w:hangingChars="1900"/>
        <w:rPr>
          <w:rFonts w:hint="default" w:ascii="仿宋" w:hAnsi="仿宋" w:eastAsia="仿宋" w:cs="Times New Roman"/>
          <w:color w:val="auto"/>
          <w:sz w:val="32"/>
          <w:szCs w:val="32"/>
          <w:highlight w:val="none"/>
          <w:u w:val="single"/>
          <w:lang w:val="en-US" w:eastAsia="zh-CN"/>
        </w:rPr>
      </w:pPr>
      <w:r>
        <w:rPr>
          <w:rFonts w:hint="eastAsia" w:ascii="仿宋" w:hAnsi="仿宋" w:eastAsia="仿宋" w:cs="Times New Roman"/>
          <w:color w:val="auto"/>
          <w:sz w:val="32"/>
          <w:szCs w:val="32"/>
          <w:highlight w:val="none"/>
        </w:rPr>
        <w:t>发包人：</w:t>
      </w:r>
      <w:r>
        <w:rPr>
          <w:rFonts w:hint="eastAsia" w:eastAsia="仿宋" w:cs="Times New Roman"/>
          <w:color w:val="auto"/>
          <w:sz w:val="32"/>
          <w:szCs w:val="32"/>
          <w:highlight w:val="none"/>
          <w:lang w:eastAsia="zh-CN"/>
        </w:rPr>
        <w:t>隆安县丁当镇人民政府</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承包人：</w:t>
      </w:r>
      <w:r>
        <w:rPr>
          <w:rFonts w:hint="eastAsia" w:ascii="Times New Roman" w:hAnsi="仿宋" w:eastAsia="仿宋" w:cs="Times New Roman"/>
          <w:color w:val="auto"/>
          <w:sz w:val="32"/>
          <w:szCs w:val="32"/>
          <w:highlight w:val="none"/>
          <w:lang w:val="en-US" w:eastAsia="zh-CN"/>
        </w:rPr>
        <w:t xml:space="preserve"> </w:t>
      </w:r>
    </w:p>
    <w:p w14:paraId="052BC753">
      <w:pPr>
        <w:spacing w:line="480" w:lineRule="exact"/>
        <w:ind w:left="5680" w:hanging="5680" w:hangingChars="1775"/>
        <w:rPr>
          <w:rFonts w:hint="eastAsia" w:ascii="仿宋" w:hAnsi="仿宋" w:eastAsia="仿宋" w:cs="Times New Roman"/>
          <w:color w:val="auto"/>
          <w:sz w:val="32"/>
          <w:szCs w:val="32"/>
          <w:highlight w:val="none"/>
          <w:u w:val="single"/>
        </w:rPr>
      </w:pPr>
    </w:p>
    <w:p w14:paraId="7934160B">
      <w:pPr>
        <w:spacing w:line="480" w:lineRule="exact"/>
        <w:ind w:firstLine="960" w:firstLineChars="3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 xml:space="preserve">（盖单位章）            </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（盖单位章）</w:t>
      </w:r>
    </w:p>
    <w:p w14:paraId="6E5C62B5">
      <w:pPr>
        <w:spacing w:line="480" w:lineRule="exact"/>
        <w:ind w:left="6238" w:leftChars="304" w:hanging="5600" w:hangingChars="175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 xml:space="preserve">                   </w:t>
      </w:r>
    </w:p>
    <w:p w14:paraId="187B5DC0">
      <w:pPr>
        <w:spacing w:line="480" w:lineRule="exact"/>
        <w:rPr>
          <w:rFonts w:hint="eastAsia" w:ascii="仿宋" w:hAnsi="仿宋" w:eastAsia="仿宋" w:cs="Times New Roman"/>
          <w:color w:val="auto"/>
          <w:sz w:val="32"/>
          <w:szCs w:val="32"/>
          <w:highlight w:val="none"/>
        </w:rPr>
      </w:pPr>
    </w:p>
    <w:p w14:paraId="3E1D5EAC">
      <w:pPr>
        <w:spacing w:line="480" w:lineRule="exact"/>
        <w:rPr>
          <w:rFonts w:hint="eastAsia" w:ascii="仿宋" w:hAnsi="仿宋" w:eastAsia="仿宋" w:cs="Times New Roman"/>
          <w:color w:val="auto"/>
          <w:sz w:val="32"/>
          <w:szCs w:val="32"/>
          <w:highlight w:val="none"/>
          <w:u w:val="single"/>
        </w:rPr>
      </w:pPr>
      <w:r>
        <w:rPr>
          <w:rFonts w:hint="eastAsia" w:ascii="仿宋" w:hAnsi="仿宋" w:eastAsia="仿宋" w:cs="Times New Roman"/>
          <w:color w:val="auto"/>
          <w:sz w:val="32"/>
          <w:szCs w:val="32"/>
          <w:highlight w:val="none"/>
        </w:rPr>
        <w:t>法定代表人：</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 xml:space="preserve">（签字）   </w:t>
      </w:r>
      <w:r>
        <w:rPr>
          <w:rFonts w:hint="eastAsia" w:ascii="仿宋" w:hAnsi="仿宋" w:eastAsia="仿宋" w:cs="Times New Roman"/>
          <w:color w:val="auto"/>
          <w:spacing w:val="-20"/>
          <w:sz w:val="32"/>
          <w:szCs w:val="32"/>
          <w:highlight w:val="none"/>
        </w:rPr>
        <w:t>法定代表人或其委托代理人：</w:t>
      </w:r>
    </w:p>
    <w:p w14:paraId="2E802842">
      <w:pPr>
        <w:spacing w:line="480" w:lineRule="exact"/>
        <w:ind w:left="6175" w:leftChars="350" w:hanging="5440" w:hangingChars="17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 xml:space="preserve">                              </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u w:val="single"/>
        </w:rPr>
        <w:t xml:space="preserve">  </w:t>
      </w:r>
      <w:r>
        <w:rPr>
          <w:rFonts w:hint="eastAsia" w:ascii="仿宋" w:hAnsi="仿宋" w:eastAsia="仿宋" w:cs="Times New Roman"/>
          <w:color w:val="auto"/>
          <w:sz w:val="32"/>
          <w:szCs w:val="32"/>
          <w:highlight w:val="none"/>
        </w:rPr>
        <w:t>（签字）</w:t>
      </w:r>
    </w:p>
    <w:p w14:paraId="17793EA8">
      <w:pPr>
        <w:spacing w:line="480" w:lineRule="exact"/>
        <w:jc w:val="left"/>
        <w:rPr>
          <w:rFonts w:ascii="仿宋" w:hAnsi="仿宋" w:eastAsia="仿宋" w:cs="Times New Roman"/>
          <w:color w:val="auto"/>
          <w:sz w:val="32"/>
          <w:szCs w:val="32"/>
          <w:highlight w:val="none"/>
        </w:rPr>
      </w:pPr>
    </w:p>
    <w:p w14:paraId="2A945C40">
      <w:pPr>
        <w:spacing w:line="480" w:lineRule="exact"/>
        <w:ind w:firstLine="320" w:firstLineChars="100"/>
        <w:jc w:val="left"/>
        <w:rPr>
          <w:rFonts w:hint="eastAsia" w:ascii="仿宋" w:hAnsi="仿宋" w:eastAsia="仿宋" w:cs="Times New Roman"/>
          <w:color w:val="auto"/>
          <w:sz w:val="32"/>
          <w:szCs w:val="32"/>
          <w:highlight w:val="none"/>
        </w:rPr>
      </w:pPr>
    </w:p>
    <w:p w14:paraId="3F9B3381">
      <w:pPr>
        <w:spacing w:line="480" w:lineRule="exact"/>
        <w:ind w:firstLine="320" w:firstLineChars="100"/>
        <w:jc w:val="left"/>
        <w:rPr>
          <w:rFonts w:hint="eastAsia" w:ascii="仿宋" w:hAnsi="仿宋" w:eastAsia="仿宋" w:cs="Times New Roman"/>
          <w:color w:val="auto"/>
          <w:sz w:val="32"/>
          <w:szCs w:val="32"/>
          <w:highlight w:val="none"/>
        </w:rPr>
      </w:pPr>
    </w:p>
    <w:p w14:paraId="5747BFF8">
      <w:pPr>
        <w:spacing w:line="480" w:lineRule="exact"/>
        <w:ind w:firstLine="320" w:firstLineChars="100"/>
        <w:jc w:val="left"/>
        <w:rPr>
          <w:rFonts w:hint="eastAsia" w:ascii="仿宋" w:hAnsi="仿宋" w:eastAsia="仿宋" w:cs="Times New Roman"/>
          <w:color w:val="auto"/>
          <w:sz w:val="32"/>
          <w:szCs w:val="32"/>
          <w:highlight w:val="none"/>
        </w:rPr>
      </w:pPr>
    </w:p>
    <w:p w14:paraId="6367AA56">
      <w:pPr>
        <w:spacing w:line="480" w:lineRule="exact"/>
        <w:ind w:firstLine="320" w:firstLineChars="100"/>
        <w:jc w:val="left"/>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ascii="仿宋" w:hAnsi="仿宋" w:eastAsia="仿宋" w:cs="Times New Roman"/>
          <w:color w:val="auto"/>
          <w:sz w:val="32"/>
          <w:szCs w:val="32"/>
          <w:highlight w:val="none"/>
        </w:rPr>
        <w:t>年</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月</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z w:val="32"/>
          <w:szCs w:val="32"/>
          <w:highlight w:val="none"/>
        </w:rPr>
        <w:t>日</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w:t>
      </w:r>
    </w:p>
    <w:p w14:paraId="00C6363B">
      <w:pPr>
        <w:keepNext/>
        <w:keepLines/>
        <w:widowControl w:val="0"/>
        <w:spacing w:before="280" w:after="290" w:line="372" w:lineRule="auto"/>
        <w:jc w:val="both"/>
        <w:outlineLvl w:val="4"/>
        <w:rPr>
          <w:rFonts w:hint="eastAsia" w:ascii="宋体" w:hAnsi="宋体" w:eastAsia="宋体" w:cs="宋体"/>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二</w:t>
      </w:r>
      <w:r>
        <w:rPr>
          <w:rFonts w:hint="eastAsia" w:ascii="宋体" w:hAnsi="宋体" w:eastAsia="宋体" w:cs="宋体"/>
          <w:b/>
          <w:color w:val="auto"/>
          <w:kern w:val="2"/>
          <w:sz w:val="28"/>
          <w:szCs w:val="24"/>
          <w:highlight w:val="none"/>
          <w:lang w:val="en-US" w:eastAsia="zh-CN" w:bidi="ar-SA"/>
        </w:rPr>
        <w:t>：施工安全协议书</w:t>
      </w:r>
    </w:p>
    <w:p w14:paraId="0D12B051">
      <w:pPr>
        <w:jc w:val="center"/>
        <w:rPr>
          <w:rFonts w:ascii="黑体" w:hAnsi="黑体" w:eastAsia="黑体" w:cs="Times New Roman"/>
          <w:b/>
          <w:color w:val="auto"/>
          <w:kern w:val="0"/>
          <w:sz w:val="44"/>
          <w:szCs w:val="44"/>
          <w:highlight w:val="none"/>
        </w:rPr>
      </w:pPr>
      <w:r>
        <w:rPr>
          <w:rFonts w:hint="eastAsia" w:ascii="黑体" w:hAnsi="黑体" w:eastAsia="黑体" w:cs="Times New Roman"/>
          <w:b/>
          <w:color w:val="auto"/>
          <w:kern w:val="0"/>
          <w:sz w:val="44"/>
          <w:szCs w:val="44"/>
          <w:highlight w:val="none"/>
        </w:rPr>
        <w:t>施工安全协议书</w:t>
      </w:r>
    </w:p>
    <w:p w14:paraId="41915917">
      <w:pPr>
        <w:spacing w:line="340" w:lineRule="exact"/>
        <w:ind w:firstLine="480" w:firstLineChars="200"/>
        <w:rPr>
          <w:rFonts w:ascii="仿宋_GB2312" w:hAnsi="宋体" w:eastAsia="仿宋_GB2312" w:cs="Times New Roman"/>
          <w:color w:val="auto"/>
          <w:sz w:val="24"/>
          <w:highlight w:val="none"/>
        </w:rPr>
      </w:pPr>
    </w:p>
    <w:p w14:paraId="0C54AA68">
      <w:pPr>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发包人：</w:t>
      </w:r>
      <w:r>
        <w:rPr>
          <w:rFonts w:hint="eastAsia" w:ascii="仿宋" w:hAnsi="仿宋" w:eastAsia="仿宋" w:cs="Times New Roman"/>
          <w:b w:val="0"/>
          <w:bCs/>
          <w:color w:val="auto"/>
          <w:sz w:val="32"/>
          <w:szCs w:val="32"/>
          <w:highlight w:val="none"/>
          <w:lang w:val="en-US" w:eastAsia="zh-CN"/>
        </w:rPr>
        <w:t>隆安县丁当镇人民政府</w:t>
      </w:r>
      <w:r>
        <w:rPr>
          <w:rFonts w:ascii="仿宋" w:hAnsi="仿宋" w:eastAsia="仿宋" w:cs="Times New Roman"/>
          <w:snapToGrid w:val="0"/>
          <w:color w:val="auto"/>
          <w:spacing w:val="20"/>
          <w:kern w:val="28"/>
          <w:sz w:val="32"/>
          <w:szCs w:val="32"/>
          <w:highlight w:val="none"/>
        </w:rPr>
        <w:t xml:space="preserve"> </w:t>
      </w:r>
    </w:p>
    <w:p w14:paraId="17DAB62B">
      <w:pPr>
        <w:spacing w:line="480" w:lineRule="exact"/>
        <w:ind w:firstLine="643" w:firstLineChars="200"/>
        <w:rPr>
          <w:rFonts w:hint="eastAsia" w:ascii="仿宋" w:hAnsi="仿宋" w:eastAsia="仿宋" w:cs="Times New Roman"/>
          <w:b/>
          <w:color w:val="auto"/>
          <w:sz w:val="32"/>
          <w:szCs w:val="32"/>
          <w:highlight w:val="none"/>
          <w:u w:val="none"/>
          <w:lang w:val="en-US" w:eastAsia="zh-CN"/>
        </w:rPr>
      </w:pPr>
      <w:r>
        <w:rPr>
          <w:rFonts w:hint="eastAsia" w:ascii="仿宋" w:hAnsi="仿宋" w:eastAsia="仿宋" w:cs="Times New Roman"/>
          <w:b/>
          <w:color w:val="auto"/>
          <w:sz w:val="32"/>
          <w:szCs w:val="32"/>
          <w:highlight w:val="none"/>
        </w:rPr>
        <w:t>承包人</w:t>
      </w:r>
      <w:r>
        <w:rPr>
          <w:rFonts w:hint="eastAsia" w:ascii="仿宋" w:hAnsi="仿宋" w:eastAsia="仿宋" w:cs="Times New Roman"/>
          <w:color w:val="auto"/>
          <w:sz w:val="32"/>
          <w:szCs w:val="32"/>
          <w:highlight w:val="none"/>
        </w:rPr>
        <w:t>：</w:t>
      </w:r>
    </w:p>
    <w:p w14:paraId="2D3AF659">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一、为贯彻“安全第一，预防为主”的方针，明确双方的安全责任，确保施工中的人身、设备设施安全，做到“三不伤害”</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不伤害自己、不伤害他人、不被他人伤害、监督别人不伤害别人</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。根据中华人民共和国《安全生产法》、《消防法》、《合同法》以及《建设工程安全生产管理条例》，经双方协商一致，在平等、自愿的原则上签订本协议。</w:t>
      </w:r>
    </w:p>
    <w:p w14:paraId="25C47C06">
      <w:pPr>
        <w:numPr>
          <w:ilvl w:val="0"/>
          <w:numId w:val="0"/>
        </w:numPr>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二、</w:t>
      </w:r>
      <w:r>
        <w:rPr>
          <w:rFonts w:hint="eastAsia" w:ascii="仿宋" w:hAnsi="仿宋" w:eastAsia="仿宋" w:cs="Times New Roman"/>
          <w:color w:val="auto"/>
          <w:sz w:val="32"/>
          <w:szCs w:val="32"/>
          <w:highlight w:val="none"/>
        </w:rPr>
        <w:t>本协议是《</w:t>
      </w:r>
      <w:r>
        <w:rPr>
          <w:rFonts w:hint="eastAsia" w:hAnsi="仿宋" w:eastAsia="仿宋" w:cs="Times New Roman"/>
          <w:color w:val="auto"/>
          <w:sz w:val="32"/>
          <w:szCs w:val="32"/>
          <w:highlight w:val="none"/>
          <w:lang w:eastAsia="zh-CN"/>
        </w:rPr>
        <w:t>隆安县丁当镇保湾村农田水利设施项目（驮湾屯、农怀屯）</w:t>
      </w:r>
      <w:r>
        <w:rPr>
          <w:rFonts w:hint="eastAsia" w:ascii="仿宋" w:hAnsi="仿宋" w:eastAsia="仿宋" w:cs="Times New Roman"/>
          <w:color w:val="auto"/>
          <w:sz w:val="32"/>
          <w:szCs w:val="32"/>
          <w:highlight w:val="none"/>
        </w:rPr>
        <w:t>》主合同的一个组成部分，与主合同具有同等效力。</w:t>
      </w:r>
    </w:p>
    <w:p w14:paraId="4A162C3A">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三、</w:t>
      </w:r>
      <w:r>
        <w:rPr>
          <w:rFonts w:hint="eastAsia" w:ascii="仿宋" w:hAnsi="仿宋" w:eastAsia="仿宋" w:cs="Times New Roman"/>
          <w:color w:val="auto"/>
          <w:sz w:val="32"/>
          <w:szCs w:val="32"/>
          <w:highlight w:val="none"/>
        </w:rPr>
        <w:t>发包人义务：</w:t>
      </w:r>
    </w:p>
    <w:p w14:paraId="12D789C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开工前，发包人必须向承包人进行现场安全技术交底，并填写安全技术交底单，交待清楚施工范围、边界，如运行设备和检修设备，以及在施工区域内存在的危险因数，如易燃易爆物品和有毒物质、带电设备等。</w:t>
      </w:r>
    </w:p>
    <w:p w14:paraId="63691C1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、开工前，发包人组织对承包人参加施工的所有相关人员（必须含工作负责人、技术人员、安全人员）进行安全教育。</w:t>
      </w:r>
    </w:p>
    <w:p w14:paraId="175B68D6">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、发包人保证自觉遵守本协议的规定。</w:t>
      </w:r>
    </w:p>
    <w:p w14:paraId="7AA6CF2A">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四、</w:t>
      </w:r>
      <w:r>
        <w:rPr>
          <w:rFonts w:hint="eastAsia" w:ascii="仿宋" w:hAnsi="仿宋" w:eastAsia="仿宋" w:cs="Times New Roman"/>
          <w:color w:val="auto"/>
          <w:sz w:val="32"/>
          <w:szCs w:val="32"/>
          <w:highlight w:val="none"/>
        </w:rPr>
        <w:t>承包人义务：</w:t>
      </w:r>
    </w:p>
    <w:p w14:paraId="36C3249C">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、承包人保证向发包人提供的有关部门颁发的营业执照和资质证书、法人代表资格证书，及本单位施工简历和近三年安全施工记录等材料等真实有效，并承担法律责任。</w:t>
      </w:r>
    </w:p>
    <w:p w14:paraId="01BA7FAB">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、承包人保证本单位施工负责人、工程技术人员和工人安全施工的技术素质符合工程要求。</w:t>
      </w:r>
    </w:p>
    <w:p w14:paraId="0831D0B5">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、承包人保证本单位参加施工的特种作业人员持有国家相关部门核发的合格有效的上岗作业资格证书。并将特种作业人员资格证书复印件提交给发包人审核。</w:t>
      </w:r>
    </w:p>
    <w:p w14:paraId="48E8ECE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、开工前</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承包人必须制定施工方案（施工方案应包括承包人施工组织措施、施工技术措施、施工安全措施等），报发包人审核批准。同时，承包人应根据具体施工内容和施工中出现的特殊情况，及时制定和采取可靠的专门安全措施。承包人应对自己的施工方案和安全措施负责任。</w:t>
      </w:r>
    </w:p>
    <w:p w14:paraId="063DEDB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rPr>
        <w:t>、在施工期间，承包人在施工中必须贯彻执行国家和行业有关安全生产的法律法规、技术标准、规程规范和制度。并按《安全生产法》及相关的规定，设置安全生产管理机构或者配备专职、兼职安全生产管理人员。</w:t>
      </w:r>
    </w:p>
    <w:p w14:paraId="6C96AF01">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6</w:t>
      </w:r>
      <w:r>
        <w:rPr>
          <w:rFonts w:hint="eastAsia" w:ascii="仿宋" w:hAnsi="仿宋" w:eastAsia="仿宋" w:cs="Times New Roman"/>
          <w:color w:val="auto"/>
          <w:sz w:val="32"/>
          <w:szCs w:val="32"/>
          <w:highlight w:val="none"/>
        </w:rPr>
        <w:t>、开工前，承包人应对本单位所有施工人员进行安全教育和安全技术交底，交代施工范围、边界、危险因数、其他安全注意事项和要求。施工中，如临时增加人员，在其参加施工前，也必须对其进行安全教育和安全技术交底。</w:t>
      </w:r>
    </w:p>
    <w:p w14:paraId="6571A06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7</w:t>
      </w:r>
      <w:r>
        <w:rPr>
          <w:rFonts w:hint="eastAsia" w:ascii="仿宋" w:hAnsi="仿宋" w:eastAsia="仿宋" w:cs="Times New Roman"/>
          <w:color w:val="auto"/>
          <w:sz w:val="32"/>
          <w:szCs w:val="32"/>
          <w:highlight w:val="none"/>
        </w:rPr>
        <w:t>、开工前，承包人应组织人员对施工区域、作业环境及发包人提供使用的设施设备、工器具等进行检查，确认符合安全要求。一经开工，就表示承包人已确认施工现场、作业环境、设施设备、工器具符合安全要求并处于安全状态。</w:t>
      </w:r>
    </w:p>
    <w:p w14:paraId="15DA76C9">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8</w:t>
      </w:r>
      <w:r>
        <w:rPr>
          <w:rFonts w:hint="eastAsia" w:ascii="仿宋" w:hAnsi="仿宋" w:eastAsia="仿宋" w:cs="Times New Roman"/>
          <w:color w:val="auto"/>
          <w:sz w:val="32"/>
          <w:szCs w:val="32"/>
          <w:highlight w:val="none"/>
        </w:rPr>
        <w:t>、承包人应自备满足安全施工所需的安全防护用具和设施。</w:t>
      </w:r>
    </w:p>
    <w:p w14:paraId="1FB0BCB8">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9</w:t>
      </w:r>
      <w:r>
        <w:rPr>
          <w:rFonts w:hint="eastAsia" w:ascii="仿宋" w:hAnsi="仿宋" w:eastAsia="仿宋" w:cs="Times New Roman"/>
          <w:color w:val="auto"/>
          <w:sz w:val="32"/>
          <w:szCs w:val="32"/>
          <w:highlight w:val="none"/>
        </w:rPr>
        <w:t>、承包人保证自觉遵守本协议的规定。</w:t>
      </w:r>
    </w:p>
    <w:p w14:paraId="28411B9B">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五、</w:t>
      </w:r>
      <w:r>
        <w:rPr>
          <w:rFonts w:hint="eastAsia" w:ascii="仿宋" w:hAnsi="仿宋" w:eastAsia="仿宋" w:cs="Times New Roman"/>
          <w:color w:val="auto"/>
          <w:sz w:val="32"/>
          <w:szCs w:val="32"/>
          <w:highlight w:val="none"/>
        </w:rPr>
        <w:t>发包人权利</w:t>
      </w:r>
    </w:p>
    <w:p w14:paraId="73B1D9BF">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、当发包人发现施工方案有影响发包人运行设备和人员安全时，有提出修改的意见。经双方对施工方案确认无异议后，承包人方可正式组织施工。</w:t>
      </w:r>
    </w:p>
    <w:p w14:paraId="277A47F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必须接受和配合发包人的安全监督、检查，当发包人发现承包人在施工中有不符合安全文明施工的行为和现象时，有权进行制止、纠正或发出安全整改通知书。对发包人提出的安全整改意见，承包人必须及时整改；未按时整改的，发包人有权责令承包人停工，由此造成的损失由承包人负责承担。</w:t>
      </w:r>
    </w:p>
    <w:p w14:paraId="1E0DB760">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、发包人有权对承包人原因引起的安全事故提出赔偿要求。</w:t>
      </w:r>
    </w:p>
    <w:p w14:paraId="1A341857">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六、</w:t>
      </w:r>
      <w:r>
        <w:rPr>
          <w:rFonts w:hint="eastAsia" w:ascii="仿宋" w:hAnsi="仿宋" w:eastAsia="仿宋" w:cs="Times New Roman"/>
          <w:color w:val="auto"/>
          <w:sz w:val="32"/>
          <w:szCs w:val="32"/>
          <w:highlight w:val="none"/>
        </w:rPr>
        <w:t>承包人权利</w:t>
      </w:r>
    </w:p>
    <w:p w14:paraId="304A9EC2">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、承包人在施工中有权拒绝发包人的违章指挥。</w:t>
      </w:r>
    </w:p>
    <w:p w14:paraId="2C6DE3AB">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、承包人有权对发包人原因引起的承包人安全事故提出赔偿要求。</w:t>
      </w:r>
    </w:p>
    <w:p w14:paraId="505C6D5D">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七、</w:t>
      </w:r>
      <w:r>
        <w:rPr>
          <w:rFonts w:hint="eastAsia" w:ascii="仿宋" w:hAnsi="仿宋" w:eastAsia="仿宋" w:cs="Times New Roman"/>
          <w:color w:val="auto"/>
          <w:sz w:val="32"/>
          <w:szCs w:val="32"/>
          <w:highlight w:val="none"/>
        </w:rPr>
        <w:t>施工中必须遵守以下安全规定</w:t>
      </w:r>
    </w:p>
    <w:p w14:paraId="0377D6E4">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、承包人人员严禁酒后进入施工现场。</w:t>
      </w:r>
    </w:p>
    <w:p w14:paraId="4E4E21BF">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、承包人人员严禁在防火重点区域吸烟或动火。</w:t>
      </w:r>
    </w:p>
    <w:p w14:paraId="0A87863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、承包人应在施工场所范围装设临时围栏或警告标志，不得超越发包人指定的施工范围进行施工。</w:t>
      </w:r>
    </w:p>
    <w:p w14:paraId="2DB0B287">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rPr>
        <w:t>、承包人人员要注意用水用电安全。</w:t>
      </w:r>
    </w:p>
    <w:p w14:paraId="44488E56">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八、</w:t>
      </w:r>
      <w:r>
        <w:rPr>
          <w:rFonts w:hint="eastAsia" w:ascii="仿宋" w:hAnsi="仿宋" w:eastAsia="仿宋" w:cs="Times New Roman"/>
          <w:color w:val="auto"/>
          <w:sz w:val="32"/>
          <w:szCs w:val="32"/>
          <w:highlight w:val="none"/>
        </w:rPr>
        <w:t>事故处理</w:t>
      </w:r>
    </w:p>
    <w:p w14:paraId="408F863E">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、承包人施工过程中发生事故时，应立即停止施工，通报发包人，并保护事故现场，积极配合调查。当发生人身死亡事故时，承包人还应立即会同发包人，通知当地政府和公安部门。</w:t>
      </w:r>
    </w:p>
    <w:p w14:paraId="13CE2213">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rPr>
        <w:t>、在初步判定涉及承包人的人身受伤事故时，在原因和责任未明确前，承包人应首先垫付医药费，确保受伤人员的及时治疗。发包人帮助协调抢救伤员。</w:t>
      </w:r>
    </w:p>
    <w:p w14:paraId="3180175A">
      <w:pPr>
        <w:spacing w:line="480" w:lineRule="exact"/>
        <w:ind w:firstLine="640" w:firstLineChars="200"/>
        <w:rPr>
          <w:rFonts w:ascii="仿宋" w:hAnsi="仿宋" w:eastAsia="仿宋" w:cs="Times New Roman"/>
          <w:color w:val="auto"/>
          <w:sz w:val="32"/>
          <w:szCs w:val="32"/>
          <w:highlight w:val="none"/>
        </w:rPr>
      </w:pPr>
      <w:r>
        <w:rPr>
          <w:rFonts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rPr>
        <w:t>、由于发包人或承包人违反国家法律法规，或行业标准或本协议的有关规定造成事故的，由责任方赔偿对方因此造成的全部经济损失。由于双方的责任造成的，根据事故调查结论和责任的主次，由双方所负责任大小按比例承担赔偿责任。</w:t>
      </w:r>
    </w:p>
    <w:p w14:paraId="4640998E">
      <w:pPr>
        <w:tabs>
          <w:tab w:val="left" w:pos="0"/>
        </w:tabs>
        <w:spacing w:line="480" w:lineRule="exact"/>
        <w:ind w:firstLine="643" w:firstLineChars="200"/>
        <w:rPr>
          <w:rFonts w:ascii="仿宋" w:hAnsi="仿宋" w:eastAsia="仿宋" w:cs="Times New Roman"/>
          <w:color w:val="auto"/>
          <w:sz w:val="32"/>
          <w:szCs w:val="32"/>
          <w:highlight w:val="none"/>
        </w:rPr>
      </w:pPr>
      <w:r>
        <w:rPr>
          <w:rFonts w:hint="eastAsia" w:ascii="仿宋" w:hAnsi="仿宋" w:eastAsia="仿宋" w:cs="Times New Roman"/>
          <w:b/>
          <w:color w:val="auto"/>
          <w:sz w:val="32"/>
          <w:szCs w:val="32"/>
          <w:highlight w:val="none"/>
        </w:rPr>
        <w:t>九、</w:t>
      </w:r>
      <w:r>
        <w:rPr>
          <w:rFonts w:hint="eastAsia" w:ascii="仿宋" w:hAnsi="仿宋" w:eastAsia="仿宋" w:cs="Times New Roman"/>
          <w:color w:val="auto"/>
          <w:sz w:val="32"/>
          <w:szCs w:val="32"/>
          <w:highlight w:val="none"/>
        </w:rPr>
        <w:t>本协议涉及事故定性按照国家有关规定执行。</w:t>
      </w:r>
    </w:p>
    <w:p w14:paraId="49958FB9">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十、在对施工安全相关的重大问题上要传递信息时，甲乙双方应以工作联系单、传真等书面方式送达对方。双方在接到对方的书面联系时，应于</w:t>
      </w:r>
      <w:r>
        <w:rPr>
          <w:rFonts w:ascii="仿宋" w:hAnsi="仿宋" w:eastAsia="仿宋" w:cs="Times New Roman"/>
          <w:color w:val="auto"/>
          <w:sz w:val="32"/>
          <w:szCs w:val="32"/>
          <w:highlight w:val="none"/>
        </w:rPr>
        <w:t>1</w:t>
      </w:r>
      <w:r>
        <w:rPr>
          <w:rFonts w:hint="eastAsia" w:ascii="仿宋" w:hAnsi="仿宋" w:eastAsia="仿宋" w:cs="Times New Roman"/>
          <w:color w:val="auto"/>
          <w:sz w:val="32"/>
          <w:szCs w:val="32"/>
          <w:highlight w:val="none"/>
        </w:rPr>
        <w:t>小时内予以响应。</w:t>
      </w:r>
    </w:p>
    <w:p w14:paraId="61BCBD2A">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十一、本协议的有效期限自主合同签发之日起生效，主合同完毕时结束。</w:t>
      </w:r>
    </w:p>
    <w:p w14:paraId="1F28BF98">
      <w:pPr>
        <w:tabs>
          <w:tab w:val="left" w:pos="0"/>
        </w:tabs>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十二、本协议与主合同相抵触时，以主合同为主。</w:t>
      </w:r>
    </w:p>
    <w:p w14:paraId="023ECC39">
      <w:pPr>
        <w:tabs>
          <w:tab w:val="left" w:pos="0"/>
        </w:tabs>
        <w:spacing w:line="480" w:lineRule="exact"/>
        <w:ind w:firstLine="640" w:firstLineChars="200"/>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十三、本协议书一式贰份，由发包人和承包人各执</w:t>
      </w:r>
      <w:r>
        <w:rPr>
          <w:rFonts w:ascii="仿宋" w:hAnsi="仿宋" w:eastAsia="仿宋" w:cs="Times New Roman"/>
          <w:color w:val="auto"/>
          <w:sz w:val="32"/>
          <w:szCs w:val="32"/>
          <w:highlight w:val="none"/>
        </w:rPr>
        <w:t>—</w:t>
      </w:r>
      <w:r>
        <w:rPr>
          <w:rFonts w:hint="eastAsia" w:ascii="仿宋" w:hAnsi="仿宋" w:eastAsia="仿宋" w:cs="Times New Roman"/>
          <w:color w:val="auto"/>
          <w:sz w:val="32"/>
          <w:szCs w:val="32"/>
          <w:highlight w:val="none"/>
        </w:rPr>
        <w:t>份。</w:t>
      </w:r>
    </w:p>
    <w:p w14:paraId="74C9DE50">
      <w:pPr>
        <w:tabs>
          <w:tab w:val="left" w:pos="0"/>
        </w:tabs>
        <w:spacing w:line="480" w:lineRule="exact"/>
        <w:ind w:firstLine="640" w:firstLineChars="200"/>
        <w:rPr>
          <w:rFonts w:ascii="仿宋" w:hAnsi="仿宋" w:eastAsia="仿宋" w:cs="Times New Roman"/>
          <w:color w:val="auto"/>
          <w:sz w:val="32"/>
          <w:szCs w:val="32"/>
          <w:highlight w:val="none"/>
        </w:rPr>
      </w:pPr>
    </w:p>
    <w:p w14:paraId="5A67263F">
      <w:pPr>
        <w:spacing w:line="480" w:lineRule="exact"/>
        <w:ind w:left="6147" w:leftChars="327" w:hanging="5460" w:hangingChars="1950"/>
        <w:rPr>
          <w:rFonts w:hint="default" w:ascii="仿宋" w:hAnsi="仿宋" w:eastAsia="仿宋" w:cs="Times New Roman"/>
          <w:color w:val="auto"/>
          <w:sz w:val="32"/>
          <w:szCs w:val="32"/>
          <w:highlight w:val="none"/>
          <w:u w:val="single"/>
          <w:lang w:val="en-US" w:eastAsia="zh-CN"/>
        </w:rPr>
      </w:pPr>
      <w:r>
        <w:rPr>
          <w:rFonts w:hint="eastAsia" w:ascii="仿宋" w:hAnsi="仿宋" w:eastAsia="仿宋" w:cs="Times New Roman"/>
          <w:color w:val="auto"/>
          <w:spacing w:val="-20"/>
          <w:kern w:val="21"/>
          <w:sz w:val="32"/>
          <w:szCs w:val="32"/>
          <w:highlight w:val="none"/>
        </w:rPr>
        <w:t>发包人：</w:t>
      </w:r>
      <w:r>
        <w:rPr>
          <w:rFonts w:hint="eastAsia" w:ascii="仿宋" w:hAnsi="仿宋" w:eastAsia="仿宋" w:cs="Times New Roman"/>
          <w:color w:val="auto"/>
          <w:spacing w:val="-20"/>
          <w:kern w:val="21"/>
          <w:sz w:val="32"/>
          <w:szCs w:val="32"/>
          <w:highlight w:val="none"/>
          <w:lang w:val="en-US" w:eastAsia="zh-CN"/>
        </w:rPr>
        <w:t>隆安县丁当镇人民政府</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lang w:val="en-US" w:eastAsia="zh-CN"/>
        </w:rPr>
        <w:t xml:space="preserve">  </w:t>
      </w:r>
      <w:r>
        <w:rPr>
          <w:rFonts w:hint="eastAsia" w:ascii="仿宋" w:hAnsi="仿宋" w:eastAsia="仿宋" w:cs="Times New Roman"/>
          <w:color w:val="auto"/>
          <w:spacing w:val="-20"/>
          <w:kern w:val="21"/>
          <w:sz w:val="32"/>
          <w:szCs w:val="32"/>
          <w:highlight w:val="none"/>
        </w:rPr>
        <w:t>承包人：</w:t>
      </w:r>
    </w:p>
    <w:p w14:paraId="0A063FA2">
      <w:pPr>
        <w:spacing w:line="480" w:lineRule="exact"/>
        <w:ind w:left="6608" w:leftChars="23" w:hanging="6560" w:hangingChars="2050"/>
        <w:rPr>
          <w:rFonts w:hint="eastAsia" w:ascii="仿宋" w:hAnsi="仿宋" w:eastAsia="仿宋" w:cs="Times New Roman"/>
          <w:color w:val="auto"/>
          <w:sz w:val="32"/>
          <w:szCs w:val="32"/>
          <w:highlight w:val="none"/>
        </w:rPr>
      </w:pPr>
    </w:p>
    <w:p w14:paraId="47736497">
      <w:pPr>
        <w:spacing w:line="480" w:lineRule="exact"/>
        <w:ind w:left="7121" w:leftChars="267" w:hanging="6560" w:hangingChars="2050"/>
        <w:rPr>
          <w:rFonts w:ascii="仿宋" w:hAnsi="仿宋" w:eastAsia="仿宋" w:cs="Times New Roman"/>
          <w:color w:val="auto"/>
          <w:kern w:val="21"/>
          <w:sz w:val="32"/>
          <w:szCs w:val="32"/>
          <w:highlight w:val="none"/>
        </w:rPr>
      </w:pPr>
      <w:r>
        <w:rPr>
          <w:rFonts w:hint="eastAsia" w:ascii="仿宋" w:hAnsi="仿宋" w:eastAsia="仿宋" w:cs="Times New Roman"/>
          <w:color w:val="auto"/>
          <w:kern w:val="21"/>
          <w:sz w:val="32"/>
          <w:szCs w:val="32"/>
          <w:highlight w:val="none"/>
        </w:rPr>
        <w:t>法定代表人（</w:t>
      </w:r>
      <w:r>
        <w:rPr>
          <w:rFonts w:hint="eastAsia" w:ascii="仿宋" w:hAnsi="仿宋" w:eastAsia="仿宋" w:cs="Times New Roman"/>
          <w:color w:val="auto"/>
          <w:sz w:val="32"/>
          <w:szCs w:val="32"/>
          <w:highlight w:val="none"/>
        </w:rPr>
        <w:t>委托代理人）</w:t>
      </w:r>
      <w:r>
        <w:rPr>
          <w:rFonts w:ascii="仿宋" w:hAnsi="仿宋" w:eastAsia="仿宋" w:cs="Times New Roman"/>
          <w:color w:val="auto"/>
          <w:kern w:val="21"/>
          <w:sz w:val="32"/>
          <w:szCs w:val="32"/>
          <w:highlight w:val="none"/>
        </w:rPr>
        <w:t xml:space="preserve">   </w:t>
      </w:r>
      <w:r>
        <w:rPr>
          <w:rFonts w:hint="eastAsia" w:ascii="仿宋" w:hAnsi="仿宋" w:eastAsia="仿宋" w:cs="Times New Roman"/>
          <w:color w:val="auto"/>
          <w:kern w:val="21"/>
          <w:sz w:val="32"/>
          <w:szCs w:val="32"/>
          <w:highlight w:val="none"/>
        </w:rPr>
        <w:t>法定代表人（</w:t>
      </w:r>
      <w:r>
        <w:rPr>
          <w:rFonts w:hint="eastAsia" w:ascii="仿宋" w:hAnsi="仿宋" w:eastAsia="仿宋" w:cs="Times New Roman"/>
          <w:color w:val="auto"/>
          <w:sz w:val="32"/>
          <w:szCs w:val="32"/>
          <w:highlight w:val="none"/>
        </w:rPr>
        <w:t>委托代理人）</w:t>
      </w:r>
    </w:p>
    <w:p w14:paraId="49D6AC06">
      <w:pPr>
        <w:spacing w:line="480" w:lineRule="exact"/>
        <w:ind w:firstLine="640" w:firstLineChars="200"/>
        <w:textAlignment w:val="baseline"/>
        <w:rPr>
          <w:rFonts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（签字）：</w:t>
      </w:r>
      <w:r>
        <w:rPr>
          <w:rFonts w:ascii="仿宋" w:hAnsi="仿宋" w:eastAsia="仿宋" w:cs="Times New Roman"/>
          <w:color w:val="auto"/>
          <w:sz w:val="32"/>
          <w:szCs w:val="32"/>
          <w:highlight w:val="none"/>
        </w:rPr>
        <w:t xml:space="preserve">                        </w:t>
      </w:r>
      <w:r>
        <w:rPr>
          <w:rFonts w:hint="eastAsia" w:ascii="仿宋" w:hAnsi="仿宋" w:eastAsia="仿宋" w:cs="Times New Roman"/>
          <w:color w:val="auto"/>
          <w:sz w:val="32"/>
          <w:szCs w:val="32"/>
          <w:highlight w:val="none"/>
        </w:rPr>
        <w:t>（签字）：</w:t>
      </w:r>
    </w:p>
    <w:p w14:paraId="0ABBBF35">
      <w:pPr>
        <w:spacing w:line="480" w:lineRule="exact"/>
        <w:ind w:firstLine="640" w:firstLineChars="200"/>
        <w:textAlignment w:val="baseline"/>
        <w:rPr>
          <w:rFonts w:hint="eastAsia" w:ascii="仿宋" w:hAnsi="仿宋" w:eastAsia="仿宋" w:cs="Times New Roman"/>
          <w:color w:val="auto"/>
          <w:sz w:val="32"/>
          <w:szCs w:val="32"/>
          <w:highlight w:val="none"/>
        </w:rPr>
      </w:pPr>
    </w:p>
    <w:p w14:paraId="0BE11275">
      <w:pPr>
        <w:spacing w:line="480" w:lineRule="exact"/>
        <w:ind w:firstLine="640" w:firstLineChars="200"/>
        <w:textAlignment w:val="baseline"/>
        <w:rPr>
          <w:rFonts w:ascii="仿宋" w:hAnsi="仿宋" w:eastAsia="仿宋" w:cs="Times New Roman"/>
          <w:color w:val="auto"/>
          <w:sz w:val="32"/>
          <w:szCs w:val="32"/>
          <w:highlight w:val="none"/>
        </w:rPr>
      </w:pPr>
    </w:p>
    <w:p w14:paraId="2E7A899D">
      <w:pPr>
        <w:spacing w:before="120" w:after="120" w:line="560" w:lineRule="exact"/>
        <w:jc w:val="center"/>
        <w:rPr>
          <w:rFonts w:ascii="仿宋" w:hAnsi="仿宋" w:eastAsia="仿宋" w:cs="Times New Roman"/>
          <w:b/>
          <w:color w:val="auto"/>
          <w:sz w:val="32"/>
          <w:szCs w:val="32"/>
          <w:highlight w:val="none"/>
        </w:rPr>
      </w:pPr>
      <w:r>
        <w:rPr>
          <w:rFonts w:hint="eastAsia" w:ascii="仿宋" w:hAnsi="仿宋" w:eastAsia="仿宋" w:cs="Times New Roman"/>
          <w:color w:val="auto"/>
          <w:sz w:val="32"/>
          <w:szCs w:val="32"/>
          <w:highlight w:val="none"/>
        </w:rPr>
        <w:t>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             202</w:t>
      </w:r>
      <w:r>
        <w:rPr>
          <w:rFonts w:hint="eastAsia" w:ascii="仿宋" w:hAnsi="仿宋" w:eastAsia="仿宋" w:cs="Times New Roman"/>
          <w:color w:val="auto"/>
          <w:sz w:val="32"/>
          <w:szCs w:val="32"/>
          <w:highlight w:val="none"/>
          <w:lang w:val="en-US" w:eastAsia="zh-CN"/>
        </w:rPr>
        <w:t>6</w:t>
      </w:r>
      <w:r>
        <w:rPr>
          <w:rFonts w:hint="eastAsia" w:ascii="仿宋" w:hAnsi="仿宋" w:eastAsia="仿宋" w:cs="Times New Roman"/>
          <w:color w:val="auto"/>
          <w:sz w:val="32"/>
          <w:szCs w:val="32"/>
          <w:highlight w:val="none"/>
        </w:rPr>
        <w:t>年  月  日</w:t>
      </w:r>
    </w:p>
    <w:p w14:paraId="5FF7CEFB">
      <w:pPr>
        <w:spacing w:before="120" w:after="120" w:line="560" w:lineRule="exact"/>
        <w:jc w:val="center"/>
        <w:rPr>
          <w:rFonts w:ascii="仿宋" w:hAnsi="仿宋" w:eastAsia="仿宋" w:cs="Times New Roman"/>
          <w:b/>
          <w:color w:val="auto"/>
          <w:sz w:val="32"/>
          <w:szCs w:val="32"/>
          <w:highlight w:val="none"/>
        </w:rPr>
      </w:pPr>
    </w:p>
    <w:p w14:paraId="5965F57C">
      <w:pPr>
        <w:spacing w:before="120" w:after="120" w:line="560" w:lineRule="exact"/>
        <w:jc w:val="center"/>
        <w:rPr>
          <w:rFonts w:ascii="仿宋" w:hAnsi="仿宋" w:eastAsia="仿宋" w:cs="Times New Roman"/>
          <w:b/>
          <w:color w:val="auto"/>
          <w:sz w:val="32"/>
          <w:szCs w:val="32"/>
          <w:highlight w:val="none"/>
        </w:rPr>
      </w:pPr>
    </w:p>
    <w:p w14:paraId="113866DD">
      <w:pPr>
        <w:spacing w:before="120" w:after="120" w:line="560" w:lineRule="exact"/>
        <w:jc w:val="center"/>
        <w:rPr>
          <w:rFonts w:ascii="仿宋" w:hAnsi="仿宋" w:eastAsia="仿宋" w:cs="Times New Roman"/>
          <w:b/>
          <w:color w:val="auto"/>
          <w:sz w:val="32"/>
          <w:szCs w:val="32"/>
          <w:highlight w:val="none"/>
        </w:rPr>
      </w:pPr>
    </w:p>
    <w:p w14:paraId="0A8A26A2">
      <w:pPr>
        <w:spacing w:before="120" w:after="120" w:line="560" w:lineRule="exact"/>
        <w:jc w:val="center"/>
        <w:rPr>
          <w:rFonts w:hint="eastAsia" w:ascii="仿宋" w:hAnsi="仿宋" w:eastAsia="仿宋" w:cs="Times New Roman"/>
          <w:b/>
          <w:color w:val="auto"/>
          <w:sz w:val="32"/>
          <w:szCs w:val="32"/>
          <w:highlight w:val="none"/>
        </w:rPr>
      </w:pPr>
    </w:p>
    <w:p w14:paraId="2EE541B3">
      <w:pPr>
        <w:spacing w:before="120" w:after="120" w:line="560" w:lineRule="exact"/>
        <w:jc w:val="center"/>
        <w:rPr>
          <w:rFonts w:hint="eastAsia" w:ascii="仿宋" w:hAnsi="仿宋" w:eastAsia="仿宋" w:cs="Times New Roman"/>
          <w:b/>
          <w:color w:val="auto"/>
          <w:sz w:val="32"/>
          <w:szCs w:val="32"/>
          <w:highlight w:val="none"/>
        </w:rPr>
      </w:pPr>
    </w:p>
    <w:p w14:paraId="7CF30863">
      <w:pPr>
        <w:spacing w:before="120" w:after="120" w:line="560" w:lineRule="exact"/>
        <w:jc w:val="center"/>
        <w:rPr>
          <w:rFonts w:hint="eastAsia" w:ascii="仿宋" w:hAnsi="仿宋" w:eastAsia="仿宋" w:cs="Times New Roman"/>
          <w:b/>
          <w:color w:val="auto"/>
          <w:sz w:val="32"/>
          <w:szCs w:val="32"/>
          <w:highlight w:val="none"/>
        </w:rPr>
      </w:pPr>
    </w:p>
    <w:p w14:paraId="70FBD001">
      <w:pPr>
        <w:spacing w:before="120" w:after="120" w:line="560" w:lineRule="exact"/>
        <w:jc w:val="center"/>
        <w:rPr>
          <w:rFonts w:hint="eastAsia" w:ascii="仿宋" w:hAnsi="仿宋" w:eastAsia="仿宋" w:cs="Times New Roman"/>
          <w:b/>
          <w:color w:val="auto"/>
          <w:sz w:val="32"/>
          <w:szCs w:val="32"/>
          <w:highlight w:val="none"/>
        </w:rPr>
      </w:pPr>
    </w:p>
    <w:p w14:paraId="1D78D89A">
      <w:pPr>
        <w:spacing w:before="120" w:after="120" w:line="560" w:lineRule="exact"/>
        <w:jc w:val="center"/>
        <w:rPr>
          <w:rFonts w:hint="eastAsia" w:ascii="仿宋" w:hAnsi="仿宋" w:eastAsia="仿宋" w:cs="Times New Roman"/>
          <w:b/>
          <w:color w:val="auto"/>
          <w:sz w:val="32"/>
          <w:szCs w:val="32"/>
          <w:highlight w:val="none"/>
        </w:rPr>
      </w:pPr>
    </w:p>
    <w:p w14:paraId="30FC33B1">
      <w:pPr>
        <w:spacing w:before="120" w:after="120" w:line="560" w:lineRule="exact"/>
        <w:jc w:val="center"/>
        <w:rPr>
          <w:rFonts w:hint="eastAsia" w:ascii="仿宋" w:hAnsi="仿宋" w:eastAsia="仿宋" w:cs="Times New Roman"/>
          <w:b/>
          <w:color w:val="auto"/>
          <w:sz w:val="32"/>
          <w:szCs w:val="32"/>
          <w:highlight w:val="none"/>
        </w:rPr>
      </w:pPr>
    </w:p>
    <w:p w14:paraId="44A31C3A">
      <w:pPr>
        <w:spacing w:before="120" w:after="120" w:line="560" w:lineRule="exact"/>
        <w:jc w:val="center"/>
        <w:rPr>
          <w:rFonts w:hint="eastAsia" w:ascii="仿宋" w:hAnsi="仿宋" w:eastAsia="仿宋" w:cs="Times New Roman"/>
          <w:b/>
          <w:color w:val="auto"/>
          <w:sz w:val="32"/>
          <w:szCs w:val="32"/>
          <w:highlight w:val="none"/>
        </w:rPr>
      </w:pPr>
    </w:p>
    <w:p w14:paraId="075EDB9E">
      <w:pPr>
        <w:spacing w:before="120" w:after="120" w:line="560" w:lineRule="exact"/>
        <w:jc w:val="center"/>
        <w:rPr>
          <w:rFonts w:hint="eastAsia" w:ascii="仿宋" w:hAnsi="仿宋" w:eastAsia="仿宋" w:cs="Times New Roman"/>
          <w:b/>
          <w:color w:val="auto"/>
          <w:sz w:val="32"/>
          <w:szCs w:val="32"/>
          <w:highlight w:val="none"/>
        </w:rPr>
      </w:pPr>
    </w:p>
    <w:p w14:paraId="2D4968C6">
      <w:pPr>
        <w:spacing w:before="120" w:after="120" w:line="560" w:lineRule="exact"/>
        <w:rPr>
          <w:rFonts w:hint="eastAsia" w:ascii="仿宋" w:hAnsi="仿宋" w:eastAsia="仿宋" w:cs="Times New Roman"/>
          <w:b/>
          <w:color w:val="auto"/>
          <w:sz w:val="32"/>
          <w:szCs w:val="32"/>
          <w:highlight w:val="none"/>
        </w:rPr>
      </w:pPr>
    </w:p>
    <w:p w14:paraId="7DA4422B">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三</w:t>
      </w:r>
      <w:r>
        <w:rPr>
          <w:rFonts w:hint="eastAsia" w:ascii="宋体" w:hAnsi="宋体" w:eastAsia="宋体" w:cs="宋体"/>
          <w:b/>
          <w:color w:val="auto"/>
          <w:kern w:val="2"/>
          <w:sz w:val="28"/>
          <w:szCs w:val="24"/>
          <w:highlight w:val="none"/>
          <w:lang w:val="en-US" w:eastAsia="zh-CN" w:bidi="ar-SA"/>
        </w:rPr>
        <w:t>：履约保函</w:t>
      </w:r>
    </w:p>
    <w:p w14:paraId="7CDD89D2">
      <w:pPr>
        <w:widowControl w:val="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履约保函</w:t>
      </w:r>
    </w:p>
    <w:p w14:paraId="02336EE7">
      <w:pPr>
        <w:widowControl w:val="0"/>
        <w:jc w:val="center"/>
        <w:rPr>
          <w:rFonts w:ascii="宋体" w:hAnsi="宋体" w:eastAsia="宋体" w:cs="宋体"/>
          <w:b/>
          <w:color w:val="auto"/>
          <w:kern w:val="2"/>
          <w:sz w:val="21"/>
          <w:szCs w:val="24"/>
          <w:highlight w:val="none"/>
          <w:lang w:val="en-US" w:eastAsia="zh-CN" w:bidi="ar-SA"/>
        </w:rPr>
      </w:pPr>
    </w:p>
    <w:p w14:paraId="397A1FCE">
      <w:pPr>
        <w:widowControl w:val="0"/>
        <w:jc w:val="center"/>
        <w:rPr>
          <w:rFonts w:ascii="Times New Roman" w:hAnsi="Times New Roman" w:eastAsia="宋体" w:cs="Times New Roman"/>
          <w:b/>
          <w:color w:val="auto"/>
          <w:kern w:val="2"/>
          <w:sz w:val="21"/>
          <w:szCs w:val="24"/>
          <w:highlight w:val="none"/>
          <w:lang w:val="en-US" w:eastAsia="zh-CN" w:bidi="ar-SA"/>
        </w:rPr>
      </w:pPr>
    </w:p>
    <w:p w14:paraId="26BA6CEF">
      <w:pPr>
        <w:widowControl w:val="0"/>
        <w:tabs>
          <w:tab w:val="left" w:pos="187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（发包人名称）：</w:t>
      </w:r>
    </w:p>
    <w:p w14:paraId="53E69FFB">
      <w:pPr>
        <w:widowControl w:val="0"/>
        <w:tabs>
          <w:tab w:val="left" w:pos="847"/>
          <w:tab w:val="left" w:pos="1870"/>
          <w:tab w:val="left" w:pos="3485"/>
          <w:tab w:val="left" w:pos="3554"/>
          <w:tab w:val="left" w:pos="6878"/>
          <w:tab w:val="left" w:pos="8059"/>
        </w:tabs>
        <w:spacing w:line="354" w:lineRule="exact"/>
        <w:ind w:firstLine="42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 xml:space="preserve">鉴于（发包人名称，以下简称“发包人”）接受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（承包人名称，以下称“承包人”）于</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年</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 xml:space="preserve">月 </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日递交的（项目名称）</w:t>
      </w:r>
      <w:r>
        <w:rPr>
          <w:rFonts w:hint="eastAsia" w:ascii="宋体" w:hAnsi="宋体" w:eastAsia="宋体" w:cs="宋体"/>
          <w:color w:val="auto"/>
          <w:kern w:val="2"/>
          <w:sz w:val="20"/>
          <w:szCs w:val="20"/>
          <w:highlight w:val="none"/>
          <w:u w:val="single"/>
          <w:lang w:val="zh-CN" w:eastAsia="zh-CN" w:bidi="zh-CN"/>
        </w:rPr>
        <w:t xml:space="preserve">             </w:t>
      </w:r>
      <w:r>
        <w:rPr>
          <w:rFonts w:hint="eastAsia" w:ascii="宋体" w:hAnsi="宋体" w:eastAsia="宋体" w:cs="宋体"/>
          <w:color w:val="auto"/>
          <w:kern w:val="2"/>
          <w:sz w:val="20"/>
          <w:szCs w:val="20"/>
          <w:highlight w:val="none"/>
          <w:lang w:val="zh-CN" w:eastAsia="zh-CN" w:bidi="zh-CN"/>
        </w:rPr>
        <w:t>（标段名称）的投标文件。我方愿意无条件地、不可撤销地就承包人履行与你方订立的合同，向你方提供担保。</w:t>
      </w:r>
    </w:p>
    <w:p w14:paraId="5F2094AB">
      <w:pPr>
        <w:widowControl w:val="0"/>
        <w:tabs>
          <w:tab w:val="left" w:pos="733"/>
          <w:tab w:val="left" w:pos="4879"/>
          <w:tab w:val="left" w:pos="7402"/>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担保金额人民币（大写）</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zh-CN" w:eastAsia="zh-CN" w:bidi="zh-CN"/>
        </w:rPr>
        <w:t>元（¥</w:t>
      </w:r>
      <w:r>
        <w:rPr>
          <w:rFonts w:hint="eastAsia"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元）</w:t>
      </w:r>
      <w:r>
        <w:rPr>
          <w:rFonts w:hint="eastAsia" w:ascii="宋体" w:hAnsi="宋体" w:eastAsia="宋体" w:cs="宋体"/>
          <w:color w:val="auto"/>
          <w:kern w:val="2"/>
          <w:sz w:val="20"/>
          <w:szCs w:val="20"/>
          <w:highlight w:val="none"/>
          <w:vertAlign w:val="subscript"/>
          <w:lang w:val="en-US" w:eastAsia="zh-CN" w:bidi="ar-SA"/>
        </w:rPr>
        <w:t>o</w:t>
      </w:r>
    </w:p>
    <w:p w14:paraId="62BE2E28">
      <w:pPr>
        <w:widowControl w:val="0"/>
        <w:tabs>
          <w:tab w:val="left" w:pos="697"/>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担保有效期自发包人与承包人签订的合同生效之日起至发包人签发工程完工证书之日止。</w:t>
      </w:r>
    </w:p>
    <w:p w14:paraId="594366E2">
      <w:pPr>
        <w:widowControl w:val="0"/>
        <w:tabs>
          <w:tab w:val="left" w:pos="736"/>
        </w:tabs>
        <w:spacing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3.</w:t>
      </w:r>
      <w:r>
        <w:rPr>
          <w:rFonts w:hint="eastAsia" w:ascii="宋体" w:hAnsi="宋体" w:eastAsia="宋体" w:cs="宋体"/>
          <w:color w:val="auto"/>
          <w:kern w:val="2"/>
          <w:sz w:val="20"/>
          <w:szCs w:val="20"/>
          <w:highlight w:val="none"/>
          <w:lang w:val="zh-CN" w:eastAsia="zh-CN" w:bidi="zh-CN"/>
        </w:rPr>
        <w:t>在本担保有效期内，因承包人违反合同约定的义务给你方造成经济损失时，我方在收到你方以书面形式提出的在担保金额内的赔偿要求后，无条件地在7天内予以支付。</w:t>
      </w:r>
    </w:p>
    <w:p w14:paraId="05F1BBBB">
      <w:pPr>
        <w:widowControl w:val="0"/>
        <w:tabs>
          <w:tab w:val="left" w:pos="740"/>
        </w:tabs>
        <w:spacing w:after="340" w:line="354" w:lineRule="exact"/>
        <w:ind w:firstLine="400" w:firstLineChars="20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4.</w:t>
      </w:r>
      <w:r>
        <w:rPr>
          <w:rFonts w:hint="eastAsia" w:ascii="宋体" w:hAnsi="宋体" w:eastAsia="宋体" w:cs="宋体"/>
          <w:color w:val="auto"/>
          <w:kern w:val="2"/>
          <w:sz w:val="20"/>
          <w:szCs w:val="20"/>
          <w:highlight w:val="none"/>
          <w:lang w:val="zh-CN" w:eastAsia="zh-CN" w:bidi="zh-CN"/>
        </w:rPr>
        <w:t>发包人和承包人按《通用合同条款》第15条变更合同时，我方承担本担保规定的义务不变。</w:t>
      </w:r>
    </w:p>
    <w:p w14:paraId="504A8CB0">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11BE1BD5">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0A49E994">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0FACD68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22692ACB">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B7B4FEB">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1FC318D4">
      <w:pPr>
        <w:widowControl w:val="0"/>
        <w:jc w:val="right"/>
        <w:rPr>
          <w:rFonts w:ascii="Times New Roman" w:hAnsi="Times New Roman" w:eastAsia="宋体" w:cs="Times New Roman"/>
          <w:color w:val="auto"/>
          <w:kern w:val="2"/>
          <w:sz w:val="20"/>
          <w:szCs w:val="24"/>
          <w:highlight w:val="none"/>
          <w:u w:val="single"/>
          <w:lang w:val="en-US" w:eastAsia="zh-CN" w:bidi="ar-SA"/>
        </w:rPr>
      </w:pPr>
    </w:p>
    <w:p w14:paraId="35E1F9C4">
      <w:pPr>
        <w:widowControl w:val="0"/>
        <w:jc w:val="right"/>
        <w:rPr>
          <w:rFonts w:hint="eastAsia" w:ascii="宋体" w:hAnsi="宋体" w:eastAsia="宋体" w:cs="宋体"/>
          <w:color w:val="auto"/>
          <w:kern w:val="2"/>
          <w:sz w:val="20"/>
          <w:szCs w:val="20"/>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宋体" w:hAnsi="宋体" w:eastAsia="宋体" w:cs="宋体"/>
          <w:color w:val="auto"/>
          <w:kern w:val="2"/>
          <w:sz w:val="20"/>
          <w:szCs w:val="20"/>
          <w:highlight w:val="none"/>
          <w:lang w:val="en-US" w:eastAsia="zh-CN" w:bidi="ar-SA"/>
        </w:rPr>
        <w:t xml:space="preserve">    </w:t>
      </w:r>
    </w:p>
    <w:p w14:paraId="26F54513">
      <w:pPr>
        <w:widowControl w:val="0"/>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注：</w:t>
      </w:r>
    </w:p>
    <w:p w14:paraId="266F6280">
      <w:pPr>
        <w:widowControl w:val="0"/>
        <w:tabs>
          <w:tab w:val="left" w:pos="733"/>
        </w:tabs>
        <w:spacing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1.</w:t>
      </w:r>
      <w:r>
        <w:rPr>
          <w:rFonts w:hint="eastAsia" w:ascii="宋体" w:hAnsi="宋体" w:eastAsia="宋体" w:cs="宋体"/>
          <w:color w:val="auto"/>
          <w:kern w:val="2"/>
          <w:sz w:val="20"/>
          <w:szCs w:val="20"/>
          <w:highlight w:val="none"/>
          <w:lang w:val="zh-CN" w:eastAsia="zh-CN" w:bidi="zh-CN"/>
        </w:rPr>
        <w:t>担保人必须是投标人单位基本账户的开户银行。</w:t>
      </w:r>
    </w:p>
    <w:p w14:paraId="2136DD3D">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en-US" w:eastAsia="zh-CN" w:bidi="zh-CN"/>
        </w:rPr>
        <w:t>2.</w:t>
      </w:r>
      <w:r>
        <w:rPr>
          <w:rFonts w:hint="eastAsia" w:ascii="宋体" w:hAnsi="宋体" w:eastAsia="宋体" w:cs="宋体"/>
          <w:color w:val="auto"/>
          <w:kern w:val="2"/>
          <w:sz w:val="20"/>
          <w:szCs w:val="20"/>
          <w:highlight w:val="none"/>
          <w:lang w:val="zh-CN" w:eastAsia="zh-CN" w:bidi="zh-CN"/>
        </w:rPr>
        <w:t>委托代理人应附授权委托书。</w:t>
      </w:r>
    </w:p>
    <w:p w14:paraId="41832460">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272301F3">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5564334B">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489A6AFA">
      <w:pPr>
        <w:widowControl w:val="0"/>
        <w:tabs>
          <w:tab w:val="left" w:pos="750"/>
        </w:tabs>
        <w:spacing w:after="340" w:line="354" w:lineRule="exact"/>
        <w:jc w:val="both"/>
        <w:rPr>
          <w:rFonts w:hint="eastAsia" w:ascii="宋体" w:hAnsi="宋体" w:eastAsia="宋体" w:cs="宋体"/>
          <w:color w:val="auto"/>
          <w:kern w:val="2"/>
          <w:sz w:val="20"/>
          <w:szCs w:val="20"/>
          <w:highlight w:val="none"/>
          <w:lang w:val="zh-CN" w:eastAsia="zh-CN" w:bidi="zh-CN"/>
        </w:rPr>
      </w:pPr>
    </w:p>
    <w:p w14:paraId="61D4BDC7">
      <w:pPr>
        <w:keepNext/>
        <w:keepLines/>
        <w:widowControl w:val="0"/>
        <w:spacing w:before="280" w:after="290" w:line="372" w:lineRule="auto"/>
        <w:jc w:val="both"/>
        <w:outlineLvl w:val="4"/>
        <w:rPr>
          <w:rFonts w:ascii="Times New Roman" w:hAnsi="Times New Roman" w:eastAsia="宋体" w:cs="Times New Roman"/>
          <w:b/>
          <w:color w:val="auto"/>
          <w:kern w:val="2"/>
          <w:sz w:val="28"/>
          <w:szCs w:val="24"/>
          <w:highlight w:val="none"/>
          <w:lang w:val="en-US" w:eastAsia="zh-CN" w:bidi="ar-SA"/>
        </w:rPr>
      </w:pPr>
      <w:r>
        <w:rPr>
          <w:rFonts w:hint="eastAsia" w:ascii="宋体" w:hAnsi="宋体" w:eastAsia="宋体" w:cs="宋体"/>
          <w:b/>
          <w:color w:val="auto"/>
          <w:kern w:val="2"/>
          <w:sz w:val="28"/>
          <w:szCs w:val="24"/>
          <w:highlight w:val="none"/>
          <w:lang w:val="en-US" w:eastAsia="zh-CN" w:bidi="ar-SA"/>
        </w:rPr>
        <w:br w:type="page"/>
      </w:r>
      <w:r>
        <w:rPr>
          <w:rFonts w:hint="eastAsia" w:ascii="宋体" w:hAnsi="宋体" w:eastAsia="宋体" w:cs="宋体"/>
          <w:b/>
          <w:color w:val="auto"/>
          <w:kern w:val="2"/>
          <w:sz w:val="28"/>
          <w:szCs w:val="24"/>
          <w:highlight w:val="none"/>
          <w:lang w:val="en-US" w:eastAsia="zh-CN" w:bidi="ar-SA"/>
        </w:rPr>
        <w:t>附件</w:t>
      </w:r>
      <w:r>
        <w:rPr>
          <w:rFonts w:hint="eastAsia" w:ascii="宋体" w:hAnsi="宋体" w:cs="宋体"/>
          <w:b/>
          <w:color w:val="auto"/>
          <w:kern w:val="2"/>
          <w:sz w:val="28"/>
          <w:szCs w:val="24"/>
          <w:highlight w:val="none"/>
          <w:lang w:val="en-US" w:eastAsia="zh-CN" w:bidi="ar-SA"/>
        </w:rPr>
        <w:t>四</w:t>
      </w:r>
      <w:r>
        <w:rPr>
          <w:rFonts w:hint="eastAsia" w:ascii="宋体" w:hAnsi="宋体" w:eastAsia="宋体" w:cs="宋体"/>
          <w:b/>
          <w:color w:val="auto"/>
          <w:kern w:val="2"/>
          <w:sz w:val="28"/>
          <w:szCs w:val="24"/>
          <w:highlight w:val="none"/>
          <w:lang w:val="en-US" w:eastAsia="zh-CN" w:bidi="ar-SA"/>
        </w:rPr>
        <w:t>：预付款担保函</w:t>
      </w:r>
    </w:p>
    <w:p w14:paraId="55BCA60B">
      <w:pPr>
        <w:widowControl w:val="0"/>
        <w:spacing w:before="120" w:beforeLines="50"/>
        <w:jc w:val="center"/>
        <w:rPr>
          <w:rFonts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预付款担保函</w:t>
      </w:r>
    </w:p>
    <w:p w14:paraId="1D544DB1">
      <w:pPr>
        <w:widowControl w:val="0"/>
        <w:jc w:val="center"/>
        <w:rPr>
          <w:rFonts w:ascii="Times New Roman" w:hAnsi="Times New Roman" w:eastAsia="宋体" w:cs="Times New Roman"/>
          <w:b/>
          <w:color w:val="auto"/>
          <w:kern w:val="2"/>
          <w:sz w:val="21"/>
          <w:szCs w:val="24"/>
          <w:highlight w:val="none"/>
          <w:lang w:val="en-US" w:eastAsia="zh-CN" w:bidi="ar-SA"/>
        </w:rPr>
      </w:pPr>
    </w:p>
    <w:p w14:paraId="4C03C745">
      <w:pPr>
        <w:widowControl w:val="0"/>
        <w:tabs>
          <w:tab w:val="left" w:pos="1870"/>
        </w:tabs>
        <w:spacing w:after="34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（发包人名称）:</w:t>
      </w:r>
    </w:p>
    <w:p w14:paraId="0DDF2026">
      <w:pPr>
        <w:widowControl w:val="0"/>
        <w:tabs>
          <w:tab w:val="left" w:pos="1870"/>
          <w:tab w:val="left" w:pos="2707"/>
          <w:tab w:val="left" w:pos="5004"/>
          <w:tab w:val="left" w:pos="5033"/>
          <w:tab w:val="left" w:pos="6163"/>
          <w:tab w:val="left" w:pos="7322"/>
          <w:tab w:val="left" w:pos="8333"/>
        </w:tabs>
        <w:spacing w:after="120" w:line="355" w:lineRule="exact"/>
        <w:ind w:firstLine="420"/>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根据</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（承包人名称，以下称“承包人”）与</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 xml:space="preserve"> （发包人名称，以下简称“发包人”）于</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年</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月</w:t>
      </w:r>
      <w:r>
        <w:rPr>
          <w:rFonts w:hint="eastAsia" w:ascii="宋体" w:hAnsi="宋体" w:eastAsia="宋体" w:cs="宋体"/>
          <w:color w:val="auto"/>
          <w:kern w:val="2"/>
          <w:sz w:val="20"/>
          <w:szCs w:val="20"/>
          <w:highlight w:val="none"/>
          <w:u w:val="single"/>
          <w:lang w:val="zh-CN" w:eastAsia="zh-CN" w:bidi="zh-CN"/>
        </w:rPr>
        <w:t xml:space="preserve">        </w:t>
      </w:r>
      <w:r>
        <w:rPr>
          <w:rFonts w:ascii="宋体" w:hAnsi="宋体" w:eastAsia="宋体" w:cs="宋体"/>
          <w:color w:val="auto"/>
          <w:kern w:val="2"/>
          <w:sz w:val="20"/>
          <w:szCs w:val="20"/>
          <w:highlight w:val="none"/>
          <w:lang w:val="zh-CN" w:eastAsia="zh-CN" w:bidi="zh-CN"/>
        </w:rPr>
        <w:t xml:space="preserve">日签订的 </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（项目名称）</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（标段名称）合同协议书，承包人 按约定的金额向发包人提交一份预付款担保，即有权得到发包人支付相等金额的预付款。 我方愿意就你方提供给承包人的预付款提供担保。</w:t>
      </w:r>
    </w:p>
    <w:p w14:paraId="430F3D93">
      <w:pPr>
        <w:widowControl w:val="0"/>
        <w:numPr>
          <w:ilvl w:val="0"/>
          <w:numId w:val="46"/>
        </w:numPr>
        <w:tabs>
          <w:tab w:val="left" w:pos="719"/>
          <w:tab w:val="left" w:pos="4879"/>
          <w:tab w:val="left" w:pos="7402"/>
        </w:tabs>
        <w:spacing w:line="372" w:lineRule="auto"/>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担保金额人民币（大写）</w:t>
      </w:r>
      <w:r>
        <w:rPr>
          <w:rFonts w:ascii="宋体" w:hAnsi="宋体" w:eastAsia="宋体" w:cs="宋体"/>
          <w:color w:val="auto"/>
          <w:kern w:val="2"/>
          <w:sz w:val="20"/>
          <w:szCs w:val="20"/>
          <w:highlight w:val="none"/>
          <w:u w:val="single"/>
          <w:lang w:val="zh-CN" w:eastAsia="zh-CN" w:bidi="zh-CN"/>
        </w:rPr>
        <w:tab/>
      </w:r>
      <w:r>
        <w:rPr>
          <w:rFonts w:ascii="宋体" w:hAnsi="宋体" w:eastAsia="宋体" w:cs="宋体"/>
          <w:color w:val="auto"/>
          <w:kern w:val="2"/>
          <w:sz w:val="20"/>
          <w:szCs w:val="20"/>
          <w:highlight w:val="none"/>
          <w:lang w:val="zh-CN" w:eastAsia="zh-CN" w:bidi="zh-CN"/>
        </w:rPr>
        <w:t>元（¥</w:t>
      </w:r>
      <w:r>
        <w:rPr>
          <w:rFonts w:ascii="宋体" w:hAnsi="宋体" w:eastAsia="宋体" w:cs="宋体"/>
          <w:color w:val="auto"/>
          <w:kern w:val="2"/>
          <w:sz w:val="20"/>
          <w:szCs w:val="20"/>
          <w:highlight w:val="none"/>
          <w:u w:val="single"/>
          <w:lang w:val="zh-CN" w:eastAsia="zh-CN" w:bidi="zh-CN"/>
        </w:rPr>
        <w:tab/>
      </w:r>
      <w:r>
        <w:rPr>
          <w:rFonts w:hint="eastAsia" w:ascii="宋体" w:hAnsi="宋体" w:eastAsia="宋体" w:cs="宋体"/>
          <w:color w:val="auto"/>
          <w:kern w:val="2"/>
          <w:sz w:val="20"/>
          <w:szCs w:val="20"/>
          <w:highlight w:val="none"/>
          <w:lang w:val="en-US" w:eastAsia="zh-CN" w:bidi="ar-SA"/>
        </w:rPr>
        <w:t>）</w:t>
      </w:r>
      <w:r>
        <w:rPr>
          <w:rFonts w:ascii="Times New Roman" w:hAnsi="Times New Roman" w:eastAsia="宋体" w:cs="Times New Roman"/>
          <w:color w:val="auto"/>
          <w:kern w:val="2"/>
          <w:sz w:val="20"/>
          <w:szCs w:val="20"/>
          <w:highlight w:val="none"/>
          <w:vertAlign w:val="subscript"/>
          <w:lang w:val="en-US" w:eastAsia="zh-CN" w:bidi="ar-SA"/>
        </w:rPr>
        <w:t>o</w:t>
      </w:r>
    </w:p>
    <w:p w14:paraId="191283D9">
      <w:pPr>
        <w:widowControl w:val="0"/>
        <w:numPr>
          <w:ilvl w:val="0"/>
          <w:numId w:val="46"/>
        </w:numPr>
        <w:tabs>
          <w:tab w:val="left" w:pos="726"/>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担保有效期自预付款支付给承包人起生效，至发包人签发的进度付款证书说明已完全扣清止。</w:t>
      </w:r>
    </w:p>
    <w:p w14:paraId="5A750F2D">
      <w:pPr>
        <w:widowControl w:val="0"/>
        <w:numPr>
          <w:ilvl w:val="0"/>
          <w:numId w:val="46"/>
        </w:numPr>
        <w:tabs>
          <w:tab w:val="left" w:pos="731"/>
        </w:tabs>
        <w:spacing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在本担保有效期内，因承包人违反合同约定的义务而要求收回预付款时，我方在收到你方的书面通知后，无条件地在</w:t>
      </w:r>
      <w:r>
        <w:rPr>
          <w:rFonts w:ascii="Times New Roman" w:hAnsi="Times New Roman" w:eastAsia="宋体" w:cs="Times New Roman"/>
          <w:color w:val="auto"/>
          <w:kern w:val="2"/>
          <w:sz w:val="20"/>
          <w:szCs w:val="20"/>
          <w:highlight w:val="none"/>
          <w:lang w:val="zh-CN" w:eastAsia="zh-CN" w:bidi="zh-CN"/>
        </w:rPr>
        <w:t>7</w:t>
      </w:r>
      <w:r>
        <w:rPr>
          <w:rFonts w:ascii="宋体" w:hAnsi="宋体" w:eastAsia="宋体" w:cs="宋体"/>
          <w:color w:val="auto"/>
          <w:kern w:val="2"/>
          <w:sz w:val="20"/>
          <w:szCs w:val="20"/>
          <w:highlight w:val="none"/>
          <w:lang w:val="zh-CN" w:eastAsia="zh-CN" w:bidi="zh-CN"/>
        </w:rPr>
        <w:t>天内予以支付。但本担保的担保金额，在任何时候不应超过预付款金额减去发包人按合同约定在向承包人签发的进度付款证书中已扣回的金额。发包人和承包人按《通用合同条款》第</w:t>
      </w:r>
      <w:r>
        <w:rPr>
          <w:rFonts w:ascii="Times New Roman" w:hAnsi="Times New Roman" w:eastAsia="宋体" w:cs="Times New Roman"/>
          <w:color w:val="auto"/>
          <w:kern w:val="2"/>
          <w:sz w:val="20"/>
          <w:szCs w:val="20"/>
          <w:highlight w:val="none"/>
          <w:lang w:val="zh-CN" w:eastAsia="zh-CN" w:bidi="zh-CN"/>
        </w:rPr>
        <w:t>15</w:t>
      </w:r>
      <w:r>
        <w:rPr>
          <w:rFonts w:ascii="宋体" w:hAnsi="宋体" w:eastAsia="宋体" w:cs="宋体"/>
          <w:color w:val="auto"/>
          <w:kern w:val="2"/>
          <w:sz w:val="20"/>
          <w:szCs w:val="20"/>
          <w:highlight w:val="none"/>
          <w:lang w:val="zh-CN" w:eastAsia="zh-CN" w:bidi="zh-CN"/>
        </w:rPr>
        <w:t>条变更合同时，我方承担本担保规定的 义务不变。</w:t>
      </w:r>
    </w:p>
    <w:p w14:paraId="4ED132A8">
      <w:pPr>
        <w:widowControl w:val="0"/>
        <w:tabs>
          <w:tab w:val="left" w:pos="731"/>
        </w:tabs>
        <w:spacing w:line="355" w:lineRule="exact"/>
        <w:ind w:left="420"/>
        <w:jc w:val="both"/>
        <w:rPr>
          <w:rFonts w:ascii="宋体" w:hAnsi="宋体" w:eastAsia="宋体" w:cs="宋体"/>
          <w:color w:val="auto"/>
          <w:kern w:val="2"/>
          <w:sz w:val="20"/>
          <w:szCs w:val="20"/>
          <w:highlight w:val="none"/>
          <w:lang w:val="zh-CN" w:eastAsia="zh-CN" w:bidi="zh-CN"/>
        </w:rPr>
      </w:pPr>
    </w:p>
    <w:p w14:paraId="49AD7EE7">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担  保 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（盖单位公章）</w:t>
      </w:r>
      <w:r>
        <w:rPr>
          <w:rFonts w:ascii="Times New Roman" w:hAnsi="Times New Roman" w:eastAsia="宋体" w:cs="Times New Roman"/>
          <w:color w:val="auto"/>
          <w:kern w:val="2"/>
          <w:sz w:val="20"/>
          <w:szCs w:val="24"/>
          <w:highlight w:val="none"/>
          <w:lang w:val="en-US" w:eastAsia="zh-CN" w:bidi="ar-SA"/>
        </w:rPr>
        <w:t xml:space="preserve"> </w:t>
      </w:r>
    </w:p>
    <w:p w14:paraId="0BD7728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定代表人(或委托代理人)：</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（签字）</w:t>
      </w:r>
    </w:p>
    <w:p w14:paraId="3D3588B3">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地       址：</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18BC6D2C">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邮政编码：</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 </w:t>
      </w:r>
    </w:p>
    <w:p w14:paraId="7B8CEF9A">
      <w:pPr>
        <w:widowControl w:val="0"/>
        <w:jc w:val="right"/>
        <w:rPr>
          <w:rFonts w:ascii="Times New Roman" w:hAnsi="Times New Roman" w:eastAsia="宋体" w:cs="Times New Roman"/>
          <w:color w:val="auto"/>
          <w:kern w:val="2"/>
          <w:sz w:val="20"/>
          <w:szCs w:val="24"/>
          <w:highlight w:val="none"/>
          <w:u w:val="singl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电        话：</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3B5B2661">
      <w:pPr>
        <w:widowControl w:val="0"/>
        <w:jc w:val="right"/>
        <w:rPr>
          <w:rFonts w:ascii="Times New Roman" w:hAnsi="Times New Roman" w:eastAsia="宋体" w:cs="Times New Roman"/>
          <w:color w:val="auto"/>
          <w:kern w:val="2"/>
          <w:sz w:val="20"/>
          <w:szCs w:val="24"/>
          <w:highlight w:val="none"/>
          <w:lang w:val="en-US" w:eastAsia="zh-CN" w:bidi="ar-SA"/>
        </w:rPr>
      </w:pPr>
      <w:r>
        <w:rPr>
          <w:rFonts w:hint="eastAsia" w:ascii="Times New Roman" w:hAnsi="Times New Roman" w:eastAsia="宋体" w:cs="Times New Roman"/>
          <w:color w:val="auto"/>
          <w:kern w:val="2"/>
          <w:sz w:val="20"/>
          <w:szCs w:val="24"/>
          <w:highlight w:val="none"/>
          <w:lang w:val="en-US" w:eastAsia="zh-CN" w:bidi="ar-SA"/>
        </w:rPr>
        <w:t xml:space="preserve">        传        真：</w:t>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r>
        <w:rPr>
          <w:rFonts w:ascii="Times New Roman" w:hAnsi="Times New Roman" w:eastAsia="宋体" w:cs="Times New Roman"/>
          <w:color w:val="auto"/>
          <w:kern w:val="2"/>
          <w:sz w:val="20"/>
          <w:szCs w:val="24"/>
          <w:highlight w:val="none"/>
          <w:u w:val="single"/>
          <w:lang w:val="en-US" w:eastAsia="zh-CN" w:bidi="ar-SA"/>
        </w:rPr>
        <w:tab/>
      </w:r>
    </w:p>
    <w:p w14:paraId="05B2991F">
      <w:pPr>
        <w:widowControl w:val="0"/>
        <w:jc w:val="right"/>
        <w:rPr>
          <w:rFonts w:ascii="Times New Roman" w:hAnsi="Times New Roman" w:eastAsia="宋体" w:cs="Times New Roman"/>
          <w:color w:val="auto"/>
          <w:kern w:val="2"/>
          <w:sz w:val="21"/>
          <w:szCs w:val="24"/>
          <w:highlight w:val="none"/>
          <w:lang w:val="en-US" w:eastAsia="zh-CN" w:bidi="ar-SA"/>
        </w:rPr>
      </w:pP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年</w:t>
      </w:r>
      <w:r>
        <w:rPr>
          <w:rFonts w:ascii="Times New Roman" w:hAnsi="Times New Roman" w:eastAsia="宋体" w:cs="Times New Roman"/>
          <w:color w:val="auto"/>
          <w:kern w:val="2"/>
          <w:sz w:val="20"/>
          <w:szCs w:val="24"/>
          <w:highlight w:val="none"/>
          <w:u w:val="single"/>
          <w:lang w:val="en-US" w:eastAsia="zh-CN" w:bidi="ar-SA"/>
        </w:rPr>
        <w:tab/>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月</w:t>
      </w:r>
      <w:r>
        <w:rPr>
          <w:rFonts w:hint="eastAsia" w:ascii="Times New Roman" w:hAnsi="Times New Roman" w:eastAsia="宋体" w:cs="Times New Roman"/>
          <w:color w:val="auto"/>
          <w:kern w:val="2"/>
          <w:sz w:val="20"/>
          <w:szCs w:val="24"/>
          <w:highlight w:val="none"/>
          <w:u w:val="single"/>
          <w:lang w:val="en-US" w:eastAsia="zh-CN" w:bidi="ar-SA"/>
        </w:rPr>
        <w:t xml:space="preserve">              </w:t>
      </w:r>
      <w:r>
        <w:rPr>
          <w:rFonts w:hint="eastAsia" w:ascii="Times New Roman" w:hAnsi="Times New Roman" w:eastAsia="宋体" w:cs="Times New Roman"/>
          <w:color w:val="auto"/>
          <w:kern w:val="2"/>
          <w:sz w:val="20"/>
          <w:szCs w:val="24"/>
          <w:highlight w:val="none"/>
          <w:lang w:val="en-US" w:eastAsia="zh-CN" w:bidi="ar-SA"/>
        </w:rPr>
        <w:t xml:space="preserve">日 </w:t>
      </w:r>
      <w:r>
        <w:rPr>
          <w:rFonts w:hint="eastAsia" w:ascii="Times New Roman" w:hAnsi="Times New Roman" w:eastAsia="宋体" w:cs="Times New Roman"/>
          <w:color w:val="auto"/>
          <w:kern w:val="2"/>
          <w:sz w:val="21"/>
          <w:szCs w:val="24"/>
          <w:highlight w:val="none"/>
          <w:lang w:val="en-US" w:eastAsia="zh-CN" w:bidi="ar-SA"/>
        </w:rPr>
        <w:t xml:space="preserve">    </w:t>
      </w:r>
    </w:p>
    <w:p w14:paraId="4D875F5F">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p>
    <w:p w14:paraId="76369BC9">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p>
    <w:p w14:paraId="1E254BAC">
      <w:pPr>
        <w:widowControl w:val="0"/>
        <w:tabs>
          <w:tab w:val="left" w:pos="726"/>
        </w:tabs>
        <w:spacing w:after="340" w:line="355" w:lineRule="exact"/>
        <w:jc w:val="both"/>
        <w:rPr>
          <w:rFonts w:ascii="宋体" w:hAnsi="宋体" w:eastAsia="宋体" w:cs="宋体"/>
          <w:color w:val="auto"/>
          <w:kern w:val="2"/>
          <w:sz w:val="20"/>
          <w:szCs w:val="20"/>
          <w:highlight w:val="none"/>
          <w:lang w:val="zh-CN" w:eastAsia="zh-CN" w:bidi="zh-CN"/>
        </w:rPr>
      </w:pPr>
      <w:r>
        <w:rPr>
          <w:rFonts w:ascii="宋体" w:hAnsi="宋体" w:eastAsia="宋体" w:cs="宋体"/>
          <w:color w:val="auto"/>
          <w:kern w:val="2"/>
          <w:sz w:val="20"/>
          <w:szCs w:val="20"/>
          <w:highlight w:val="none"/>
          <w:lang w:val="zh-CN" w:eastAsia="zh-CN" w:bidi="zh-CN"/>
        </w:rPr>
        <w:t>注：</w:t>
      </w:r>
    </w:p>
    <w:p w14:paraId="1FE22AD6">
      <w:pPr>
        <w:widowControl w:val="0"/>
        <w:jc w:val="both"/>
        <w:rPr>
          <w:rFonts w:ascii="宋体" w:hAnsi="宋体" w:eastAsia="宋体" w:cs="宋体"/>
          <w:color w:val="auto"/>
          <w:kern w:val="2"/>
          <w:sz w:val="20"/>
          <w:szCs w:val="20"/>
          <w:highlight w:val="none"/>
          <w:lang w:val="zh-CN" w:eastAsia="zh-CN" w:bidi="zh-CN"/>
        </w:rPr>
      </w:pPr>
      <w:r>
        <w:rPr>
          <w:rFonts w:hint="eastAsia" w:ascii="宋体" w:hAnsi="宋体" w:eastAsia="宋体" w:cs="宋体"/>
          <w:color w:val="auto"/>
          <w:kern w:val="2"/>
          <w:sz w:val="20"/>
          <w:szCs w:val="20"/>
          <w:highlight w:val="none"/>
          <w:lang w:val="zh-CN" w:eastAsia="zh-CN" w:bidi="zh-CN"/>
        </w:rPr>
        <w:t>1．</w:t>
      </w:r>
      <w:r>
        <w:rPr>
          <w:rFonts w:ascii="宋体" w:hAnsi="宋体" w:eastAsia="宋体" w:cs="宋体"/>
          <w:color w:val="auto"/>
          <w:kern w:val="2"/>
          <w:sz w:val="20"/>
          <w:szCs w:val="20"/>
          <w:highlight w:val="none"/>
          <w:lang w:val="zh-CN" w:eastAsia="zh-CN" w:bidi="zh-CN"/>
        </w:rPr>
        <w:t>担保人必须是投标人单位基本账户的开户银行。</w:t>
      </w:r>
    </w:p>
    <w:p w14:paraId="75CBA104">
      <w:pPr>
        <w:widowControl w:val="0"/>
        <w:snapToGrid w:val="0"/>
        <w:jc w:val="left"/>
        <w:rPr>
          <w:rFonts w:ascii="宋体" w:hAnsi="宋体" w:eastAsia="宋体" w:cs="宋体"/>
          <w:color w:val="auto"/>
          <w:kern w:val="0"/>
          <w:sz w:val="20"/>
          <w:szCs w:val="20"/>
          <w:highlight w:val="none"/>
          <w:lang w:val="zh-CN" w:eastAsia="zh-CN" w:bidi="zh-CN"/>
        </w:rPr>
      </w:pPr>
      <w:r>
        <w:rPr>
          <w:rFonts w:hint="eastAsia" w:ascii="宋体" w:hAnsi="宋体" w:eastAsia="宋体" w:cs="宋体"/>
          <w:color w:val="auto"/>
          <w:kern w:val="0"/>
          <w:sz w:val="20"/>
          <w:szCs w:val="20"/>
          <w:highlight w:val="none"/>
          <w:lang w:val="zh-CN" w:eastAsia="zh-CN" w:bidi="zh-CN"/>
        </w:rPr>
        <w:t>2．</w:t>
      </w:r>
      <w:r>
        <w:rPr>
          <w:rFonts w:ascii="宋体" w:hAnsi="宋体" w:eastAsia="宋体" w:cs="宋体"/>
          <w:color w:val="auto"/>
          <w:kern w:val="0"/>
          <w:sz w:val="20"/>
          <w:szCs w:val="20"/>
          <w:highlight w:val="none"/>
          <w:lang w:val="zh-CN" w:eastAsia="zh-CN" w:bidi="zh-CN"/>
        </w:rPr>
        <w:t>委托代理人应附授权委托书</w:t>
      </w:r>
    </w:p>
    <w:p w14:paraId="4CEBF3B3">
      <w:pPr>
        <w:widowControl w:val="0"/>
        <w:snapToGrid w:val="0"/>
        <w:jc w:val="left"/>
        <w:rPr>
          <w:rFonts w:ascii="宋体" w:hAnsi="宋体" w:eastAsia="宋体" w:cs="宋体"/>
          <w:color w:val="auto"/>
          <w:kern w:val="0"/>
          <w:sz w:val="20"/>
          <w:szCs w:val="20"/>
          <w:highlight w:val="none"/>
          <w:lang w:val="zh-CN" w:eastAsia="zh-CN" w:bidi="zh-CN"/>
        </w:rPr>
      </w:pPr>
    </w:p>
    <w:p w14:paraId="27659EEA">
      <w:pPr>
        <w:widowControl w:val="0"/>
        <w:snapToGrid w:val="0"/>
        <w:jc w:val="left"/>
        <w:rPr>
          <w:rFonts w:ascii="宋体" w:hAnsi="宋体" w:eastAsia="宋体" w:cs="宋体"/>
          <w:color w:val="auto"/>
          <w:kern w:val="0"/>
          <w:sz w:val="20"/>
          <w:szCs w:val="20"/>
          <w:highlight w:val="none"/>
          <w:lang w:val="zh-CN" w:eastAsia="zh-CN" w:bidi="zh-CN"/>
        </w:rPr>
      </w:pPr>
    </w:p>
    <w:p w14:paraId="2255D863">
      <w:pPr>
        <w:widowControl w:val="0"/>
        <w:snapToGrid w:val="0"/>
        <w:jc w:val="left"/>
        <w:rPr>
          <w:rFonts w:ascii="宋体" w:hAnsi="宋体" w:eastAsia="宋体" w:cs="宋体"/>
          <w:color w:val="auto"/>
          <w:kern w:val="0"/>
          <w:sz w:val="20"/>
          <w:szCs w:val="20"/>
          <w:highlight w:val="none"/>
          <w:lang w:val="zh-CN" w:eastAsia="zh-CN" w:bidi="zh-CN"/>
        </w:rPr>
      </w:pPr>
    </w:p>
    <w:p w14:paraId="3F3BCB7E">
      <w:pPr>
        <w:widowControl w:val="0"/>
        <w:snapToGrid w:val="0"/>
        <w:jc w:val="left"/>
        <w:rPr>
          <w:rFonts w:ascii="宋体" w:hAnsi="宋体" w:eastAsia="宋体" w:cs="宋体"/>
          <w:color w:val="auto"/>
          <w:kern w:val="0"/>
          <w:sz w:val="20"/>
          <w:szCs w:val="20"/>
          <w:highlight w:val="none"/>
          <w:lang w:val="zh-CN" w:eastAsia="zh-CN" w:bidi="zh-CN"/>
        </w:rPr>
      </w:pPr>
    </w:p>
    <w:p w14:paraId="399DF3EF">
      <w:pPr>
        <w:pStyle w:val="24"/>
        <w:ind w:left="0" w:leftChars="0" w:firstLine="0" w:firstLineChars="0"/>
        <w:rPr>
          <w:rFonts w:hint="eastAsia"/>
          <w:color w:val="auto"/>
          <w:highlight w:val="none"/>
        </w:rPr>
        <w:sectPr>
          <w:footerReference r:id="rId17" w:type="default"/>
          <w:pgSz w:w="11907" w:h="16840"/>
          <w:pgMar w:top="1440" w:right="1440" w:bottom="1440" w:left="1797" w:header="851" w:footer="851" w:gutter="0"/>
          <w:cols w:space="720" w:num="1"/>
          <w:docGrid w:linePitch="312" w:charSpace="0"/>
        </w:sectPr>
      </w:pPr>
    </w:p>
    <w:p w14:paraId="413DB2AD">
      <w:pPr>
        <w:pStyle w:val="2"/>
        <w:jc w:val="center"/>
        <w:rPr>
          <w:rFonts w:hint="default" w:eastAsia="宋体"/>
          <w:color w:val="auto"/>
          <w:highlight w:val="none"/>
          <w:lang w:val="en-US" w:eastAsia="zh-CN"/>
        </w:rPr>
      </w:pPr>
      <w:bookmarkStart w:id="276" w:name="_Toc23153"/>
      <w:bookmarkStart w:id="277" w:name="_Toc32429"/>
      <w:bookmarkStart w:id="278" w:name="_Toc18563"/>
      <w:bookmarkStart w:id="279" w:name="_Toc20243"/>
      <w:bookmarkStart w:id="280" w:name="_Toc13697"/>
      <w:bookmarkStart w:id="281" w:name="_Toc28511"/>
      <w:r>
        <w:rPr>
          <w:rFonts w:hint="eastAsia" w:ascii="宋体" w:hAnsi="宋体" w:eastAsia="宋体" w:cs="宋体"/>
          <w:color w:val="auto"/>
          <w:highlight w:val="none"/>
        </w:rPr>
        <w:t xml:space="preserve">第七章 </w:t>
      </w:r>
      <w:r>
        <w:rPr>
          <w:rFonts w:hint="eastAsia" w:ascii="宋体" w:hAnsi="宋体" w:eastAsia="宋体" w:cs="宋体"/>
          <w:color w:val="auto"/>
          <w:highlight w:val="none"/>
          <w:lang w:val="en-US" w:eastAsia="zh-CN"/>
        </w:rPr>
        <w:t>工程量清单（另册）</w:t>
      </w:r>
      <w:bookmarkEnd w:id="276"/>
      <w:bookmarkEnd w:id="277"/>
      <w:bookmarkEnd w:id="278"/>
      <w:bookmarkEnd w:id="279"/>
      <w:bookmarkEnd w:id="280"/>
      <w:bookmarkEnd w:id="281"/>
    </w:p>
    <w:p w14:paraId="456D681D">
      <w:pPr>
        <w:tabs>
          <w:tab w:val="left" w:pos="3261"/>
        </w:tabs>
        <w:spacing w:line="360" w:lineRule="auto"/>
        <w:contextualSpacing/>
        <w:jc w:val="center"/>
        <w:rPr>
          <w:rFonts w:hint="eastAsia" w:ascii="宋体" w:hAnsi="宋体" w:eastAsia="宋体" w:cs="宋体"/>
          <w:b/>
          <w:color w:val="auto"/>
          <w:sz w:val="44"/>
          <w:szCs w:val="44"/>
          <w:highlight w:val="none"/>
        </w:rPr>
        <w:sectPr>
          <w:headerReference r:id="rId18" w:type="default"/>
          <w:footerReference r:id="rId19" w:type="default"/>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2F0CFDA3">
      <w:pPr>
        <w:pStyle w:val="2"/>
        <w:jc w:val="center"/>
        <w:rPr>
          <w:rFonts w:hint="eastAsia"/>
          <w:color w:val="auto"/>
          <w:highlight w:val="none"/>
        </w:rPr>
      </w:pPr>
      <w:bookmarkStart w:id="282" w:name="_Toc20643"/>
      <w:bookmarkStart w:id="283" w:name="_Toc11341"/>
      <w:bookmarkStart w:id="284" w:name="_Toc6522"/>
      <w:bookmarkStart w:id="285" w:name="_Toc11576"/>
      <w:bookmarkStart w:id="286" w:name="_Toc31581"/>
      <w:bookmarkStart w:id="287" w:name="_Toc948"/>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val="en-US" w:eastAsia="zh-CN"/>
        </w:rPr>
        <w:t>图纸（另册）</w:t>
      </w:r>
      <w:bookmarkEnd w:id="282"/>
      <w:bookmarkEnd w:id="283"/>
      <w:bookmarkEnd w:id="284"/>
      <w:bookmarkEnd w:id="285"/>
      <w:bookmarkEnd w:id="286"/>
      <w:bookmarkEnd w:id="287"/>
    </w:p>
    <w:p w14:paraId="659D8F9D">
      <w:pPr>
        <w:pStyle w:val="25"/>
        <w:rPr>
          <w:rFonts w:hint="eastAsia"/>
          <w:color w:val="auto"/>
          <w:highlight w:val="none"/>
        </w:rPr>
      </w:pPr>
    </w:p>
    <w:p w14:paraId="033DD2A0">
      <w:pPr>
        <w:rPr>
          <w:rFonts w:hint="eastAsia"/>
          <w:color w:val="auto"/>
          <w:highlight w:val="none"/>
        </w:rPr>
      </w:pPr>
    </w:p>
    <w:p w14:paraId="58FF4EAB">
      <w:pPr>
        <w:pStyle w:val="25"/>
        <w:rPr>
          <w:rFonts w:hint="eastAsia"/>
          <w:color w:val="auto"/>
          <w:highlight w:val="none"/>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p>
    <w:p w14:paraId="0632E4DC">
      <w:pPr>
        <w:pStyle w:val="2"/>
        <w:spacing w:line="360" w:lineRule="auto"/>
        <w:jc w:val="center"/>
        <w:rPr>
          <w:rFonts w:hint="eastAsia" w:ascii="宋体" w:hAnsi="宋体" w:eastAsia="宋体" w:cs="宋体"/>
          <w:b/>
          <w:bCs/>
          <w:color w:val="auto"/>
          <w:highlight w:val="none"/>
          <w:lang w:val="en-US"/>
        </w:rPr>
        <w:sectPr>
          <w:pgSz w:w="11910" w:h="16840"/>
          <w:pgMar w:top="1440" w:right="1080" w:bottom="1440" w:left="1080" w:header="720" w:footer="720" w:gutter="0"/>
          <w:pgBorders w:offsetFrom="page">
            <w:top w:val="none" w:sz="0" w:space="0"/>
            <w:left w:val="none" w:sz="0" w:space="0"/>
            <w:bottom w:val="none" w:sz="0" w:space="0"/>
            <w:right w:val="none" w:sz="0" w:space="0"/>
          </w:pgBorders>
          <w:pgNumType w:fmt="decimal"/>
          <w:cols w:space="720" w:num="1"/>
        </w:sectPr>
      </w:pPr>
      <w:bookmarkStart w:id="288" w:name="_Toc11110"/>
      <w:bookmarkStart w:id="289" w:name="_Toc25695"/>
      <w:bookmarkStart w:id="290" w:name="_Toc7745"/>
      <w:bookmarkStart w:id="291" w:name="_Toc24715"/>
      <w:bookmarkStart w:id="292" w:name="_Toc24083"/>
      <w:bookmarkStart w:id="293" w:name="_Toc5640"/>
      <w:bookmarkStart w:id="294" w:name="_Toc1166"/>
      <w:r>
        <w:rPr>
          <w:rFonts w:hint="eastAsia" w:ascii="宋体" w:hAnsi="宋体" w:eastAsia="宋体" w:cs="宋体"/>
          <w:b/>
          <w:bCs/>
          <w:color w:val="auto"/>
          <w:highlight w:val="none"/>
        </w:rPr>
        <w:t>第</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章 质疑、投诉材料格式</w:t>
      </w:r>
      <w:bookmarkEnd w:id="288"/>
      <w:bookmarkEnd w:id="289"/>
      <w:bookmarkEnd w:id="290"/>
      <w:bookmarkEnd w:id="291"/>
      <w:bookmarkEnd w:id="292"/>
      <w:bookmarkEnd w:id="293"/>
      <w:bookmarkEnd w:id="294"/>
    </w:p>
    <w:p w14:paraId="58E178FF">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4AD516">
      <w:pPr>
        <w:pStyle w:val="16"/>
        <w:spacing w:line="360" w:lineRule="auto"/>
        <w:ind w:firstLine="482" w:firstLineChars="200"/>
        <w:contextualSpacing/>
        <w:rPr>
          <w:rFonts w:hint="eastAsia" w:ascii="宋体" w:hAnsi="宋体" w:eastAsia="宋体" w:cs="宋体"/>
          <w:b/>
          <w:bCs/>
          <w:color w:val="auto"/>
          <w:sz w:val="24"/>
          <w:szCs w:val="24"/>
          <w:highlight w:val="none"/>
        </w:rPr>
      </w:pPr>
    </w:p>
    <w:p w14:paraId="01EADDBD">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C0FEA96">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3277550">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4E544E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90A4CD3">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E9737A">
      <w:pPr>
        <w:pStyle w:val="16"/>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CF28A4">
      <w:pPr>
        <w:pStyle w:val="16"/>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E7CD253">
      <w:pPr>
        <w:pStyle w:val="16"/>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773461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801DAA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CB990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62662CFC">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2BC853E">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7CE942B1">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B8B6ECC">
      <w:pPr>
        <w:pStyle w:val="16"/>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CE2F28E">
      <w:pPr>
        <w:pStyle w:val="16"/>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18907C8E">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68E50A2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79EB195">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CE43C00">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190DBD3A">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0618ABF">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D25E957">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4D517C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7A22892B">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4B7748B">
      <w:pPr>
        <w:pStyle w:val="16"/>
        <w:spacing w:line="360" w:lineRule="auto"/>
        <w:ind w:left="25" w:leftChars="12" w:firstLine="352" w:firstLineChars="147"/>
        <w:contextualSpacing/>
        <w:rPr>
          <w:rFonts w:hint="eastAsia" w:ascii="宋体" w:hAnsi="宋体" w:eastAsia="宋体" w:cs="宋体"/>
          <w:color w:val="auto"/>
          <w:sz w:val="24"/>
          <w:szCs w:val="24"/>
          <w:highlight w:val="none"/>
        </w:rPr>
      </w:pPr>
    </w:p>
    <w:p w14:paraId="59F3B683">
      <w:pPr>
        <w:pStyle w:val="16"/>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F8A9416">
      <w:pPr>
        <w:pStyle w:val="16"/>
        <w:spacing w:line="360" w:lineRule="auto"/>
        <w:contextualSpacing/>
        <w:rPr>
          <w:rFonts w:hint="eastAsia" w:ascii="宋体" w:hAnsi="宋体" w:eastAsia="宋体" w:cs="宋体"/>
          <w:b/>
          <w:color w:val="auto"/>
          <w:sz w:val="24"/>
          <w:szCs w:val="24"/>
          <w:highlight w:val="none"/>
          <w:lang w:eastAsia="zh-CN"/>
        </w:rPr>
      </w:pPr>
    </w:p>
    <w:p w14:paraId="5D106761">
      <w:pPr>
        <w:pStyle w:val="16"/>
        <w:spacing w:line="360" w:lineRule="auto"/>
        <w:contextualSpacing/>
        <w:rPr>
          <w:rFonts w:hint="eastAsia" w:ascii="宋体" w:hAnsi="宋体" w:eastAsia="宋体" w:cs="宋体"/>
          <w:b/>
          <w:color w:val="auto"/>
          <w:sz w:val="24"/>
          <w:szCs w:val="24"/>
          <w:highlight w:val="none"/>
          <w:lang w:eastAsia="zh-CN"/>
        </w:rPr>
      </w:pPr>
    </w:p>
    <w:p w14:paraId="4A04162A">
      <w:pPr>
        <w:pStyle w:val="16"/>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4F1F899">
      <w:pPr>
        <w:pStyle w:val="16"/>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DABCDC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CF6E7E4">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E3CA3AA">
      <w:pPr>
        <w:pStyle w:val="16"/>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0B4CE20F">
      <w:pPr>
        <w:pStyle w:val="16"/>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046E782B">
      <w:pPr>
        <w:pStyle w:val="16"/>
        <w:snapToGrid w:val="0"/>
        <w:spacing w:line="360" w:lineRule="auto"/>
        <w:rPr>
          <w:rFonts w:hint="eastAsia" w:ascii="宋体" w:hAnsi="宋体" w:eastAsia="宋体" w:cs="宋体"/>
          <w:b/>
          <w:color w:val="auto"/>
          <w:sz w:val="24"/>
          <w:szCs w:val="24"/>
          <w:highlight w:val="none"/>
        </w:rPr>
      </w:pPr>
    </w:p>
    <w:p w14:paraId="6CEEC2B7">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highlight w:val="none"/>
        </w:rPr>
        <w:br w:type="page"/>
      </w:r>
      <w:r>
        <w:rPr>
          <w:rFonts w:hint="eastAsia" w:ascii="宋体" w:hAnsi="宋体" w:eastAsia="宋体" w:cs="宋体"/>
          <w:b/>
          <w:bCs/>
          <w:color w:val="auto"/>
          <w:sz w:val="32"/>
          <w:szCs w:val="32"/>
          <w:highlight w:val="none"/>
        </w:rPr>
        <w:t>投诉书（格式）</w:t>
      </w:r>
    </w:p>
    <w:p w14:paraId="470C6666">
      <w:pPr>
        <w:pStyle w:val="16"/>
        <w:snapToGrid w:val="0"/>
        <w:spacing w:line="360" w:lineRule="auto"/>
        <w:ind w:firstLine="482" w:firstLineChars="200"/>
        <w:rPr>
          <w:rFonts w:hint="eastAsia" w:ascii="宋体" w:hAnsi="宋体" w:eastAsia="宋体" w:cs="宋体"/>
          <w:b/>
          <w:bCs/>
          <w:color w:val="auto"/>
          <w:sz w:val="24"/>
          <w:szCs w:val="24"/>
          <w:highlight w:val="none"/>
        </w:rPr>
      </w:pPr>
    </w:p>
    <w:p w14:paraId="2F3D6B85">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64DF7B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2B76D8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38D996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044321B">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0405D25">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8E92151">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C509CCD">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63631E2">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3CB2FFF9">
      <w:pPr>
        <w:pStyle w:val="16"/>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DC6148F">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DBCDCD3">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E53B9D9">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74D9CE3">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3475492">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65D55641">
      <w:pPr>
        <w:pStyle w:val="16"/>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C27B3FC">
      <w:pPr>
        <w:pStyle w:val="16"/>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67F72AC">
      <w:pPr>
        <w:pStyle w:val="16"/>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564B3E0E">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2BE5F3">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4EA5CDB">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BD5626C">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0653BC72">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25290F0D">
      <w:pPr>
        <w:pStyle w:val="16"/>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1437CFEB">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D646495">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804E4ED">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8C7FE5">
      <w:pPr>
        <w:pStyle w:val="16"/>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4B4A07B">
      <w:pPr>
        <w:pStyle w:val="1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0E10274">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8142897">
      <w:pPr>
        <w:pStyle w:val="16"/>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6FDAE68D">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152746B">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57CCC1A">
      <w:pPr>
        <w:pStyle w:val="16"/>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FFA2A7A">
      <w:pPr>
        <w:pStyle w:val="16"/>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FB01D82">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059723A">
      <w:pPr>
        <w:pStyle w:val="16"/>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29A37EA">
      <w:pPr>
        <w:pStyle w:val="16"/>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2ABC5760">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112D653">
      <w:pPr>
        <w:pStyle w:val="16"/>
        <w:spacing w:line="360" w:lineRule="auto"/>
        <w:ind w:left="25" w:leftChars="12" w:firstLine="352" w:firstLineChars="147"/>
        <w:rPr>
          <w:rFonts w:hint="eastAsia" w:ascii="宋体" w:hAnsi="宋体" w:eastAsia="宋体" w:cs="宋体"/>
          <w:color w:val="auto"/>
          <w:sz w:val="24"/>
          <w:szCs w:val="24"/>
          <w:highlight w:val="none"/>
        </w:rPr>
      </w:pPr>
    </w:p>
    <w:p w14:paraId="4219A719">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B64E0C8">
      <w:pPr>
        <w:pStyle w:val="16"/>
        <w:spacing w:line="360" w:lineRule="auto"/>
        <w:ind w:left="25" w:leftChars="12" w:firstLine="352" w:firstLineChars="147"/>
        <w:rPr>
          <w:rFonts w:hint="eastAsia" w:ascii="宋体" w:hAnsi="宋体" w:eastAsia="宋体" w:cs="宋体"/>
          <w:color w:val="auto"/>
          <w:sz w:val="24"/>
          <w:szCs w:val="24"/>
          <w:highlight w:val="none"/>
        </w:rPr>
      </w:pPr>
    </w:p>
    <w:p w14:paraId="06CE7F8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453AC3BC">
      <w:pPr>
        <w:pStyle w:val="16"/>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67EEB21">
      <w:pPr>
        <w:pStyle w:val="16"/>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5883111">
      <w:pPr>
        <w:pStyle w:val="16"/>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4CFD8877">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0BF11">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4242F16B">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2BFBBD4D">
      <w:pPr>
        <w:pStyle w:val="16"/>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DD4CA06">
      <w:pPr>
        <w:pStyle w:val="16"/>
        <w:spacing w:line="360" w:lineRule="auto"/>
        <w:ind w:left="25" w:leftChars="12" w:firstLine="354" w:firstLineChars="147"/>
        <w:rPr>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D871F9E">
      <w:pPr>
        <w:rPr>
          <w:rFonts w:hint="eastAsia"/>
          <w:color w:val="auto"/>
          <w:highlight w:val="none"/>
        </w:rPr>
      </w:pPr>
    </w:p>
    <w:p w14:paraId="25577F78">
      <w:pPr>
        <w:rPr>
          <w:rFonts w:hint="eastAsia"/>
          <w:color w:val="auto"/>
          <w:highlight w:val="none"/>
        </w:rPr>
      </w:pPr>
    </w:p>
    <w:p w14:paraId="336D3C30">
      <w:pPr>
        <w:rPr>
          <w:color w:val="auto"/>
          <w:highlight w:val="none"/>
        </w:rPr>
      </w:pPr>
    </w:p>
    <w:sectPr>
      <w:footerReference r:id="rId21" w:type="first"/>
      <w:footerReference r:id="rId2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E86184-E66D-4FBA-8191-1EC1102E75AF}"/>
  </w:font>
  <w:font w:name="黑体">
    <w:panose1 w:val="02010600030101010101"/>
    <w:charset w:val="86"/>
    <w:family w:val="auto"/>
    <w:pitch w:val="default"/>
    <w:sig w:usb0="800002BF" w:usb1="38CF7CFA" w:usb2="00000016" w:usb3="00000000" w:csb0="00040001" w:csb1="00000000"/>
    <w:embedRegular r:id="rId2" w:fontKey="{4B89560A-EACA-4DA8-90A3-69F00778C281}"/>
  </w:font>
  <w:font w:name="Courier New">
    <w:panose1 w:val="02070309020205020404"/>
    <w:charset w:val="01"/>
    <w:family w:val="modern"/>
    <w:pitch w:val="default"/>
    <w:sig w:usb0="E0002EFF" w:usb1="C0007843" w:usb2="00000009" w:usb3="00000000" w:csb0="400001FF" w:csb1="FFFF0000"/>
    <w:embedRegular r:id="rId3" w:fontKey="{76781514-4E7C-46F3-A814-94BD7D3FC45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4" w:fontKey="{0136C034-DB69-4C00-8535-8D06F726BB1B}"/>
  </w:font>
  <w:font w:name="仿宋_GB2312">
    <w:panose1 w:val="02010609030101010101"/>
    <w:charset w:val="86"/>
    <w:family w:val="modern"/>
    <w:pitch w:val="default"/>
    <w:sig w:usb0="00000001" w:usb1="080E0000" w:usb2="00000000" w:usb3="00000000" w:csb0="00040000" w:csb1="00000000"/>
    <w:embedRegular r:id="rId5" w:fontKey="{463E1BE6-7D7B-4E37-BB33-5729CCEFB7EB}"/>
  </w:font>
  <w:font w:name="仿宋">
    <w:panose1 w:val="02010609060101010101"/>
    <w:charset w:val="86"/>
    <w:family w:val="modern"/>
    <w:pitch w:val="default"/>
    <w:sig w:usb0="800002BF" w:usb1="38CF7CFA" w:usb2="00000016" w:usb3="00000000" w:csb0="00040001" w:csb1="00000000"/>
    <w:embedRegular r:id="rId6" w:fontKey="{781DD02B-87AD-4AEB-9638-B36E5A8B8ABC}"/>
  </w:font>
  <w:font w:name="Cambria Math">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script"/>
    <w:pitch w:val="default"/>
    <w:sig w:usb0="00000001" w:usb1="080E0000" w:usb2="00000000" w:usb3="00000000" w:csb0="00040000" w:csb1="00000000"/>
    <w:embedRegular r:id="rId7" w:fontKey="{023D927C-1E87-486F-828A-3B4843440231}"/>
  </w:font>
  <w:font w:name="华文新魏">
    <w:panose1 w:val="02010800040101010101"/>
    <w:charset w:val="86"/>
    <w:family w:val="auto"/>
    <w:pitch w:val="default"/>
    <w:sig w:usb0="00000001" w:usb1="080F0000" w:usb2="00000000" w:usb3="00000000" w:csb0="00040000" w:csb1="00000000"/>
    <w:embedRegular r:id="rId8" w:fontKey="{056B8297-D002-4FF4-8D40-C0962CEECE9C}"/>
  </w:font>
  <w:font w:name="Arial Unicode MS">
    <w:altName w:val="宋体"/>
    <w:panose1 w:val="020B0604020202020204"/>
    <w:charset w:val="86"/>
    <w:family w:val="swiss"/>
    <w:pitch w:val="default"/>
    <w:sig w:usb0="00000000" w:usb1="00000000" w:usb2="0000003F" w:usb3="00000000" w:csb0="603F01FF" w:csb1="FFFF0000"/>
    <w:embedRegular r:id="rId9" w:fontKey="{320A8AB9-BDE7-4A97-94BA-6CA386C3EC6C}"/>
  </w:font>
  <w:font w:name="微软雅黑">
    <w:panose1 w:val="020B0503020204020204"/>
    <w:charset w:val="86"/>
    <w:family w:val="auto"/>
    <w:pitch w:val="default"/>
    <w:sig w:usb0="80000287" w:usb1="2ACF3C50" w:usb2="00000016" w:usb3="00000000" w:csb0="0004001F" w:csb1="00000000"/>
    <w:embedRegular r:id="rId10" w:fontKey="{F19CB881-61CE-4FDE-A7D3-EEFA32B57315}"/>
  </w:font>
  <w:font w:name="MS Mincho">
    <w:altName w:val="Yu Gothic UI"/>
    <w:panose1 w:val="02020609040205080304"/>
    <w:charset w:val="80"/>
    <w:family w:val="modern"/>
    <w:pitch w:val="default"/>
    <w:sig w:usb0="00000000" w:usb1="00000000" w:usb2="00000012" w:usb3="00000000" w:csb0="4002009F" w:csb1="DFD70000"/>
    <w:embedRegular r:id="rId11" w:fontKey="{C5C89CA3-4A25-4A35-97D6-47E99E526632}"/>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embedRegular r:id="rId12" w:fontKey="{44ED4616-8921-4356-8B49-228EB34B2056}"/>
  </w:font>
  <w:font w:name="楷体_GB2312">
    <w:panose1 w:val="02010609030101010101"/>
    <w:charset w:val="86"/>
    <w:family w:val="modern"/>
    <w:pitch w:val="default"/>
    <w:sig w:usb0="00000001" w:usb1="080E0000" w:usb2="00000000" w:usb3="00000000" w:csb0="00040000" w:csb1="00000000"/>
    <w:embedRegular r:id="rId13" w:fontKey="{E50FA1C2-8367-4E68-9BF0-54849831955A}"/>
  </w:font>
  <w:font w:name="Wingdings 2">
    <w:altName w:val="Wingdings"/>
    <w:panose1 w:val="05020102010507070707"/>
    <w:charset w:val="02"/>
    <w:family w:val="auto"/>
    <w:pitch w:val="default"/>
    <w:sig w:usb0="00000000" w:usb1="00000000" w:usb2="00000000" w:usb3="00000000" w:csb0="80000000" w:csb1="00000000"/>
    <w:embedRegular r:id="rId14" w:fontKey="{6D8B2F7E-25DF-40C8-98B6-5F061FA5CEA4}"/>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C5585">
    <w:pPr>
      <w:pStyle w:val="20"/>
      <w:tabs>
        <w:tab w:val="center" w:pos="4439"/>
        <w:tab w:val="clear" w:pos="4153"/>
      </w:tabs>
      <w:jc w:val="both"/>
    </w:pPr>
  </w:p>
  <w:p w14:paraId="18F0F7BA">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DB99">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14:paraId="15766F66">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80</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AB0">
    <w:pPr>
      <w:pStyle w:val="2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3A6AA">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273A6AA">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91BB">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1DFB06">
                          <w:pPr>
                            <w:pStyle w:val="20"/>
                          </w:pPr>
                          <w:r>
                            <w:fldChar w:fldCharType="begin"/>
                          </w:r>
                          <w:r>
                            <w:instrText xml:space="preserve"> PAGE  \* MERGEFORMAT </w:instrText>
                          </w:r>
                          <w:r>
                            <w:fldChar w:fldCharType="separate"/>
                          </w:r>
                          <w:r>
                            <w:t>105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05VZckBAACb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CaEsctTvzy/dvlx6/Lz68E&#10;fdigPkCNeQ8BM9Nw5wdMnv2Azqx7UNHmLyoiGMf2nq/tlUMiIj9ar9brCkMCY/MF8dnj8xAhvZXe&#10;kmw0NOL8Slv56T2kMXVOydWcv9fGlBka95cDMbOHZe4jx2ylYT9Mgva+PaOeHkffUIebTol557Cz&#10;eUtmI87GfjaOIepDh9SWhReE22NCEoVbrjDCToVxZkXdtF95Kf68l6zHf2r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LTlVlyQEAAJsDAAAOAAAAAAAAAAEAIAAAAB4BAABkcnMvZTJvRG9j&#10;LnhtbFBLBQYAAAAABgAGAFkBAABZBQAAAAA=&#10;">
              <v:fill on="f" focussize="0,0"/>
              <v:stroke on="f"/>
              <v:imagedata o:title=""/>
              <o:lock v:ext="edit" aspectratio="f"/>
              <v:textbox inset="0mm,0mm,0mm,0mm" style="mso-fit-shape-to-text:t;">
                <w:txbxContent>
                  <w:p w14:paraId="151DFB06">
                    <w:pPr>
                      <w:pStyle w:val="20"/>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DB88A">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8BF57">
                          <w:pPr>
                            <w:pStyle w:val="20"/>
                            <w:jc w:val="center"/>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68BF57">
                    <w:pPr>
                      <w:pStyle w:val="20"/>
                      <w:jc w:val="center"/>
                    </w:pPr>
                    <w:r>
                      <w:fldChar w:fldCharType="begin"/>
                    </w:r>
                    <w:r>
                      <w:instrText xml:space="preserve"> PAGE  \* MERGEFORMAT </w:instrText>
                    </w:r>
                    <w:r>
                      <w:fldChar w:fldCharType="separate"/>
                    </w:r>
                    <w:r>
                      <w:t>90</w:t>
                    </w:r>
                    <w:r>
                      <w:fldChar w:fldCharType="end"/>
                    </w:r>
                  </w:p>
                </w:txbxContent>
              </v:textbox>
            </v:shape>
          </w:pict>
        </mc:Fallback>
      </mc:AlternateContent>
    </w:r>
  </w:p>
  <w:p w14:paraId="292517DD">
    <w:pPr>
      <w:pStyle w:val="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11D05">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41CDC16">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6FFC">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C248">
    <w:pPr>
      <w:pStyle w:val="20"/>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50ABD5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150ABD52"/>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80944">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5BCBFB29">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5F3E668">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2E15">
    <w:pPr>
      <w:pStyle w:val="20"/>
      <w:tabs>
        <w:tab w:val="center" w:pos="4439"/>
        <w:tab w:val="clear" w:pos="4153"/>
      </w:tabs>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0754631F">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304F5804">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35981">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72C45">
                          <w:pPr>
                            <w:pStyle w:val="20"/>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61072C45">
                    <w:pPr>
                      <w:pStyle w:val="20"/>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E015B">
    <w:pPr>
      <w:pStyle w:val="2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4C568A86">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p w14:paraId="5ED632CA">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9867A">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14:paraId="10CEEE34">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79</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44E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4561A955">
                    <w:pPr>
                      <w:widowControl w:val="0"/>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851B5">
    <w:pPr>
      <w:pStyle w:val="21"/>
      <w:rPr>
        <w:color w:val="auto"/>
      </w:rPr>
    </w:pPr>
    <w:r>
      <w:rPr>
        <w:rFonts w:hint="eastAsia"/>
        <w:color w:val="auto"/>
      </w:rPr>
      <w:t>南宁市政府采购竞争性磋商采购文件（项目编号：NNZC2026-C2-230056-JHGC）</w:t>
    </w:r>
  </w:p>
  <w:p w14:paraId="4E3340CE">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B790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BE37D">
    <w:pPr>
      <w:pStyle w:val="21"/>
      <w:rPr>
        <w:color w:val="auto"/>
      </w:rPr>
    </w:pPr>
    <w:r>
      <w:rPr>
        <w:rFonts w:hint="eastAsia"/>
        <w:color w:val="auto"/>
      </w:rPr>
      <w:t>南宁市政府采购竞争性磋商采购文件（项目编号：NNZC2026-C2-230056-JHGC）</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F8E52">
    <w:pPr>
      <w:pStyle w:val="21"/>
      <w:rPr>
        <w:color w:val="auto"/>
      </w:rPr>
    </w:pPr>
    <w:r>
      <w:rPr>
        <w:rFonts w:hint="eastAsia"/>
        <w:color w:val="auto"/>
      </w:rPr>
      <w:t>南宁市政府采购竞争性磋商采购文件（项目编号：</w:t>
    </w:r>
    <w:r>
      <w:rPr>
        <w:rFonts w:hint="eastAsia"/>
        <w:color w:val="auto"/>
        <w:lang w:eastAsia="zh-CN"/>
      </w:rPr>
      <w:t>NNZC2026-C2-230021-JHGC</w:t>
    </w:r>
    <w:r>
      <w:rPr>
        <w:rFonts w:hint="eastAsia"/>
        <w:color w:val="auto"/>
      </w:rPr>
      <w:t>）</w:t>
    </w:r>
  </w:p>
  <w:p w14:paraId="3E4090F4">
    <w:pPr>
      <w:widowControl w:val="0"/>
      <w:pBdr>
        <w:bottom w:val="none" w:color="auto" w:sz="0" w:space="1"/>
      </w:pBdr>
      <w:snapToGrid w:val="0"/>
      <w:jc w:val="center"/>
      <w:rPr>
        <w:rFonts w:ascii="Times New Roman" w:hAnsi="Times New Roman" w:eastAsia="宋体" w:cs="Times New Roman"/>
        <w:kern w:val="0"/>
        <w:sz w:val="18"/>
        <w:szCs w:val="18"/>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D349">
    <w:pPr>
      <w:pStyle w:val="21"/>
      <w:rPr>
        <w:color w:val="auto"/>
      </w:rPr>
    </w:pPr>
    <w:r>
      <w:rPr>
        <w:rFonts w:hint="eastAsia"/>
        <w:color w:val="auto"/>
      </w:rPr>
      <w:t>南宁市政府采购竞争性磋商采购文件（项目编号：NNZC2026-C2-230056-JHGC）</w:t>
    </w:r>
  </w:p>
  <w:p w14:paraId="338A748A">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0000004"/>
    <w:multiLevelType w:val="singleLevel"/>
    <w:tmpl w:val="0000000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
    <w:nsid w:val="00000005"/>
    <w:multiLevelType w:val="singleLevel"/>
    <w:tmpl w:val="0000000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
    <w:nsid w:val="00000006"/>
    <w:multiLevelType w:val="singleLevel"/>
    <w:tmpl w:val="0000000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5">
    <w:nsid w:val="00000007"/>
    <w:multiLevelType w:val="singleLevel"/>
    <w:tmpl w:val="0000000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6">
    <w:nsid w:val="00000008"/>
    <w:multiLevelType w:val="singleLevel"/>
    <w:tmpl w:val="0000000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7">
    <w:nsid w:val="00000009"/>
    <w:multiLevelType w:val="singleLevel"/>
    <w:tmpl w:val="0000000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8">
    <w:nsid w:val="0000000A"/>
    <w:multiLevelType w:val="singleLevel"/>
    <w:tmpl w:val="0000000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9">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0000000C"/>
    <w:multiLevelType w:val="singleLevel"/>
    <w:tmpl w:val="0000000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1">
    <w:nsid w:val="0000000D"/>
    <w:multiLevelType w:val="singleLevel"/>
    <w:tmpl w:val="0000000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2">
    <w:nsid w:val="0000000E"/>
    <w:multiLevelType w:val="singleLevel"/>
    <w:tmpl w:val="0000000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3">
    <w:nsid w:val="0000000F"/>
    <w:multiLevelType w:val="singleLevel"/>
    <w:tmpl w:val="0000000F"/>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4">
    <w:nsid w:val="00000010"/>
    <w:multiLevelType w:val="singleLevel"/>
    <w:tmpl w:val="00000010"/>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5">
    <w:nsid w:val="00000011"/>
    <w:multiLevelType w:val="singleLevel"/>
    <w:tmpl w:val="0000001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6">
    <w:nsid w:val="00000012"/>
    <w:multiLevelType w:val="singleLevel"/>
    <w:tmpl w:val="0000001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7">
    <w:nsid w:val="00000013"/>
    <w:multiLevelType w:val="singleLevel"/>
    <w:tmpl w:val="00000013"/>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8">
    <w:nsid w:val="00000014"/>
    <w:multiLevelType w:val="singleLevel"/>
    <w:tmpl w:val="00000014"/>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19">
    <w:nsid w:val="00000015"/>
    <w:multiLevelType w:val="singleLevel"/>
    <w:tmpl w:val="0000001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0">
    <w:nsid w:val="00000016"/>
    <w:multiLevelType w:val="singleLevel"/>
    <w:tmpl w:val="0000001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1">
    <w:nsid w:val="00000017"/>
    <w:multiLevelType w:val="singleLevel"/>
    <w:tmpl w:val="0000001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2">
    <w:nsid w:val="00000018"/>
    <w:multiLevelType w:val="singleLevel"/>
    <w:tmpl w:val="0000001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en-US" w:eastAsia="en-US" w:bidi="en-US"/>
      </w:rPr>
    </w:lvl>
  </w:abstractNum>
  <w:abstractNum w:abstractNumId="23">
    <w:nsid w:val="00000019"/>
    <w:multiLevelType w:val="singleLevel"/>
    <w:tmpl w:val="00000019"/>
    <w:lvl w:ilvl="0" w:tentative="0">
      <w:start w:val="2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FFFFFF"/>
        <w:lang w:val="en-US" w:eastAsia="en-US" w:bidi="en-US"/>
      </w:rPr>
    </w:lvl>
  </w:abstractNum>
  <w:abstractNum w:abstractNumId="24">
    <w:nsid w:val="0000001A"/>
    <w:multiLevelType w:val="singleLevel"/>
    <w:tmpl w:val="0000001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5">
    <w:nsid w:val="0000001B"/>
    <w:multiLevelType w:val="singleLevel"/>
    <w:tmpl w:val="0000001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6">
    <w:nsid w:val="0000001C"/>
    <w:multiLevelType w:val="singleLevel"/>
    <w:tmpl w:val="0000001C"/>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7">
    <w:nsid w:val="0000001D"/>
    <w:multiLevelType w:val="singleLevel"/>
    <w:tmpl w:val="0000001D"/>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8">
    <w:nsid w:val="0000001E"/>
    <w:multiLevelType w:val="singleLevel"/>
    <w:tmpl w:val="0000001E"/>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29">
    <w:nsid w:val="00000020"/>
    <w:multiLevelType w:val="singleLevel"/>
    <w:tmpl w:val="00000020"/>
    <w:lvl w:ilvl="0" w:tentative="0">
      <w:start w:val="2"/>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0">
    <w:nsid w:val="00000021"/>
    <w:multiLevelType w:val="singleLevel"/>
    <w:tmpl w:val="00000021"/>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1">
    <w:nsid w:val="00000022"/>
    <w:multiLevelType w:val="singleLevel"/>
    <w:tmpl w:val="00000022"/>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2">
    <w:nsid w:val="00000023"/>
    <w:multiLevelType w:val="singleLevel"/>
    <w:tmpl w:val="00000023"/>
    <w:lvl w:ilvl="0" w:tentative="0">
      <w:start w:val="1"/>
      <w:numFmt w:val="decimalEnclosedCircle"/>
      <w:lvlText w:val="%1"/>
      <w:lvlJc w:val="left"/>
      <w:rPr>
        <w:rFonts w:ascii="宋体" w:hAnsi="宋体" w:eastAsia="宋体" w:cs="宋体"/>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3">
    <w:nsid w:val="00000024"/>
    <w:multiLevelType w:val="singleLevel"/>
    <w:tmpl w:val="00000024"/>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4">
    <w:nsid w:val="00000025"/>
    <w:multiLevelType w:val="singleLevel"/>
    <w:tmpl w:val="00000025"/>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5">
    <w:nsid w:val="00000026"/>
    <w:multiLevelType w:val="singleLevel"/>
    <w:tmpl w:val="00000026"/>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6">
    <w:nsid w:val="00000027"/>
    <w:multiLevelType w:val="singleLevel"/>
    <w:tmpl w:val="00000027"/>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7">
    <w:nsid w:val="00000028"/>
    <w:multiLevelType w:val="singleLevel"/>
    <w:tmpl w:val="00000028"/>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8">
    <w:nsid w:val="00000029"/>
    <w:multiLevelType w:val="singleLevel"/>
    <w:tmpl w:val="00000029"/>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39">
    <w:nsid w:val="0000002A"/>
    <w:multiLevelType w:val="singleLevel"/>
    <w:tmpl w:val="0000002A"/>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0">
    <w:nsid w:val="0000002B"/>
    <w:multiLevelType w:val="singleLevel"/>
    <w:tmpl w:val="0000002B"/>
    <w:lvl w:ilvl="0" w:tentative="0">
      <w:start w:val="1"/>
      <w:numFmt w:val="decimal"/>
      <w:lvlText w:val="(%1)"/>
      <w:lvlJc w:val="left"/>
      <w:rPr>
        <w:rFonts w:ascii="Times New Roman" w:hAnsi="Times New Roman" w:eastAsia="Times New Roman" w:cs="Times New Roman"/>
        <w:b w:val="0"/>
        <w:bCs w:val="0"/>
        <w:i w:val="0"/>
        <w:iCs w:val="0"/>
        <w:smallCaps w:val="0"/>
        <w:color w:val="000000"/>
        <w:spacing w:val="0"/>
        <w:w w:val="100"/>
        <w:position w:val="0"/>
        <w:sz w:val="20"/>
        <w:szCs w:val="20"/>
        <w:u w:val="none"/>
        <w:shd w:val="clear" w:color="auto" w:fill="auto"/>
        <w:lang w:val="zh-CN" w:eastAsia="zh-CN" w:bidi="zh-CN"/>
      </w:rPr>
    </w:lvl>
  </w:abstractNum>
  <w:abstractNum w:abstractNumId="41">
    <w:nsid w:val="163D9E49"/>
    <w:multiLevelType w:val="singleLevel"/>
    <w:tmpl w:val="163D9E49"/>
    <w:lvl w:ilvl="0" w:tentative="0">
      <w:start w:val="4"/>
      <w:numFmt w:val="decimal"/>
      <w:suff w:val="space"/>
      <w:lvlText w:val="%1."/>
      <w:lvlJc w:val="left"/>
    </w:lvl>
  </w:abstractNum>
  <w:abstractNum w:abstractNumId="42">
    <w:nsid w:val="22A42B04"/>
    <w:multiLevelType w:val="singleLevel"/>
    <w:tmpl w:val="22A42B04"/>
    <w:lvl w:ilvl="0" w:tentative="0">
      <w:start w:val="1"/>
      <w:numFmt w:val="decimal"/>
      <w:pStyle w:val="9"/>
      <w:lvlText w:val="%1."/>
      <w:lvlJc w:val="left"/>
      <w:pPr>
        <w:tabs>
          <w:tab w:val="left" w:pos="360"/>
        </w:tabs>
        <w:ind w:left="360" w:hanging="360"/>
      </w:pPr>
    </w:lvl>
  </w:abstractNum>
  <w:abstractNum w:abstractNumId="43">
    <w:nsid w:val="77633241"/>
    <w:multiLevelType w:val="singleLevel"/>
    <w:tmpl w:val="77633241"/>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4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40"/>
  </w:num>
  <w:num w:numId="6">
    <w:abstractNumId w:val="9"/>
  </w:num>
  <w:num w:numId="7">
    <w:abstractNumId w:val="34"/>
  </w:num>
  <w:num w:numId="8">
    <w:abstractNumId w:val="3"/>
  </w:num>
  <w:num w:numId="9">
    <w:abstractNumId w:val="14"/>
  </w:num>
  <w:num w:numId="10">
    <w:abstractNumId w:val="24"/>
  </w:num>
  <w:num w:numId="11">
    <w:abstractNumId w:val="33"/>
  </w:num>
  <w:num w:numId="12">
    <w:abstractNumId w:val="0"/>
  </w:num>
  <w:num w:numId="13">
    <w:abstractNumId w:val="1"/>
  </w:num>
  <w:num w:numId="14">
    <w:abstractNumId w:val="20"/>
  </w:num>
  <w:num w:numId="15">
    <w:abstractNumId w:val="7"/>
  </w:num>
  <w:num w:numId="16">
    <w:abstractNumId w:val="10"/>
  </w:num>
  <w:num w:numId="17">
    <w:abstractNumId w:val="19"/>
  </w:num>
  <w:num w:numId="18">
    <w:abstractNumId w:val="39"/>
  </w:num>
  <w:num w:numId="19">
    <w:abstractNumId w:val="17"/>
  </w:num>
  <w:num w:numId="20">
    <w:abstractNumId w:val="38"/>
  </w:num>
  <w:num w:numId="21">
    <w:abstractNumId w:val="25"/>
  </w:num>
  <w:num w:numId="22">
    <w:abstractNumId w:val="2"/>
  </w:num>
  <w:num w:numId="23">
    <w:abstractNumId w:val="21"/>
  </w:num>
  <w:num w:numId="24">
    <w:abstractNumId w:val="6"/>
  </w:num>
  <w:num w:numId="25">
    <w:abstractNumId w:val="28"/>
  </w:num>
  <w:num w:numId="26">
    <w:abstractNumId w:val="37"/>
  </w:num>
  <w:num w:numId="27">
    <w:abstractNumId w:val="12"/>
  </w:num>
  <w:num w:numId="28">
    <w:abstractNumId w:val="4"/>
  </w:num>
  <w:num w:numId="29">
    <w:abstractNumId w:val="27"/>
  </w:num>
  <w:num w:numId="30">
    <w:abstractNumId w:val="31"/>
  </w:num>
  <w:num w:numId="31">
    <w:abstractNumId w:val="35"/>
  </w:num>
  <w:num w:numId="32">
    <w:abstractNumId w:val="36"/>
  </w:num>
  <w:num w:numId="33">
    <w:abstractNumId w:val="26"/>
  </w:num>
  <w:num w:numId="34">
    <w:abstractNumId w:val="16"/>
  </w:num>
  <w:num w:numId="35">
    <w:abstractNumId w:val="5"/>
  </w:num>
  <w:num w:numId="36">
    <w:abstractNumId w:val="23"/>
  </w:num>
  <w:num w:numId="37">
    <w:abstractNumId w:val="30"/>
  </w:num>
  <w:num w:numId="38">
    <w:abstractNumId w:val="15"/>
  </w:num>
  <w:num w:numId="39">
    <w:abstractNumId w:val="13"/>
  </w:num>
  <w:num w:numId="40">
    <w:abstractNumId w:val="32"/>
  </w:num>
  <w:num w:numId="41">
    <w:abstractNumId w:val="18"/>
  </w:num>
  <w:num w:numId="42">
    <w:abstractNumId w:val="11"/>
  </w:num>
  <w:num w:numId="43">
    <w:abstractNumId w:val="29"/>
  </w:num>
  <w:num w:numId="44">
    <w:abstractNumId w:val="22"/>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ThkYjM3MzU3NjIxYWU4NTI1NzY1ZmZkZjQ4NjEifQ=="/>
  </w:docVars>
  <w:rsids>
    <w:rsidRoot w:val="4A792BC1"/>
    <w:rsid w:val="003A6B66"/>
    <w:rsid w:val="00A67D58"/>
    <w:rsid w:val="0159387C"/>
    <w:rsid w:val="01E943A0"/>
    <w:rsid w:val="01FE3CA0"/>
    <w:rsid w:val="028E4F47"/>
    <w:rsid w:val="02B80216"/>
    <w:rsid w:val="031501B1"/>
    <w:rsid w:val="03611667"/>
    <w:rsid w:val="03B325A3"/>
    <w:rsid w:val="03ED4337"/>
    <w:rsid w:val="0442423B"/>
    <w:rsid w:val="0636606A"/>
    <w:rsid w:val="064F4F9D"/>
    <w:rsid w:val="06C62F02"/>
    <w:rsid w:val="08392579"/>
    <w:rsid w:val="08B46A13"/>
    <w:rsid w:val="08BB76B3"/>
    <w:rsid w:val="0927769E"/>
    <w:rsid w:val="09396436"/>
    <w:rsid w:val="09616F12"/>
    <w:rsid w:val="0A0C3321"/>
    <w:rsid w:val="0B195A81"/>
    <w:rsid w:val="0B1C3308"/>
    <w:rsid w:val="0B5E4333"/>
    <w:rsid w:val="0B7D0DF1"/>
    <w:rsid w:val="0BB348A6"/>
    <w:rsid w:val="0C27447E"/>
    <w:rsid w:val="0C41127C"/>
    <w:rsid w:val="0CA32483"/>
    <w:rsid w:val="0CD03331"/>
    <w:rsid w:val="0D6C6927"/>
    <w:rsid w:val="0DF30354"/>
    <w:rsid w:val="0E372937"/>
    <w:rsid w:val="0E7B0A75"/>
    <w:rsid w:val="0E7E0566"/>
    <w:rsid w:val="0F1609AB"/>
    <w:rsid w:val="0F8F00B0"/>
    <w:rsid w:val="0FB84CC3"/>
    <w:rsid w:val="0FD21598"/>
    <w:rsid w:val="0FD83CA6"/>
    <w:rsid w:val="10BA7FBF"/>
    <w:rsid w:val="10C81F6C"/>
    <w:rsid w:val="10D91A83"/>
    <w:rsid w:val="112847B9"/>
    <w:rsid w:val="113C0779"/>
    <w:rsid w:val="11534786"/>
    <w:rsid w:val="11AE74B8"/>
    <w:rsid w:val="14060DE1"/>
    <w:rsid w:val="14554682"/>
    <w:rsid w:val="157709B0"/>
    <w:rsid w:val="163F4A7E"/>
    <w:rsid w:val="164E59A4"/>
    <w:rsid w:val="17A567B7"/>
    <w:rsid w:val="18324737"/>
    <w:rsid w:val="18406443"/>
    <w:rsid w:val="18761375"/>
    <w:rsid w:val="188B3EA1"/>
    <w:rsid w:val="18C9640A"/>
    <w:rsid w:val="18F62EB7"/>
    <w:rsid w:val="196D545F"/>
    <w:rsid w:val="19B412DF"/>
    <w:rsid w:val="1A7D1C1D"/>
    <w:rsid w:val="1B440441"/>
    <w:rsid w:val="1B4B2B35"/>
    <w:rsid w:val="1B54323F"/>
    <w:rsid w:val="1C7D00AF"/>
    <w:rsid w:val="1CE14D19"/>
    <w:rsid w:val="1D5B335B"/>
    <w:rsid w:val="1D64798E"/>
    <w:rsid w:val="1D867E58"/>
    <w:rsid w:val="1D8B2357"/>
    <w:rsid w:val="1D984854"/>
    <w:rsid w:val="1E1E31CB"/>
    <w:rsid w:val="1F901EA7"/>
    <w:rsid w:val="2031368A"/>
    <w:rsid w:val="209B0B03"/>
    <w:rsid w:val="20A7394C"/>
    <w:rsid w:val="20AC4CD8"/>
    <w:rsid w:val="20DB1848"/>
    <w:rsid w:val="216929AF"/>
    <w:rsid w:val="21ED5A20"/>
    <w:rsid w:val="21F419A2"/>
    <w:rsid w:val="227B299A"/>
    <w:rsid w:val="22963C78"/>
    <w:rsid w:val="22C32593"/>
    <w:rsid w:val="237F37C8"/>
    <w:rsid w:val="2431093C"/>
    <w:rsid w:val="252D5589"/>
    <w:rsid w:val="25A641D2"/>
    <w:rsid w:val="25BE5AC8"/>
    <w:rsid w:val="25CC2EDF"/>
    <w:rsid w:val="25D16D75"/>
    <w:rsid w:val="26A7481C"/>
    <w:rsid w:val="26EA2784"/>
    <w:rsid w:val="272A2BE1"/>
    <w:rsid w:val="276C1C6C"/>
    <w:rsid w:val="27BB1274"/>
    <w:rsid w:val="28892160"/>
    <w:rsid w:val="28907B3A"/>
    <w:rsid w:val="28D5118E"/>
    <w:rsid w:val="29736AC1"/>
    <w:rsid w:val="2A2B2075"/>
    <w:rsid w:val="2BC4508F"/>
    <w:rsid w:val="2C2D1DFD"/>
    <w:rsid w:val="2C934D84"/>
    <w:rsid w:val="2CD81465"/>
    <w:rsid w:val="2DC07007"/>
    <w:rsid w:val="2E2A34C6"/>
    <w:rsid w:val="2E556795"/>
    <w:rsid w:val="2EC92CDF"/>
    <w:rsid w:val="2EE43FBD"/>
    <w:rsid w:val="2F1B5F91"/>
    <w:rsid w:val="300D520F"/>
    <w:rsid w:val="30AB2D9B"/>
    <w:rsid w:val="311C141E"/>
    <w:rsid w:val="31211C6B"/>
    <w:rsid w:val="31CF2D03"/>
    <w:rsid w:val="31F91ADC"/>
    <w:rsid w:val="3267783E"/>
    <w:rsid w:val="32F12805"/>
    <w:rsid w:val="33342978"/>
    <w:rsid w:val="3345560D"/>
    <w:rsid w:val="336E20A7"/>
    <w:rsid w:val="33A40745"/>
    <w:rsid w:val="33A474CF"/>
    <w:rsid w:val="34EB079D"/>
    <w:rsid w:val="35330875"/>
    <w:rsid w:val="35C360C5"/>
    <w:rsid w:val="35E623C9"/>
    <w:rsid w:val="35F867DF"/>
    <w:rsid w:val="35FA7C22"/>
    <w:rsid w:val="36956DC4"/>
    <w:rsid w:val="36DF1C32"/>
    <w:rsid w:val="376E466E"/>
    <w:rsid w:val="37DA240C"/>
    <w:rsid w:val="37ED732A"/>
    <w:rsid w:val="38B1344E"/>
    <w:rsid w:val="38E90085"/>
    <w:rsid w:val="39657835"/>
    <w:rsid w:val="39870694"/>
    <w:rsid w:val="3A106F28"/>
    <w:rsid w:val="3A747564"/>
    <w:rsid w:val="3AB30460"/>
    <w:rsid w:val="3B1F25AF"/>
    <w:rsid w:val="3BF105E0"/>
    <w:rsid w:val="3C2E1562"/>
    <w:rsid w:val="3C920BB5"/>
    <w:rsid w:val="3CCC056A"/>
    <w:rsid w:val="3D200751"/>
    <w:rsid w:val="3D25588D"/>
    <w:rsid w:val="3D402D06"/>
    <w:rsid w:val="3D6176CB"/>
    <w:rsid w:val="3D883A92"/>
    <w:rsid w:val="3EFF6AAC"/>
    <w:rsid w:val="3F470381"/>
    <w:rsid w:val="3F6057F8"/>
    <w:rsid w:val="3FA27C76"/>
    <w:rsid w:val="40776A3F"/>
    <w:rsid w:val="40C625AD"/>
    <w:rsid w:val="419D4D10"/>
    <w:rsid w:val="41A922AE"/>
    <w:rsid w:val="42985759"/>
    <w:rsid w:val="42C83582"/>
    <w:rsid w:val="42FE52B7"/>
    <w:rsid w:val="43127AF9"/>
    <w:rsid w:val="432A1A6E"/>
    <w:rsid w:val="43516F22"/>
    <w:rsid w:val="43C5218D"/>
    <w:rsid w:val="443006B8"/>
    <w:rsid w:val="4467501D"/>
    <w:rsid w:val="44E62669"/>
    <w:rsid w:val="44EE3048"/>
    <w:rsid w:val="45390B01"/>
    <w:rsid w:val="45C02C36"/>
    <w:rsid w:val="46EB60CF"/>
    <w:rsid w:val="4705784A"/>
    <w:rsid w:val="47190850"/>
    <w:rsid w:val="477D438F"/>
    <w:rsid w:val="48081CE6"/>
    <w:rsid w:val="48BC6A59"/>
    <w:rsid w:val="49001426"/>
    <w:rsid w:val="49656BC0"/>
    <w:rsid w:val="49B334D9"/>
    <w:rsid w:val="4A050C18"/>
    <w:rsid w:val="4A792BC1"/>
    <w:rsid w:val="4AE21B38"/>
    <w:rsid w:val="4AF37275"/>
    <w:rsid w:val="4B614574"/>
    <w:rsid w:val="4BAC74BE"/>
    <w:rsid w:val="4CFA45B5"/>
    <w:rsid w:val="4D0B463B"/>
    <w:rsid w:val="4DAC0452"/>
    <w:rsid w:val="4E6C09AA"/>
    <w:rsid w:val="4E747294"/>
    <w:rsid w:val="4E760D0B"/>
    <w:rsid w:val="4F7479F9"/>
    <w:rsid w:val="4F7E2B86"/>
    <w:rsid w:val="4FDE6BE1"/>
    <w:rsid w:val="501E0C85"/>
    <w:rsid w:val="50D94BAC"/>
    <w:rsid w:val="51264FF3"/>
    <w:rsid w:val="513B5867"/>
    <w:rsid w:val="51796AEB"/>
    <w:rsid w:val="51894D3E"/>
    <w:rsid w:val="51A77922"/>
    <w:rsid w:val="52490566"/>
    <w:rsid w:val="529F0F39"/>
    <w:rsid w:val="53184FEC"/>
    <w:rsid w:val="535950B1"/>
    <w:rsid w:val="536B0AA5"/>
    <w:rsid w:val="538901F4"/>
    <w:rsid w:val="54120E10"/>
    <w:rsid w:val="55170170"/>
    <w:rsid w:val="554E3DBB"/>
    <w:rsid w:val="56267342"/>
    <w:rsid w:val="56310FE7"/>
    <w:rsid w:val="573C7C43"/>
    <w:rsid w:val="58005F43"/>
    <w:rsid w:val="5928560F"/>
    <w:rsid w:val="5A1D3D5C"/>
    <w:rsid w:val="5AAA6FB5"/>
    <w:rsid w:val="5AC97A40"/>
    <w:rsid w:val="5C06444B"/>
    <w:rsid w:val="5CD73EA8"/>
    <w:rsid w:val="5CE72757"/>
    <w:rsid w:val="5CE868B8"/>
    <w:rsid w:val="5DA35C00"/>
    <w:rsid w:val="5E807052"/>
    <w:rsid w:val="5EBC3FF6"/>
    <w:rsid w:val="5FDB4F12"/>
    <w:rsid w:val="6020318F"/>
    <w:rsid w:val="60334DE7"/>
    <w:rsid w:val="60A31BC3"/>
    <w:rsid w:val="613A70AE"/>
    <w:rsid w:val="61555AB1"/>
    <w:rsid w:val="61B21B87"/>
    <w:rsid w:val="62052439"/>
    <w:rsid w:val="62333367"/>
    <w:rsid w:val="6239745E"/>
    <w:rsid w:val="63042A79"/>
    <w:rsid w:val="633234DD"/>
    <w:rsid w:val="65420B1A"/>
    <w:rsid w:val="65B90E14"/>
    <w:rsid w:val="65E57691"/>
    <w:rsid w:val="666F593F"/>
    <w:rsid w:val="66B81126"/>
    <w:rsid w:val="67237B54"/>
    <w:rsid w:val="67375865"/>
    <w:rsid w:val="67B11F87"/>
    <w:rsid w:val="67FC35EF"/>
    <w:rsid w:val="68224C33"/>
    <w:rsid w:val="683F2481"/>
    <w:rsid w:val="68975969"/>
    <w:rsid w:val="68BC0BE4"/>
    <w:rsid w:val="68DD5F2E"/>
    <w:rsid w:val="68E85E7D"/>
    <w:rsid w:val="691A77E9"/>
    <w:rsid w:val="691E2BE3"/>
    <w:rsid w:val="69591DF9"/>
    <w:rsid w:val="698C4A89"/>
    <w:rsid w:val="69C7008E"/>
    <w:rsid w:val="6A161929"/>
    <w:rsid w:val="6A570D8C"/>
    <w:rsid w:val="6AA647C4"/>
    <w:rsid w:val="6AAD4C88"/>
    <w:rsid w:val="6B040620"/>
    <w:rsid w:val="6C493749"/>
    <w:rsid w:val="6D110330"/>
    <w:rsid w:val="6D21370B"/>
    <w:rsid w:val="6D3D6702"/>
    <w:rsid w:val="6D723464"/>
    <w:rsid w:val="6DDB7D5E"/>
    <w:rsid w:val="6DF332FA"/>
    <w:rsid w:val="6E946696"/>
    <w:rsid w:val="6FD1581C"/>
    <w:rsid w:val="70251764"/>
    <w:rsid w:val="70592393"/>
    <w:rsid w:val="7073427E"/>
    <w:rsid w:val="708B319F"/>
    <w:rsid w:val="70A6006C"/>
    <w:rsid w:val="70E542D8"/>
    <w:rsid w:val="721970A7"/>
    <w:rsid w:val="722A4E10"/>
    <w:rsid w:val="72676064"/>
    <w:rsid w:val="73164BEE"/>
    <w:rsid w:val="736976D7"/>
    <w:rsid w:val="7390022E"/>
    <w:rsid w:val="73A0182E"/>
    <w:rsid w:val="74890D53"/>
    <w:rsid w:val="750D36BF"/>
    <w:rsid w:val="75240FB5"/>
    <w:rsid w:val="75292E35"/>
    <w:rsid w:val="755C503D"/>
    <w:rsid w:val="755C79D6"/>
    <w:rsid w:val="75B3067F"/>
    <w:rsid w:val="75FA4D6A"/>
    <w:rsid w:val="760E24A8"/>
    <w:rsid w:val="762416C6"/>
    <w:rsid w:val="769224BC"/>
    <w:rsid w:val="773A78A3"/>
    <w:rsid w:val="77DA4BE2"/>
    <w:rsid w:val="78234247"/>
    <w:rsid w:val="798C478A"/>
    <w:rsid w:val="79A67270"/>
    <w:rsid w:val="7A374E51"/>
    <w:rsid w:val="7AD76234"/>
    <w:rsid w:val="7B0F5D12"/>
    <w:rsid w:val="7B60505B"/>
    <w:rsid w:val="7C016BE2"/>
    <w:rsid w:val="7C1A2B94"/>
    <w:rsid w:val="7CCD2F68"/>
    <w:rsid w:val="7CDE0446"/>
    <w:rsid w:val="7D006F22"/>
    <w:rsid w:val="7D580A83"/>
    <w:rsid w:val="7D807FDA"/>
    <w:rsid w:val="7DAC69B0"/>
    <w:rsid w:val="7DE71EDA"/>
    <w:rsid w:val="7E215319"/>
    <w:rsid w:val="7EDC636B"/>
    <w:rsid w:val="7F2A67EA"/>
    <w:rsid w:val="7FE933F6"/>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unhideWhenUsed/>
    <w:qFormat/>
    <w:uiPriority w:val="9"/>
    <w:pPr>
      <w:keepNext/>
      <w:keepLines/>
      <w:spacing w:before="260" w:after="260" w:line="416" w:lineRule="auto"/>
      <w:outlineLvl w:val="2"/>
    </w:pPr>
    <w:rPr>
      <w:sz w:val="32"/>
      <w:szCs w:val="32"/>
    </w:rPr>
  </w:style>
  <w:style w:type="paragraph" w:styleId="5">
    <w:name w:val="heading 4"/>
    <w:basedOn w:val="1"/>
    <w:next w:val="1"/>
    <w:qFormat/>
    <w:uiPriority w:val="99"/>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5"/>
    <w:next w:val="7"/>
    <w:qFormat/>
    <w:uiPriority w:val="0"/>
    <w:pPr>
      <w:keepNext/>
      <w:keepLines/>
      <w:spacing w:before="280" w:after="290" w:line="372" w:lineRule="auto"/>
      <w:outlineLvl w:val="4"/>
    </w:pPr>
    <w:rPr>
      <w:sz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99"/>
    <w:pPr>
      <w:ind w:firstLine="420"/>
    </w:pPr>
    <w:rPr>
      <w:szCs w:val="20"/>
    </w:rPr>
  </w:style>
  <w:style w:type="paragraph" w:styleId="8">
    <w:name w:val="index 8"/>
    <w:basedOn w:val="1"/>
    <w:next w:val="1"/>
    <w:qFormat/>
    <w:uiPriority w:val="0"/>
    <w:pPr>
      <w:tabs>
        <w:tab w:val="left" w:pos="540"/>
        <w:tab w:val="left" w:pos="900"/>
      </w:tabs>
      <w:jc w:val="center"/>
    </w:pPr>
    <w:rPr>
      <w:rFonts w:hAnsi="宋体" w:cs="宋体"/>
      <w:color w:val="000000"/>
      <w:sz w:val="32"/>
      <w:szCs w:val="32"/>
    </w:rPr>
  </w:style>
  <w:style w:type="paragraph" w:styleId="9">
    <w:name w:val="List Number"/>
    <w:basedOn w:val="1"/>
    <w:qFormat/>
    <w:uiPriority w:val="0"/>
    <w:pPr>
      <w:numPr>
        <w:ilvl w:val="0"/>
        <w:numId w:val="1"/>
      </w:numPr>
    </w:pPr>
  </w:style>
  <w:style w:type="paragraph" w:styleId="10">
    <w:name w:val="annotation text"/>
    <w:basedOn w:val="1"/>
    <w:unhideWhenUsed/>
    <w:qFormat/>
    <w:uiPriority w:val="99"/>
    <w:pPr>
      <w:jc w:val="left"/>
    </w:pPr>
  </w:style>
  <w:style w:type="paragraph" w:styleId="11">
    <w:name w:val="Body Text 3"/>
    <w:basedOn w:val="1"/>
    <w:qFormat/>
    <w:uiPriority w:val="99"/>
    <w:pPr>
      <w:spacing w:after="120"/>
    </w:pPr>
    <w:rPr>
      <w:sz w:val="16"/>
      <w:szCs w:val="16"/>
    </w:rPr>
  </w:style>
  <w:style w:type="paragraph" w:styleId="12">
    <w:name w:val="Body Text"/>
    <w:basedOn w:val="1"/>
    <w:unhideWhenUsed/>
    <w:qFormat/>
    <w:uiPriority w:val="99"/>
    <w:pPr>
      <w:spacing w:after="120"/>
    </w:pPr>
  </w:style>
  <w:style w:type="paragraph" w:styleId="13">
    <w:name w:val="Body Text Indent"/>
    <w:basedOn w:val="1"/>
    <w:unhideWhenUsed/>
    <w:qFormat/>
    <w:uiPriority w:val="99"/>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toc 3"/>
    <w:basedOn w:val="1"/>
    <w:next w:val="1"/>
    <w:qFormat/>
    <w:uiPriority w:val="0"/>
    <w:pPr>
      <w:ind w:left="840" w:leftChars="400"/>
    </w:pPr>
  </w:style>
  <w:style w:type="paragraph" w:styleId="16">
    <w:name w:val="Plain Text"/>
    <w:basedOn w:val="17"/>
    <w:next w:val="1"/>
    <w:unhideWhenUsed/>
    <w:qFormat/>
    <w:uiPriority w:val="99"/>
    <w:rPr>
      <w:rFonts w:ascii="宋体" w:hAnsi="Courier New"/>
      <w:kern w:val="0"/>
      <w:sz w:val="20"/>
      <w:szCs w:val="21"/>
    </w:rPr>
  </w:style>
  <w:style w:type="paragraph" w:customStyle="1" w:styleId="17">
    <w:name w:val="正文_2_0"/>
    <w:next w:val="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页脚_2"/>
    <w:basedOn w:val="17"/>
    <w:unhideWhenUsed/>
    <w:qFormat/>
    <w:uiPriority w:val="99"/>
    <w:pPr>
      <w:tabs>
        <w:tab w:val="center" w:pos="4153"/>
        <w:tab w:val="right" w:pos="8306"/>
      </w:tabs>
      <w:snapToGrid w:val="0"/>
      <w:jc w:val="left"/>
    </w:pPr>
    <w:rPr>
      <w:sz w:val="18"/>
      <w:szCs w:val="18"/>
    </w:rPr>
  </w:style>
  <w:style w:type="paragraph" w:styleId="19">
    <w:name w:val="Date"/>
    <w:basedOn w:val="1"/>
    <w:next w:val="1"/>
    <w:unhideWhenUsed/>
    <w:qFormat/>
    <w:uiPriority w:val="99"/>
    <w:pPr>
      <w:ind w:left="100" w:leftChars="2500"/>
    </w:pPr>
  </w:style>
  <w:style w:type="paragraph" w:styleId="20">
    <w:name w:val="footer"/>
    <w:basedOn w:val="1"/>
    <w:unhideWhenUsed/>
    <w:qFormat/>
    <w:uiPriority w:val="0"/>
    <w:pPr>
      <w:tabs>
        <w:tab w:val="center" w:pos="4153"/>
        <w:tab w:val="right" w:pos="8306"/>
      </w:tabs>
      <w:snapToGrid w:val="0"/>
      <w:jc w:val="left"/>
    </w:pPr>
    <w:rPr>
      <w:kern w:val="0"/>
      <w:sz w:val="18"/>
      <w:szCs w:val="18"/>
    </w:rPr>
  </w:style>
  <w:style w:type="paragraph" w:styleId="21">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nhideWhenUsed/>
    <w:qFormat/>
    <w:uiPriority w:val="39"/>
  </w:style>
  <w:style w:type="paragraph" w:styleId="23">
    <w:name w:val="List"/>
    <w:basedOn w:val="1"/>
    <w:unhideWhenUsed/>
    <w:qFormat/>
    <w:uiPriority w:val="99"/>
    <w:pPr>
      <w:ind w:left="200" w:hanging="200" w:hangingChars="200"/>
      <w:contextualSpacing/>
    </w:pPr>
  </w:style>
  <w:style w:type="paragraph" w:styleId="24">
    <w:name w:val="table of figures"/>
    <w:basedOn w:val="1"/>
    <w:next w:val="1"/>
    <w:qFormat/>
    <w:uiPriority w:val="0"/>
    <w:pPr>
      <w:ind w:leftChars="200" w:hanging="200" w:hangingChars="200"/>
    </w:pPr>
    <w:rPr>
      <w:rFonts w:ascii="Times New Roman" w:hAnsi="Times New Roman" w:eastAsia="宋体" w:cs="Times New Roman"/>
    </w:rPr>
  </w:style>
  <w:style w:type="paragraph" w:styleId="25">
    <w:name w:val="toc 2"/>
    <w:basedOn w:val="1"/>
    <w:next w:val="1"/>
    <w:unhideWhenUsed/>
    <w:qFormat/>
    <w:uiPriority w:val="39"/>
    <w:pPr>
      <w:tabs>
        <w:tab w:val="right" w:leader="dot" w:pos="8296"/>
      </w:tabs>
      <w:ind w:left="420" w:leftChars="200"/>
    </w:pPr>
  </w:style>
  <w:style w:type="paragraph" w:styleId="26">
    <w:name w:val="Body Text First Indent 2"/>
    <w:basedOn w:val="13"/>
    <w:next w:val="1"/>
    <w:qFormat/>
    <w:uiPriority w:val="0"/>
    <w:pPr>
      <w:spacing w:before="240" w:after="120" w:line="360" w:lineRule="auto"/>
      <w:ind w:left="420" w:leftChars="200" w:firstLine="420" w:firstLineChars="200"/>
    </w:pPr>
    <w:rPr>
      <w:rFonts w:ascii="宋体" w:hAnsi="Calibri" w:eastAsia="宋体" w:cs="宋体"/>
      <w:kern w:val="2"/>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rPr>
      <w:rFonts w:ascii="Times New Roman" w:hAnsi="Times New Roman" w:eastAsia="宋体" w:cs="Times New Roman"/>
    </w:rPr>
  </w:style>
  <w:style w:type="character" w:styleId="31">
    <w:name w:val="Hyperlink"/>
    <w:unhideWhenUsed/>
    <w:qFormat/>
    <w:uiPriority w:val="99"/>
    <w:rPr>
      <w:color w:val="0000FF"/>
      <w:u w:val="single"/>
    </w:rPr>
  </w:style>
  <w:style w:type="paragraph" w:customStyle="1" w:styleId="32">
    <w:name w:val="正文-公1"/>
    <w:basedOn w:val="1"/>
    <w:qFormat/>
    <w:uiPriority w:val="0"/>
    <w:pPr>
      <w:ind w:firstLine="200" w:firstLineChars="200"/>
      <w:jc w:val="left"/>
    </w:pPr>
    <w:rPr>
      <w:rFonts w:eastAsia="仿宋_GB2312"/>
    </w:rPr>
  </w:style>
  <w:style w:type="paragraph" w:customStyle="1" w:styleId="33">
    <w:name w:val="表格文字"/>
    <w:basedOn w:val="13"/>
    <w:qFormat/>
    <w:uiPriority w:val="0"/>
    <w:pPr>
      <w:spacing w:before="60" w:after="60" w:line="240" w:lineRule="auto"/>
      <w:ind w:firstLine="0"/>
    </w:pPr>
    <w:rPr>
      <w:rFonts w:ascii="Times New Roman" w:hAnsi="Times New Roman"/>
      <w:szCs w:val="24"/>
    </w:rPr>
  </w:style>
  <w:style w:type="paragraph" w:customStyle="1" w:styleId="34">
    <w:name w:val="正文2"/>
    <w:basedOn w:val="1"/>
    <w:qFormat/>
    <w:uiPriority w:val="0"/>
    <w:pPr>
      <w:adjustRightInd w:val="0"/>
      <w:spacing w:before="156" w:line="360" w:lineRule="auto"/>
      <w:ind w:firstLine="510" w:firstLineChars="200"/>
    </w:pPr>
    <w:rPr>
      <w:kern w:val="0"/>
      <w:sz w:val="24"/>
      <w:szCs w:val="20"/>
    </w:rPr>
  </w:style>
  <w:style w:type="paragraph" w:customStyle="1" w:styleId="3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10"/>
    <w:qFormat/>
    <w:uiPriority w:val="0"/>
    <w:rPr>
      <w:rFonts w:hint="default" w:ascii="Times New Roman" w:hAnsi="Times New Roman" w:cs="Times New Roman"/>
    </w:rPr>
  </w:style>
  <w:style w:type="paragraph" w:customStyle="1" w:styleId="40">
    <w:name w:val="正文_2"/>
    <w:basedOn w:val="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正文_3"/>
    <w:basedOn w:val="1"/>
    <w:qFormat/>
    <w:uiPriority w:val="0"/>
    <w:rPr>
      <w:szCs w:val="22"/>
    </w:rPr>
  </w:style>
  <w:style w:type="paragraph" w:customStyle="1" w:styleId="42">
    <w:name w:val="标题 2_1"/>
    <w:basedOn w:val="40"/>
    <w:next w:val="17"/>
    <w:qFormat/>
    <w:uiPriority w:val="99"/>
    <w:pPr>
      <w:keepNext/>
      <w:keepLines/>
      <w:spacing w:before="60" w:after="60" w:line="413" w:lineRule="auto"/>
      <w:outlineLvl w:val="1"/>
    </w:pPr>
    <w:rPr>
      <w:rFonts w:ascii="Arial" w:hAnsi="Arial" w:eastAsia="黑体"/>
      <w:b/>
      <w:bCs/>
      <w:szCs w:val="32"/>
    </w:rPr>
  </w:style>
  <w:style w:type="paragraph" w:customStyle="1" w:styleId="43">
    <w:name w:val="表格文字115"/>
    <w:basedOn w:val="1"/>
    <w:qFormat/>
    <w:uiPriority w:val="0"/>
    <w:pPr>
      <w:spacing w:before="25" w:after="25"/>
      <w:jc w:val="left"/>
    </w:pPr>
    <w:rPr>
      <w:bCs/>
      <w:spacing w:val="10"/>
      <w:kern w:val="0"/>
      <w:sz w:val="24"/>
    </w:rPr>
  </w:style>
  <w:style w:type="paragraph" w:customStyle="1" w:styleId="44">
    <w:name w:val="Normal Indent1"/>
    <w:basedOn w:val="1"/>
    <w:qFormat/>
    <w:uiPriority w:val="0"/>
    <w:pPr>
      <w:spacing w:line="660" w:lineRule="exact"/>
      <w:ind w:firstLine="720"/>
    </w:pPr>
    <w:rPr>
      <w:rFonts w:eastAsia="Cambria Math"/>
      <w:sz w:val="36"/>
      <w:szCs w:val="36"/>
    </w:rPr>
  </w:style>
  <w:style w:type="paragraph" w:customStyle="1" w:styleId="45">
    <w:name w:val="font5"/>
    <w:basedOn w:val="1"/>
    <w:qFormat/>
    <w:uiPriority w:val="0"/>
    <w:pPr>
      <w:widowControl/>
      <w:spacing w:before="100" w:beforeAutospacing="1" w:after="100" w:afterAutospacing="1"/>
      <w:jc w:val="left"/>
    </w:pPr>
    <w:rPr>
      <w:kern w:val="0"/>
      <w:sz w:val="24"/>
      <w:szCs w:val="20"/>
    </w:rPr>
  </w:style>
  <w:style w:type="paragraph" w:customStyle="1" w:styleId="46">
    <w:name w:val="正文文本 (2)4"/>
    <w:basedOn w:val="1"/>
    <w:qFormat/>
    <w:uiPriority w:val="0"/>
    <w:pPr>
      <w:shd w:val="clear" w:color="auto" w:fill="FFFFFF"/>
      <w:spacing w:before="300" w:line="439" w:lineRule="exact"/>
      <w:jc w:val="distribute"/>
    </w:pPr>
    <w:rPr>
      <w:rFonts w:ascii="MingLiU" w:hAnsi="MingLiU" w:eastAsia="MingLiU"/>
      <w:spacing w:val="20"/>
    </w:rPr>
  </w:style>
  <w:style w:type="character" w:customStyle="1" w:styleId="47">
    <w:name w:val="正文文本 (2) + 间距 0 pt Exact1"/>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48">
    <w:name w:val="正文文本 (2) + 5.5 pt1"/>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paragraph" w:customStyle="1" w:styleId="49">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2">
    <w:name w:val="Table Text"/>
    <w:basedOn w:val="1"/>
    <w:semiHidden/>
    <w:qFormat/>
    <w:uiPriority w:val="0"/>
    <w:pPr>
      <w:widowControl/>
      <w:kinsoku w:val="0"/>
      <w:autoSpaceDE w:val="0"/>
      <w:autoSpaceDN w:val="0"/>
      <w:adjustRightInd w:val="0"/>
      <w:snapToGrid w:val="0"/>
      <w:spacing w:line="240" w:lineRule="auto"/>
      <w:jc w:val="left"/>
      <w:textAlignment w:val="baseline"/>
    </w:pPr>
    <w:rPr>
      <w:rFonts w:ascii="宋体" w:hAnsi="宋体" w:eastAsia="宋体" w:cs="宋体"/>
      <w:snapToGrid w:val="0"/>
      <w:color w:val="000000"/>
      <w:kern w:val="0"/>
      <w:sz w:val="20"/>
      <w:szCs w:val="20"/>
      <w:lang w:val="en-US" w:eastAsia="en-US" w:bidi="ar-SA"/>
    </w:rPr>
  </w:style>
  <w:style w:type="paragraph" w:customStyle="1" w:styleId="53">
    <w:name w:val="Body text|1"/>
    <w:basedOn w:val="1"/>
    <w:qFormat/>
    <w:uiPriority w:val="0"/>
    <w:pPr>
      <w:spacing w:line="360" w:lineRule="auto"/>
      <w:ind w:firstLine="400"/>
    </w:pPr>
    <w:rPr>
      <w:rFonts w:ascii="宋体" w:hAnsi="宋体" w:cs="宋体"/>
      <w:kern w:val="0"/>
      <w:sz w:val="20"/>
      <w:szCs w:val="20"/>
      <w:lang w:val="zh-CN" w:bidi="zh-CN"/>
    </w:rPr>
  </w:style>
  <w:style w:type="paragraph" w:customStyle="1" w:styleId="54">
    <w:name w:val="Body text|1_1"/>
    <w:basedOn w:val="17"/>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55">
    <w:name w:val="Body text|2"/>
    <w:basedOn w:val="1"/>
    <w:next w:val="1"/>
    <w:autoRedefine/>
    <w:qFormat/>
    <w:uiPriority w:val="0"/>
    <w:pPr>
      <w:spacing w:after="30"/>
      <w:ind w:firstLine="420"/>
    </w:pPr>
    <w:rPr>
      <w:rFonts w:ascii="Times New Roman" w:hAnsi="Times New Roman"/>
      <w:kern w:val="0"/>
      <w:sz w:val="20"/>
      <w:szCs w:val="20"/>
    </w:rPr>
  </w:style>
  <w:style w:type="paragraph" w:customStyle="1" w:styleId="56">
    <w:name w:val="Other|1"/>
    <w:basedOn w:val="1"/>
    <w:autoRedefine/>
    <w:qFormat/>
    <w:uiPriority w:val="0"/>
    <w:pPr>
      <w:spacing w:line="263" w:lineRule="exact"/>
    </w:pPr>
    <w:rPr>
      <w:rFonts w:ascii="宋体" w:hAnsi="宋体" w:eastAsia="宋体" w:cs="宋体"/>
      <w:color w:val="auto"/>
      <w:kern w:val="2"/>
      <w:sz w:val="18"/>
      <w:szCs w:val="1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2.wmf"/><Relationship Id="rId26" Type="http://schemas.openxmlformats.org/officeDocument/2006/relationships/oleObject" Target="embeddings/oleObject3.bin"/><Relationship Id="rId25" Type="http://schemas.openxmlformats.org/officeDocument/2006/relationships/oleObject" Target="embeddings/oleObject2.bin"/><Relationship Id="rId24" Type="http://schemas.openxmlformats.org/officeDocument/2006/relationships/image" Target="media/image1.wmf"/><Relationship Id="rId23" Type="http://schemas.openxmlformats.org/officeDocument/2006/relationships/oleObject" Target="embeddings/oleObject1.bin"/><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5082</Words>
  <Characters>5791</Characters>
  <Lines>0</Lines>
  <Paragraphs>0</Paragraphs>
  <TotalTime>19</TotalTime>
  <ScaleCrop>false</ScaleCrop>
  <LinksUpToDate>false</LinksUpToDate>
  <CharactersWithSpaces>5951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2023-08-08T10:52:00Z</dcterms:created>
  <dc:creator>HMM</dc:creator>
  <cp:lastModifiedBy>Administrator</cp:lastModifiedBy>
  <cp:lastPrinted>2025-09-12T03:26:00Z</cp:lastPrinted>
  <dcterms:modified xsi:type="dcterms:W3CDTF">2026-06-24T09:14:26Z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680F253A605F47549AD934292168F848_11</vt:lpwstr>
  </property>
  <property fmtid="{D5CDD505-2E9C-101B-9397-08002B2CF9AE}" pid="4" name="KSOTemplateDocerSaveRecord">
    <vt:lpwstr>eyJoZGlkIjoiNWJjNzg2OGM1MTNlOTMwNmZkYThkY2E2MmFhMTk0NjMiLCJ1c2VySWQiOiIyODIxMDU4MDMifQ==</vt:lpwstr>
  </property>
</Properties>
</file>