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60805">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08FD3D15">
      <w:pPr>
        <w:spacing w:beforeLines="50" w:line="360" w:lineRule="auto"/>
        <w:jc w:val="center"/>
        <w:rPr>
          <w:rFonts w:asci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4994A8C0">
      <w:pPr>
        <w:spacing w:beforeLines="50" w:line="360" w:lineRule="auto"/>
        <w:jc w:val="center"/>
        <w:rPr>
          <w:rFonts w:ascii="宋体"/>
          <w:color w:val="auto"/>
          <w:sz w:val="36"/>
          <w:szCs w:val="36"/>
          <w:highlight w:val="none"/>
        </w:rPr>
      </w:pPr>
    </w:p>
    <w:p w14:paraId="0ED361E8">
      <w:pPr>
        <w:snapToGrid w:val="0"/>
        <w:spacing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359D08F0">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443F8947">
      <w:pPr>
        <w:spacing w:before="156" w:beforeLines="50" w:line="360" w:lineRule="auto"/>
        <w:jc w:val="center"/>
        <w:rPr>
          <w:rFonts w:hint="eastAsia" w:ascii="宋体" w:hAnsi="宋体" w:eastAsia="宋体" w:cs="宋体"/>
          <w:color w:val="auto"/>
          <w:sz w:val="36"/>
          <w:szCs w:val="36"/>
          <w:highlight w:val="none"/>
        </w:rPr>
      </w:pPr>
    </w:p>
    <w:p w14:paraId="265122EA">
      <w:pPr>
        <w:spacing w:line="360" w:lineRule="auto"/>
        <w:jc w:val="both"/>
        <w:rPr>
          <w:rFonts w:hint="eastAsia" w:ascii="宋体" w:hAnsi="宋体" w:eastAsia="宋体" w:cs="宋体"/>
          <w:b/>
          <w:color w:val="auto"/>
          <w:sz w:val="32"/>
          <w:szCs w:val="32"/>
          <w:highlight w:val="none"/>
        </w:rPr>
      </w:pPr>
    </w:p>
    <w:p w14:paraId="0B5502A3">
      <w:pPr>
        <w:pStyle w:val="26"/>
        <w:rPr>
          <w:rFonts w:hint="eastAsia"/>
          <w:color w:val="auto"/>
          <w:highlight w:val="none"/>
        </w:rPr>
      </w:pPr>
    </w:p>
    <w:p w14:paraId="6BA436D2">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项目名称：</w:t>
      </w:r>
      <w:r>
        <w:rPr>
          <w:rFonts w:hint="eastAsia" w:ascii="仿宋" w:hAnsi="仿宋" w:eastAsia="仿宋" w:cs="仿宋"/>
          <w:b/>
          <w:color w:val="auto"/>
          <w:sz w:val="32"/>
          <w:szCs w:val="32"/>
          <w:highlight w:val="none"/>
          <w:lang w:eastAsia="zh-CN"/>
        </w:rPr>
        <w:t>隆安县布泉乡布泉水厂提升改造工程</w:t>
      </w:r>
    </w:p>
    <w:p w14:paraId="49B769D9">
      <w:pPr>
        <w:spacing w:line="360" w:lineRule="auto"/>
        <w:ind w:firstLine="1285" w:firstLineChars="4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项目编号：NNZC2026-C2-230046-JHGC</w:t>
      </w:r>
    </w:p>
    <w:p w14:paraId="6C344F04">
      <w:pPr>
        <w:spacing w:line="360" w:lineRule="auto"/>
        <w:ind w:firstLine="1285" w:firstLineChars="400"/>
        <w:rPr>
          <w:rFonts w:hint="eastAsia" w:ascii="仿宋" w:hAnsi="仿宋" w:eastAsia="仿宋" w:cs="仿宋"/>
          <w:b/>
          <w:color w:val="auto"/>
          <w:sz w:val="32"/>
          <w:szCs w:val="32"/>
          <w:highlight w:val="none"/>
          <w:u w:val="single"/>
          <w:lang w:val="en-US" w:eastAsia="zh-CN"/>
        </w:rPr>
      </w:pPr>
      <w:r>
        <w:rPr>
          <w:rFonts w:hint="eastAsia" w:ascii="仿宋" w:hAnsi="仿宋" w:eastAsia="仿宋" w:cs="仿宋"/>
          <w:b/>
          <w:color w:val="auto"/>
          <w:sz w:val="32"/>
          <w:szCs w:val="32"/>
          <w:highlight w:val="none"/>
        </w:rPr>
        <w:t>项目所属区划：</w:t>
      </w:r>
      <w:r>
        <w:rPr>
          <w:rFonts w:hint="eastAsia" w:ascii="仿宋" w:hAnsi="仿宋" w:eastAsia="仿宋" w:cs="仿宋"/>
          <w:b/>
          <w:color w:val="auto"/>
          <w:sz w:val="32"/>
          <w:szCs w:val="32"/>
          <w:highlight w:val="none"/>
          <w:u w:val="none"/>
          <w:lang w:val="en-US" w:eastAsia="zh-CN"/>
        </w:rPr>
        <w:t>隆安县</w:t>
      </w:r>
    </w:p>
    <w:p w14:paraId="0F27F240">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采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 xml:space="preserve">购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人：</w:t>
      </w:r>
      <w:r>
        <w:rPr>
          <w:rFonts w:hint="eastAsia" w:ascii="仿宋" w:hAnsi="仿宋" w:eastAsia="仿宋" w:cs="仿宋"/>
          <w:b/>
          <w:color w:val="auto"/>
          <w:sz w:val="32"/>
          <w:szCs w:val="32"/>
          <w:highlight w:val="none"/>
          <w:lang w:eastAsia="zh-CN"/>
        </w:rPr>
        <w:t>隆安县布良水利工程管理所</w:t>
      </w:r>
    </w:p>
    <w:p w14:paraId="4B247793">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采购代理机构：</w:t>
      </w:r>
      <w:r>
        <w:rPr>
          <w:rFonts w:hint="eastAsia" w:ascii="仿宋" w:hAnsi="仿宋" w:eastAsia="仿宋" w:cs="仿宋"/>
          <w:b/>
          <w:color w:val="auto"/>
          <w:sz w:val="32"/>
          <w:szCs w:val="32"/>
          <w:highlight w:val="none"/>
          <w:lang w:eastAsia="zh-CN"/>
        </w:rPr>
        <w:t>广西佳鸿工程技术有限公司</w:t>
      </w:r>
    </w:p>
    <w:p w14:paraId="48643B5B">
      <w:pPr>
        <w:outlineLvl w:val="9"/>
        <w:rPr>
          <w:rFonts w:hint="eastAsia"/>
          <w:color w:val="auto"/>
          <w:highlight w:val="none"/>
          <w:lang w:val="en-US" w:eastAsia="zh-CN"/>
        </w:rPr>
      </w:pPr>
    </w:p>
    <w:p w14:paraId="5140DB01">
      <w:pPr>
        <w:spacing w:line="360" w:lineRule="auto"/>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eastAsia="zh-CN"/>
        </w:rPr>
        <w:t>202</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lang w:eastAsia="zh-CN"/>
        </w:rPr>
        <w:t>年</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lang w:eastAsia="zh-CN"/>
        </w:rPr>
        <w:t>月</w:t>
      </w:r>
      <w:r>
        <w:rPr>
          <w:rFonts w:hint="eastAsia" w:ascii="仿宋" w:hAnsi="仿宋" w:eastAsia="仿宋" w:cs="仿宋"/>
          <w:b/>
          <w:color w:val="auto"/>
          <w:sz w:val="32"/>
          <w:szCs w:val="32"/>
          <w:highlight w:val="none"/>
          <w:lang w:val="en-US" w:eastAsia="zh-CN"/>
        </w:rPr>
        <w:t>29</w:t>
      </w:r>
      <w:r>
        <w:rPr>
          <w:rFonts w:hint="eastAsia" w:ascii="仿宋_GB2312" w:hAnsi="宋体" w:eastAsia="仿宋_GB2312"/>
          <w:b/>
          <w:sz w:val="32"/>
          <w:szCs w:val="32"/>
          <w:highlight w:val="none"/>
        </w:rPr>
        <w:t>日</w:t>
      </w:r>
    </w:p>
    <w:p w14:paraId="413EC613">
      <w:pPr>
        <w:pStyle w:val="26"/>
        <w:rPr>
          <w:rFonts w:hint="eastAsia" w:ascii="仿宋" w:hAnsi="仿宋" w:eastAsia="仿宋" w:cs="仿宋"/>
          <w:b/>
          <w:color w:val="auto"/>
          <w:sz w:val="32"/>
          <w:szCs w:val="32"/>
          <w:highlight w:val="none"/>
          <w:lang w:val="en-US" w:eastAsia="zh-CN"/>
        </w:rPr>
      </w:pPr>
    </w:p>
    <w:p w14:paraId="1CC0CCEA">
      <w:pPr>
        <w:rPr>
          <w:rFonts w:hint="default"/>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1332B2BE">
      <w:pPr>
        <w:spacing w:line="360" w:lineRule="auto"/>
        <w:jc w:val="center"/>
        <w:outlineLvl w:val="9"/>
        <w:rPr>
          <w:rFonts w:hint="eastAsia" w:ascii="宋体" w:hAnsi="宋体" w:eastAsia="宋体" w:cs="宋体"/>
          <w:b w:val="0"/>
          <w:color w:val="auto"/>
          <w:sz w:val="48"/>
          <w:szCs w:val="48"/>
          <w:highlight w:val="none"/>
        </w:rPr>
      </w:pPr>
      <w:bookmarkStart w:id="0" w:name="_Toc22635"/>
      <w:bookmarkStart w:id="1" w:name="_Toc21342"/>
      <w:bookmarkStart w:id="2" w:name="_Toc15289"/>
      <w:r>
        <w:rPr>
          <w:rFonts w:hint="eastAsia" w:ascii="宋体" w:hAnsi="宋体" w:eastAsia="宋体" w:cs="宋体"/>
          <w:b/>
          <w:bCs/>
          <w:color w:val="auto"/>
          <w:sz w:val="48"/>
          <w:szCs w:val="48"/>
          <w:highlight w:val="none"/>
        </w:rPr>
        <w:t>目   录</w:t>
      </w:r>
      <w:bookmarkEnd w:id="0"/>
      <w:bookmarkEnd w:id="1"/>
      <w:bookmarkEnd w:id="2"/>
    </w:p>
    <w:p w14:paraId="1CB45B62">
      <w:pPr>
        <w:pStyle w:val="23"/>
        <w:tabs>
          <w:tab w:val="right" w:leader="dot" w:pos="9746"/>
        </w:tabs>
        <w:rPr>
          <w:sz w:val="28"/>
          <w:szCs w:val="28"/>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TOC \o "1-1" \h \u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_Toc5116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第一章 竞争性磋商公告</w:t>
      </w:r>
      <w:r>
        <w:rPr>
          <w:sz w:val="28"/>
          <w:szCs w:val="28"/>
        </w:rPr>
        <w:tab/>
      </w:r>
      <w:r>
        <w:rPr>
          <w:sz w:val="28"/>
          <w:szCs w:val="28"/>
        </w:rPr>
        <w:fldChar w:fldCharType="begin"/>
      </w:r>
      <w:r>
        <w:rPr>
          <w:sz w:val="28"/>
          <w:szCs w:val="28"/>
        </w:rPr>
        <w:instrText xml:space="preserve"> PAGEREF _Toc5116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color w:val="auto"/>
          <w:sz w:val="28"/>
          <w:szCs w:val="28"/>
          <w:highlight w:val="none"/>
        </w:rPr>
        <w:fldChar w:fldCharType="end"/>
      </w:r>
    </w:p>
    <w:p w14:paraId="19A3708B">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_Toc25671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 xml:space="preserve">第二章 </w:t>
      </w:r>
      <w:r>
        <w:rPr>
          <w:rFonts w:hint="eastAsia" w:ascii="宋体" w:hAnsi="宋体" w:eastAsia="宋体" w:cs="宋体"/>
          <w:bCs/>
          <w:sz w:val="28"/>
          <w:szCs w:val="28"/>
          <w:highlight w:val="none"/>
          <w:lang w:val="en-US" w:eastAsia="zh-CN"/>
        </w:rPr>
        <w:t>采购需求</w:t>
      </w:r>
      <w:r>
        <w:rPr>
          <w:sz w:val="28"/>
          <w:szCs w:val="28"/>
        </w:rPr>
        <w:tab/>
      </w:r>
      <w:r>
        <w:rPr>
          <w:sz w:val="28"/>
          <w:szCs w:val="28"/>
        </w:rPr>
        <w:fldChar w:fldCharType="begin"/>
      </w:r>
      <w:r>
        <w:rPr>
          <w:sz w:val="28"/>
          <w:szCs w:val="28"/>
        </w:rPr>
        <w:instrText xml:space="preserve"> PAGEREF _Toc25671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color w:val="auto"/>
          <w:sz w:val="28"/>
          <w:szCs w:val="28"/>
          <w:highlight w:val="none"/>
        </w:rPr>
        <w:fldChar w:fldCharType="end"/>
      </w:r>
    </w:p>
    <w:p w14:paraId="115C437A">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_Toc28368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第三章 供应商须知</w:t>
      </w:r>
      <w:r>
        <w:rPr>
          <w:sz w:val="28"/>
          <w:szCs w:val="28"/>
        </w:rPr>
        <w:tab/>
      </w:r>
      <w:r>
        <w:rPr>
          <w:sz w:val="28"/>
          <w:szCs w:val="28"/>
        </w:rPr>
        <w:fldChar w:fldCharType="begin"/>
      </w:r>
      <w:r>
        <w:rPr>
          <w:sz w:val="28"/>
          <w:szCs w:val="28"/>
        </w:rPr>
        <w:instrText xml:space="preserve"> PAGEREF _Toc28368 \h </w:instrText>
      </w:r>
      <w:r>
        <w:rPr>
          <w:sz w:val="28"/>
          <w:szCs w:val="28"/>
        </w:rPr>
        <w:fldChar w:fldCharType="separate"/>
      </w:r>
      <w:r>
        <w:rPr>
          <w:sz w:val="28"/>
          <w:szCs w:val="28"/>
        </w:rPr>
        <w:t>14</w:t>
      </w:r>
      <w:r>
        <w:rPr>
          <w:sz w:val="28"/>
          <w:szCs w:val="28"/>
        </w:rPr>
        <w:fldChar w:fldCharType="end"/>
      </w:r>
      <w:r>
        <w:rPr>
          <w:rFonts w:hint="eastAsia" w:ascii="宋体" w:hAnsi="宋体" w:eastAsia="宋体" w:cs="宋体"/>
          <w:color w:val="auto"/>
          <w:sz w:val="28"/>
          <w:szCs w:val="28"/>
          <w:highlight w:val="none"/>
        </w:rPr>
        <w:fldChar w:fldCharType="end"/>
      </w:r>
    </w:p>
    <w:p w14:paraId="6F103C2C">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_Toc4587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第四章 评审程序、评审方法和评审标准</w:t>
      </w:r>
      <w:r>
        <w:rPr>
          <w:sz w:val="28"/>
          <w:szCs w:val="28"/>
        </w:rPr>
        <w:tab/>
      </w:r>
      <w:r>
        <w:rPr>
          <w:sz w:val="28"/>
          <w:szCs w:val="28"/>
        </w:rPr>
        <w:fldChar w:fldCharType="begin"/>
      </w:r>
      <w:r>
        <w:rPr>
          <w:sz w:val="28"/>
          <w:szCs w:val="28"/>
        </w:rPr>
        <w:instrText xml:space="preserve"> PAGEREF _Toc4587 \h </w:instrText>
      </w:r>
      <w:r>
        <w:rPr>
          <w:sz w:val="28"/>
          <w:szCs w:val="28"/>
        </w:rPr>
        <w:fldChar w:fldCharType="separate"/>
      </w:r>
      <w:r>
        <w:rPr>
          <w:sz w:val="28"/>
          <w:szCs w:val="28"/>
        </w:rPr>
        <w:t>31</w:t>
      </w:r>
      <w:r>
        <w:rPr>
          <w:sz w:val="28"/>
          <w:szCs w:val="28"/>
        </w:rPr>
        <w:fldChar w:fldCharType="end"/>
      </w:r>
      <w:r>
        <w:rPr>
          <w:rFonts w:hint="eastAsia" w:ascii="宋体" w:hAnsi="宋体" w:eastAsia="宋体" w:cs="宋体"/>
          <w:color w:val="auto"/>
          <w:sz w:val="28"/>
          <w:szCs w:val="28"/>
          <w:highlight w:val="none"/>
        </w:rPr>
        <w:fldChar w:fldCharType="end"/>
      </w:r>
    </w:p>
    <w:p w14:paraId="45B6D351">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_Toc423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第五章 响应文件格式</w:t>
      </w:r>
      <w:r>
        <w:rPr>
          <w:sz w:val="28"/>
          <w:szCs w:val="28"/>
        </w:rPr>
        <w:tab/>
      </w:r>
      <w:r>
        <w:rPr>
          <w:sz w:val="28"/>
          <w:szCs w:val="28"/>
        </w:rPr>
        <w:fldChar w:fldCharType="begin"/>
      </w:r>
      <w:r>
        <w:rPr>
          <w:sz w:val="28"/>
          <w:szCs w:val="28"/>
        </w:rPr>
        <w:instrText xml:space="preserve"> PAGEREF _Toc423 \h </w:instrText>
      </w:r>
      <w:r>
        <w:rPr>
          <w:sz w:val="28"/>
          <w:szCs w:val="28"/>
        </w:rPr>
        <w:fldChar w:fldCharType="separate"/>
      </w:r>
      <w:r>
        <w:rPr>
          <w:sz w:val="28"/>
          <w:szCs w:val="28"/>
        </w:rPr>
        <w:t>41</w:t>
      </w:r>
      <w:r>
        <w:rPr>
          <w:sz w:val="28"/>
          <w:szCs w:val="28"/>
        </w:rPr>
        <w:fldChar w:fldCharType="end"/>
      </w:r>
      <w:r>
        <w:rPr>
          <w:rFonts w:hint="eastAsia" w:ascii="宋体" w:hAnsi="宋体" w:eastAsia="宋体" w:cs="宋体"/>
          <w:color w:val="auto"/>
          <w:sz w:val="28"/>
          <w:szCs w:val="28"/>
          <w:highlight w:val="none"/>
        </w:rPr>
        <w:fldChar w:fldCharType="end"/>
      </w:r>
    </w:p>
    <w:p w14:paraId="5B0D0032">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_Toc957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第六章 合同文本</w:t>
      </w:r>
      <w:r>
        <w:rPr>
          <w:sz w:val="28"/>
          <w:szCs w:val="28"/>
        </w:rPr>
        <w:tab/>
      </w:r>
      <w:r>
        <w:rPr>
          <w:sz w:val="28"/>
          <w:szCs w:val="28"/>
        </w:rPr>
        <w:fldChar w:fldCharType="begin"/>
      </w:r>
      <w:r>
        <w:rPr>
          <w:sz w:val="28"/>
          <w:szCs w:val="28"/>
        </w:rPr>
        <w:instrText xml:space="preserve"> PAGEREF _Toc957 \h </w:instrText>
      </w:r>
      <w:r>
        <w:rPr>
          <w:sz w:val="28"/>
          <w:szCs w:val="28"/>
        </w:rPr>
        <w:fldChar w:fldCharType="separate"/>
      </w:r>
      <w:r>
        <w:rPr>
          <w:sz w:val="28"/>
          <w:szCs w:val="28"/>
        </w:rPr>
        <w:t>77</w:t>
      </w:r>
      <w:r>
        <w:rPr>
          <w:sz w:val="28"/>
          <w:szCs w:val="28"/>
        </w:rPr>
        <w:fldChar w:fldCharType="end"/>
      </w:r>
      <w:r>
        <w:rPr>
          <w:rFonts w:hint="eastAsia" w:ascii="宋体" w:hAnsi="宋体" w:eastAsia="宋体" w:cs="宋体"/>
          <w:color w:val="auto"/>
          <w:sz w:val="28"/>
          <w:szCs w:val="28"/>
          <w:highlight w:val="none"/>
        </w:rPr>
        <w:fldChar w:fldCharType="end"/>
      </w:r>
    </w:p>
    <w:p w14:paraId="58DF3553">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_Toc13385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 xml:space="preserve">第七章 </w:t>
      </w:r>
      <w:r>
        <w:rPr>
          <w:rFonts w:hint="eastAsia" w:ascii="宋体" w:hAnsi="宋体" w:eastAsia="宋体" w:cs="宋体"/>
          <w:sz w:val="28"/>
          <w:szCs w:val="28"/>
          <w:highlight w:val="none"/>
          <w:lang w:val="en-US" w:eastAsia="zh-CN"/>
        </w:rPr>
        <w:t>工程量清单（另册）</w:t>
      </w:r>
      <w:r>
        <w:rPr>
          <w:sz w:val="28"/>
          <w:szCs w:val="28"/>
        </w:rPr>
        <w:tab/>
      </w:r>
      <w:r>
        <w:rPr>
          <w:sz w:val="28"/>
          <w:szCs w:val="28"/>
        </w:rPr>
        <w:fldChar w:fldCharType="begin"/>
      </w:r>
      <w:r>
        <w:rPr>
          <w:sz w:val="28"/>
          <w:szCs w:val="28"/>
        </w:rPr>
        <w:instrText xml:space="preserve"> PAGEREF _Toc13385 \h </w:instrText>
      </w:r>
      <w:r>
        <w:rPr>
          <w:sz w:val="28"/>
          <w:szCs w:val="28"/>
        </w:rPr>
        <w:fldChar w:fldCharType="separate"/>
      </w:r>
      <w:r>
        <w:rPr>
          <w:sz w:val="28"/>
          <w:szCs w:val="28"/>
        </w:rPr>
        <w:t>147</w:t>
      </w:r>
      <w:r>
        <w:rPr>
          <w:sz w:val="28"/>
          <w:szCs w:val="28"/>
        </w:rPr>
        <w:fldChar w:fldCharType="end"/>
      </w:r>
      <w:r>
        <w:rPr>
          <w:rFonts w:hint="eastAsia" w:ascii="宋体" w:hAnsi="宋体" w:eastAsia="宋体" w:cs="宋体"/>
          <w:color w:val="auto"/>
          <w:sz w:val="28"/>
          <w:szCs w:val="28"/>
          <w:highlight w:val="none"/>
        </w:rPr>
        <w:fldChar w:fldCharType="end"/>
      </w:r>
    </w:p>
    <w:p w14:paraId="710A6CB0">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_Toc15913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w:t>
      </w:r>
      <w:r>
        <w:rPr>
          <w:rFonts w:hint="eastAsia" w:ascii="宋体" w:hAnsi="宋体" w:eastAsia="宋体" w:cs="宋体"/>
          <w:sz w:val="28"/>
          <w:szCs w:val="28"/>
          <w:highlight w:val="none"/>
          <w:lang w:val="en-US" w:eastAsia="zh-CN"/>
        </w:rPr>
        <w:t>八</w:t>
      </w:r>
      <w:r>
        <w:rPr>
          <w:rFonts w:hint="eastAsia" w:ascii="宋体" w:hAnsi="宋体" w:eastAsia="宋体" w:cs="宋体"/>
          <w:sz w:val="28"/>
          <w:szCs w:val="28"/>
          <w:highlight w:val="none"/>
        </w:rPr>
        <w:t xml:space="preserve">章 </w:t>
      </w:r>
      <w:r>
        <w:rPr>
          <w:rFonts w:hint="eastAsia" w:ascii="宋体" w:hAnsi="宋体" w:eastAsia="宋体" w:cs="宋体"/>
          <w:sz w:val="28"/>
          <w:szCs w:val="28"/>
          <w:highlight w:val="none"/>
          <w:lang w:val="en-US" w:eastAsia="zh-CN"/>
        </w:rPr>
        <w:t>图纸（另册）</w:t>
      </w:r>
      <w:r>
        <w:rPr>
          <w:sz w:val="28"/>
          <w:szCs w:val="28"/>
        </w:rPr>
        <w:tab/>
      </w:r>
      <w:r>
        <w:rPr>
          <w:sz w:val="28"/>
          <w:szCs w:val="28"/>
        </w:rPr>
        <w:fldChar w:fldCharType="begin"/>
      </w:r>
      <w:r>
        <w:rPr>
          <w:sz w:val="28"/>
          <w:szCs w:val="28"/>
        </w:rPr>
        <w:instrText xml:space="preserve"> PAGEREF _Toc15913 \h </w:instrText>
      </w:r>
      <w:r>
        <w:rPr>
          <w:sz w:val="28"/>
          <w:szCs w:val="28"/>
        </w:rPr>
        <w:fldChar w:fldCharType="separate"/>
      </w:r>
      <w:r>
        <w:rPr>
          <w:sz w:val="28"/>
          <w:szCs w:val="28"/>
        </w:rPr>
        <w:t>148</w:t>
      </w:r>
      <w:r>
        <w:rPr>
          <w:sz w:val="28"/>
          <w:szCs w:val="28"/>
        </w:rPr>
        <w:fldChar w:fldCharType="end"/>
      </w:r>
      <w:r>
        <w:rPr>
          <w:rFonts w:hint="eastAsia" w:ascii="宋体" w:hAnsi="宋体" w:eastAsia="宋体" w:cs="宋体"/>
          <w:color w:val="auto"/>
          <w:sz w:val="28"/>
          <w:szCs w:val="28"/>
          <w:highlight w:val="none"/>
        </w:rPr>
        <w:fldChar w:fldCharType="end"/>
      </w:r>
    </w:p>
    <w:p w14:paraId="7E7AFE39">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_Toc20019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w:t>
      </w:r>
      <w:r>
        <w:rPr>
          <w:rFonts w:hint="eastAsia" w:ascii="宋体" w:hAnsi="宋体" w:eastAsia="宋体" w:cs="宋体"/>
          <w:bCs/>
          <w:sz w:val="28"/>
          <w:szCs w:val="28"/>
          <w:highlight w:val="none"/>
          <w:lang w:val="en-US" w:eastAsia="zh-CN"/>
        </w:rPr>
        <w:t>九</w:t>
      </w:r>
      <w:r>
        <w:rPr>
          <w:rFonts w:hint="eastAsia" w:ascii="宋体" w:hAnsi="宋体" w:eastAsia="宋体" w:cs="宋体"/>
          <w:bCs/>
          <w:sz w:val="28"/>
          <w:szCs w:val="28"/>
          <w:highlight w:val="none"/>
        </w:rPr>
        <w:t>章 质疑、投诉材料格式</w:t>
      </w:r>
      <w:r>
        <w:rPr>
          <w:sz w:val="28"/>
          <w:szCs w:val="28"/>
        </w:rPr>
        <w:tab/>
      </w:r>
      <w:r>
        <w:rPr>
          <w:sz w:val="28"/>
          <w:szCs w:val="28"/>
        </w:rPr>
        <w:fldChar w:fldCharType="begin"/>
      </w:r>
      <w:r>
        <w:rPr>
          <w:sz w:val="28"/>
          <w:szCs w:val="28"/>
        </w:rPr>
        <w:instrText xml:space="preserve"> PAGEREF _Toc20019 \h </w:instrText>
      </w:r>
      <w:r>
        <w:rPr>
          <w:sz w:val="28"/>
          <w:szCs w:val="28"/>
        </w:rPr>
        <w:fldChar w:fldCharType="separate"/>
      </w:r>
      <w:r>
        <w:rPr>
          <w:sz w:val="28"/>
          <w:szCs w:val="28"/>
        </w:rPr>
        <w:t>149</w:t>
      </w:r>
      <w:r>
        <w:rPr>
          <w:sz w:val="28"/>
          <w:szCs w:val="28"/>
        </w:rPr>
        <w:fldChar w:fldCharType="end"/>
      </w:r>
      <w:r>
        <w:rPr>
          <w:rFonts w:hint="eastAsia" w:ascii="宋体" w:hAnsi="宋体" w:eastAsia="宋体" w:cs="宋体"/>
          <w:color w:val="auto"/>
          <w:sz w:val="28"/>
          <w:szCs w:val="28"/>
          <w:highlight w:val="none"/>
        </w:rPr>
        <w:fldChar w:fldCharType="end"/>
      </w:r>
    </w:p>
    <w:p w14:paraId="44A20492">
      <w:pPr>
        <w:pStyle w:val="2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8"/>
          <w:szCs w:val="28"/>
          <w:highlight w:val="none"/>
        </w:rPr>
        <w:fldChar w:fldCharType="end"/>
      </w:r>
    </w:p>
    <w:p w14:paraId="24AFEA8B">
      <w:pPr>
        <w:spacing w:line="360" w:lineRule="auto"/>
        <w:rPr>
          <w:rFonts w:hint="eastAsia" w:ascii="宋体" w:hAnsi="宋体" w:eastAsia="宋体" w:cs="宋体"/>
          <w:b/>
          <w:color w:val="auto"/>
          <w:sz w:val="32"/>
          <w:szCs w:val="32"/>
          <w:highlight w:val="none"/>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bookmarkStart w:id="290" w:name="_GoBack"/>
      <w:bookmarkEnd w:id="290"/>
    </w:p>
    <w:p w14:paraId="33C6715F">
      <w:pPr>
        <w:pStyle w:val="3"/>
        <w:spacing w:line="360" w:lineRule="auto"/>
        <w:jc w:val="center"/>
        <w:rPr>
          <w:rFonts w:hint="eastAsia" w:ascii="宋体" w:hAnsi="宋体" w:eastAsia="宋体" w:cs="宋体"/>
          <w:color w:val="auto"/>
          <w:highlight w:val="none"/>
          <w:lang w:eastAsia="zh-CN"/>
        </w:rPr>
      </w:pPr>
      <w:bookmarkStart w:id="3" w:name="_Toc23020"/>
      <w:bookmarkStart w:id="4" w:name="_Toc1000"/>
      <w:bookmarkStart w:id="5" w:name="_Toc5116"/>
      <w:bookmarkStart w:id="6" w:name="_Toc16535"/>
      <w:bookmarkStart w:id="7" w:name="_Toc11033"/>
      <w:bookmarkStart w:id="8" w:name="_Toc2884"/>
      <w:bookmarkStart w:id="9" w:name="_Toc21181"/>
      <w:r>
        <w:rPr>
          <w:rFonts w:hint="eastAsia" w:ascii="宋体" w:hAnsi="宋体" w:eastAsia="宋体" w:cs="宋体"/>
          <w:color w:val="auto"/>
          <w:highlight w:val="none"/>
        </w:rPr>
        <w:t>第一章 竞争性磋商公告</w:t>
      </w:r>
      <w:bookmarkEnd w:id="3"/>
      <w:bookmarkEnd w:id="4"/>
      <w:bookmarkEnd w:id="5"/>
      <w:bookmarkEnd w:id="6"/>
      <w:bookmarkEnd w:id="7"/>
      <w:bookmarkEnd w:id="8"/>
      <w:bookmarkEnd w:id="9"/>
      <w:bookmarkStart w:id="10" w:name="_Toc35393798"/>
      <w:bookmarkStart w:id="11" w:name="_Toc35393629"/>
      <w:bookmarkStart w:id="12" w:name="_Toc28359089"/>
      <w:bookmarkStart w:id="13" w:name="_Toc28359012"/>
      <w:bookmarkStart w:id="14" w:name="_Toc44229878"/>
      <w:bookmarkStart w:id="15" w:name="_Toc28359081"/>
      <w:bookmarkStart w:id="16" w:name="_Toc35393792"/>
      <w:bookmarkStart w:id="17" w:name="_Toc35393623"/>
      <w:bookmarkStart w:id="18" w:name="_Toc28359004"/>
    </w:p>
    <w:p w14:paraId="5431ADBD">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582CC0B4">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隆安县布泉乡布泉水厂提升改造工程</w:t>
      </w:r>
      <w:r>
        <w:rPr>
          <w:rFonts w:hint="eastAsia" w:ascii="宋体" w:hAnsi="宋体" w:eastAsia="宋体" w:cs="宋体"/>
          <w:color w:val="auto"/>
          <w:szCs w:val="21"/>
          <w:highlight w:val="none"/>
        </w:rPr>
        <w:t>项目的潜在供应商应在</w:t>
      </w:r>
      <w:r>
        <w:rPr>
          <w:rFonts w:hint="eastAsia" w:ascii="宋体" w:hAnsi="宋体" w:eastAsia="宋体" w:cs="宋体"/>
          <w:color w:val="auto"/>
          <w:szCs w:val="21"/>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10时00分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46261008">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10"/>
      <w:bookmarkEnd w:id="11"/>
      <w:bookmarkEnd w:id="12"/>
      <w:bookmarkEnd w:id="13"/>
      <w:bookmarkEnd w:id="14"/>
    </w:p>
    <w:p w14:paraId="1E442F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1.项目编号：NNZC2026-C2-230046-JHGC</w:t>
      </w:r>
    </w:p>
    <w:p w14:paraId="24D63BC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lang w:eastAsia="zh-CN"/>
        </w:rPr>
      </w:pPr>
      <w:r>
        <w:rPr>
          <w:rFonts w:hint="eastAsia" w:ascii="宋体" w:hAnsi="宋体" w:eastAsia="宋体" w:cs="宋体"/>
          <w:color w:val="auto"/>
          <w:szCs w:val="21"/>
          <w:highlight w:val="none"/>
        </w:rPr>
        <w:t>2.项目名称：</w:t>
      </w:r>
      <w:r>
        <w:rPr>
          <w:rFonts w:hint="eastAsia" w:ascii="宋体" w:hAnsi="宋体" w:cs="宋体"/>
          <w:color w:val="auto"/>
          <w:spacing w:val="-4"/>
          <w:szCs w:val="21"/>
          <w:highlight w:val="none"/>
          <w:lang w:eastAsia="zh-CN"/>
        </w:rPr>
        <w:t>隆安县布泉乡布泉水厂提升改造工程</w:t>
      </w:r>
    </w:p>
    <w:p w14:paraId="382F61B5">
      <w:pPr>
        <w:keepNext w:val="0"/>
        <w:keepLines w:val="0"/>
        <w:pageBreakBefore w:val="0"/>
        <w:tabs>
          <w:tab w:val="left" w:pos="6358"/>
        </w:tabs>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3.采购方式：竞争性磋商</w:t>
      </w:r>
    </w:p>
    <w:p w14:paraId="2CE26C7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4.预算金额：</w:t>
      </w:r>
      <w:r>
        <w:rPr>
          <w:rFonts w:hint="eastAsia" w:ascii="宋体" w:hAnsi="宋体" w:cs="宋体"/>
          <w:b w:val="0"/>
          <w:bCs w:val="0"/>
          <w:color w:val="auto"/>
          <w:szCs w:val="21"/>
          <w:highlight w:val="none"/>
          <w:lang w:val="en-US" w:eastAsia="zh-CN"/>
        </w:rPr>
        <w:t>2051573.27</w:t>
      </w:r>
      <w:r>
        <w:rPr>
          <w:rFonts w:hint="eastAsia" w:ascii="宋体" w:hAnsi="宋体" w:eastAsia="宋体" w:cs="宋体"/>
          <w:b w:val="0"/>
          <w:bCs w:val="0"/>
          <w:color w:val="auto"/>
          <w:szCs w:val="21"/>
          <w:highlight w:val="none"/>
          <w:lang w:val="en-US" w:eastAsia="zh-CN"/>
        </w:rPr>
        <w:t>元</w:t>
      </w:r>
    </w:p>
    <w:p w14:paraId="35C6A39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5.</w:t>
      </w:r>
      <w:r>
        <w:rPr>
          <w:rFonts w:hint="eastAsia" w:ascii="宋体" w:hAnsi="宋体" w:eastAsia="宋体" w:cs="Times New Roman"/>
          <w:b w:val="0"/>
          <w:bCs w:val="0"/>
          <w:color w:val="auto"/>
          <w:sz w:val="21"/>
          <w:szCs w:val="21"/>
          <w:highlight w:val="none"/>
        </w:rPr>
        <w:t>最高限价</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宋体"/>
          <w:b w:val="0"/>
          <w:bCs w:val="0"/>
          <w:color w:val="auto"/>
          <w:szCs w:val="21"/>
          <w:highlight w:val="none"/>
          <w:lang w:eastAsia="zh-CN"/>
        </w:rPr>
        <w:t>招标控制价</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2051573.27</w:t>
      </w:r>
      <w:r>
        <w:rPr>
          <w:rFonts w:hint="eastAsia" w:ascii="宋体" w:hAnsi="宋体" w:eastAsia="宋体" w:cs="宋体"/>
          <w:b w:val="0"/>
          <w:bCs w:val="0"/>
          <w:color w:val="auto"/>
          <w:szCs w:val="21"/>
          <w:highlight w:val="none"/>
          <w:lang w:val="en-US" w:eastAsia="zh-CN"/>
        </w:rPr>
        <w:t>元</w:t>
      </w:r>
    </w:p>
    <w:p w14:paraId="2DCED66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6.采购需求：</w:t>
      </w:r>
      <w:r>
        <w:rPr>
          <w:rFonts w:hint="eastAsia" w:ascii="宋体" w:hAnsi="宋体" w:cs="宋体"/>
          <w:color w:val="auto"/>
          <w:szCs w:val="21"/>
          <w:highlight w:val="none"/>
          <w:lang w:eastAsia="zh-CN"/>
        </w:rPr>
        <w:t>隆安县布泉乡布泉水厂提升改造工程</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具体内容详见施工图纸及工程量清单所包含的内容</w:t>
      </w:r>
      <w:r>
        <w:rPr>
          <w:rFonts w:hint="eastAsia" w:ascii="宋体" w:hAnsi="宋体" w:eastAsia="宋体" w:cs="宋体"/>
          <w:color w:val="auto"/>
          <w:szCs w:val="21"/>
          <w:highlight w:val="none"/>
        </w:rPr>
        <w:t>。</w:t>
      </w:r>
    </w:p>
    <w:p w14:paraId="031E369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7.</w:t>
      </w:r>
      <w:r>
        <w:rPr>
          <w:rFonts w:hint="eastAsia" w:ascii="宋体" w:hAnsi="宋体" w:cs="宋体"/>
          <w:color w:val="auto"/>
          <w:sz w:val="21"/>
          <w:szCs w:val="21"/>
          <w:highlight w:val="none"/>
        </w:rPr>
        <w:t>合同履</w:t>
      </w:r>
      <w:r>
        <w:rPr>
          <w:rFonts w:hint="eastAsia" w:ascii="宋体" w:hAnsi="宋体" w:eastAsia="宋体" w:cs="宋体"/>
          <w:color w:val="auto"/>
          <w:sz w:val="21"/>
          <w:szCs w:val="21"/>
          <w:highlight w:val="none"/>
        </w:rPr>
        <w:t>行期限（工期）</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90</w:t>
      </w:r>
      <w:r>
        <w:rPr>
          <w:rFonts w:hint="eastAsia" w:ascii="宋体" w:hAnsi="宋体" w:cs="宋体"/>
          <w:color w:val="auto"/>
          <w:sz w:val="21"/>
          <w:szCs w:val="21"/>
          <w:highlight w:val="none"/>
        </w:rPr>
        <w:t>日历天</w:t>
      </w:r>
      <w:r>
        <w:rPr>
          <w:rFonts w:hint="eastAsia" w:ascii="宋体" w:hAnsi="宋体" w:eastAsia="宋体" w:cs="宋体"/>
          <w:color w:val="auto"/>
          <w:szCs w:val="21"/>
          <w:highlight w:val="none"/>
        </w:rPr>
        <w:t>。</w:t>
      </w:r>
    </w:p>
    <w:p w14:paraId="3A5A692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
    <w:p w14:paraId="63914DE1">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bookmarkStart w:id="19" w:name="_Toc35393799"/>
      <w:bookmarkStart w:id="20" w:name="_Toc28359013"/>
      <w:bookmarkStart w:id="21" w:name="_Toc28359090"/>
      <w:bookmarkStart w:id="22" w:name="_Toc44229879"/>
      <w:bookmarkStart w:id="23" w:name="_Toc35393630"/>
      <w:r>
        <w:rPr>
          <w:rFonts w:hint="eastAsia" w:ascii="宋体" w:hAnsi="宋体" w:eastAsia="宋体" w:cs="宋体"/>
          <w:b/>
          <w:color w:val="auto"/>
          <w:kern w:val="44"/>
          <w:sz w:val="24"/>
          <w:highlight w:val="none"/>
        </w:rPr>
        <w:t>二、供应商的资格条件</w:t>
      </w:r>
      <w:bookmarkEnd w:id="19"/>
      <w:bookmarkEnd w:id="20"/>
      <w:bookmarkEnd w:id="21"/>
      <w:bookmarkEnd w:id="22"/>
      <w:bookmarkEnd w:id="23"/>
    </w:p>
    <w:p w14:paraId="0872B47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59B961B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pacing w:val="0"/>
          <w:w w:val="100"/>
          <w:position w:val="0"/>
          <w:sz w:val="21"/>
          <w:szCs w:val="21"/>
          <w:highlight w:val="none"/>
          <w:lang w:eastAsia="zh-CN"/>
          <w14:textFill>
            <w14:solidFill>
              <w14:schemeClr w14:val="tx1"/>
            </w14:solidFill>
          </w14:textFill>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：专门面向</w:t>
      </w:r>
      <w:r>
        <w:rPr>
          <w:rFonts w:hint="eastAsia" w:ascii="宋体" w:hAnsi="宋体" w:cs="宋体"/>
          <w:color w:val="auto"/>
          <w:spacing w:val="0"/>
          <w:w w:val="100"/>
          <w:position w:val="0"/>
          <w:sz w:val="21"/>
          <w:szCs w:val="21"/>
          <w:highlight w:val="none"/>
          <w:lang w:val="en-US" w:eastAsia="zh-CN"/>
        </w:rPr>
        <w:t>中小</w:t>
      </w:r>
      <w:r>
        <w:rPr>
          <w:rFonts w:hint="eastAsia" w:ascii="宋体" w:hAnsi="宋体" w:eastAsia="宋体" w:cs="宋体"/>
          <w:color w:val="auto"/>
          <w:spacing w:val="0"/>
          <w:w w:val="100"/>
          <w:position w:val="0"/>
          <w:sz w:val="21"/>
          <w:szCs w:val="21"/>
          <w:highlight w:val="none"/>
          <w:lang w:eastAsia="zh-CN"/>
        </w:rPr>
        <w:t>企业采购的项目（供应商应为</w:t>
      </w:r>
      <w:r>
        <w:rPr>
          <w:rFonts w:hint="eastAsia" w:ascii="宋体" w:hAnsi="宋体" w:cs="宋体"/>
          <w:color w:val="auto"/>
          <w:spacing w:val="0"/>
          <w:w w:val="100"/>
          <w:position w:val="0"/>
          <w:sz w:val="21"/>
          <w:szCs w:val="21"/>
          <w:highlight w:val="none"/>
          <w:lang w:val="en-US" w:eastAsia="zh-CN"/>
        </w:rPr>
        <w:t>中</w:t>
      </w:r>
      <w:r>
        <w:rPr>
          <w:rFonts w:hint="eastAsia" w:ascii="宋体" w:hAnsi="宋体" w:eastAsia="宋体" w:cs="宋体"/>
          <w:color w:val="auto"/>
          <w:spacing w:val="0"/>
          <w:w w:val="100"/>
          <w:position w:val="0"/>
          <w:sz w:val="21"/>
          <w:szCs w:val="21"/>
          <w:highlight w:val="none"/>
          <w:lang w:eastAsia="zh-CN"/>
        </w:rPr>
        <w:t>小</w:t>
      </w:r>
      <w:r>
        <w:rPr>
          <w:rFonts w:hint="eastAsia" w:ascii="宋体" w:hAnsi="宋体" w:cs="宋体"/>
          <w:color w:val="auto"/>
          <w:spacing w:val="0"/>
          <w:w w:val="100"/>
          <w:position w:val="0"/>
          <w:sz w:val="21"/>
          <w:szCs w:val="21"/>
          <w:highlight w:val="none"/>
          <w:lang w:eastAsia="zh-CN"/>
        </w:rPr>
        <w:t>微</w:t>
      </w:r>
      <w:r>
        <w:rPr>
          <w:rFonts w:hint="eastAsia" w:ascii="宋体" w:hAnsi="宋体" w:eastAsia="宋体" w:cs="宋体"/>
          <w:color w:val="auto"/>
          <w:spacing w:val="0"/>
          <w:w w:val="100"/>
          <w:position w:val="0"/>
          <w:sz w:val="21"/>
          <w:szCs w:val="21"/>
          <w:highlight w:val="none"/>
          <w:lang w:eastAsia="zh-CN"/>
        </w:rPr>
        <w:t>企业或监狱企业或残疾人福利性单位）</w:t>
      </w:r>
    </w:p>
    <w:p w14:paraId="6CDE42A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u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u w:val="none"/>
          <w:lang w:eastAsia="zh-CN"/>
        </w:rPr>
        <w:t>：</w:t>
      </w:r>
    </w:p>
    <w:p w14:paraId="1AE077A6">
      <w:pPr>
        <w:keepNext w:val="0"/>
        <w:keepLines w:val="0"/>
        <w:pageBreakBefore w:val="0"/>
        <w:kinsoku/>
        <w:wordWrap/>
        <w:overflowPunct/>
        <w:topLinePunct w:val="0"/>
        <w:autoSpaceDE/>
        <w:autoSpaceDN/>
        <w:bidi w:val="0"/>
        <w:adjustRightInd/>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具备</w:t>
      </w:r>
      <w:r>
        <w:rPr>
          <w:rFonts w:hint="eastAsia" w:ascii="宋体" w:hAnsi="宋体" w:eastAsia="宋体" w:cs="宋体"/>
          <w:color w:val="auto"/>
          <w:szCs w:val="21"/>
          <w:highlight w:val="none"/>
        </w:rPr>
        <w:t>水利水电工程施工总承包叁级或叁级以上资质</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具有省级及以上建设行政主管部门颁发的安全生产许可证，并在人员、设备、资金等方面具备相应的施工能力。</w:t>
      </w:r>
    </w:p>
    <w:p w14:paraId="2B07A932">
      <w:pPr>
        <w:keepNext w:val="0"/>
        <w:keepLines w:val="0"/>
        <w:pageBreakBefore w:val="0"/>
        <w:kinsoku/>
        <w:wordWrap/>
        <w:overflowPunct/>
        <w:topLinePunct w:val="0"/>
        <w:autoSpaceDE/>
        <w:autoSpaceDN/>
        <w:bidi w:val="0"/>
        <w:adjustRightInd/>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派项目经理须具备水利水电工程专业贰级以上（含贰级）注册建造师执业资格，具备有效的安全生产考核合格证书（B类）。本项目不接受有在建、已中标未开工或其他项目中标候选人第一名的建造师作为项目经理。</w:t>
      </w:r>
    </w:p>
    <w:p w14:paraId="0E89155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224C3682">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1A16C6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316C8F4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bookmarkEnd w:id="15"/>
      <w:bookmarkEnd w:id="16"/>
      <w:bookmarkEnd w:id="17"/>
      <w:bookmarkEnd w:id="18"/>
    </w:p>
    <w:p w14:paraId="2FBD61CF">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bookmarkStart w:id="24" w:name="_Toc28359005"/>
      <w:bookmarkStart w:id="25" w:name="_Toc35393793"/>
      <w:bookmarkStart w:id="26" w:name="_Toc35393624"/>
      <w:bookmarkStart w:id="27" w:name="_Toc28359082"/>
      <w:r>
        <w:rPr>
          <w:rFonts w:hint="eastAsia" w:ascii="宋体" w:hAnsi="宋体" w:eastAsia="宋体" w:cs="宋体"/>
          <w:color w:val="auto"/>
          <w:szCs w:val="21"/>
          <w:highlight w:val="none"/>
        </w:rPr>
        <w:t>时间：自公告发布之日起。</w:t>
      </w:r>
    </w:p>
    <w:p w14:paraId="06765709">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Times New Roman"/>
          <w:szCs w:val="21"/>
        </w:rPr>
        <w:t>网上下载。本项目不发放纸质采购文件，</w:t>
      </w:r>
      <w:r>
        <w:rPr>
          <w:rFonts w:hint="eastAsia" w:ascii="宋体" w:hAnsi="宋体" w:eastAsia="宋体" w:cs="宋体"/>
          <w:color w:val="auto"/>
          <w:szCs w:val="21"/>
          <w:highlight w:val="none"/>
        </w:rPr>
        <w:t>供应商可自行在</w:t>
      </w:r>
      <w:r>
        <w:rPr>
          <w:rFonts w:hint="eastAsia" w:ascii="宋体" w:hAnsi="宋体"/>
          <w:color w:val="000000"/>
          <w:szCs w:val="21"/>
          <w:highlight w:val="none"/>
        </w:rPr>
        <w:t>广西政府采购云平台（https://www.gcy.zfcg.gxzf.gov.cn/）下载采购文件</w:t>
      </w:r>
      <w:r>
        <w:rPr>
          <w:rFonts w:hint="eastAsia" w:ascii="宋体" w:hAnsi="宋体" w:eastAsia="宋体" w:cs="宋体"/>
          <w:color w:val="auto"/>
          <w:szCs w:val="21"/>
          <w:highlight w:val="none"/>
        </w:rPr>
        <w:t>（操作路径：登录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）获取的采购文件编制。</w:t>
      </w:r>
    </w:p>
    <w:p w14:paraId="56847EF2">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61289F1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4"/>
      <w:bookmarkEnd w:id="25"/>
      <w:bookmarkEnd w:id="26"/>
      <w:bookmarkEnd w:id="27"/>
      <w:r>
        <w:rPr>
          <w:rFonts w:hint="eastAsia" w:ascii="宋体" w:hAnsi="宋体" w:eastAsia="宋体" w:cs="宋体"/>
          <w:b/>
          <w:bCs/>
          <w:color w:val="auto"/>
          <w:sz w:val="24"/>
          <w:highlight w:val="none"/>
        </w:rPr>
        <w:t>响应文件提交</w:t>
      </w:r>
    </w:p>
    <w:p w14:paraId="4ECA4CA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10时00分</w:t>
      </w:r>
      <w:r>
        <w:rPr>
          <w:rFonts w:hint="eastAsia" w:ascii="宋体" w:hAnsi="宋体" w:eastAsia="宋体" w:cs="宋体"/>
          <w:color w:val="auto"/>
          <w:szCs w:val="21"/>
          <w:highlight w:val="none"/>
        </w:rPr>
        <w:t>。</w:t>
      </w:r>
    </w:p>
    <w:p w14:paraId="0177AC0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465431F7">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）实行在线电子响应，供应商应先安装“政采云电子交易客户端”（请自行前往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7C96F3F6">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7AD55145">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6E90FB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5B133AB1">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5C194E40">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73973339">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1B26BB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10时00分</w:t>
      </w:r>
      <w:r>
        <w:rPr>
          <w:rFonts w:hint="eastAsia" w:ascii="宋体" w:hAnsi="宋体" w:eastAsia="宋体" w:cs="宋体"/>
          <w:color w:val="auto"/>
          <w:szCs w:val="21"/>
          <w:highlight w:val="none"/>
        </w:rPr>
        <w:t>后</w:t>
      </w:r>
    </w:p>
    <w:p w14:paraId="335BE48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szCs w:val="21"/>
          <w:u w:val="single"/>
        </w:rPr>
        <w:t>广西政府采购云平台远程开标大厅</w:t>
      </w:r>
    </w:p>
    <w:p w14:paraId="528BE11C">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28" w:name="_Toc35393625"/>
      <w:bookmarkStart w:id="29" w:name="_Toc35393794"/>
      <w:bookmarkStart w:id="30" w:name="_Toc28359084"/>
      <w:bookmarkStart w:id="31" w:name="_Toc28359007"/>
      <w:r>
        <w:rPr>
          <w:rFonts w:hint="eastAsia" w:ascii="宋体" w:hAnsi="宋体" w:eastAsia="宋体" w:cs="宋体"/>
          <w:b/>
          <w:bCs/>
          <w:color w:val="auto"/>
          <w:sz w:val="24"/>
          <w:highlight w:val="none"/>
        </w:rPr>
        <w:t>六、公告期限</w:t>
      </w:r>
      <w:bookmarkEnd w:id="28"/>
      <w:bookmarkEnd w:id="29"/>
      <w:bookmarkEnd w:id="30"/>
      <w:bookmarkEnd w:id="31"/>
    </w:p>
    <w:p w14:paraId="4A6FB87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40EB3841">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32" w:name="_Toc35393795"/>
      <w:bookmarkStart w:id="33" w:name="_Toc35393626"/>
      <w:r>
        <w:rPr>
          <w:rFonts w:hint="eastAsia" w:ascii="宋体" w:hAnsi="宋体" w:eastAsia="宋体" w:cs="宋体"/>
          <w:b/>
          <w:bCs/>
          <w:color w:val="auto"/>
          <w:sz w:val="24"/>
          <w:highlight w:val="none"/>
        </w:rPr>
        <w:t>七、其他补充事宜</w:t>
      </w:r>
      <w:bookmarkEnd w:id="32"/>
      <w:bookmarkEnd w:id="33"/>
    </w:p>
    <w:p w14:paraId="398A98B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08424006">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0"/>
          <w:szCs w:val="21"/>
          <w:highlight w:val="none"/>
          <w:vertAlign w:val="baseline"/>
        </w:rPr>
      </w:pPr>
      <w:r>
        <w:rPr>
          <w:rFonts w:hint="eastAsia" w:ascii="宋体" w:hAnsi="宋体" w:eastAsia="宋体" w:cs="宋体"/>
          <w:color w:val="auto"/>
          <w:kern w:val="0"/>
          <w:szCs w:val="21"/>
          <w:highlight w:val="none"/>
        </w:rPr>
        <w:t>2.采购意向公开链接：</w:t>
      </w:r>
    </w:p>
    <w:p w14:paraId="4D4CAD3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bookmarkStart w:id="34" w:name="_Hlk37429585"/>
      <w:r>
        <w:rPr>
          <w:rFonts w:hint="eastAsia" w:ascii="宋体" w:hAnsi="宋体" w:eastAsia="宋体" w:cs="宋体"/>
          <w:color w:val="auto"/>
          <w:kern w:val="0"/>
          <w:szCs w:val="21"/>
          <w:highlight w:val="none"/>
        </w:rPr>
        <w:t>http://www.ccgp-guangxi.gov.cn/site/detail?parentId=66485&amp;articleId=3iJ0MqgDuwqqxzjFKMdz0w==</w:t>
      </w:r>
    </w:p>
    <w:p w14:paraId="1DB03E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bookmarkStart w:id="35" w:name="_Hlk37429595"/>
      <w:r>
        <w:rPr>
          <w:rFonts w:hint="eastAsia" w:ascii="宋体" w:hAnsi="宋体" w:eastAsia="宋体" w:cs="宋体"/>
          <w:color w:val="auto"/>
          <w:kern w:val="0"/>
          <w:szCs w:val="21"/>
          <w:highlight w:val="none"/>
        </w:rPr>
        <w:t>网上查询地址</w:t>
      </w:r>
    </w:p>
    <w:bookmarkEnd w:id="34"/>
    <w:bookmarkEnd w:id="35"/>
    <w:p w14:paraId="70EF038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eastAsia="宋体" w:cs="宋体"/>
          <w:color w:val="auto"/>
          <w:kern w:val="0"/>
          <w:szCs w:val="21"/>
          <w:highlight w:val="none"/>
          <w:lang w:eastAsia="zh-CN"/>
        </w:rPr>
      </w:pPr>
      <w:bookmarkStart w:id="36" w:name="_Hlk37429674"/>
      <w:r>
        <w:rPr>
          <w:rFonts w:ascii="宋体" w:hAnsi="宋体"/>
          <w:color w:val="auto"/>
          <w:szCs w:val="21"/>
          <w:highlight w:val="none"/>
        </w:rPr>
        <w:t>http://www.ccgp.gov.cn/</w:t>
      </w:r>
      <w:r>
        <w:rPr>
          <w:rFonts w:hint="eastAsia" w:ascii="宋体" w:hAnsi="宋体"/>
          <w:color w:val="auto"/>
          <w:szCs w:val="21"/>
          <w:highlight w:val="none"/>
        </w:rPr>
        <w:t>（中国政府采购网）、</w:t>
      </w:r>
      <w:r>
        <w:rPr>
          <w:rFonts w:ascii="宋体" w:hAnsi="宋体"/>
          <w:color w:val="auto"/>
          <w:szCs w:val="21"/>
          <w:highlight w:val="none"/>
        </w:rPr>
        <w:t>http://www.ccgp-guangxi.gov.cn/ (</w:t>
      </w:r>
      <w:r>
        <w:rPr>
          <w:rFonts w:hint="eastAsia" w:ascii="宋体" w:hAnsi="宋体"/>
          <w:color w:val="auto"/>
          <w:szCs w:val="21"/>
          <w:highlight w:val="none"/>
        </w:rPr>
        <w:t>广西壮族自治区政府采购网</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http://ggzy.jgswj.gxzf.gov.cn/nnggzy/</w:t>
      </w:r>
      <w:r>
        <w:rPr>
          <w:rFonts w:hint="eastAsia" w:ascii="宋体" w:hAnsi="宋体"/>
          <w:color w:val="auto"/>
          <w:szCs w:val="21"/>
          <w:highlight w:val="none"/>
        </w:rPr>
        <w:t>（全国公共资源交易平台（广西</w:t>
      </w:r>
      <w:r>
        <w:rPr>
          <w:rFonts w:ascii="宋体"/>
          <w:color w:val="auto"/>
          <w:szCs w:val="21"/>
          <w:highlight w:val="none"/>
        </w:rPr>
        <w:t>.</w:t>
      </w:r>
      <w:r>
        <w:rPr>
          <w:rFonts w:hint="eastAsia" w:ascii="宋体" w:hAnsi="宋体"/>
          <w:color w:val="auto"/>
          <w:szCs w:val="21"/>
          <w:highlight w:val="none"/>
        </w:rPr>
        <w:t>南宁））</w:t>
      </w:r>
      <w:r>
        <w:rPr>
          <w:rFonts w:hint="eastAsia" w:ascii="宋体" w:hAnsi="宋体"/>
          <w:color w:val="auto"/>
          <w:szCs w:val="21"/>
          <w:highlight w:val="none"/>
          <w:lang w:eastAsia="zh-CN"/>
        </w:rPr>
        <w:t>、</w:t>
      </w:r>
      <w:r>
        <w:rPr>
          <w:rFonts w:hint="eastAsia" w:ascii="宋体" w:hAnsi="宋体" w:cs="宋体"/>
          <w:color w:val="auto"/>
          <w:kern w:val="0"/>
          <w:szCs w:val="21"/>
          <w:highlight w:val="none"/>
          <w:lang w:val="en-US" w:eastAsia="zh-CN"/>
        </w:rPr>
        <w:t>http://www.gxjhgczx.com/（广西佳鸿工程技术有限公司网）。</w:t>
      </w:r>
    </w:p>
    <w:p w14:paraId="5EA975B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6"/>
    <w:p w14:paraId="299FD98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75AC10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2C63590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2DD332A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004F39E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35C70B8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0E29172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EE6E97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（https://www.gcy.zfcg.gxzf.gov.cn/），点击右侧咨询小采，获取采小蜜智能服务管家帮助，或拨打政采云服务热线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39E5BBA3">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0445E468">
      <w:pPr>
        <w:keepNext w:val="0"/>
        <w:keepLines w:val="0"/>
        <w:pageBreakBefore w:val="0"/>
        <w:kinsoku/>
        <w:wordWrap/>
        <w:overflowPunct/>
        <w:topLinePunct w:val="0"/>
        <w:autoSpaceDE/>
        <w:autoSpaceDN/>
        <w:bidi w:val="0"/>
        <w:adjustRightInd/>
        <w:spacing w:line="440" w:lineRule="exact"/>
        <w:ind w:firstLine="735" w:firstLineChars="350"/>
        <w:jc w:val="left"/>
        <w:textAlignment w:val="auto"/>
        <w:rPr>
          <w:rFonts w:hint="eastAsia" w:ascii="宋体" w:hAnsi="宋体" w:eastAsia="宋体" w:cs="宋体"/>
          <w:color w:val="auto"/>
          <w:szCs w:val="21"/>
          <w:highlight w:val="none"/>
        </w:rPr>
      </w:pPr>
      <w:bookmarkStart w:id="37" w:name="_Toc24059"/>
      <w:bookmarkStart w:id="38" w:name="_Toc20817"/>
      <w:bookmarkStart w:id="39" w:name="_Toc15775"/>
      <w:r>
        <w:rPr>
          <w:rFonts w:hint="eastAsia" w:ascii="宋体" w:hAnsi="宋体" w:eastAsia="宋体" w:cs="宋体"/>
          <w:color w:val="auto"/>
          <w:szCs w:val="21"/>
          <w:highlight w:val="none"/>
        </w:rPr>
        <w:t>1.采购人信息</w:t>
      </w:r>
    </w:p>
    <w:p w14:paraId="1434C267">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隆安县布良水利工程管理所</w:t>
      </w:r>
    </w:p>
    <w:p w14:paraId="60827777">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cs="宋体"/>
          <w:color w:val="auto"/>
          <w:szCs w:val="21"/>
          <w:highlight w:val="none"/>
          <w:lang w:eastAsia="zh-CN"/>
        </w:rPr>
        <w:t>隆安县南圩镇卫南街121号</w:t>
      </w:r>
    </w:p>
    <w:p w14:paraId="1E12BC18">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项目联系人：</w:t>
      </w:r>
      <w:r>
        <w:rPr>
          <w:rFonts w:hint="eastAsia" w:ascii="宋体" w:hAnsi="宋体" w:cs="宋体"/>
          <w:color w:val="auto"/>
          <w:highlight w:val="none"/>
          <w:lang w:eastAsia="zh-CN"/>
        </w:rPr>
        <w:t>陆工</w:t>
      </w:r>
    </w:p>
    <w:p w14:paraId="6B978615">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0771-6532618</w:t>
      </w:r>
    </w:p>
    <w:p w14:paraId="45847E7C">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26C12A2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广西佳鸿工程技术有限公司</w:t>
      </w:r>
    </w:p>
    <w:p w14:paraId="6BE0A812">
      <w:pPr>
        <w:keepNext w:val="0"/>
        <w:keepLines w:val="0"/>
        <w:pageBreakBefore w:val="0"/>
        <w:kinsoku/>
        <w:wordWrap/>
        <w:overflowPunct/>
        <w:topLinePunct w:val="0"/>
        <w:autoSpaceDE/>
        <w:autoSpaceDN/>
        <w:bidi w:val="0"/>
        <w:adjustRightInd/>
        <w:spacing w:line="440" w:lineRule="exact"/>
        <w:ind w:left="1457" w:leftChars="370" w:hanging="680" w:hangingChars="324"/>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cs="宋体"/>
          <w:color w:val="auto"/>
          <w:szCs w:val="21"/>
          <w:highlight w:val="none"/>
          <w:lang w:eastAsia="zh-CN"/>
        </w:rPr>
        <w:t>南宁市隆安县那桐镇侨康路6号06栋整栋</w:t>
      </w:r>
    </w:p>
    <w:p w14:paraId="5B7583A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马伏杰、黄春霞</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0771-6509080</w:t>
      </w:r>
    </w:p>
    <w:p w14:paraId="1F8ABFD0">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233FBBF5">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项目联系人：</w:t>
      </w:r>
      <w:r>
        <w:rPr>
          <w:rFonts w:hint="eastAsia" w:ascii="宋体" w:hAnsi="宋体" w:cs="宋体"/>
          <w:color w:val="auto"/>
          <w:szCs w:val="21"/>
          <w:highlight w:val="none"/>
          <w:lang w:eastAsia="zh-CN"/>
        </w:rPr>
        <w:t>马伏杰、黄春霞</w:t>
      </w:r>
    </w:p>
    <w:p w14:paraId="2A5571A5">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w:t>
      </w:r>
      <w:r>
        <w:rPr>
          <w:rFonts w:hint="eastAsia" w:ascii="宋体" w:hAnsi="宋体" w:cs="宋体"/>
          <w:color w:val="auto"/>
          <w:szCs w:val="21"/>
          <w:highlight w:val="none"/>
          <w:lang w:eastAsia="zh-CN"/>
        </w:rPr>
        <w:t>0771-6509080</w:t>
      </w:r>
    </w:p>
    <w:p w14:paraId="791AFEB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p>
    <w:p w14:paraId="79E79EE8">
      <w:pPr>
        <w:pStyle w:val="11"/>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55B9710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color w:val="000000"/>
          <w:szCs w:val="21"/>
        </w:rPr>
        <w:t>CA证书申请方式及操作指南下载地址（</w:t>
      </w:r>
      <w:r>
        <w:rPr>
          <w:rFonts w:hint="eastAsia" w:ascii="宋体" w:hAnsi="宋体"/>
          <w:color w:val="000000"/>
          <w:szCs w:val="21"/>
          <w:lang w:eastAsia="zh-CN"/>
        </w:rPr>
        <w:t>登录http</w:t>
      </w:r>
      <w:r>
        <w:rPr>
          <w:rFonts w:hint="eastAsia"/>
        </w:rPr>
        <w:t>（南宁市财政局官网）</w:t>
      </w:r>
      <w:r>
        <w:rPr>
          <w:rFonts w:hint="eastAsia"/>
          <w:lang w:eastAsia="zh-CN"/>
        </w:rPr>
        <w:t>－</w:t>
      </w:r>
      <w:r>
        <w:rPr>
          <w:rFonts w:hint="eastAsia"/>
        </w:rPr>
        <w:t>业务专题</w:t>
      </w:r>
      <w:r>
        <w:rPr>
          <w:rFonts w:hint="eastAsia"/>
          <w:lang w:eastAsia="zh-CN"/>
        </w:rPr>
        <w:t>－</w:t>
      </w:r>
      <w:r>
        <w:rPr>
          <w:rFonts w:hint="eastAsia"/>
        </w:rPr>
        <w:t>政府采购监督管理</w:t>
      </w:r>
      <w:r>
        <w:rPr>
          <w:rFonts w:hint="eastAsia"/>
          <w:lang w:eastAsia="zh-CN"/>
        </w:rPr>
        <w:t>－</w:t>
      </w:r>
      <w:r>
        <w:rPr>
          <w:rFonts w:hint="eastAsia"/>
        </w:rPr>
        <w:t>资料下载</w:t>
      </w:r>
      <w:r>
        <w:rPr>
          <w:rFonts w:hint="eastAsia"/>
          <w:lang w:eastAsia="zh-CN"/>
        </w:rPr>
        <w:t>－</w:t>
      </w:r>
      <w:r>
        <w:rPr>
          <w:rFonts w:hint="eastAsia"/>
        </w:rPr>
        <w:t>“广西政采云西部</w:t>
      </w:r>
      <w:r>
        <w:t>CA</w:t>
      </w:r>
      <w:r>
        <w:rPr>
          <w:rFonts w:hint="eastAsia"/>
        </w:rPr>
        <w:t>办理方式”或“南宁市政采云</w:t>
      </w:r>
      <w:r>
        <w:t>CA</w:t>
      </w:r>
      <w:r>
        <w:rPr>
          <w:rFonts w:hint="eastAsia"/>
        </w:rPr>
        <w:t>证书办理操作指南”</w:t>
      </w:r>
      <w:r>
        <w:rPr>
          <w:rFonts w:hint="eastAsia" w:ascii="宋体" w:hAnsi="宋体"/>
          <w:color w:val="000000"/>
          <w:szCs w:val="21"/>
        </w:rPr>
        <w:t>）</w:t>
      </w:r>
    </w:p>
    <w:p w14:paraId="5B112B85">
      <w:pPr>
        <w:pStyle w:val="11"/>
        <w:keepNext w:val="0"/>
        <w:keepLines w:val="0"/>
        <w:pageBreakBefore w:val="0"/>
        <w:kinsoku/>
        <w:wordWrap/>
        <w:overflowPunct/>
        <w:topLinePunct w:val="0"/>
        <w:autoSpaceDE/>
        <w:autoSpaceDN/>
        <w:bidi w:val="0"/>
        <w:adjustRightInd/>
        <w:spacing w:line="44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color w:val="000000"/>
          <w:szCs w:val="21"/>
        </w:rPr>
        <w:t>电子投标文件制作与投送教程（在此网址下载：</w:t>
      </w:r>
      <w:r>
        <w:fldChar w:fldCharType="begin"/>
      </w:r>
      <w:r>
        <w:instrText xml:space="preserve"> HYPERLINK "http://nncz.nanning.gov.cn/" </w:instrText>
      </w:r>
      <w:r>
        <w:fldChar w:fldCharType="separate"/>
      </w:r>
      <w:r>
        <w:rPr>
          <w:rStyle w:val="32"/>
        </w:rPr>
        <w:t>http://nncz.nanning.gov.cn/</w:t>
      </w:r>
      <w:r>
        <w:fldChar w:fldCharType="end"/>
      </w:r>
      <w:r>
        <w:rPr>
          <w:rFonts w:hint="eastAsia"/>
        </w:rPr>
        <w:t>（南宁市财政局官网）</w:t>
      </w:r>
      <w:r>
        <w:rPr>
          <w:rFonts w:hint="eastAsia"/>
          <w:lang w:eastAsia="zh-CN"/>
        </w:rPr>
        <w:t>－</w:t>
      </w:r>
      <w:r>
        <w:rPr>
          <w:rFonts w:hint="eastAsia"/>
        </w:rPr>
        <w:t>业务专题</w:t>
      </w:r>
      <w:r>
        <w:rPr>
          <w:rFonts w:hint="eastAsia"/>
          <w:lang w:eastAsia="zh-CN"/>
        </w:rPr>
        <w:t>－</w:t>
      </w:r>
      <w:r>
        <w:rPr>
          <w:rFonts w:hint="eastAsia"/>
        </w:rPr>
        <w:t>政府采购监督管理</w:t>
      </w:r>
      <w:r>
        <w:rPr>
          <w:rFonts w:hint="eastAsia"/>
          <w:lang w:eastAsia="zh-CN"/>
        </w:rPr>
        <w:t>－</w:t>
      </w:r>
      <w:r>
        <w:rPr>
          <w:rFonts w:hint="eastAsia"/>
        </w:rPr>
        <w:t>资料下载</w:t>
      </w:r>
      <w:r>
        <w:rPr>
          <w:rFonts w:hint="eastAsia"/>
          <w:lang w:eastAsia="zh-CN"/>
        </w:rPr>
        <w:t>－</w:t>
      </w:r>
      <w:r>
        <w:rPr>
          <w:rFonts w:hint="eastAsia"/>
        </w:rPr>
        <w:t>南宁市政府采购项目全流程电子化交易操作指南</w:t>
      </w:r>
      <w:r>
        <w:rPr>
          <w:rFonts w:hint="eastAsia" w:ascii="宋体" w:hAnsi="宋体"/>
          <w:color w:val="000000"/>
          <w:szCs w:val="21"/>
        </w:rPr>
        <w:t>）</w:t>
      </w:r>
    </w:p>
    <w:p w14:paraId="1BE5DB92">
      <w:pPr>
        <w:pStyle w:val="11"/>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p>
    <w:p w14:paraId="283670D3">
      <w:pPr>
        <w:pStyle w:val="11"/>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rPr>
        <w:t>广西佳鸿工程技术有限公司</w:t>
      </w:r>
    </w:p>
    <w:p w14:paraId="4CE89FC6">
      <w:pPr>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sectPr>
          <w:footerReference r:id="rId9"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29</w:t>
      </w:r>
      <w:r>
        <w:rPr>
          <w:rFonts w:hint="eastAsia" w:ascii="宋体" w:hAnsi="宋体" w:eastAsia="宋体" w:cs="宋体"/>
          <w:color w:val="auto"/>
          <w:szCs w:val="21"/>
          <w:highlight w:val="none"/>
          <w:lang w:eastAsia="zh-CN"/>
        </w:rPr>
        <w:t>日</w:t>
      </w:r>
    </w:p>
    <w:p w14:paraId="5C62F437">
      <w:pPr>
        <w:pStyle w:val="3"/>
        <w:spacing w:line="360" w:lineRule="auto"/>
        <w:jc w:val="center"/>
        <w:rPr>
          <w:rFonts w:hint="eastAsia" w:ascii="宋体" w:hAnsi="宋体" w:eastAsia="宋体" w:cs="宋体"/>
          <w:b/>
          <w:bCs/>
          <w:color w:val="auto"/>
          <w:highlight w:val="none"/>
          <w:lang w:val="en-US" w:eastAsia="zh-CN"/>
        </w:rPr>
      </w:pPr>
      <w:bookmarkStart w:id="40" w:name="_Toc25671"/>
      <w:bookmarkStart w:id="41" w:name="_Toc5115"/>
      <w:bookmarkStart w:id="42" w:name="_Toc10591"/>
      <w:bookmarkStart w:id="43" w:name="_Toc7539"/>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37"/>
      <w:bookmarkEnd w:id="38"/>
      <w:bookmarkEnd w:id="39"/>
      <w:bookmarkEnd w:id="40"/>
      <w:bookmarkEnd w:id="41"/>
      <w:bookmarkEnd w:id="42"/>
      <w:bookmarkEnd w:id="43"/>
    </w:p>
    <w:p w14:paraId="60A389A3">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7B85AA0E">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olor w:val="auto"/>
          <w:highlight w:val="none"/>
        </w:rPr>
        <w:t>1. 为落实政府采购政策需满足的要求</w:t>
      </w:r>
    </w:p>
    <w:p w14:paraId="38D20661">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701C55C4">
      <w:pPr>
        <w:keepNext w:val="0"/>
        <w:keepLines w:val="0"/>
        <w:pageBreakBefore w:val="0"/>
        <w:tabs>
          <w:tab w:val="left" w:pos="180"/>
          <w:tab w:val="left" w:pos="1620"/>
        </w:tabs>
        <w:kinsoku/>
        <w:wordWrap/>
        <w:overflowPunct/>
        <w:topLinePunct w:val="0"/>
        <w:autoSpaceDE/>
        <w:autoSpaceDN/>
        <w:bidi w:val="0"/>
        <w:adjustRightInd/>
        <w:snapToGrid/>
        <w:spacing w:line="400" w:lineRule="exact"/>
        <w:ind w:firstLine="420" w:firstLineChars="200"/>
        <w:textAlignment w:val="auto"/>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0ABD050E">
      <w:pPr>
        <w:keepNext w:val="0"/>
        <w:keepLines w:val="0"/>
        <w:pageBreakBefore w:val="0"/>
        <w:kinsoku/>
        <w:wordWrap/>
        <w:overflowPunct/>
        <w:topLinePunct w:val="0"/>
        <w:autoSpaceDE/>
        <w:autoSpaceDN/>
        <w:bidi w:val="0"/>
        <w:adjustRightInd/>
        <w:snapToGrid/>
        <w:spacing w:line="400" w:lineRule="exact"/>
        <w:ind w:firstLine="413" w:firstLineChars="196"/>
        <w:textAlignment w:val="auto"/>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r>
        <w:rPr>
          <w:rFonts w:hint="eastAsia" w:ascii="宋体" w:hAnsi="宋体" w:cs="宋体"/>
          <w:b/>
          <w:color w:val="auto"/>
          <w:szCs w:val="21"/>
          <w:highlight w:val="none"/>
        </w:rPr>
        <w:t>本项目凡标注“▲”的条款或要求不响应或不满足的，其响应文件即作无效竞标处理。</w:t>
      </w:r>
    </w:p>
    <w:p w14:paraId="46DC4726">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highlight w:val="none"/>
        </w:rPr>
      </w:pPr>
      <w:r>
        <w:rPr>
          <w:rFonts w:hint="eastAsia" w:ascii="宋体" w:hAnsi="宋体" w:cs="宋体"/>
          <w:color w:val="auto"/>
          <w:szCs w:val="21"/>
          <w:highlight w:val="none"/>
        </w:rPr>
        <w:t xml:space="preserve">3. </w:t>
      </w:r>
      <w:r>
        <w:rPr>
          <w:rFonts w:hint="eastAsia" w:ascii="宋体" w:hAnsi="宋体"/>
          <w:color w:val="auto"/>
          <w:highlight w:val="none"/>
        </w:rPr>
        <w:t>如投标人投标</w:t>
      </w:r>
      <w:r>
        <w:rPr>
          <w:rFonts w:ascii="宋体" w:hAnsi="宋体"/>
          <w:color w:val="auto"/>
          <w:highlight w:val="none"/>
        </w:rPr>
        <w:t>产品</w:t>
      </w:r>
      <w:r>
        <w:rPr>
          <w:rFonts w:hint="eastAsia" w:ascii="宋体" w:hAnsi="宋体"/>
          <w:color w:val="auto"/>
          <w:highlight w:val="none"/>
        </w:rPr>
        <w:t>存在</w:t>
      </w:r>
      <w:r>
        <w:rPr>
          <w:rFonts w:ascii="宋体" w:hAnsi="宋体"/>
          <w:color w:val="auto"/>
          <w:highlight w:val="none"/>
        </w:rPr>
        <w:t>侵犯</w:t>
      </w:r>
      <w:r>
        <w:rPr>
          <w:rFonts w:hint="eastAsia" w:ascii="宋体" w:hAnsi="宋体"/>
          <w:color w:val="auto"/>
          <w:highlight w:val="none"/>
        </w:rPr>
        <w:t>他人的知识产权或者专利成果行为的，应</w:t>
      </w:r>
      <w:r>
        <w:rPr>
          <w:rFonts w:ascii="宋体" w:hAnsi="宋体"/>
          <w:color w:val="auto"/>
          <w:highlight w:val="none"/>
        </w:rPr>
        <w:t>承担相应法律责任</w:t>
      </w:r>
      <w:r>
        <w:rPr>
          <w:rFonts w:hint="eastAsia" w:ascii="宋体" w:hAnsi="宋体"/>
          <w:color w:val="auto"/>
          <w:highlight w:val="none"/>
        </w:rPr>
        <w:t>。</w:t>
      </w:r>
    </w:p>
    <w:p w14:paraId="3650C4F0">
      <w:pPr>
        <w:outlineLvl w:val="9"/>
        <w:rPr>
          <w:rFonts w:hint="eastAsia" w:ascii="宋体" w:hAnsi="宋体"/>
          <w:color w:val="auto"/>
          <w:highlight w:val="none"/>
        </w:rPr>
      </w:pPr>
    </w:p>
    <w:p w14:paraId="6C129459">
      <w:pPr>
        <w:outlineLvl w:val="9"/>
        <w:rPr>
          <w:rFonts w:hint="eastAsia" w:ascii="宋体" w:hAnsi="宋体"/>
          <w:color w:val="auto"/>
          <w:highlight w:val="none"/>
        </w:rPr>
      </w:pPr>
    </w:p>
    <w:p w14:paraId="2DB5E809">
      <w:pPr>
        <w:outlineLvl w:val="9"/>
        <w:rPr>
          <w:rFonts w:hint="eastAsia" w:ascii="宋体" w:hAnsi="宋体"/>
          <w:color w:val="auto"/>
          <w:highlight w:val="none"/>
        </w:rPr>
      </w:pPr>
    </w:p>
    <w:p w14:paraId="06B07C7A">
      <w:pPr>
        <w:outlineLvl w:val="9"/>
        <w:rPr>
          <w:rFonts w:hint="eastAsia" w:ascii="宋体" w:hAnsi="宋体"/>
          <w:color w:val="auto"/>
          <w:highlight w:val="none"/>
        </w:rPr>
      </w:pPr>
    </w:p>
    <w:p w14:paraId="79641B43">
      <w:pPr>
        <w:outlineLvl w:val="9"/>
        <w:rPr>
          <w:rFonts w:hint="eastAsia" w:ascii="宋体" w:hAnsi="宋体"/>
          <w:color w:val="auto"/>
          <w:highlight w:val="none"/>
        </w:rPr>
      </w:pPr>
    </w:p>
    <w:p w14:paraId="2446DF30">
      <w:pPr>
        <w:outlineLvl w:val="9"/>
        <w:rPr>
          <w:rFonts w:hint="eastAsia" w:ascii="宋体" w:hAnsi="宋体"/>
          <w:color w:val="auto"/>
          <w:highlight w:val="none"/>
        </w:rPr>
      </w:pPr>
    </w:p>
    <w:p w14:paraId="3D2401E4">
      <w:pPr>
        <w:outlineLvl w:val="9"/>
        <w:rPr>
          <w:rFonts w:hint="eastAsia" w:ascii="宋体" w:hAnsi="宋体"/>
          <w:color w:val="auto"/>
          <w:highlight w:val="none"/>
        </w:rPr>
      </w:pPr>
    </w:p>
    <w:p w14:paraId="7FA8A8ED">
      <w:pPr>
        <w:outlineLvl w:val="9"/>
        <w:rPr>
          <w:rFonts w:hint="eastAsia"/>
          <w:color w:val="auto"/>
          <w:highlight w:val="none"/>
        </w:rPr>
      </w:pPr>
    </w:p>
    <w:p w14:paraId="35C79E3F">
      <w:pPr>
        <w:outlineLvl w:val="9"/>
        <w:rPr>
          <w:rFonts w:hint="eastAsia" w:ascii="宋体" w:hAnsi="宋体"/>
          <w:color w:val="auto"/>
          <w:highlight w:val="none"/>
        </w:rPr>
      </w:pPr>
    </w:p>
    <w:p w14:paraId="0B801B2F">
      <w:pPr>
        <w:outlineLvl w:val="9"/>
        <w:rPr>
          <w:rFonts w:hint="eastAsia" w:ascii="宋体" w:hAnsi="宋体"/>
          <w:color w:val="auto"/>
          <w:highlight w:val="none"/>
        </w:rPr>
      </w:pPr>
    </w:p>
    <w:p w14:paraId="44482482">
      <w:pPr>
        <w:pStyle w:val="33"/>
        <w:rPr>
          <w:rFonts w:hint="eastAsia" w:ascii="宋体" w:hAnsi="宋体"/>
          <w:color w:val="auto"/>
          <w:highlight w:val="none"/>
        </w:rPr>
      </w:pPr>
    </w:p>
    <w:p w14:paraId="68627DCB">
      <w:pPr>
        <w:pStyle w:val="33"/>
        <w:rPr>
          <w:rFonts w:hint="eastAsia" w:ascii="宋体" w:hAnsi="宋体"/>
          <w:color w:val="auto"/>
          <w:highlight w:val="none"/>
        </w:rPr>
      </w:pPr>
    </w:p>
    <w:p w14:paraId="60FB97C5">
      <w:pPr>
        <w:pStyle w:val="33"/>
        <w:rPr>
          <w:rFonts w:hint="eastAsia" w:ascii="宋体" w:hAnsi="宋体"/>
          <w:color w:val="auto"/>
          <w:highlight w:val="none"/>
        </w:rPr>
      </w:pPr>
    </w:p>
    <w:p w14:paraId="4BEE665B">
      <w:pPr>
        <w:outlineLvl w:val="9"/>
        <w:rPr>
          <w:rFonts w:hint="eastAsia" w:ascii="宋体" w:hAnsi="宋体"/>
          <w:color w:val="auto"/>
          <w:highlight w:val="none"/>
        </w:rPr>
      </w:pPr>
    </w:p>
    <w:p w14:paraId="428A09BE">
      <w:pPr>
        <w:outlineLvl w:val="9"/>
        <w:rPr>
          <w:rFonts w:hint="eastAsia"/>
          <w:color w:val="auto"/>
          <w:highlight w:val="none"/>
        </w:rPr>
      </w:pPr>
    </w:p>
    <w:p w14:paraId="54003B88">
      <w:pPr>
        <w:outlineLvl w:val="9"/>
        <w:rPr>
          <w:rFonts w:hint="eastAsia"/>
          <w:color w:val="auto"/>
          <w:highlight w:val="none"/>
        </w:rPr>
      </w:pPr>
    </w:p>
    <w:p w14:paraId="17252BEE">
      <w:pPr>
        <w:outlineLvl w:val="9"/>
        <w:rPr>
          <w:rFonts w:hint="eastAsia" w:ascii="宋体" w:hAnsi="宋体"/>
          <w:color w:val="auto"/>
          <w:highlight w:val="none"/>
        </w:rPr>
      </w:pPr>
    </w:p>
    <w:tbl>
      <w:tblPr>
        <w:tblStyle w:val="28"/>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990"/>
        <w:gridCol w:w="525"/>
        <w:gridCol w:w="375"/>
        <w:gridCol w:w="4500"/>
        <w:gridCol w:w="1380"/>
        <w:gridCol w:w="1163"/>
      </w:tblGrid>
      <w:tr w14:paraId="4A056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8"/>
            <w:tcBorders>
              <w:top w:val="single" w:color="auto" w:sz="4" w:space="0"/>
              <w:left w:val="single" w:color="auto" w:sz="4" w:space="0"/>
              <w:right w:val="single" w:color="auto" w:sz="4" w:space="0"/>
            </w:tcBorders>
            <w:vAlign w:val="center"/>
          </w:tcPr>
          <w:p w14:paraId="0CF43F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47DC32D3">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6AA7E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14:paraId="1C479B47">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C05361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990" w:type="dxa"/>
            <w:tcBorders>
              <w:top w:val="single" w:color="auto" w:sz="4" w:space="0"/>
              <w:left w:val="single" w:color="auto" w:sz="4" w:space="0"/>
              <w:bottom w:val="single" w:color="auto" w:sz="4" w:space="0"/>
              <w:right w:val="single" w:color="auto" w:sz="4" w:space="0"/>
            </w:tcBorders>
            <w:vAlign w:val="center"/>
          </w:tcPr>
          <w:p w14:paraId="1C7F7ED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525" w:type="dxa"/>
            <w:tcBorders>
              <w:top w:val="single" w:color="auto" w:sz="4" w:space="0"/>
              <w:left w:val="single" w:color="auto" w:sz="4" w:space="0"/>
              <w:bottom w:val="single" w:color="auto" w:sz="4" w:space="0"/>
              <w:right w:val="single" w:color="auto" w:sz="4" w:space="0"/>
            </w:tcBorders>
            <w:vAlign w:val="center"/>
          </w:tcPr>
          <w:p w14:paraId="1D4AC07D">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75" w:type="dxa"/>
            <w:tcBorders>
              <w:top w:val="single" w:color="auto" w:sz="4" w:space="0"/>
              <w:left w:val="single" w:color="auto" w:sz="4" w:space="0"/>
              <w:bottom w:val="single" w:color="auto" w:sz="4" w:space="0"/>
              <w:right w:val="single" w:color="auto" w:sz="4" w:space="0"/>
            </w:tcBorders>
            <w:vAlign w:val="center"/>
          </w:tcPr>
          <w:p w14:paraId="7C509EC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4500" w:type="dxa"/>
            <w:tcBorders>
              <w:top w:val="single" w:color="auto" w:sz="4" w:space="0"/>
              <w:left w:val="single" w:color="auto" w:sz="4" w:space="0"/>
              <w:bottom w:val="single" w:color="auto" w:sz="4" w:space="0"/>
              <w:right w:val="single" w:color="auto" w:sz="4" w:space="0"/>
            </w:tcBorders>
            <w:vAlign w:val="center"/>
          </w:tcPr>
          <w:p w14:paraId="402A315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eastAsia="宋体" w:cs="宋体"/>
                <w:color w:val="auto"/>
                <w:szCs w:val="21"/>
                <w:highlight w:val="none"/>
              </w:rPr>
              <w:t>工程概况及采购范围</w:t>
            </w:r>
          </w:p>
        </w:tc>
        <w:tc>
          <w:tcPr>
            <w:tcW w:w="1380" w:type="dxa"/>
            <w:tcBorders>
              <w:top w:val="single" w:color="auto" w:sz="4" w:space="0"/>
              <w:left w:val="single" w:color="auto" w:sz="4" w:space="0"/>
              <w:bottom w:val="single" w:color="auto" w:sz="4" w:space="0"/>
              <w:right w:val="single" w:color="auto" w:sz="4" w:space="0"/>
            </w:tcBorders>
            <w:vAlign w:val="center"/>
          </w:tcPr>
          <w:p w14:paraId="4C02B56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val="0"/>
                <w:bCs/>
                <w:color w:val="auto"/>
                <w:szCs w:val="21"/>
                <w:highlight w:val="none"/>
              </w:rPr>
            </w:pPr>
            <w:r>
              <w:rPr>
                <w:rFonts w:hint="eastAsia" w:ascii="宋体" w:hAnsi="宋体"/>
                <w:b w:val="0"/>
                <w:bCs/>
                <w:szCs w:val="21"/>
              </w:rPr>
              <w:t>分项最高限价（元）</w:t>
            </w:r>
          </w:p>
        </w:tc>
        <w:tc>
          <w:tcPr>
            <w:tcW w:w="1163" w:type="dxa"/>
            <w:tcBorders>
              <w:top w:val="single" w:color="auto" w:sz="4" w:space="0"/>
              <w:left w:val="single" w:color="auto" w:sz="4" w:space="0"/>
              <w:bottom w:val="single" w:color="auto" w:sz="4" w:space="0"/>
              <w:right w:val="single" w:color="auto" w:sz="4" w:space="0"/>
            </w:tcBorders>
            <w:vAlign w:val="center"/>
          </w:tcPr>
          <w:p w14:paraId="7E282D8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val="0"/>
                <w:bCs/>
                <w:color w:val="auto"/>
                <w:szCs w:val="21"/>
                <w:highlight w:val="none"/>
              </w:rPr>
            </w:pPr>
            <w:r>
              <w:rPr>
                <w:rFonts w:hint="eastAsia" w:ascii="宋体" w:hAnsi="宋体"/>
                <w:b w:val="0"/>
                <w:bCs/>
                <w:color w:val="auto"/>
                <w:sz w:val="21"/>
                <w:szCs w:val="21"/>
                <w:highlight w:val="none"/>
              </w:rPr>
              <w:t>中小企业划分标准所属行业名称（行业名称及划分见本章附件2）</w:t>
            </w:r>
          </w:p>
        </w:tc>
      </w:tr>
      <w:tr w14:paraId="404CD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top"/>
          </w:tcPr>
          <w:p w14:paraId="7D901A9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14:paraId="33FC884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990" w:type="dxa"/>
            <w:tcBorders>
              <w:top w:val="single" w:color="auto" w:sz="4" w:space="0"/>
              <w:left w:val="single" w:color="auto" w:sz="4" w:space="0"/>
              <w:bottom w:val="single" w:color="auto" w:sz="4" w:space="0"/>
              <w:right w:val="single" w:color="auto" w:sz="4" w:space="0"/>
            </w:tcBorders>
            <w:vAlign w:val="center"/>
          </w:tcPr>
          <w:p w14:paraId="5015D9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隆安县布泉乡布泉水厂提升改造工程</w:t>
            </w:r>
          </w:p>
        </w:tc>
        <w:tc>
          <w:tcPr>
            <w:tcW w:w="525" w:type="dxa"/>
            <w:tcBorders>
              <w:top w:val="single" w:color="auto" w:sz="4" w:space="0"/>
              <w:left w:val="single" w:color="auto" w:sz="4" w:space="0"/>
              <w:bottom w:val="single" w:color="auto" w:sz="4" w:space="0"/>
              <w:right w:val="single" w:color="auto" w:sz="4" w:space="0"/>
            </w:tcBorders>
            <w:vAlign w:val="center"/>
          </w:tcPr>
          <w:p w14:paraId="55615174">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val="0"/>
                <w:bCs w:val="0"/>
                <w:color w:val="auto"/>
                <w:szCs w:val="21"/>
                <w:highlight w:val="none"/>
              </w:rPr>
            </w:pPr>
            <w:r>
              <w:rPr>
                <w:rFonts w:hint="eastAsia" w:ascii="宋体" w:hAnsi="宋体"/>
                <w:b w:val="0"/>
                <w:bCs w:val="0"/>
                <w:color w:val="auto"/>
                <w:szCs w:val="21"/>
                <w:highlight w:val="none"/>
              </w:rPr>
              <w:t>项</w:t>
            </w:r>
          </w:p>
        </w:tc>
        <w:tc>
          <w:tcPr>
            <w:tcW w:w="375" w:type="dxa"/>
            <w:tcBorders>
              <w:top w:val="single" w:color="auto" w:sz="4" w:space="0"/>
              <w:left w:val="single" w:color="auto" w:sz="4" w:space="0"/>
              <w:bottom w:val="single" w:color="auto" w:sz="4" w:space="0"/>
              <w:right w:val="single" w:color="auto" w:sz="4" w:space="0"/>
            </w:tcBorders>
            <w:vAlign w:val="center"/>
          </w:tcPr>
          <w:p w14:paraId="7162EB7B">
            <w:pPr>
              <w:spacing w:line="480" w:lineRule="exac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p>
        </w:tc>
        <w:tc>
          <w:tcPr>
            <w:tcW w:w="4500" w:type="dxa"/>
            <w:tcBorders>
              <w:top w:val="single" w:color="auto" w:sz="4" w:space="0"/>
              <w:left w:val="single" w:color="auto" w:sz="4" w:space="0"/>
              <w:bottom w:val="single" w:color="auto" w:sz="4" w:space="0"/>
              <w:right w:val="single" w:color="auto" w:sz="4" w:space="0"/>
            </w:tcBorders>
            <w:vAlign w:val="center"/>
          </w:tcPr>
          <w:p w14:paraId="5CFFF4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color w:val="auto"/>
                <w:highlight w:val="none"/>
                <w:lang w:val="en-US" w:eastAsia="zh-CN"/>
              </w:rPr>
            </w:pPr>
            <w:r>
              <w:rPr>
                <w:rFonts w:hint="eastAsia" w:ascii="宋体" w:hAnsi="宋体" w:eastAsia="宋体" w:cs="宋体"/>
                <w:b/>
                <w:bCs/>
                <w:color w:val="auto"/>
                <w:szCs w:val="21"/>
                <w:highlight w:val="none"/>
              </w:rPr>
              <w:t>1.</w:t>
            </w:r>
            <w:r>
              <w:rPr>
                <w:rFonts w:hint="eastAsia"/>
                <w:b/>
                <w:bCs/>
                <w:color w:val="auto"/>
                <w:highlight w:val="none"/>
                <w:lang w:val="en-US" w:eastAsia="zh-CN"/>
              </w:rPr>
              <w:t>项目主要建设内容：</w:t>
            </w:r>
          </w:p>
          <w:p w14:paraId="17E4121C">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b w:val="0"/>
                <w:bCs w:val="0"/>
                <w:color w:val="auto"/>
                <w:highlight w:val="none"/>
                <w:lang w:val="en-US" w:eastAsia="zh-CN"/>
              </w:rPr>
            </w:pPr>
            <w:r>
              <w:rPr>
                <w:rFonts w:hint="eastAsia"/>
                <w:b w:val="0"/>
                <w:bCs w:val="0"/>
                <w:color w:val="auto"/>
                <w:highlight w:val="none"/>
                <w:lang w:val="en-US" w:eastAsia="zh-CN"/>
              </w:rPr>
              <w:t>1）布泉水厂增设2套露天安装的重力式一体化过滤器（不锈钢，过滤流量60m3/h），新建1座容量150m3高位水池。更换原一体化过滤器石英过滤料41.84m³、并对原过滤器体进行除锈刷漆维护。</w:t>
            </w:r>
          </w:p>
          <w:p w14:paraId="222841EA">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b w:val="0"/>
                <w:bCs w:val="0"/>
                <w:color w:val="auto"/>
                <w:highlight w:val="none"/>
                <w:lang w:val="en-US" w:eastAsia="zh-CN"/>
              </w:rPr>
            </w:pPr>
            <w:r>
              <w:rPr>
                <w:rFonts w:hint="eastAsia"/>
                <w:b w:val="0"/>
                <w:bCs w:val="0"/>
                <w:color w:val="auto"/>
                <w:highlight w:val="none"/>
                <w:lang w:val="en-US" w:eastAsia="zh-CN"/>
              </w:rPr>
              <w:t>2）计划安装热镀锌钢管2234m，其中：DN200mm长74m、DN150mm长1335.6m、DN100mm长413.6m、DN80mm长381m、DN65mm长30m。</w:t>
            </w:r>
          </w:p>
          <w:p w14:paraId="2D6C4243">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b w:val="0"/>
                <w:bCs w:val="0"/>
                <w:color w:val="auto"/>
                <w:highlight w:val="none"/>
                <w:lang w:val="en-US" w:eastAsia="zh-CN"/>
              </w:rPr>
            </w:pPr>
            <w:r>
              <w:rPr>
                <w:rFonts w:hint="eastAsia"/>
                <w:b w:val="0"/>
                <w:bCs w:val="0"/>
                <w:color w:val="auto"/>
                <w:highlight w:val="none"/>
                <w:lang w:val="en-US" w:eastAsia="zh-CN"/>
              </w:rPr>
              <w:t>3）管道附属设施：配套闸阀15个、止回阀7个、减压阀1个、排气阀3个、排水阀1个、管道水表8个、更换入户DN20mm水表1160个、压力表4个、伸缩节10个、三通8个、90度弯头34个、135度弯头5个、镇墩39个、支墩23个。</w:t>
            </w:r>
          </w:p>
          <w:p w14:paraId="1EF70DF3">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b w:val="0"/>
                <w:bCs w:val="0"/>
                <w:color w:val="auto"/>
                <w:highlight w:val="none"/>
                <w:lang w:val="en-US" w:eastAsia="zh-CN"/>
              </w:rPr>
            </w:pPr>
            <w:r>
              <w:rPr>
                <w:rFonts w:hint="eastAsia"/>
                <w:b w:val="0"/>
                <w:bCs w:val="0"/>
                <w:color w:val="auto"/>
                <w:highlight w:val="none"/>
                <w:lang w:val="en-US" w:eastAsia="zh-CN"/>
              </w:rPr>
              <w:t>4）其他附属工程：新建4个遮阳钢架棚(净水器和机井葫芦架遮阳用)，配置泵房灭火器14个，破砼路5处，新建工程标志牌1个。</w:t>
            </w:r>
          </w:p>
          <w:p w14:paraId="698FC99A">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b w:val="0"/>
                <w:bCs w:val="0"/>
                <w:color w:val="auto"/>
                <w:highlight w:val="none"/>
                <w:lang w:val="en-US" w:eastAsia="zh-CN"/>
              </w:rPr>
            </w:pPr>
            <w:r>
              <w:rPr>
                <w:rFonts w:hint="eastAsia"/>
                <w:b w:val="0"/>
                <w:bCs w:val="0"/>
                <w:color w:val="auto"/>
                <w:highlight w:val="none"/>
                <w:lang w:val="en-US" w:eastAsia="zh-CN"/>
              </w:rPr>
              <w:t>5）机电部分：新增（更换）水泵机组10台套（工作泵4台、备用泵6台），总功率211KW(包含工作泵和备用泵)。计划建设电力变压器3座，兴隆水厂变压器由原80KVA增容为125KVA,布泉水厂变压器由原100KVA增容为250KVA,古同屯新建变压器容量为20KVA、并配置10KV高压线路120m。</w:t>
            </w:r>
          </w:p>
          <w:p w14:paraId="1240AC3A">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color w:val="auto"/>
                <w:highlight w:val="none"/>
              </w:rPr>
            </w:pPr>
            <w:r>
              <w:rPr>
                <w:rFonts w:hint="eastAsia"/>
                <w:color w:val="auto"/>
                <w:highlight w:val="none"/>
                <w:lang w:val="en-US" w:eastAsia="zh-CN"/>
              </w:rPr>
              <w:t>具体内容详见施工图纸及工程量清单所包含的内容</w:t>
            </w:r>
            <w:r>
              <w:rPr>
                <w:rFonts w:hint="eastAsia"/>
                <w:color w:val="auto"/>
                <w:highlight w:val="none"/>
              </w:rPr>
              <w:t>。</w:t>
            </w:r>
          </w:p>
          <w:p w14:paraId="7803F4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cs="宋体"/>
                <w:b/>
                <w:bCs/>
                <w:color w:val="auto"/>
                <w:szCs w:val="21"/>
                <w:highlight w:val="none"/>
                <w:lang w:val="en-US" w:eastAsia="zh-CN"/>
              </w:rPr>
              <w:t>2.</w:t>
            </w:r>
            <w:r>
              <w:rPr>
                <w:rFonts w:hint="eastAsia" w:ascii="宋体" w:hAnsi="宋体" w:eastAsia="宋体" w:cs="宋体"/>
                <w:b/>
                <w:bCs/>
                <w:color w:val="auto"/>
                <w:szCs w:val="21"/>
                <w:highlight w:val="none"/>
              </w:rPr>
              <w:t>建设地点：</w:t>
            </w:r>
            <w:r>
              <w:rPr>
                <w:rFonts w:hint="eastAsia" w:ascii="宋体" w:hAnsi="宋体"/>
                <w:color w:val="auto"/>
                <w:szCs w:val="21"/>
                <w:highlight w:val="none"/>
                <w:lang w:eastAsia="zh-CN"/>
              </w:rPr>
              <w:t>隆安县境内</w:t>
            </w:r>
            <w:r>
              <w:rPr>
                <w:rFonts w:hint="eastAsia" w:ascii="宋体" w:hAnsi="宋体" w:eastAsia="宋体" w:cs="宋体"/>
                <w:color w:val="auto"/>
                <w:szCs w:val="21"/>
                <w:highlight w:val="none"/>
                <w:lang w:val="en-US" w:eastAsia="zh-CN"/>
              </w:rPr>
              <w:t>。</w:t>
            </w:r>
          </w:p>
          <w:p w14:paraId="4A393D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szCs w:val="21"/>
                <w:highlight w:val="none"/>
                <w:lang w:eastAsia="zh-CN"/>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.工程建设地点的现场条件：</w:t>
            </w:r>
          </w:p>
          <w:p w14:paraId="29277B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（1）现场自然条件：满足施工要求。</w:t>
            </w:r>
          </w:p>
          <w:p w14:paraId="636631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（2）现场施工条件：符合施工要求。</w:t>
            </w:r>
          </w:p>
          <w:p w14:paraId="066AAE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kern w:val="0"/>
                <w:szCs w:val="21"/>
                <w:highlight w:val="none"/>
              </w:rPr>
            </w:pPr>
            <w:r>
              <w:rPr>
                <w:rFonts w:hint="eastAsia" w:ascii="宋体" w:hAnsi="宋体" w:eastAsia="宋体" w:cs="Times New Roman"/>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w:t>
            </w:r>
            <w:r>
              <w:rPr>
                <w:rFonts w:hint="eastAsia" w:ascii="宋体" w:hAnsi="宋体" w:eastAsia="宋体" w:cs="Times New Roman"/>
                <w:b/>
                <w:bCs/>
                <w:color w:val="auto"/>
                <w:kern w:val="0"/>
                <w:szCs w:val="21"/>
                <w:highlight w:val="none"/>
              </w:rPr>
              <w:t>人员最低配备要求</w:t>
            </w:r>
          </w:p>
          <w:p w14:paraId="69AE57F1">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拟投入本工程的人员必须是本单位的在岗人员，并持有相应的执业资格证书，对相关人员的具体条件要求如下：</w:t>
            </w:r>
          </w:p>
          <w:p w14:paraId="6994754F">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（1）项目经理：持有贰级或贰级以上建造师注册证书，专业是水利水电工程专业（以建造师注册证书中“专业类别”栏所填写的专业为准）；持有省级或省级以上水行政主管部门或其授权部门（机构）颁发的 B 类安全生产考核合格证书。项目经理不得在任何在建工程中担任任何管理职务。</w:t>
            </w:r>
          </w:p>
          <w:p w14:paraId="418D7190">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符合以下条件之一的，界定为无在建工程：</w:t>
            </w:r>
          </w:p>
          <w:p w14:paraId="51707E39">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①在建项目施工合同（包括签订的补充协议）工期已结束。</w:t>
            </w:r>
          </w:p>
          <w:p w14:paraId="030B39AD">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②项目</w:t>
            </w:r>
            <w:r>
              <w:rPr>
                <w:rFonts w:hint="eastAsia" w:ascii="宋体" w:hAnsi="宋体"/>
                <w:color w:val="auto"/>
                <w:kern w:val="0"/>
                <w:szCs w:val="21"/>
                <w:highlight w:val="none"/>
                <w:lang w:val="en-US" w:eastAsia="zh-CN"/>
              </w:rPr>
              <w:t>通过合同工程验收或竣工验收。</w:t>
            </w:r>
          </w:p>
          <w:p w14:paraId="1025AAFA">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③发包人原因造成停工的，工程项目已按建设管理程序办理停工手续。</w:t>
            </w:r>
          </w:p>
          <w:p w14:paraId="3D2A0CF2">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（2）技术负责人：持有中级及以上技术职称，专业是水利水电工程类专业（专业以技术职称证书所填写专业为准）。</w:t>
            </w:r>
          </w:p>
          <w:p w14:paraId="4C7EB6BC">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（3）质量管理员：持有省级或省级以上水行政主管部门或其授权部门（机构）颁发的质量检查员证书。</w:t>
            </w:r>
          </w:p>
          <w:p w14:paraId="4D38F1CC">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（4）安全管理员：持有省级或省级以上水行政主管部门或其授权部门（机构）颁发的 c 类安全生产考核合格证书。</w:t>
            </w:r>
          </w:p>
          <w:p w14:paraId="7C2B3EFD">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（5）施工员：须持有工程施工员岗位证书。</w:t>
            </w:r>
          </w:p>
          <w:p w14:paraId="0AE5DE7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s="宋体"/>
                <w:b w:val="0"/>
                <w:bCs w:val="0"/>
                <w:color w:val="auto"/>
                <w:szCs w:val="21"/>
                <w:highlight w:val="none"/>
                <w:lang w:eastAsia="zh-CN"/>
              </w:rPr>
            </w:pPr>
            <w:r>
              <w:rPr>
                <w:rFonts w:hint="eastAsia" w:ascii="宋体" w:hAnsi="宋体"/>
                <w:color w:val="000000" w:themeColor="text1"/>
                <w:kern w:val="0"/>
                <w:szCs w:val="21"/>
                <w:highlight w:val="none"/>
                <w:lang w:val="en-US" w:eastAsia="zh-CN"/>
                <w14:textFill>
                  <w14:solidFill>
                    <w14:schemeClr w14:val="tx1"/>
                  </w14:solidFill>
                </w14:textFill>
              </w:rPr>
              <w:t>（6）材料员：须持有工程材料员岗位证书。</w:t>
            </w:r>
          </w:p>
        </w:tc>
        <w:tc>
          <w:tcPr>
            <w:tcW w:w="1380" w:type="dxa"/>
            <w:tcBorders>
              <w:top w:val="single" w:color="auto" w:sz="4" w:space="0"/>
              <w:left w:val="single" w:color="auto" w:sz="4" w:space="0"/>
              <w:bottom w:val="single" w:color="auto" w:sz="4" w:space="0"/>
              <w:right w:val="single" w:color="auto" w:sz="4" w:space="0"/>
            </w:tcBorders>
            <w:vAlign w:val="center"/>
          </w:tcPr>
          <w:p w14:paraId="363743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val="en-US" w:eastAsia="zh-CN"/>
              </w:rPr>
              <w:t>2051573.27</w:t>
            </w:r>
          </w:p>
        </w:tc>
        <w:tc>
          <w:tcPr>
            <w:tcW w:w="1163" w:type="dxa"/>
            <w:tcBorders>
              <w:top w:val="single" w:color="auto" w:sz="4" w:space="0"/>
              <w:left w:val="single" w:color="auto" w:sz="4" w:space="0"/>
              <w:bottom w:val="single" w:color="auto" w:sz="4" w:space="0"/>
              <w:right w:val="single" w:color="auto" w:sz="4" w:space="0"/>
            </w:tcBorders>
            <w:vAlign w:val="center"/>
          </w:tcPr>
          <w:p w14:paraId="75D5EFB0">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5844B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vAlign w:val="top"/>
          </w:tcPr>
          <w:p w14:paraId="44F7D2D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商务条款</w:t>
            </w:r>
          </w:p>
        </w:tc>
        <w:tc>
          <w:tcPr>
            <w:tcW w:w="9478" w:type="dxa"/>
            <w:gridSpan w:val="7"/>
            <w:tcBorders>
              <w:top w:val="single" w:color="auto" w:sz="4" w:space="0"/>
              <w:left w:val="single" w:color="auto" w:sz="4" w:space="0"/>
              <w:bottom w:val="single" w:color="auto" w:sz="4" w:space="0"/>
              <w:right w:val="single" w:color="auto" w:sz="4" w:space="0"/>
            </w:tcBorders>
            <w:vAlign w:val="top"/>
          </w:tcPr>
          <w:p w14:paraId="1CC72B0B">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▲一、合同签订期：自成交通知书发出之日起25日内</w:t>
            </w:r>
            <w:r>
              <w:rPr>
                <w:rFonts w:hint="eastAsia" w:ascii="宋体" w:hAnsi="宋体" w:cs="Times New Roman"/>
                <w:color w:val="auto"/>
                <w:szCs w:val="21"/>
                <w:highlight w:val="none"/>
                <w:lang w:val="en-US" w:eastAsia="zh-CN"/>
              </w:rPr>
              <w:t>。</w:t>
            </w:r>
          </w:p>
          <w:p w14:paraId="022A8655">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工期</w:t>
            </w:r>
            <w:r>
              <w:rPr>
                <w:rFonts w:hint="eastAsia" w:ascii="宋体" w:hAnsi="宋体" w:eastAsia="宋体" w:cs="宋体"/>
                <w:color w:val="auto"/>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90日历天</w:t>
            </w:r>
            <w:r>
              <w:rPr>
                <w:rFonts w:hint="eastAsia" w:ascii="宋体" w:hAnsi="宋体" w:eastAsia="宋体" w:cs="宋体"/>
                <w:color w:val="auto"/>
                <w:szCs w:val="21"/>
                <w:highlight w:val="none"/>
              </w:rPr>
              <w:t>。</w:t>
            </w:r>
          </w:p>
          <w:p w14:paraId="1512A2AA">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color w:val="auto"/>
                <w:szCs w:val="21"/>
                <w:highlight w:val="none"/>
                <w:lang w:eastAsia="zh-CN"/>
              </w:rPr>
              <w:t>具体</w:t>
            </w:r>
            <w:r>
              <w:rPr>
                <w:rFonts w:hint="eastAsia" w:ascii="宋体" w:hAnsi="宋体"/>
                <w:color w:val="auto"/>
                <w:szCs w:val="21"/>
                <w:highlight w:val="none"/>
              </w:rPr>
              <w:t>以</w:t>
            </w:r>
            <w:r>
              <w:rPr>
                <w:rFonts w:hint="eastAsia" w:ascii="宋体" w:hAnsi="宋体"/>
                <w:color w:val="auto"/>
                <w:szCs w:val="21"/>
                <w:highlight w:val="none"/>
                <w:lang w:eastAsia="zh-CN"/>
              </w:rPr>
              <w:t>监理单位签发的合同工程开工批复</w:t>
            </w:r>
            <w:r>
              <w:rPr>
                <w:rFonts w:hint="eastAsia" w:ascii="宋体" w:hAnsi="宋体"/>
                <w:color w:val="auto"/>
                <w:szCs w:val="21"/>
                <w:highlight w:val="none"/>
              </w:rPr>
              <w:t>为准。</w:t>
            </w:r>
          </w:p>
          <w:p w14:paraId="6A67094C">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四、</w:t>
            </w:r>
            <w:r>
              <w:rPr>
                <w:rFonts w:hint="eastAsia" w:ascii="宋体" w:hAnsi="宋体" w:eastAsia="宋体" w:cs="Times New Roman"/>
                <w:color w:val="auto"/>
                <w:szCs w:val="21"/>
                <w:highlight w:val="none"/>
              </w:rPr>
              <w:t>建设地点：</w:t>
            </w:r>
            <w:r>
              <w:rPr>
                <w:rFonts w:hint="eastAsia" w:ascii="宋体" w:hAnsi="宋体" w:eastAsia="宋体" w:cs="Times New Roman"/>
                <w:color w:val="auto"/>
                <w:szCs w:val="21"/>
                <w:highlight w:val="none"/>
                <w:lang w:eastAsia="zh-CN"/>
              </w:rPr>
              <w:t>采购人指定地点</w:t>
            </w:r>
            <w:r>
              <w:rPr>
                <w:rFonts w:hint="eastAsia" w:ascii="宋体" w:hAnsi="宋体" w:cs="Times New Roman"/>
                <w:color w:val="auto"/>
                <w:szCs w:val="21"/>
                <w:highlight w:val="none"/>
                <w:lang w:eastAsia="zh-CN"/>
              </w:rPr>
              <w:t>。</w:t>
            </w:r>
          </w:p>
          <w:p w14:paraId="68A93DDB">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五</w:t>
            </w:r>
            <w:r>
              <w:rPr>
                <w:rFonts w:hint="eastAsia" w:ascii="宋体" w:hAnsi="宋体"/>
                <w:color w:val="auto"/>
                <w:szCs w:val="21"/>
                <w:highlight w:val="none"/>
              </w:rPr>
              <w:t>、工程质量要求：达到国家施工验收规范合格标准。</w:t>
            </w:r>
          </w:p>
          <w:p w14:paraId="1904546E">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六</w:t>
            </w:r>
            <w:r>
              <w:rPr>
                <w:rFonts w:hint="eastAsia" w:ascii="宋体" w:hAnsi="宋体" w:eastAsia="宋体" w:cs="Times New Roman"/>
                <w:color w:val="auto"/>
                <w:szCs w:val="21"/>
                <w:highlight w:val="none"/>
              </w:rPr>
              <w:t>、项目实施要求：</w:t>
            </w:r>
          </w:p>
          <w:p w14:paraId="6F084EB6">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1.处理问题响应时间：接到采购人处理问题通知后2小时内到达采购人指定现场。</w:t>
            </w:r>
          </w:p>
          <w:p w14:paraId="40736284">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2.成交人如需更换项目管理人员，需向采购人书面申请，经采购人审批许可，替换的人员所具备的资质不得低于原人员的资质。</w:t>
            </w:r>
          </w:p>
          <w:p w14:paraId="0A29F3F5">
            <w:pPr>
              <w:spacing w:line="360" w:lineRule="auto"/>
              <w:ind w:firstLine="420" w:firstLineChars="200"/>
              <w:rPr>
                <w:rFonts w:hint="eastAsia" w:ascii="宋体" w:hAnsi="宋体"/>
                <w:color w:val="auto"/>
                <w:highlight w:val="none"/>
              </w:rPr>
            </w:pPr>
            <w:r>
              <w:rPr>
                <w:rFonts w:hint="eastAsia" w:ascii="宋体" w:hAnsi="宋体" w:eastAsia="宋体" w:cs="Times New Roman"/>
                <w:color w:val="auto"/>
                <w:szCs w:val="21"/>
                <w:highlight w:val="none"/>
                <w:lang w:val="en-US" w:eastAsia="zh-CN"/>
              </w:rPr>
              <w:t>3.如因成交人原因导致本项目竣工验收不合格的，成交人应整改至通过竣工验收为止且自行承担相应的费用，采购人不另行支付费用。如因成交人拒绝整改或经采购人书面通知整改两次仍不合格的，采购人不予支付合同款项并按合同扣罚违约金</w:t>
            </w:r>
            <w:r>
              <w:rPr>
                <w:rFonts w:hint="eastAsia" w:ascii="宋体" w:hAnsi="宋体"/>
                <w:color w:val="auto"/>
                <w:highlight w:val="none"/>
              </w:rPr>
              <w:t>。</w:t>
            </w:r>
          </w:p>
          <w:p w14:paraId="4B94ED69">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七</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付款方式</w:t>
            </w:r>
            <w:r>
              <w:rPr>
                <w:rFonts w:hint="eastAsia" w:ascii="宋体" w:hAnsi="宋体" w:eastAsia="宋体" w:cs="Times New Roman"/>
                <w:color w:val="auto"/>
                <w:szCs w:val="21"/>
                <w:highlight w:val="none"/>
              </w:rPr>
              <w:t>：</w:t>
            </w:r>
          </w:p>
          <w:p w14:paraId="64AEF6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预付款：工程预付款总金额为合同价格的30%(不含安全文明措施费)，在承包人向发包人提交了经发包人认可的履约保证金后，由承包人提出书面申请，经监理人核实后出具付款证书提交给发包人，发包人收到监理人出具的付款证书后办理支付手续给承包人。</w:t>
            </w:r>
          </w:p>
          <w:p w14:paraId="478368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yellow"/>
                <w:lang w:val="en-US" w:eastAsia="zh-CN"/>
              </w:rPr>
            </w:pPr>
            <w:r>
              <w:rPr>
                <w:rFonts w:hint="eastAsia" w:ascii="宋体" w:hAnsi="宋体" w:eastAsia="宋体" w:cs="宋体"/>
                <w:color w:val="auto"/>
                <w:highlight w:val="none"/>
                <w:lang w:val="en-US" w:eastAsia="zh-CN"/>
              </w:rPr>
              <w:t>工程进度付款的支付比例：每个付款周期按实际完成工程量的90%支付工程进度款，但最高不超过合同总价款的80%</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余款在工程完工结算经财政评审确认后申请支付。</w:t>
            </w:r>
          </w:p>
          <w:p w14:paraId="364B23A0">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八</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报价要求</w:t>
            </w:r>
            <w:r>
              <w:rPr>
                <w:rFonts w:hint="eastAsia" w:ascii="宋体" w:hAnsi="宋体" w:eastAsia="宋体" w:cs="Times New Roman"/>
                <w:color w:val="auto"/>
                <w:szCs w:val="21"/>
                <w:highlight w:val="none"/>
              </w:rPr>
              <w:t>：</w:t>
            </w:r>
          </w:p>
          <w:p w14:paraId="6D5EA63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1.本项目采用工程量清单报价方式。磋商报价不得高于最高限价，否则竞标无效；最后报价与首次报价相比有调整的，供应商提交的最后报价必须包含已标价的工程量清单（上传格式必须为PDF格式），供应商须提前做好相关准备并按时递交最终报价文件，否则报价无效</w:t>
            </w:r>
            <w:r>
              <w:rPr>
                <w:rFonts w:hint="eastAsia" w:ascii="宋体" w:hAnsi="宋体" w:eastAsia="宋体" w:cs="宋体"/>
                <w:b/>
                <w:bCs/>
                <w:color w:val="auto"/>
                <w:szCs w:val="21"/>
                <w:highlight w:val="none"/>
              </w:rPr>
              <w:t>。</w:t>
            </w:r>
          </w:p>
          <w:p w14:paraId="50451B3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报价必须包含以下部分，包括：</w:t>
            </w:r>
          </w:p>
          <w:p w14:paraId="209286D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①满足本项目全部采购需求，包含投标服务、货物、工程的成本、运输（含保险）、安装（如有）、调试、检验、技术服务、培训等所有费用。</w:t>
            </w:r>
          </w:p>
          <w:p w14:paraId="2E3D37B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default"/>
                <w:color w:val="auto"/>
                <w:highlight w:val="none"/>
                <w:lang w:val="en-US" w:eastAsia="zh-CN"/>
              </w:rPr>
            </w:pPr>
            <w:r>
              <w:rPr>
                <w:rFonts w:hint="eastAsia" w:ascii="宋体" w:hAnsi="宋体" w:eastAsia="宋体" w:cs="Times New Roman"/>
                <w:color w:val="auto"/>
                <w:szCs w:val="21"/>
                <w:highlight w:val="none"/>
              </w:rPr>
              <w:t>②必要的保险费和各项税金</w:t>
            </w:r>
            <w:r>
              <w:rPr>
                <w:rFonts w:hint="eastAsia" w:ascii="宋体" w:hAnsi="宋体" w:cs="宋体"/>
                <w:color w:val="auto"/>
                <w:szCs w:val="21"/>
                <w:highlight w:val="none"/>
                <w:lang w:bidi="ar"/>
              </w:rPr>
              <w:t>（成交供应商需为该工程购买工程一切险）</w:t>
            </w:r>
            <w:r>
              <w:rPr>
                <w:rFonts w:hint="eastAsia" w:ascii="宋体" w:hAnsi="宋体" w:eastAsia="宋体" w:cs="Times New Roman"/>
                <w:color w:val="auto"/>
                <w:szCs w:val="21"/>
                <w:highlight w:val="none"/>
              </w:rPr>
              <w:t>。</w:t>
            </w:r>
          </w:p>
        </w:tc>
      </w:tr>
      <w:tr w14:paraId="7B8E9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4DA5D7C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478" w:type="dxa"/>
            <w:gridSpan w:val="7"/>
            <w:tcBorders>
              <w:top w:val="single" w:color="auto" w:sz="4" w:space="0"/>
              <w:left w:val="single" w:color="auto" w:sz="4" w:space="0"/>
              <w:bottom w:val="single" w:color="auto" w:sz="4" w:space="0"/>
              <w:right w:val="single" w:color="auto" w:sz="4" w:space="0"/>
            </w:tcBorders>
            <w:vAlign w:val="top"/>
          </w:tcPr>
          <w:p w14:paraId="36581472">
            <w:pPr>
              <w:tabs>
                <w:tab w:val="left" w:pos="180"/>
                <w:tab w:val="left" w:pos="1620"/>
              </w:tabs>
              <w:spacing w:line="400" w:lineRule="exact"/>
              <w:rPr>
                <w:rFonts w:hint="eastAsia"/>
                <w:color w:val="auto"/>
                <w:szCs w:val="21"/>
                <w:highlight w:val="none"/>
              </w:rPr>
            </w:pPr>
            <w:r>
              <w:rPr>
                <w:rFonts w:hint="eastAsia"/>
                <w:b/>
                <w:bCs/>
                <w:color w:val="auto"/>
                <w:szCs w:val="21"/>
                <w:highlight w:val="none"/>
              </w:rPr>
              <w:t>一</w:t>
            </w:r>
            <w:r>
              <w:rPr>
                <w:rFonts w:hint="eastAsia"/>
                <w:color w:val="auto"/>
                <w:szCs w:val="21"/>
                <w:highlight w:val="none"/>
                <w:lang w:val="en-US" w:eastAsia="zh-CN"/>
              </w:rPr>
              <w:t>、</w:t>
            </w:r>
            <w:r>
              <w:rPr>
                <w:rFonts w:hint="eastAsia"/>
                <w:color w:val="auto"/>
                <w:szCs w:val="21"/>
                <w:highlight w:val="none"/>
              </w:rPr>
              <w:t>与本项目有关的设计图纸、技术规范、文件等附件资料及其获取方式（如有）</w:t>
            </w:r>
          </w:p>
          <w:p w14:paraId="2CFEF443">
            <w:pPr>
              <w:tabs>
                <w:tab w:val="left" w:pos="180"/>
                <w:tab w:val="left" w:pos="1620"/>
              </w:tabs>
              <w:spacing w:line="400" w:lineRule="exact"/>
              <w:rPr>
                <w:rFonts w:hint="eastAsia"/>
                <w:color w:val="auto"/>
                <w:szCs w:val="21"/>
                <w:highlight w:val="none"/>
              </w:rPr>
            </w:pPr>
            <w:r>
              <w:rPr>
                <w:rFonts w:hint="eastAsia"/>
                <w:color w:val="auto"/>
                <w:szCs w:val="21"/>
                <w:highlight w:val="none"/>
              </w:rPr>
              <w:t xml:space="preserve">文件或者资料名称：工程量清单、图纸           </w:t>
            </w:r>
          </w:p>
          <w:p w14:paraId="17A33881">
            <w:pPr>
              <w:tabs>
                <w:tab w:val="left" w:pos="180"/>
                <w:tab w:val="left" w:pos="1620"/>
              </w:tabs>
              <w:spacing w:line="400" w:lineRule="exact"/>
              <w:rPr>
                <w:rFonts w:hint="eastAsia"/>
                <w:color w:val="auto"/>
                <w:szCs w:val="21"/>
                <w:highlight w:val="none"/>
              </w:rPr>
            </w:pPr>
            <w:r>
              <w:rPr>
                <w:rFonts w:hint="eastAsia"/>
                <w:color w:val="auto"/>
                <w:szCs w:val="21"/>
                <w:highlight w:val="none"/>
              </w:rPr>
              <w:t>公布渠道或者获取方式：</w:t>
            </w:r>
            <w:r>
              <w:rPr>
                <w:rFonts w:hint="eastAsia"/>
                <w:color w:val="auto"/>
                <w:szCs w:val="21"/>
                <w:highlight w:val="none"/>
                <w:lang w:eastAsia="zh-CN"/>
              </w:rPr>
              <w:t>“广西政府采购云平台”</w:t>
            </w:r>
            <w:r>
              <w:rPr>
                <w:rFonts w:hint="eastAsia"/>
                <w:color w:val="auto"/>
                <w:szCs w:val="21"/>
                <w:highlight w:val="none"/>
              </w:rPr>
              <w:t xml:space="preserve">下载      </w:t>
            </w:r>
          </w:p>
          <w:p w14:paraId="04C8D64F">
            <w:pPr>
              <w:widowControl/>
              <w:shd w:val="clear" w:color="auto" w:fill="FFFFFF"/>
              <w:spacing w:line="400" w:lineRule="exact"/>
              <w:rPr>
                <w:rFonts w:hint="eastAsia"/>
                <w:color w:val="auto"/>
                <w:szCs w:val="21"/>
                <w:highlight w:val="none"/>
              </w:rPr>
            </w:pPr>
            <w:r>
              <w:rPr>
                <w:rFonts w:hint="eastAsia"/>
                <w:color w:val="auto"/>
                <w:szCs w:val="21"/>
                <w:highlight w:val="none"/>
                <w:lang w:val="en-US" w:eastAsia="zh-CN"/>
              </w:rPr>
              <w:t>二</w:t>
            </w:r>
            <w:r>
              <w:rPr>
                <w:rFonts w:hint="eastAsia"/>
                <w:color w:val="auto"/>
                <w:szCs w:val="21"/>
                <w:highlight w:val="none"/>
              </w:rPr>
              <w:t>、其他</w:t>
            </w:r>
          </w:p>
          <w:p w14:paraId="63033DA0">
            <w:pPr>
              <w:widowControl/>
              <w:shd w:val="clear" w:color="auto" w:fill="FFFFFF"/>
              <w:spacing w:line="400" w:lineRule="exact"/>
              <w:rPr>
                <w:rFonts w:hint="eastAsia" w:ascii="宋体" w:hAnsi="宋体" w:cs="宋体"/>
                <w:color w:val="auto"/>
                <w:szCs w:val="21"/>
                <w:highlight w:val="none"/>
              </w:rPr>
            </w:pPr>
            <w:r>
              <w:rPr>
                <w:rFonts w:hint="eastAsia" w:ascii="宋体" w:hAnsi="宋体" w:cs="宋体"/>
                <w:color w:val="auto"/>
                <w:szCs w:val="21"/>
                <w:highlight w:val="none"/>
              </w:rPr>
              <w:t>1、是否进行演示：否</w:t>
            </w:r>
          </w:p>
          <w:p w14:paraId="4775DE8C">
            <w:pPr>
              <w:widowControl/>
              <w:shd w:val="clear" w:color="auto" w:fill="FFFFFF"/>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2、是否要求提供样品：否</w:t>
            </w:r>
          </w:p>
          <w:p w14:paraId="6DFE814A">
            <w:pPr>
              <w:pStyle w:val="51"/>
              <w:numPr>
                <w:ilvl w:val="0"/>
                <w:numId w:val="0"/>
              </w:numPr>
              <w:ind w:left="0" w:leftChars="0" w:firstLine="0" w:firstLineChars="0"/>
              <w:rPr>
                <w:rFonts w:ascii="宋体" w:hAnsi="宋体"/>
                <w:color w:val="auto"/>
                <w:szCs w:val="21"/>
                <w:highlight w:val="none"/>
              </w:rPr>
            </w:pPr>
            <w:r>
              <w:rPr>
                <w:rFonts w:hint="eastAsia" w:ascii="宋体" w:hAnsi="宋体" w:cs="宋体"/>
                <w:color w:val="auto"/>
                <w:sz w:val="21"/>
                <w:szCs w:val="21"/>
                <w:highlight w:val="none"/>
              </w:rPr>
              <w:t>3、是否现场踏勘：否</w:t>
            </w:r>
          </w:p>
        </w:tc>
      </w:tr>
    </w:tbl>
    <w:p w14:paraId="59907791">
      <w:pPr>
        <w:spacing w:line="360" w:lineRule="auto"/>
        <w:rPr>
          <w:rFonts w:hint="eastAsia" w:ascii="宋体" w:hAnsi="宋体" w:eastAsia="宋体" w:cs="宋体"/>
          <w:color w:val="auto"/>
          <w:sz w:val="32"/>
          <w:szCs w:val="32"/>
          <w:highlight w:val="none"/>
        </w:rPr>
        <w:sectPr>
          <w:footerReference r:id="rId10"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3EFF421F">
      <w:pPr>
        <w:spacing w:line="428" w:lineRule="exact"/>
        <w:rPr>
          <w:rFonts w:ascii="Arial Unicode MS" w:hAnsi="Arial Unicode MS" w:eastAsia="Times New Roman" w:cs="Arial Unicode MS"/>
          <w:color w:val="auto"/>
          <w:sz w:val="17"/>
          <w:szCs w:val="17"/>
          <w:highlight w:val="none"/>
        </w:rPr>
      </w:pPr>
      <w:bookmarkStart w:id="44" w:name="_Toc23956"/>
      <w:bookmarkStart w:id="45" w:name="_Toc17962"/>
      <w:bookmarkStart w:id="46" w:name="_Toc30087"/>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78B78633">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8"/>
        <w:tblW w:w="9469" w:type="dxa"/>
        <w:tblInd w:w="93" w:type="dxa"/>
        <w:tblLayout w:type="fixed"/>
        <w:tblCellMar>
          <w:top w:w="0" w:type="dxa"/>
          <w:left w:w="108" w:type="dxa"/>
          <w:bottom w:w="0" w:type="dxa"/>
          <w:right w:w="108" w:type="dxa"/>
        </w:tblCellMar>
      </w:tblPr>
      <w:tblGrid>
        <w:gridCol w:w="641"/>
        <w:gridCol w:w="1116"/>
        <w:gridCol w:w="1516"/>
        <w:gridCol w:w="1612"/>
        <w:gridCol w:w="4584"/>
      </w:tblGrid>
      <w:tr w14:paraId="43066CFD">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vAlign w:val="top"/>
          </w:tcPr>
          <w:p w14:paraId="28335C31">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vAlign w:val="center"/>
          </w:tcPr>
          <w:p w14:paraId="4EEFE933">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名称</w:t>
            </w:r>
          </w:p>
        </w:tc>
        <w:tc>
          <w:tcPr>
            <w:tcW w:w="4584" w:type="dxa"/>
            <w:tcBorders>
              <w:top w:val="single" w:color="000000" w:sz="8" w:space="0"/>
              <w:left w:val="nil"/>
              <w:bottom w:val="single" w:color="000000" w:sz="8" w:space="0"/>
              <w:right w:val="single" w:color="000000" w:sz="8" w:space="0"/>
            </w:tcBorders>
            <w:vAlign w:val="center"/>
          </w:tcPr>
          <w:p w14:paraId="27F2586D">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依据的标准</w:t>
            </w:r>
          </w:p>
        </w:tc>
      </w:tr>
      <w:tr w14:paraId="0A7DBFC5">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18CA4E5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vAlign w:val="center"/>
          </w:tcPr>
          <w:p w14:paraId="75CFB9D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vAlign w:val="center"/>
          </w:tcPr>
          <w:p w14:paraId="5812D0C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vAlign w:val="center"/>
          </w:tcPr>
          <w:p w14:paraId="41BA57A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771284F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2AB7645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397E7D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5E9DF9AA">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018DCDD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vAlign w:val="center"/>
          </w:tcPr>
          <w:p w14:paraId="0D54D6A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524E634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3B38F32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9C2E9DB">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15E0E4B5">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1C77182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vAlign w:val="center"/>
          </w:tcPr>
          <w:p w14:paraId="4333D53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18FE22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66042FC6">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41303DE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vAlign w:val="center"/>
          </w:tcPr>
          <w:p w14:paraId="2FF77E7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vAlign w:val="center"/>
          </w:tcPr>
          <w:p w14:paraId="2CD4FE2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vAlign w:val="center"/>
          </w:tcPr>
          <w:p w14:paraId="5F989B5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A0201060101喷墨打印机</w:t>
            </w:r>
          </w:p>
        </w:tc>
        <w:tc>
          <w:tcPr>
            <w:tcW w:w="4584" w:type="dxa"/>
            <w:tcBorders>
              <w:top w:val="nil"/>
              <w:left w:val="nil"/>
              <w:bottom w:val="single" w:color="000000" w:sz="8" w:space="0"/>
              <w:right w:val="single" w:color="000000" w:sz="8" w:space="0"/>
            </w:tcBorders>
            <w:vAlign w:val="center"/>
          </w:tcPr>
          <w:p w14:paraId="2237F63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44FD2AE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93791E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D88691F">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464C66FC">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29606D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A0201060102激光打印机</w:t>
            </w:r>
          </w:p>
        </w:tc>
        <w:tc>
          <w:tcPr>
            <w:tcW w:w="4584" w:type="dxa"/>
            <w:tcBorders>
              <w:top w:val="nil"/>
              <w:left w:val="nil"/>
              <w:bottom w:val="single" w:color="000000" w:sz="8" w:space="0"/>
              <w:right w:val="single" w:color="000000" w:sz="8" w:space="0"/>
            </w:tcBorders>
            <w:vAlign w:val="center"/>
          </w:tcPr>
          <w:p w14:paraId="4B331B1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1158BB4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F5D50F0">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34DBE34A">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73904084">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1D49DE9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A0201060104针式打印机</w:t>
            </w:r>
          </w:p>
        </w:tc>
        <w:tc>
          <w:tcPr>
            <w:tcW w:w="4584" w:type="dxa"/>
            <w:tcBorders>
              <w:top w:val="nil"/>
              <w:left w:val="nil"/>
              <w:bottom w:val="single" w:color="000000" w:sz="8" w:space="0"/>
              <w:right w:val="single" w:color="000000" w:sz="8" w:space="0"/>
            </w:tcBorders>
            <w:vAlign w:val="center"/>
          </w:tcPr>
          <w:p w14:paraId="22D1E79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6271696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BE87DF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646DCCCF">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1117649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vAlign w:val="center"/>
          </w:tcPr>
          <w:p w14:paraId="3B1C681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A0201060401液晶显示器</w:t>
            </w:r>
          </w:p>
        </w:tc>
        <w:tc>
          <w:tcPr>
            <w:tcW w:w="4584" w:type="dxa"/>
            <w:tcBorders>
              <w:top w:val="nil"/>
              <w:left w:val="nil"/>
              <w:bottom w:val="single" w:color="000000" w:sz="8" w:space="0"/>
              <w:right w:val="single" w:color="000000" w:sz="8" w:space="0"/>
            </w:tcBorders>
            <w:vAlign w:val="center"/>
          </w:tcPr>
          <w:p w14:paraId="64A95FE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《计算机显示器能效限定值及能效等级》（</w:t>
            </w:r>
            <w:r>
              <w:rPr>
                <w:rFonts w:ascii="宋体" w:hAnsi="宋体" w:eastAsia="Times New Roman" w:cs="宋体"/>
                <w:color w:val="auto"/>
                <w:kern w:val="0"/>
                <w:sz w:val="20"/>
                <w:szCs w:val="20"/>
                <w:highlight w:val="none"/>
              </w:rPr>
              <w:t>GB21520）</w:t>
            </w:r>
          </w:p>
        </w:tc>
      </w:tr>
      <w:tr w14:paraId="6DCF045D">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16882EA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63970107">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0155A14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vAlign w:val="center"/>
          </w:tcPr>
          <w:p w14:paraId="58A74A9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A0201060901扫描仪</w:t>
            </w:r>
          </w:p>
        </w:tc>
        <w:tc>
          <w:tcPr>
            <w:tcW w:w="4584" w:type="dxa"/>
            <w:tcBorders>
              <w:top w:val="nil"/>
              <w:left w:val="nil"/>
              <w:bottom w:val="single" w:color="000000" w:sz="8" w:space="0"/>
              <w:right w:val="single" w:color="000000" w:sz="8" w:space="0"/>
            </w:tcBorders>
            <w:vAlign w:val="center"/>
          </w:tcPr>
          <w:p w14:paraId="746E1CF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参照《复印机、打印机和传真机能效限定值及能效等级》（</w:t>
            </w:r>
            <w:r>
              <w:rPr>
                <w:rFonts w:ascii="宋体" w:hAnsi="宋体" w:eastAsia="Times New Roman" w:cs="宋体"/>
                <w:color w:val="auto"/>
                <w:kern w:val="0"/>
                <w:sz w:val="20"/>
                <w:szCs w:val="20"/>
                <w:highlight w:val="none"/>
              </w:rPr>
              <w:t>GB21521中打印速度为15页/分的针式打印机相关要求中打印速度为15页/分的针式打印机相关要求</w:t>
            </w:r>
          </w:p>
        </w:tc>
      </w:tr>
      <w:tr w14:paraId="156B869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D95B28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3</w:t>
            </w:r>
          </w:p>
        </w:tc>
        <w:tc>
          <w:tcPr>
            <w:tcW w:w="1116" w:type="dxa"/>
            <w:tcBorders>
              <w:top w:val="nil"/>
              <w:left w:val="nil"/>
              <w:bottom w:val="single" w:color="000000" w:sz="8" w:space="0"/>
              <w:right w:val="single" w:color="000000" w:sz="8" w:space="0"/>
            </w:tcBorders>
            <w:vAlign w:val="center"/>
          </w:tcPr>
          <w:p w14:paraId="55E25DF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vAlign w:val="center"/>
          </w:tcPr>
          <w:p w14:paraId="64A3B24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1E65906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D04239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《投影机能效限定值及能效等级》（</w:t>
            </w:r>
            <w:r>
              <w:rPr>
                <w:rFonts w:ascii="宋体" w:hAnsi="宋体" w:eastAsia="Times New Roman" w:cs="宋体"/>
                <w:color w:val="auto"/>
                <w:kern w:val="0"/>
                <w:sz w:val="20"/>
                <w:szCs w:val="20"/>
                <w:highlight w:val="none"/>
              </w:rPr>
              <w:t>GB32028）</w:t>
            </w:r>
          </w:p>
        </w:tc>
      </w:tr>
      <w:tr w14:paraId="4FE93C3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279AA1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4</w:t>
            </w:r>
          </w:p>
        </w:tc>
        <w:tc>
          <w:tcPr>
            <w:tcW w:w="1116" w:type="dxa"/>
            <w:tcBorders>
              <w:top w:val="nil"/>
              <w:left w:val="nil"/>
              <w:bottom w:val="single" w:color="000000" w:sz="8" w:space="0"/>
              <w:right w:val="single" w:color="000000" w:sz="8" w:space="0"/>
            </w:tcBorders>
            <w:vAlign w:val="center"/>
          </w:tcPr>
          <w:p w14:paraId="0C1CD30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vAlign w:val="center"/>
          </w:tcPr>
          <w:p w14:paraId="2B7F6FC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67A34C2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CF58A4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0141E7A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3CC624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5</w:t>
            </w:r>
          </w:p>
        </w:tc>
        <w:tc>
          <w:tcPr>
            <w:tcW w:w="1116" w:type="dxa"/>
            <w:tcBorders>
              <w:top w:val="nil"/>
              <w:left w:val="nil"/>
              <w:bottom w:val="single" w:color="000000" w:sz="8" w:space="0"/>
              <w:right w:val="single" w:color="000000" w:sz="8" w:space="0"/>
            </w:tcBorders>
            <w:vAlign w:val="center"/>
          </w:tcPr>
          <w:p w14:paraId="4310798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vAlign w:val="center"/>
          </w:tcPr>
          <w:p w14:paraId="463E6E3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vAlign w:val="center"/>
          </w:tcPr>
          <w:p w14:paraId="2A35D7E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758AAA7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《清水离心泵能效限定值及节能评价值》（</w:t>
            </w:r>
            <w:r>
              <w:rPr>
                <w:rFonts w:ascii="宋体" w:hAnsi="宋体" w:eastAsia="Times New Roman" w:cs="宋体"/>
                <w:color w:val="auto"/>
                <w:kern w:val="0"/>
                <w:sz w:val="20"/>
                <w:szCs w:val="20"/>
                <w:highlight w:val="none"/>
              </w:rPr>
              <w:t>GB19762）</w:t>
            </w:r>
          </w:p>
        </w:tc>
      </w:tr>
      <w:tr w14:paraId="0F7CF99A">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vAlign w:val="center"/>
          </w:tcPr>
          <w:p w14:paraId="358937D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vAlign w:val="center"/>
          </w:tcPr>
          <w:p w14:paraId="21FF767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vAlign w:val="center"/>
          </w:tcPr>
          <w:p w14:paraId="61E9E01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vAlign w:val="center"/>
          </w:tcPr>
          <w:p w14:paraId="0D8AED8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冷水机组</w:t>
            </w:r>
          </w:p>
        </w:tc>
        <w:tc>
          <w:tcPr>
            <w:tcW w:w="4584" w:type="dxa"/>
            <w:tcBorders>
              <w:top w:val="nil"/>
              <w:left w:val="nil"/>
              <w:bottom w:val="single" w:color="000000" w:sz="8" w:space="0"/>
              <w:right w:val="single" w:color="000000" w:sz="8" w:space="0"/>
            </w:tcBorders>
            <w:vAlign w:val="center"/>
          </w:tcPr>
          <w:p w14:paraId="53BF1D3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《冷水机组能效限定值及能效等级》（</w:t>
            </w:r>
            <w:r>
              <w:rPr>
                <w:rFonts w:ascii="宋体" w:hAnsi="宋体" w:eastAsia="Times New Roman" w:cs="宋体"/>
                <w:color w:val="auto"/>
                <w:kern w:val="0"/>
                <w:sz w:val="20"/>
                <w:szCs w:val="20"/>
                <w:highlight w:val="none"/>
              </w:rPr>
              <w:t>GB19577），《低环境温度空气源热泵（冷水）机组能效限定值及能效等级》（GB37480）</w:t>
            </w:r>
          </w:p>
        </w:tc>
      </w:tr>
      <w:tr w14:paraId="3D673B6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CBB998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0A0841F">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6319E1C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0BE595B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水源热泵机组</w:t>
            </w:r>
          </w:p>
        </w:tc>
        <w:tc>
          <w:tcPr>
            <w:tcW w:w="4584" w:type="dxa"/>
            <w:tcBorders>
              <w:top w:val="nil"/>
              <w:left w:val="nil"/>
              <w:bottom w:val="single" w:color="000000" w:sz="8" w:space="0"/>
              <w:right w:val="single" w:color="000000" w:sz="8" w:space="0"/>
            </w:tcBorders>
            <w:vAlign w:val="center"/>
          </w:tcPr>
          <w:p w14:paraId="66E701A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《水（地）源热泵机组能效限定值及能效等级》（</w:t>
            </w:r>
            <w:r>
              <w:rPr>
                <w:rFonts w:ascii="宋体" w:hAnsi="宋体" w:eastAsia="Times New Roman" w:cs="宋体"/>
                <w:color w:val="auto"/>
                <w:kern w:val="0"/>
                <w:sz w:val="20"/>
                <w:szCs w:val="20"/>
                <w:highlight w:val="none"/>
              </w:rPr>
              <w:t>GB30721）</w:t>
            </w:r>
          </w:p>
        </w:tc>
      </w:tr>
      <w:tr w14:paraId="17CDD23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2B10ED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2EF6497B">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4703AFDF">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6C5B9E1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w:t>
            </w:r>
          </w:p>
        </w:tc>
        <w:tc>
          <w:tcPr>
            <w:tcW w:w="4584" w:type="dxa"/>
            <w:tcBorders>
              <w:top w:val="nil"/>
              <w:left w:val="nil"/>
              <w:bottom w:val="single" w:color="000000" w:sz="8" w:space="0"/>
              <w:right w:val="single" w:color="000000" w:sz="8" w:space="0"/>
            </w:tcBorders>
            <w:vAlign w:val="center"/>
          </w:tcPr>
          <w:p w14:paraId="08B7999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《溴化锂吸收式冷水机组能效限定值及能效等级》（</w:t>
            </w:r>
            <w:r>
              <w:rPr>
                <w:rFonts w:ascii="宋体" w:hAnsi="宋体" w:eastAsia="Times New Roman" w:cs="宋体"/>
                <w:color w:val="auto"/>
                <w:kern w:val="0"/>
                <w:sz w:val="20"/>
                <w:szCs w:val="20"/>
                <w:highlight w:val="none"/>
              </w:rPr>
              <w:t>GB29540）</w:t>
            </w:r>
          </w:p>
        </w:tc>
      </w:tr>
      <w:tr w14:paraId="0210218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09CEBD4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C1C9228">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F56BD3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vAlign w:val="center"/>
          </w:tcPr>
          <w:p w14:paraId="2443093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vAlign w:val="center"/>
          </w:tcPr>
          <w:p w14:paraId="6FED7BA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5FE585FE">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3775F7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55913EC">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63C540E8">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6379FAF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vAlign w:val="center"/>
          </w:tcPr>
          <w:p w14:paraId="273C148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GB19576）《风管送风式空调机组能效限定值及能效等级》（GB37479）</w:t>
            </w:r>
          </w:p>
        </w:tc>
      </w:tr>
      <w:tr w14:paraId="2FE1CB2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59DEC0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582712E">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3EF3D72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vAlign w:val="center"/>
          </w:tcPr>
          <w:p w14:paraId="7F12615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机房空调</w:t>
            </w:r>
          </w:p>
        </w:tc>
        <w:tc>
          <w:tcPr>
            <w:tcW w:w="4584" w:type="dxa"/>
            <w:tcBorders>
              <w:top w:val="nil"/>
              <w:left w:val="nil"/>
              <w:bottom w:val="single" w:color="000000" w:sz="8" w:space="0"/>
              <w:right w:val="single" w:color="000000" w:sz="8" w:space="0"/>
            </w:tcBorders>
            <w:vAlign w:val="center"/>
          </w:tcPr>
          <w:p w14:paraId="129A55D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w:t>
            </w:r>
          </w:p>
        </w:tc>
      </w:tr>
      <w:tr w14:paraId="0E0B96BC">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F99E606">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1AAC057C">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0E288E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vAlign w:val="center"/>
          </w:tcPr>
          <w:p w14:paraId="35402DF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冷却塔</w:t>
            </w:r>
          </w:p>
        </w:tc>
        <w:tc>
          <w:tcPr>
            <w:tcW w:w="4584" w:type="dxa"/>
            <w:tcBorders>
              <w:top w:val="nil"/>
              <w:left w:val="nil"/>
              <w:bottom w:val="single" w:color="000000" w:sz="8" w:space="0"/>
              <w:right w:val="single" w:color="000000" w:sz="8" w:space="0"/>
            </w:tcBorders>
            <w:vAlign w:val="center"/>
          </w:tcPr>
          <w:p w14:paraId="1574A19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《机械通风冷却塔第</w:t>
            </w:r>
            <w:r>
              <w:rPr>
                <w:rFonts w:ascii="宋体" w:hAnsi="宋体" w:eastAsia="Times New Roman" w:cs="宋体"/>
                <w:color w:val="auto"/>
                <w:kern w:val="0"/>
                <w:sz w:val="20"/>
                <w:szCs w:val="20"/>
                <w:highlight w:val="none"/>
              </w:rPr>
              <w:t>1部分：中小型开式冷却塔》（GB/T7190.1）；《机械通风冷却塔第2部分：大型开式冷却塔》（GB/T7190.2）</w:t>
            </w:r>
          </w:p>
        </w:tc>
      </w:tr>
      <w:tr w14:paraId="051633D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907639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7</w:t>
            </w:r>
          </w:p>
        </w:tc>
        <w:tc>
          <w:tcPr>
            <w:tcW w:w="1116" w:type="dxa"/>
            <w:tcBorders>
              <w:top w:val="nil"/>
              <w:left w:val="nil"/>
              <w:bottom w:val="single" w:color="000000" w:sz="8" w:space="0"/>
              <w:right w:val="single" w:color="000000" w:sz="8" w:space="0"/>
            </w:tcBorders>
            <w:vAlign w:val="center"/>
          </w:tcPr>
          <w:p w14:paraId="32B9560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vAlign w:val="center"/>
          </w:tcPr>
          <w:p w14:paraId="38AA708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3802696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8A2B57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《中小型三相异步电动机能效限定值及能效等级》（</w:t>
            </w:r>
            <w:r>
              <w:rPr>
                <w:rFonts w:ascii="宋体" w:hAnsi="宋体" w:eastAsia="Times New Roman" w:cs="宋体"/>
                <w:color w:val="auto"/>
                <w:kern w:val="0"/>
                <w:sz w:val="20"/>
                <w:szCs w:val="20"/>
                <w:highlight w:val="none"/>
              </w:rPr>
              <w:t>GB18613）</w:t>
            </w:r>
          </w:p>
        </w:tc>
      </w:tr>
      <w:tr w14:paraId="0DDFE5E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FDEEDB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8</w:t>
            </w:r>
          </w:p>
        </w:tc>
        <w:tc>
          <w:tcPr>
            <w:tcW w:w="1116" w:type="dxa"/>
            <w:tcBorders>
              <w:top w:val="nil"/>
              <w:left w:val="nil"/>
              <w:bottom w:val="single" w:color="000000" w:sz="8" w:space="0"/>
              <w:right w:val="single" w:color="000000" w:sz="8" w:space="0"/>
            </w:tcBorders>
            <w:vAlign w:val="center"/>
          </w:tcPr>
          <w:p w14:paraId="2146742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vAlign w:val="center"/>
          </w:tcPr>
          <w:p w14:paraId="03FF83E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vAlign w:val="center"/>
          </w:tcPr>
          <w:p w14:paraId="67B91CA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3C5F9D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《三相配电变压器能效限定值及能效等级》（</w:t>
            </w:r>
            <w:r>
              <w:rPr>
                <w:rFonts w:ascii="宋体" w:hAnsi="宋体" w:eastAsia="Times New Roman" w:cs="宋体"/>
                <w:color w:val="auto"/>
                <w:kern w:val="0"/>
                <w:sz w:val="20"/>
                <w:szCs w:val="20"/>
                <w:highlight w:val="none"/>
              </w:rPr>
              <w:t>GB20052）</w:t>
            </w:r>
          </w:p>
        </w:tc>
      </w:tr>
      <w:tr w14:paraId="35ACFA3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DF3D0F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9</w:t>
            </w:r>
          </w:p>
        </w:tc>
        <w:tc>
          <w:tcPr>
            <w:tcW w:w="1116" w:type="dxa"/>
            <w:tcBorders>
              <w:top w:val="nil"/>
              <w:left w:val="nil"/>
              <w:bottom w:val="single" w:color="000000" w:sz="8" w:space="0"/>
              <w:right w:val="single" w:color="000000" w:sz="8" w:space="0"/>
            </w:tcBorders>
            <w:vAlign w:val="center"/>
          </w:tcPr>
          <w:p w14:paraId="41FC9A3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vAlign w:val="center"/>
          </w:tcPr>
          <w:p w14:paraId="278B994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vAlign w:val="center"/>
          </w:tcPr>
          <w:p w14:paraId="7809B64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D11F3E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《管形荧光灯镇流器能效限定值及能效等级》（</w:t>
            </w:r>
            <w:r>
              <w:rPr>
                <w:rFonts w:ascii="宋体" w:hAnsi="宋体" w:eastAsia="Times New Roman" w:cs="宋体"/>
                <w:color w:val="auto"/>
                <w:kern w:val="0"/>
                <w:sz w:val="20"/>
                <w:szCs w:val="20"/>
                <w:highlight w:val="none"/>
              </w:rPr>
              <w:t>GB17896）</w:t>
            </w:r>
          </w:p>
        </w:tc>
      </w:tr>
      <w:tr w14:paraId="143E98F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5CDBEA2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vAlign w:val="center"/>
          </w:tcPr>
          <w:p w14:paraId="350E509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vAlign w:val="center"/>
          </w:tcPr>
          <w:p w14:paraId="194A516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vAlign w:val="center"/>
          </w:tcPr>
          <w:p w14:paraId="1429CC5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4C7D58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《家用电冰箱耗电量限定值及能效等级》（</w:t>
            </w:r>
            <w:r>
              <w:rPr>
                <w:rFonts w:ascii="宋体" w:hAnsi="宋体" w:eastAsia="Times New Roman" w:cs="宋体"/>
                <w:color w:val="auto"/>
                <w:kern w:val="0"/>
                <w:sz w:val="20"/>
                <w:szCs w:val="20"/>
                <w:highlight w:val="none"/>
              </w:rPr>
              <w:t>GB 12021.2）</w:t>
            </w:r>
          </w:p>
        </w:tc>
      </w:tr>
      <w:tr w14:paraId="0F0836D9">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32B265D8">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4056AF6">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BA20D4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vAlign w:val="center"/>
          </w:tcPr>
          <w:p w14:paraId="1577055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房间空气调节器</w:t>
            </w:r>
          </w:p>
        </w:tc>
        <w:tc>
          <w:tcPr>
            <w:tcW w:w="4584" w:type="dxa"/>
            <w:tcBorders>
              <w:top w:val="nil"/>
              <w:left w:val="nil"/>
              <w:bottom w:val="single" w:color="000000" w:sz="8" w:space="0"/>
              <w:right w:val="single" w:color="000000" w:sz="8" w:space="0"/>
            </w:tcBorders>
            <w:vAlign w:val="center"/>
          </w:tcPr>
          <w:p w14:paraId="4F7EAAB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《转速可控型房间空气调节器能效限定值及能效等级》（</w:t>
            </w:r>
            <w:r>
              <w:rPr>
                <w:rFonts w:ascii="宋体" w:hAnsi="宋体" w:eastAsia="Times New Roman" w:cs="宋体"/>
                <w:color w:val="auto"/>
                <w:kern w:val="0"/>
                <w:sz w:val="20"/>
                <w:szCs w:val="20"/>
                <w:highlight w:val="none"/>
              </w:rPr>
              <w:t>GB21455-2013），待2019年修订发布后，按《房间空气调节器能效限定值及能效等级》（GB21455-2019实施。</w:t>
            </w:r>
          </w:p>
        </w:tc>
      </w:tr>
      <w:tr w14:paraId="1351F65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83A4F0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DC6B235">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53758E56">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0C3DE6B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多联式空调（热泵）机组（制冷量≤</w:t>
            </w:r>
            <w:r>
              <w:rPr>
                <w:rFonts w:ascii="宋体" w:hAnsi="宋体" w:eastAsia="Times New Roman" w:cs="宋体"/>
                <w:color w:val="auto"/>
                <w:kern w:val="0"/>
                <w:sz w:val="20"/>
                <w:szCs w:val="20"/>
                <w:highlight w:val="none"/>
              </w:rPr>
              <w:t xml:space="preserve"> 14000W）</w:t>
            </w:r>
          </w:p>
        </w:tc>
        <w:tc>
          <w:tcPr>
            <w:tcW w:w="4584" w:type="dxa"/>
            <w:tcBorders>
              <w:top w:val="nil"/>
              <w:left w:val="nil"/>
              <w:bottom w:val="single" w:color="000000" w:sz="8" w:space="0"/>
              <w:right w:val="single" w:color="000000" w:sz="8" w:space="0"/>
            </w:tcBorders>
            <w:vAlign w:val="center"/>
          </w:tcPr>
          <w:p w14:paraId="64DAF7F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7C62D95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68B44EE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5E9B4AB4">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0FB46756">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3254B64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(制冷量≤14000W)</w:t>
            </w:r>
          </w:p>
        </w:tc>
        <w:tc>
          <w:tcPr>
            <w:tcW w:w="4584" w:type="dxa"/>
            <w:tcBorders>
              <w:top w:val="nil"/>
              <w:left w:val="nil"/>
              <w:bottom w:val="single" w:color="000000" w:sz="8" w:space="0"/>
              <w:right w:val="single" w:color="000000" w:sz="8" w:space="0"/>
            </w:tcBorders>
            <w:vAlign w:val="center"/>
          </w:tcPr>
          <w:p w14:paraId="7BAA9D6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《单元式空气调节机能效限定值及能源效率等级》（</w:t>
            </w:r>
            <w:r>
              <w:rPr>
                <w:rFonts w:ascii="宋体" w:hAnsi="宋体" w:eastAsia="Times New Roman" w:cs="宋体"/>
                <w:color w:val="auto"/>
                <w:kern w:val="0"/>
                <w:sz w:val="20"/>
                <w:szCs w:val="20"/>
                <w:highlight w:val="none"/>
              </w:rPr>
              <w:t>GB19576）《风管送风式空调机组能效限定值及能效等级》（GB37479）</w:t>
            </w:r>
          </w:p>
        </w:tc>
      </w:tr>
      <w:tr w14:paraId="20AA690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70EBA8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B9D3286">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CBC706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vAlign w:val="center"/>
          </w:tcPr>
          <w:p w14:paraId="6C15B83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62FAE7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《电动洗衣机能效水效限定值及等级》（</w:t>
            </w:r>
            <w:r>
              <w:rPr>
                <w:rFonts w:ascii="宋体" w:hAnsi="宋体" w:eastAsia="Times New Roman" w:cs="宋体"/>
                <w:color w:val="auto"/>
                <w:kern w:val="0"/>
                <w:sz w:val="20"/>
                <w:szCs w:val="20"/>
                <w:highlight w:val="none"/>
              </w:rPr>
              <w:t>GB12021.4）</w:t>
            </w:r>
          </w:p>
        </w:tc>
      </w:tr>
      <w:tr w14:paraId="49FD2C23">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9F31F8B">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6E1AF39F">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23D1CA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vAlign w:val="center"/>
          </w:tcPr>
          <w:p w14:paraId="0D610F4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★电热水器</w:t>
            </w:r>
          </w:p>
        </w:tc>
        <w:tc>
          <w:tcPr>
            <w:tcW w:w="4584" w:type="dxa"/>
            <w:tcBorders>
              <w:top w:val="nil"/>
              <w:left w:val="nil"/>
              <w:bottom w:val="single" w:color="000000" w:sz="8" w:space="0"/>
              <w:right w:val="single" w:color="000000" w:sz="8" w:space="0"/>
            </w:tcBorders>
            <w:vAlign w:val="center"/>
          </w:tcPr>
          <w:p w14:paraId="5D58BB4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《储水式电热水器能效限定值及能效等级》（</w:t>
            </w:r>
            <w:r>
              <w:rPr>
                <w:rFonts w:ascii="宋体" w:hAnsi="宋体" w:eastAsia="Times New Roman" w:cs="宋体"/>
                <w:color w:val="auto"/>
                <w:kern w:val="0"/>
                <w:sz w:val="20"/>
                <w:szCs w:val="20"/>
                <w:highlight w:val="none"/>
              </w:rPr>
              <w:t>GB21519）</w:t>
            </w:r>
          </w:p>
        </w:tc>
      </w:tr>
      <w:tr w14:paraId="63EB812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42CB6C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E83B9C6">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7F73B038">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3F73F2E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燃气热水器</w:t>
            </w:r>
          </w:p>
        </w:tc>
        <w:tc>
          <w:tcPr>
            <w:tcW w:w="4584" w:type="dxa"/>
            <w:tcBorders>
              <w:top w:val="nil"/>
              <w:left w:val="nil"/>
              <w:bottom w:val="single" w:color="000000" w:sz="8" w:space="0"/>
              <w:right w:val="single" w:color="000000" w:sz="8" w:space="0"/>
            </w:tcBorders>
            <w:vAlign w:val="center"/>
          </w:tcPr>
          <w:p w14:paraId="021DC38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《家用燃气快速热水器和燃气采暖热水炉能效限定值及能效等级》（</w:t>
            </w:r>
            <w:r>
              <w:rPr>
                <w:rFonts w:ascii="宋体" w:hAnsi="宋体" w:eastAsia="Times New Roman" w:cs="宋体"/>
                <w:color w:val="auto"/>
                <w:kern w:val="0"/>
                <w:sz w:val="20"/>
                <w:szCs w:val="20"/>
                <w:highlight w:val="none"/>
              </w:rPr>
              <w:t>GB20665）</w:t>
            </w:r>
          </w:p>
        </w:tc>
      </w:tr>
      <w:tr w14:paraId="42A0B2E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6EA062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3F962705">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5E057394">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1B94DDE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热泵热水器</w:t>
            </w:r>
          </w:p>
        </w:tc>
        <w:tc>
          <w:tcPr>
            <w:tcW w:w="4584" w:type="dxa"/>
            <w:tcBorders>
              <w:top w:val="nil"/>
              <w:left w:val="nil"/>
              <w:bottom w:val="single" w:color="000000" w:sz="8" w:space="0"/>
              <w:right w:val="single" w:color="000000" w:sz="8" w:space="0"/>
            </w:tcBorders>
            <w:vAlign w:val="center"/>
          </w:tcPr>
          <w:p w14:paraId="1631E5F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《热泵热水机（器）能效限定值及能效等级》（</w:t>
            </w:r>
            <w:r>
              <w:rPr>
                <w:rFonts w:ascii="宋体" w:hAnsi="宋体" w:eastAsia="Times New Roman" w:cs="宋体"/>
                <w:color w:val="auto"/>
                <w:kern w:val="0"/>
                <w:sz w:val="20"/>
                <w:szCs w:val="20"/>
                <w:highlight w:val="none"/>
              </w:rPr>
              <w:t>GB29541）</w:t>
            </w:r>
          </w:p>
        </w:tc>
      </w:tr>
      <w:tr w14:paraId="117A965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A883BC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562973E">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2B730B4D">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416D3E0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太阳能热水系统</w:t>
            </w:r>
          </w:p>
        </w:tc>
        <w:tc>
          <w:tcPr>
            <w:tcW w:w="4584" w:type="dxa"/>
            <w:tcBorders>
              <w:top w:val="nil"/>
              <w:left w:val="nil"/>
              <w:bottom w:val="single" w:color="000000" w:sz="8" w:space="0"/>
              <w:right w:val="single" w:color="000000" w:sz="8" w:space="0"/>
            </w:tcBorders>
            <w:vAlign w:val="center"/>
          </w:tcPr>
          <w:p w14:paraId="0692B66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《家用太阳能热水系统能效限定值及能效等级》（</w:t>
            </w:r>
            <w:r>
              <w:rPr>
                <w:rFonts w:ascii="宋体" w:hAnsi="宋体" w:eastAsia="Times New Roman" w:cs="宋体"/>
                <w:color w:val="auto"/>
                <w:kern w:val="0"/>
                <w:sz w:val="20"/>
                <w:szCs w:val="20"/>
                <w:highlight w:val="none"/>
              </w:rPr>
              <w:t>GB26969）</w:t>
            </w:r>
          </w:p>
        </w:tc>
      </w:tr>
      <w:tr w14:paraId="6AFCE4E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17FE11C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vAlign w:val="center"/>
          </w:tcPr>
          <w:p w14:paraId="1FF1669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vAlign w:val="center"/>
          </w:tcPr>
          <w:p w14:paraId="3A35265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vAlign w:val="center"/>
          </w:tcPr>
          <w:p w14:paraId="559AA4F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390CFF1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《普通照明用双端荧光灯能效限定值及能效等级》（</w:t>
            </w:r>
            <w:r>
              <w:rPr>
                <w:rFonts w:ascii="宋体" w:hAnsi="宋体" w:eastAsia="Times New Roman" w:cs="宋体"/>
                <w:color w:val="auto"/>
                <w:kern w:val="0"/>
                <w:sz w:val="20"/>
                <w:szCs w:val="20"/>
                <w:highlight w:val="none"/>
              </w:rPr>
              <w:t>GB19043）</w:t>
            </w:r>
          </w:p>
        </w:tc>
      </w:tr>
      <w:tr w14:paraId="001EEB9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707E0A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DBF9C23">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AA3688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vAlign w:val="center"/>
          </w:tcPr>
          <w:p w14:paraId="7CF1BE3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941B96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《道路和隧道照明用</w:t>
            </w:r>
            <w:r>
              <w:rPr>
                <w:rFonts w:ascii="宋体" w:hAnsi="宋体" w:eastAsia="Times New Roman" w:cs="宋体"/>
                <w:color w:val="auto"/>
                <w:kern w:val="0"/>
                <w:sz w:val="20"/>
                <w:szCs w:val="20"/>
                <w:highlight w:val="none"/>
              </w:rPr>
              <w:t>LED灯具能效限定值及能效等级》（GB37478）</w:t>
            </w:r>
          </w:p>
        </w:tc>
      </w:tr>
      <w:tr w14:paraId="1BFB426F">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290E559">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0FC2AE6">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74CB18D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vAlign w:val="center"/>
          </w:tcPr>
          <w:p w14:paraId="237BA03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3BED24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572A433F">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215FD15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211149FC">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794DE0D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普通照明用非定向自镇流</w:t>
            </w:r>
            <w:r>
              <w:rPr>
                <w:rFonts w:ascii="宋体" w:hAnsi="宋体" w:eastAsia="Times New Roman" w:cs="宋体"/>
                <w:color w:val="auto"/>
                <w:kern w:val="0"/>
                <w:sz w:val="20"/>
                <w:szCs w:val="20"/>
                <w:highlight w:val="none"/>
              </w:rPr>
              <w:t>LED灯</w:t>
            </w:r>
          </w:p>
        </w:tc>
        <w:tc>
          <w:tcPr>
            <w:tcW w:w="1612" w:type="dxa"/>
            <w:tcBorders>
              <w:top w:val="nil"/>
              <w:left w:val="nil"/>
              <w:bottom w:val="single" w:color="000000" w:sz="8" w:space="0"/>
              <w:right w:val="single" w:color="000000" w:sz="8" w:space="0"/>
            </w:tcBorders>
            <w:vAlign w:val="center"/>
          </w:tcPr>
          <w:p w14:paraId="29BBF5A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E3E1F5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52AC1BCE">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vAlign w:val="center"/>
          </w:tcPr>
          <w:p w14:paraId="506C828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12</w:t>
            </w:r>
          </w:p>
        </w:tc>
        <w:tc>
          <w:tcPr>
            <w:tcW w:w="1116" w:type="dxa"/>
            <w:tcBorders>
              <w:top w:val="nil"/>
              <w:left w:val="nil"/>
              <w:bottom w:val="single" w:color="000000" w:sz="8" w:space="0"/>
              <w:right w:val="single" w:color="000000" w:sz="8" w:space="0"/>
            </w:tcBorders>
            <w:vAlign w:val="center"/>
          </w:tcPr>
          <w:p w14:paraId="5E28DC4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vAlign w:val="center"/>
          </w:tcPr>
          <w:p w14:paraId="6691E24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vAlign w:val="center"/>
          </w:tcPr>
          <w:p w14:paraId="44EEFED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7C455FB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《平板电视能效限定值及能效等级》（</w:t>
            </w:r>
            <w:r>
              <w:rPr>
                <w:rFonts w:ascii="宋体" w:hAnsi="宋体" w:eastAsia="Times New Roman" w:cs="宋体"/>
                <w:color w:val="auto"/>
                <w:kern w:val="0"/>
                <w:sz w:val="20"/>
                <w:szCs w:val="20"/>
                <w:highlight w:val="none"/>
              </w:rPr>
              <w:t>GB24850）</w:t>
            </w:r>
          </w:p>
        </w:tc>
      </w:tr>
      <w:tr w14:paraId="3F8077D9">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vAlign w:val="center"/>
          </w:tcPr>
          <w:p w14:paraId="1551603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13</w:t>
            </w:r>
          </w:p>
        </w:tc>
        <w:tc>
          <w:tcPr>
            <w:tcW w:w="1116" w:type="dxa"/>
            <w:tcBorders>
              <w:top w:val="nil"/>
              <w:left w:val="nil"/>
              <w:bottom w:val="single" w:color="000000" w:sz="8" w:space="0"/>
              <w:right w:val="single" w:color="000000" w:sz="8" w:space="0"/>
            </w:tcBorders>
            <w:vAlign w:val="center"/>
          </w:tcPr>
          <w:p w14:paraId="2250A0C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vAlign w:val="center"/>
          </w:tcPr>
          <w:p w14:paraId="59707B9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vAlign w:val="center"/>
          </w:tcPr>
          <w:p w14:paraId="2E85DB9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监视器</w:t>
            </w:r>
          </w:p>
        </w:tc>
        <w:tc>
          <w:tcPr>
            <w:tcW w:w="4584" w:type="dxa"/>
            <w:tcBorders>
              <w:top w:val="nil"/>
              <w:left w:val="nil"/>
              <w:bottom w:val="single" w:color="000000" w:sz="8" w:space="0"/>
              <w:right w:val="single" w:color="000000" w:sz="8" w:space="0"/>
            </w:tcBorders>
            <w:vAlign w:val="center"/>
          </w:tcPr>
          <w:p w14:paraId="2D274D4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以射频信号为主要信号输入的监视器应符合《平板电视能效限定值及能效等级》（</w:t>
            </w:r>
            <w:r>
              <w:rPr>
                <w:rFonts w:ascii="宋体" w:hAnsi="宋体" w:eastAsia="Times New Roman" w:cs="宋体"/>
                <w:color w:val="auto"/>
                <w:kern w:val="0"/>
                <w:sz w:val="20"/>
                <w:szCs w:val="20"/>
                <w:highlight w:val="none"/>
              </w:rPr>
              <w:t>GB24850），以数字信号为主要信号输入的监视器应符合《计算机显示器能效限定值及能效等级》（GB21520）</w:t>
            </w:r>
          </w:p>
        </w:tc>
      </w:tr>
      <w:tr w14:paraId="1D00368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AD9C71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14</w:t>
            </w:r>
          </w:p>
        </w:tc>
        <w:tc>
          <w:tcPr>
            <w:tcW w:w="1116" w:type="dxa"/>
            <w:tcBorders>
              <w:top w:val="nil"/>
              <w:left w:val="nil"/>
              <w:bottom w:val="single" w:color="000000" w:sz="8" w:space="0"/>
              <w:right w:val="single" w:color="000000" w:sz="8" w:space="0"/>
            </w:tcBorders>
            <w:vAlign w:val="center"/>
          </w:tcPr>
          <w:p w14:paraId="4AA82B1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vAlign w:val="center"/>
          </w:tcPr>
          <w:p w14:paraId="7E15BE5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vAlign w:val="center"/>
          </w:tcPr>
          <w:p w14:paraId="6EF7B00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79578B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《商用燃气灶具能效限定值及能效等级》（</w:t>
            </w:r>
            <w:r>
              <w:rPr>
                <w:rFonts w:ascii="宋体" w:hAnsi="宋体" w:eastAsia="Times New Roman" w:cs="宋体"/>
                <w:color w:val="auto"/>
                <w:kern w:val="0"/>
                <w:sz w:val="20"/>
                <w:szCs w:val="20"/>
                <w:highlight w:val="none"/>
              </w:rPr>
              <w:t>GB30531）</w:t>
            </w:r>
          </w:p>
        </w:tc>
      </w:tr>
      <w:tr w14:paraId="15D73CBA">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vAlign w:val="center"/>
          </w:tcPr>
          <w:p w14:paraId="25A209C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vAlign w:val="center"/>
          </w:tcPr>
          <w:p w14:paraId="06FB92B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vAlign w:val="center"/>
          </w:tcPr>
          <w:p w14:paraId="503B7BD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vAlign w:val="center"/>
          </w:tcPr>
          <w:p w14:paraId="6CAE5E4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2695AC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《坐便器水效限定值及水效等级》（</w:t>
            </w:r>
            <w:r>
              <w:rPr>
                <w:rFonts w:ascii="宋体" w:hAnsi="宋体" w:eastAsia="Times New Roman" w:cs="宋体"/>
                <w:color w:val="auto"/>
                <w:kern w:val="0"/>
                <w:sz w:val="20"/>
                <w:szCs w:val="20"/>
                <w:highlight w:val="none"/>
              </w:rPr>
              <w:t>GB25502）</w:t>
            </w:r>
          </w:p>
        </w:tc>
      </w:tr>
      <w:tr w14:paraId="1D589EA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E674BD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686894B">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5ABDFDE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vAlign w:val="center"/>
          </w:tcPr>
          <w:p w14:paraId="5198B33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DA9881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《蹲便器用水效率限定值及用水效率等级》（</w:t>
            </w:r>
            <w:r>
              <w:rPr>
                <w:rFonts w:ascii="宋体" w:hAnsi="宋体" w:eastAsia="Times New Roman" w:cs="宋体"/>
                <w:color w:val="auto"/>
                <w:kern w:val="0"/>
                <w:sz w:val="20"/>
                <w:szCs w:val="20"/>
                <w:highlight w:val="none"/>
              </w:rPr>
              <w:t>GB30717）</w:t>
            </w:r>
          </w:p>
        </w:tc>
      </w:tr>
      <w:tr w14:paraId="41D7184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B348CE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242EBF3">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679923F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vAlign w:val="center"/>
          </w:tcPr>
          <w:p w14:paraId="1D22099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BC146F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《小便器用水效率限定值及用水效率等级》（</w:t>
            </w:r>
            <w:r>
              <w:rPr>
                <w:rFonts w:ascii="宋体" w:hAnsi="宋体" w:eastAsia="Times New Roman" w:cs="宋体"/>
                <w:color w:val="auto"/>
                <w:kern w:val="0"/>
                <w:sz w:val="20"/>
                <w:szCs w:val="20"/>
                <w:highlight w:val="none"/>
              </w:rPr>
              <w:t>GB28377）</w:t>
            </w:r>
          </w:p>
        </w:tc>
      </w:tr>
      <w:tr w14:paraId="78CF245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6648A0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16</w:t>
            </w:r>
          </w:p>
        </w:tc>
        <w:tc>
          <w:tcPr>
            <w:tcW w:w="1116" w:type="dxa"/>
            <w:tcBorders>
              <w:top w:val="nil"/>
              <w:left w:val="nil"/>
              <w:bottom w:val="single" w:color="000000" w:sz="8" w:space="0"/>
              <w:right w:val="single" w:color="000000" w:sz="8" w:space="0"/>
            </w:tcBorders>
            <w:vAlign w:val="center"/>
          </w:tcPr>
          <w:p w14:paraId="04C94FC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vAlign w:val="center"/>
          </w:tcPr>
          <w:p w14:paraId="53FB86A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235162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49CF58C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《水嘴用水效率限定值及用水效率等级》（</w:t>
            </w:r>
            <w:r>
              <w:rPr>
                <w:rFonts w:ascii="宋体" w:hAnsi="宋体" w:eastAsia="Times New Roman" w:cs="宋体"/>
                <w:color w:val="auto"/>
                <w:kern w:val="0"/>
                <w:sz w:val="20"/>
                <w:szCs w:val="20"/>
                <w:highlight w:val="none"/>
              </w:rPr>
              <w:t>GB 25501）</w:t>
            </w:r>
          </w:p>
        </w:tc>
      </w:tr>
      <w:tr w14:paraId="6935CCF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5D577D3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17</w:t>
            </w:r>
          </w:p>
        </w:tc>
        <w:tc>
          <w:tcPr>
            <w:tcW w:w="1116" w:type="dxa"/>
            <w:tcBorders>
              <w:top w:val="nil"/>
              <w:left w:val="nil"/>
              <w:bottom w:val="single" w:color="000000" w:sz="8" w:space="0"/>
              <w:right w:val="single" w:color="000000" w:sz="8" w:space="0"/>
            </w:tcBorders>
            <w:vAlign w:val="center"/>
          </w:tcPr>
          <w:p w14:paraId="227DA47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vAlign w:val="center"/>
          </w:tcPr>
          <w:p w14:paraId="07EEACA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1030C4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34D8DE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《便器冲洗阀用水效率限定值及用水效率等级》（</w:t>
            </w:r>
            <w:r>
              <w:rPr>
                <w:rFonts w:ascii="宋体" w:hAnsi="宋体" w:eastAsia="Times New Roman" w:cs="宋体"/>
                <w:color w:val="auto"/>
                <w:kern w:val="0"/>
                <w:sz w:val="20"/>
                <w:szCs w:val="20"/>
                <w:highlight w:val="none"/>
              </w:rPr>
              <w:t>GB28379）</w:t>
            </w:r>
          </w:p>
        </w:tc>
      </w:tr>
      <w:tr w14:paraId="6EA1098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30A8243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18</w:t>
            </w:r>
          </w:p>
        </w:tc>
        <w:tc>
          <w:tcPr>
            <w:tcW w:w="1116" w:type="dxa"/>
            <w:tcBorders>
              <w:top w:val="nil"/>
              <w:left w:val="nil"/>
              <w:bottom w:val="single" w:color="000000" w:sz="8" w:space="0"/>
              <w:right w:val="single" w:color="000000" w:sz="8" w:space="0"/>
            </w:tcBorders>
            <w:vAlign w:val="center"/>
          </w:tcPr>
          <w:p w14:paraId="32AB5E0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vAlign w:val="center"/>
          </w:tcPr>
          <w:p w14:paraId="1C1D0CA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687DECA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4126A01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《淋浴器用水效率限定值及用水效率等级》（</w:t>
            </w:r>
            <w:r>
              <w:rPr>
                <w:rFonts w:ascii="宋体" w:hAnsi="宋体" w:eastAsia="Times New Roman" w:cs="宋体"/>
                <w:color w:val="auto"/>
                <w:kern w:val="0"/>
                <w:sz w:val="20"/>
                <w:szCs w:val="20"/>
                <w:highlight w:val="none"/>
              </w:rPr>
              <w:t>GB28378）</w:t>
            </w:r>
          </w:p>
        </w:tc>
      </w:tr>
    </w:tbl>
    <w:p w14:paraId="4C8DF471">
      <w:pPr>
        <w:pStyle w:val="13"/>
        <w:spacing w:line="360" w:lineRule="auto"/>
        <w:rPr>
          <w:rFonts w:asci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48F3AB9D">
      <w:pPr>
        <w:pStyle w:val="17"/>
        <w:jc w:val="left"/>
        <w:rPr>
          <w:rFonts w:ascii="Arial Unicode MS" w:hAnsi="Arial Unicode MS" w:eastAsia="Times New Roman" w:cs="Arial Unicode MS"/>
          <w:color w:val="auto"/>
          <w:sz w:val="32"/>
          <w:szCs w:val="32"/>
          <w:highlight w:val="none"/>
        </w:rPr>
      </w:pPr>
      <w:r>
        <w:rPr>
          <w:rFonts w:hAnsi="宋体"/>
          <w:color w:val="auto"/>
          <w:highlight w:val="none"/>
        </w:rPr>
        <w:t xml:space="preserve">    </w:t>
      </w:r>
      <w:r>
        <w:rPr>
          <w:color w:val="auto"/>
          <w:highlight w:val="none"/>
        </w:rPr>
        <w:t>2.</w:t>
      </w:r>
      <w:r>
        <w:rPr>
          <w:rFonts w:hint="eastAsia"/>
          <w:color w:val="auto"/>
          <w:highlight w:val="none"/>
        </w:rPr>
        <w:t>以</w:t>
      </w:r>
      <w:r>
        <w:rPr>
          <w:color w:val="auto"/>
          <w:highlight w:val="none"/>
        </w:rPr>
        <w:t>“</w:t>
      </w:r>
      <w:r>
        <w:rPr>
          <w:rFonts w:hint="eastAsia"/>
          <w:color w:val="auto"/>
          <w:highlight w:val="none"/>
        </w:rPr>
        <w:t>★</w:t>
      </w:r>
      <w:r>
        <w:rPr>
          <w:color w:val="auto"/>
          <w:highlight w:val="none"/>
        </w:rPr>
        <w:t>”</w:t>
      </w:r>
      <w:r>
        <w:rPr>
          <w:rFonts w:hint="eastAsia"/>
          <w:color w:val="auto"/>
          <w:highlight w:val="none"/>
        </w:rPr>
        <w:t>标注的为政府强制采购产品。</w:t>
      </w:r>
      <w:r>
        <w:rPr>
          <w:color w:val="auto"/>
          <w:highlight w:val="none"/>
        </w:rPr>
        <w:br w:type="page"/>
      </w:r>
      <w:r>
        <w:rPr>
          <w:rFonts w:hint="eastAsia" w:ascii="微软雅黑" w:hAnsi="微软雅黑" w:eastAsia="微软雅黑" w:cs="微软雅黑"/>
          <w:color w:val="auto"/>
          <w:sz w:val="32"/>
          <w:szCs w:val="32"/>
          <w:highlight w:val="none"/>
        </w:rPr>
        <w:t>附件</w:t>
      </w:r>
      <w:r>
        <w:rPr>
          <w:rFonts w:ascii="Arial Unicode MS" w:hAnsi="Arial Unicode MS" w:eastAsia="Times New Roman"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6C4A7F20">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8"/>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03FB252B">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48E312DD">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vAlign w:val="center"/>
          </w:tcPr>
          <w:p w14:paraId="7561C78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4A5B4F60">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vAlign w:val="center"/>
          </w:tcPr>
          <w:p w14:paraId="11A539A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vAlign w:val="center"/>
          </w:tcPr>
          <w:p w14:paraId="683F238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48F8DE0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4994DFA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4746EC7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vAlign w:val="center"/>
          </w:tcPr>
          <w:p w14:paraId="5A7102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04466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143AADF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vAlign w:val="center"/>
          </w:tcPr>
          <w:p w14:paraId="35FEB3D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vAlign w:val="center"/>
          </w:tcPr>
          <w:p w14:paraId="25CA972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218213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32F467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vAlign w:val="center"/>
          </w:tcPr>
          <w:p w14:paraId="3942B9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8B996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1551602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14B276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1239130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7811DAC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C9E902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F0F8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E1D18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897BDD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vAlign w:val="center"/>
          </w:tcPr>
          <w:p w14:paraId="5354F3C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232572C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D47B1B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EA0835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vAlign w:val="center"/>
          </w:tcPr>
          <w:p w14:paraId="6C8C5E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91E8D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D5E87B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6000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vAlign w:val="center"/>
          </w:tcPr>
          <w:p w14:paraId="6B16C8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6000</w:t>
            </w:r>
          </w:p>
        </w:tc>
        <w:tc>
          <w:tcPr>
            <w:tcW w:w="1134" w:type="dxa"/>
            <w:tcBorders>
              <w:top w:val="nil"/>
              <w:left w:val="nil"/>
              <w:bottom w:val="single" w:color="auto" w:sz="4" w:space="0"/>
              <w:right w:val="single" w:color="auto" w:sz="4" w:space="0"/>
            </w:tcBorders>
            <w:vAlign w:val="center"/>
          </w:tcPr>
          <w:p w14:paraId="0B1306B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F0946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DE0D772">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F157C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030642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7F21C40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vAlign w:val="center"/>
          </w:tcPr>
          <w:p w14:paraId="16A345E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vAlign w:val="center"/>
          </w:tcPr>
          <w:p w14:paraId="14D648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0E0E375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2E33D2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vAlign w:val="center"/>
          </w:tcPr>
          <w:p w14:paraId="572296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714E327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722FB6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vAlign w:val="center"/>
          </w:tcPr>
          <w:p w14:paraId="3A9646D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c>
          <w:tcPr>
            <w:tcW w:w="1134" w:type="dxa"/>
            <w:tcBorders>
              <w:top w:val="nil"/>
              <w:left w:val="nil"/>
              <w:bottom w:val="single" w:color="auto" w:sz="4" w:space="0"/>
              <w:right w:val="single" w:color="auto" w:sz="4" w:space="0"/>
            </w:tcBorders>
            <w:vAlign w:val="center"/>
          </w:tcPr>
          <w:p w14:paraId="1AEB941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w:t>
            </w:r>
          </w:p>
        </w:tc>
      </w:tr>
      <w:tr w14:paraId="6E9C1C1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F97D32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09E3A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558B0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3E796FC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vAlign w:val="center"/>
          </w:tcPr>
          <w:p w14:paraId="1D5B3E6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vAlign w:val="center"/>
          </w:tcPr>
          <w:p w14:paraId="15DD7FC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r>
      <w:tr w14:paraId="53DF72D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F79A4E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vAlign w:val="center"/>
          </w:tcPr>
          <w:p w14:paraId="60713C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E5503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78A7DA5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3564F46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c>
          <w:tcPr>
            <w:tcW w:w="1134" w:type="dxa"/>
            <w:tcBorders>
              <w:top w:val="nil"/>
              <w:left w:val="nil"/>
              <w:bottom w:val="single" w:color="auto" w:sz="4" w:space="0"/>
              <w:right w:val="single" w:color="auto" w:sz="4" w:space="0"/>
            </w:tcBorders>
            <w:vAlign w:val="center"/>
          </w:tcPr>
          <w:p w14:paraId="71A9223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42FD90D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9200E2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CA4BC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230C33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3B37B4F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vAlign w:val="center"/>
          </w:tcPr>
          <w:p w14:paraId="4A53A66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vAlign w:val="center"/>
          </w:tcPr>
          <w:p w14:paraId="1B6B8AA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D51209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07A76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vAlign w:val="center"/>
          </w:tcPr>
          <w:p w14:paraId="29538E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032507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1A845DB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72A67A4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54149A6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6557CBE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581BFDC">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489794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FD08E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251189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vAlign w:val="center"/>
          </w:tcPr>
          <w:p w14:paraId="07D1AA6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w:t>
            </w:r>
          </w:p>
        </w:tc>
        <w:tc>
          <w:tcPr>
            <w:tcW w:w="1134" w:type="dxa"/>
            <w:tcBorders>
              <w:top w:val="nil"/>
              <w:left w:val="nil"/>
              <w:bottom w:val="single" w:color="auto" w:sz="4" w:space="0"/>
              <w:right w:val="single" w:color="auto" w:sz="4" w:space="0"/>
            </w:tcBorders>
            <w:vAlign w:val="center"/>
          </w:tcPr>
          <w:p w14:paraId="46AA6C2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r>
      <w:tr w14:paraId="77A96F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3E3767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vAlign w:val="center"/>
          </w:tcPr>
          <w:p w14:paraId="16F4B3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C9E15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4236306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vAlign w:val="center"/>
          </w:tcPr>
          <w:p w14:paraId="27F39D9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5CDA36B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26C615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D8646A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41E61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2D3AB7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19C2E4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vAlign w:val="center"/>
          </w:tcPr>
          <w:p w14:paraId="4445D32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3D75571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2C8B2B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96113B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vAlign w:val="center"/>
          </w:tcPr>
          <w:p w14:paraId="31F2DF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0EF8B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DCB74B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1262813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3DDFDA8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7A61ABA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4F44E6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425335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3AF2C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8C8919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vAlign w:val="center"/>
          </w:tcPr>
          <w:p w14:paraId="2D56C1A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16F8792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07441AE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B0864B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vAlign w:val="center"/>
          </w:tcPr>
          <w:p w14:paraId="29CDBB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CCBF1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248FC24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34AB8CD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32EEF85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324FA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EA340F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4E9C7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292E2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EF37FB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5FE4B65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59F174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162DE6B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F559BF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vAlign w:val="center"/>
          </w:tcPr>
          <w:p w14:paraId="29AD0F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D2998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5F540AD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0B64A0E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057FD42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2CBCA7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914F6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C26F9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0B264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672916F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667EEFA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1CA60C4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1E41358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598AEC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vAlign w:val="center"/>
          </w:tcPr>
          <w:p w14:paraId="390D6C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B4923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72595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709" w:type="dxa"/>
            <w:tcBorders>
              <w:top w:val="nil"/>
              <w:left w:val="nil"/>
              <w:bottom w:val="single" w:color="auto" w:sz="4" w:space="0"/>
              <w:right w:val="single" w:color="auto" w:sz="4" w:space="0"/>
            </w:tcBorders>
            <w:vAlign w:val="center"/>
          </w:tcPr>
          <w:p w14:paraId="3A508C7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0130EB1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928F8D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883146">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1D11E9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8FFB6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645939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100000</w:t>
            </w:r>
          </w:p>
        </w:tc>
        <w:tc>
          <w:tcPr>
            <w:tcW w:w="1709" w:type="dxa"/>
            <w:tcBorders>
              <w:top w:val="nil"/>
              <w:left w:val="nil"/>
              <w:bottom w:val="single" w:color="auto" w:sz="4" w:space="0"/>
              <w:right w:val="single" w:color="auto" w:sz="4" w:space="0"/>
            </w:tcBorders>
            <w:vAlign w:val="center"/>
          </w:tcPr>
          <w:p w14:paraId="12D72E1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5F8A6ED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5AF06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E40066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vAlign w:val="center"/>
          </w:tcPr>
          <w:p w14:paraId="0613C1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74A0F5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72CA24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0273C4B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7D46B33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2D98F3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C0A7C3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38BAC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DA85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49B721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7C7CDD9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246E56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7B88896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B749B3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vAlign w:val="center"/>
          </w:tcPr>
          <w:p w14:paraId="1FA2D6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4D6FB7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20A0591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200000</w:t>
            </w:r>
          </w:p>
        </w:tc>
        <w:tc>
          <w:tcPr>
            <w:tcW w:w="1709" w:type="dxa"/>
            <w:tcBorders>
              <w:top w:val="nil"/>
              <w:left w:val="nil"/>
              <w:bottom w:val="single" w:color="auto" w:sz="4" w:space="0"/>
              <w:right w:val="single" w:color="auto" w:sz="4" w:space="0"/>
            </w:tcBorders>
            <w:vAlign w:val="center"/>
          </w:tcPr>
          <w:p w14:paraId="57A1229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5CDA756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7612776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0D8ADB8">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7A112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48644C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798017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7A9A47A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vAlign w:val="center"/>
          </w:tcPr>
          <w:p w14:paraId="1868256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r>
      <w:tr w14:paraId="2981C8B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35755A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vAlign w:val="center"/>
          </w:tcPr>
          <w:p w14:paraId="057AA2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12C9AD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795ADAE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605B603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0023A25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50EC7CF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61A4B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5A7E7D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4BE63A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6688540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709" w:type="dxa"/>
            <w:tcBorders>
              <w:top w:val="nil"/>
              <w:left w:val="nil"/>
              <w:bottom w:val="single" w:color="auto" w:sz="4" w:space="0"/>
              <w:right w:val="single" w:color="auto" w:sz="4" w:space="0"/>
            </w:tcBorders>
            <w:vAlign w:val="center"/>
          </w:tcPr>
          <w:p w14:paraId="389E782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10FC412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r>
      <w:tr w14:paraId="3CF40DF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center"/>
          </w:tcPr>
          <w:p w14:paraId="0858795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vAlign w:val="center"/>
          </w:tcPr>
          <w:p w14:paraId="54BD14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DE83C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5A419C1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5E85640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656A898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9FA313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BEE218">
            <w:pPr>
              <w:widowControl/>
              <w:jc w:val="center"/>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2FFB6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55E6D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3E76A9B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8000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120000</w:t>
            </w:r>
          </w:p>
        </w:tc>
        <w:tc>
          <w:tcPr>
            <w:tcW w:w="1709" w:type="dxa"/>
            <w:tcBorders>
              <w:top w:val="nil"/>
              <w:left w:val="nil"/>
              <w:bottom w:val="single" w:color="auto" w:sz="4" w:space="0"/>
              <w:right w:val="single" w:color="auto" w:sz="4" w:space="0"/>
            </w:tcBorders>
            <w:vAlign w:val="center"/>
          </w:tcPr>
          <w:p w14:paraId="527FFBA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w:t>
            </w:r>
          </w:p>
        </w:tc>
        <w:tc>
          <w:tcPr>
            <w:tcW w:w="1134" w:type="dxa"/>
            <w:tcBorders>
              <w:top w:val="nil"/>
              <w:left w:val="nil"/>
              <w:bottom w:val="single" w:color="auto" w:sz="4" w:space="0"/>
              <w:right w:val="single" w:color="auto" w:sz="4" w:space="0"/>
            </w:tcBorders>
            <w:vAlign w:val="center"/>
          </w:tcPr>
          <w:p w14:paraId="3E5DF9A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7FE0AD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center"/>
          </w:tcPr>
          <w:p w14:paraId="6E66DE6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vAlign w:val="center"/>
          </w:tcPr>
          <w:p w14:paraId="528F51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432B2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2185AD6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2F006C9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65FFDE4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bl>
    <w:p w14:paraId="441D0CFC">
      <w:pPr>
        <w:spacing w:line="560" w:lineRule="exact"/>
        <w:ind w:firstLine="525" w:firstLineChars="250"/>
        <w:rPr>
          <w:rFonts w:ascii="宋体"/>
          <w:color w:val="auto"/>
          <w:kern w:val="0"/>
          <w:sz w:val="20"/>
          <w:szCs w:val="21"/>
          <w:highlight w:val="none"/>
        </w:rPr>
        <w:sectPr>
          <w:footerReference r:id="rId11" w:type="default"/>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w:t>
      </w:r>
      <w:r>
        <w:rPr>
          <w:rFonts w:ascii="仿宋_GB2312" w:hAnsi="仿宋" w:eastAsia="仿宋_GB2312"/>
          <w:color w:val="auto"/>
          <w:szCs w:val="21"/>
          <w:highlight w:val="none"/>
        </w:rPr>
        <w:t>[2011]300</w:t>
      </w:r>
      <w:r>
        <w:rPr>
          <w:rFonts w:hint="eastAsia" w:ascii="仿宋_GB2312" w:hAnsi="仿宋" w:eastAsia="仿宋_GB2312"/>
          <w:color w:val="auto"/>
          <w:szCs w:val="21"/>
          <w:highlight w:val="none"/>
        </w:rPr>
        <w:t>号），大型、中型和小型企业须同时满足所列指标的下限，否则下划一档；微型企业只须满足所列指标中的一项即可。</w:t>
      </w:r>
    </w:p>
    <w:p w14:paraId="7954A7AF">
      <w:pPr>
        <w:pStyle w:val="3"/>
        <w:spacing w:line="360" w:lineRule="auto"/>
        <w:jc w:val="center"/>
        <w:rPr>
          <w:rFonts w:hint="eastAsia" w:ascii="宋体" w:hAnsi="宋体" w:eastAsia="宋体" w:cs="宋体"/>
          <w:b/>
          <w:bCs/>
          <w:color w:val="auto"/>
          <w:highlight w:val="none"/>
        </w:rPr>
      </w:pPr>
      <w:bookmarkStart w:id="47" w:name="_Toc680"/>
      <w:bookmarkStart w:id="48" w:name="_Toc28368"/>
      <w:bookmarkStart w:id="49" w:name="_Toc14404"/>
      <w:bookmarkStart w:id="50" w:name="_Toc13594"/>
      <w:r>
        <w:rPr>
          <w:rFonts w:hint="eastAsia" w:ascii="宋体" w:hAnsi="宋体" w:eastAsia="宋体" w:cs="宋体"/>
          <w:b/>
          <w:bCs/>
          <w:color w:val="auto"/>
          <w:highlight w:val="none"/>
        </w:rPr>
        <w:t>第三章 供应商须知</w:t>
      </w:r>
      <w:bookmarkEnd w:id="44"/>
      <w:bookmarkEnd w:id="45"/>
      <w:bookmarkEnd w:id="46"/>
      <w:bookmarkEnd w:id="47"/>
      <w:bookmarkEnd w:id="48"/>
      <w:bookmarkEnd w:id="49"/>
      <w:bookmarkEnd w:id="50"/>
    </w:p>
    <w:p w14:paraId="7CFEE793">
      <w:pPr>
        <w:pStyle w:val="4"/>
        <w:spacing w:line="360" w:lineRule="auto"/>
        <w:jc w:val="center"/>
        <w:rPr>
          <w:rFonts w:hint="eastAsia" w:ascii="宋体" w:hAnsi="宋体" w:eastAsia="宋体" w:cs="宋体"/>
          <w:b w:val="0"/>
          <w:color w:val="auto"/>
          <w:highlight w:val="none"/>
        </w:rPr>
      </w:pPr>
      <w:bookmarkStart w:id="51" w:name="_Toc23940"/>
      <w:bookmarkStart w:id="52" w:name="_Toc2403"/>
      <w:bookmarkStart w:id="53" w:name="_Toc24946"/>
      <w:bookmarkStart w:id="54" w:name="_Toc1315"/>
      <w:bookmarkStart w:id="55" w:name="_Toc23393"/>
      <w:bookmarkStart w:id="56" w:name="_Toc2833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51"/>
      <w:bookmarkEnd w:id="52"/>
      <w:bookmarkEnd w:id="53"/>
      <w:bookmarkEnd w:id="54"/>
      <w:bookmarkEnd w:id="55"/>
      <w:bookmarkEnd w:id="56"/>
    </w:p>
    <w:tbl>
      <w:tblPr>
        <w:tblStyle w:val="28"/>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5A56B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vAlign w:val="center"/>
          </w:tcPr>
          <w:p w14:paraId="0F3735A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vAlign w:val="center"/>
          </w:tcPr>
          <w:p w14:paraId="745A586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vAlign w:val="center"/>
          </w:tcPr>
          <w:p w14:paraId="72A7C35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78B5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3B7D0C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vAlign w:val="center"/>
          </w:tcPr>
          <w:p w14:paraId="073EA5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vAlign w:val="center"/>
          </w:tcPr>
          <w:p w14:paraId="695327F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677F6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37370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vAlign w:val="center"/>
          </w:tcPr>
          <w:p w14:paraId="4CE303B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vAlign w:val="center"/>
          </w:tcPr>
          <w:p w14:paraId="53FCB906">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293CB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468A40C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vAlign w:val="center"/>
          </w:tcPr>
          <w:p w14:paraId="687871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vAlign w:val="center"/>
          </w:tcPr>
          <w:p w14:paraId="333F97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4670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F27B6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vAlign w:val="center"/>
          </w:tcPr>
          <w:p w14:paraId="06DA3DF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vAlign w:val="center"/>
          </w:tcPr>
          <w:p w14:paraId="12B58C4B">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2490621A">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51B44812">
            <w:pPr>
              <w:pStyle w:val="11"/>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u w:val="single"/>
                <w:lang w:val="en-US" w:eastAsia="zh-CN"/>
              </w:rPr>
              <w:t>/</w:t>
            </w:r>
            <w:r>
              <w:rPr>
                <w:rFonts w:hint="eastAsia" w:asciiTheme="minorEastAsia" w:hAnsiTheme="minorEastAsia" w:eastAsiaTheme="minorEastAsia"/>
                <w:kern w:val="2"/>
                <w:sz w:val="21"/>
                <w:szCs w:val="21"/>
                <w:u w:val="single"/>
              </w:rPr>
              <w:t xml:space="preserve"> </w:t>
            </w:r>
            <w:r>
              <w:rPr>
                <w:rFonts w:hint="eastAsia" w:ascii="宋体" w:hAnsi="宋体" w:eastAsia="宋体" w:cs="宋体"/>
                <w:color w:val="auto"/>
                <w:szCs w:val="21"/>
                <w:highlight w:val="none"/>
                <w:u w:val="single"/>
                <w:lang w:val="en-US" w:eastAsia="zh-CN"/>
              </w:rPr>
              <w:t xml:space="preserve">    。</w:t>
            </w:r>
          </w:p>
          <w:p w14:paraId="51F9E5A5">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u w:val="single"/>
                <w:lang w:val="en-US" w:eastAsia="zh-CN"/>
              </w:rPr>
              <w:t>/</w:t>
            </w:r>
            <w:r>
              <w:rPr>
                <w:rFonts w:hint="eastAsia"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3528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FC27A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vAlign w:val="center"/>
          </w:tcPr>
          <w:p w14:paraId="4CEC9D5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vAlign w:val="center"/>
          </w:tcPr>
          <w:p w14:paraId="47A28C32">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6A3B9EC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20</w:t>
            </w:r>
            <w:r>
              <w:rPr>
                <w:rFonts w:hint="eastAsia" w:ascii="宋体" w:hAnsi="宋体" w:cs="宋体"/>
                <w:color w:val="auto"/>
                <w:szCs w:val="21"/>
                <w:highlight w:val="none"/>
                <w:u w:val="single"/>
                <w:lang w:val="en-US" w:eastAsia="zh-CN"/>
              </w:rPr>
              <w:t>25</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12</w:t>
            </w:r>
            <w:r>
              <w:rPr>
                <w:rFonts w:hint="eastAsia" w:ascii="宋体" w:hAnsi="宋体" w:eastAsia="宋体" w:cs="宋体"/>
                <w:color w:val="auto"/>
                <w:szCs w:val="21"/>
                <w:highlight w:val="none"/>
                <w:u w:val="single"/>
              </w:rPr>
              <w:t>月至</w:t>
            </w:r>
            <w:r>
              <w:rPr>
                <w:rFonts w:hint="eastAsia" w:ascii="宋体" w:hAnsi="宋体" w:eastAsia="宋体" w:cs="宋体"/>
                <w:color w:val="auto"/>
                <w:szCs w:val="21"/>
                <w:highlight w:val="none"/>
                <w:u w:val="single"/>
                <w:lang w:val="en-US"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期间</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 xml:space="preserve"> 3</w:t>
            </w:r>
            <w:r>
              <w:rPr>
                <w:rFonts w:hint="eastAsia" w:ascii="宋体" w:hAnsi="宋体" w:cs="宋体"/>
                <w:color w:val="auto"/>
                <w:szCs w:val="21"/>
                <w:u w:val="single"/>
              </w:rPr>
              <w:t xml:space="preserve"> </w:t>
            </w:r>
            <w:r>
              <w:rPr>
                <w:rFonts w:hint="eastAsia" w:ascii="宋体" w:hAnsi="宋体" w:cs="宋体"/>
                <w:color w:val="auto"/>
                <w:szCs w:val="21"/>
              </w:rPr>
              <w:t>个月的</w:t>
            </w:r>
            <w:r>
              <w:rPr>
                <w:rFonts w:hint="eastAsia" w:ascii="宋体" w:hAnsi="宋体" w:eastAsia="宋体" w:cs="宋体"/>
                <w:color w:val="auto"/>
                <w:szCs w:val="21"/>
                <w:highlight w:val="none"/>
              </w:rPr>
              <w:t>依法缴纳税收的凭据复印件；</w:t>
            </w:r>
            <w:r>
              <w:rPr>
                <w:rFonts w:hint="eastAsia" w:ascii="宋体" w:hAnsi="宋体" w:cs="宋体"/>
                <w:color w:val="auto"/>
                <w:szCs w:val="21"/>
              </w:rPr>
              <w:t>依</w:t>
            </w:r>
            <w:r>
              <w:rPr>
                <w:rFonts w:hint="eastAsia" w:ascii="宋体" w:hAnsi="宋体"/>
                <w:color w:val="auto"/>
                <w:szCs w:val="21"/>
              </w:rPr>
              <w:t>法免税的供应商，必须提供相应文件证明其依法免税。</w:t>
            </w:r>
            <w:r>
              <w:rPr>
                <w:rFonts w:hint="eastAsia" w:ascii="宋体" w:hAnsi="宋体" w:cs="宋体"/>
                <w:color w:val="auto"/>
                <w:szCs w:val="21"/>
              </w:rPr>
              <w:t>从取得营业执照时间起到投标文件提交截止时间为止不足要求月数的，只需提供从取得营业执照起的依法缴纳税收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7A4AA44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20</w:t>
            </w:r>
            <w:r>
              <w:rPr>
                <w:rFonts w:hint="eastAsia" w:ascii="宋体" w:hAnsi="宋体" w:eastAsia="宋体" w:cs="宋体"/>
                <w:color w:val="auto"/>
                <w:szCs w:val="21"/>
                <w:highlight w:val="none"/>
                <w:u w:val="single"/>
                <w:lang w:val="en-US" w:eastAsia="zh-CN"/>
              </w:rPr>
              <w:t>25</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12</w:t>
            </w:r>
            <w:r>
              <w:rPr>
                <w:rFonts w:hint="eastAsia" w:ascii="宋体" w:hAnsi="宋体" w:eastAsia="宋体" w:cs="宋体"/>
                <w:color w:val="auto"/>
                <w:szCs w:val="21"/>
                <w:highlight w:val="none"/>
                <w:u w:val="single"/>
              </w:rPr>
              <w:t>月至</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期间</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 xml:space="preserve"> 3</w:t>
            </w:r>
            <w:r>
              <w:rPr>
                <w:rFonts w:hint="eastAsia" w:ascii="宋体" w:hAnsi="宋体" w:cs="宋体"/>
                <w:color w:val="auto"/>
                <w:szCs w:val="21"/>
                <w:u w:val="single"/>
              </w:rPr>
              <w:t xml:space="preserve"> </w:t>
            </w:r>
            <w:r>
              <w:rPr>
                <w:rFonts w:hint="eastAsia" w:ascii="宋体" w:hAnsi="宋体" w:cs="宋体"/>
                <w:color w:val="auto"/>
                <w:szCs w:val="21"/>
              </w:rPr>
              <w:t>个月</w:t>
            </w:r>
            <w:r>
              <w:rPr>
                <w:rFonts w:hint="eastAsia" w:ascii="宋体" w:hAnsi="宋体" w:eastAsia="宋体" w:cs="宋体"/>
                <w:color w:val="auto"/>
                <w:szCs w:val="21"/>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61FF53C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szCs w:val="21"/>
              </w:rPr>
              <w:t>[</w:t>
            </w:r>
            <w:r>
              <w:rPr>
                <w:rFonts w:hint="eastAsia" w:ascii="宋体" w:hAnsi="宋体" w:cs="宋体"/>
                <w:color w:val="000000"/>
                <w:szCs w:val="21"/>
                <w:u w:val="single"/>
                <w:lang w:val="en-US" w:eastAsia="zh-CN"/>
              </w:rPr>
              <w:t>2024年或2025年</w:t>
            </w:r>
            <w:r>
              <w:rPr>
                <w:rFonts w:hint="eastAsia" w:asciiTheme="minorEastAsia" w:hAnsiTheme="minorEastAsia" w:eastAsiaTheme="minorEastAsia"/>
                <w:szCs w:val="21"/>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45580EB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B56F96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B43DCC3">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5FA67A8E">
            <w:pPr>
              <w:snapToGrid w:val="0"/>
              <w:spacing w:line="360" w:lineRule="auto"/>
              <w:jc w:val="left"/>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：（1）</w:t>
            </w:r>
            <w:r>
              <w:rPr>
                <w:rFonts w:hint="eastAsia" w:ascii="宋体" w:hAnsi="宋体" w:cs="宋体"/>
                <w:color w:val="auto"/>
                <w:szCs w:val="21"/>
                <w:highlight w:val="none"/>
                <w:lang w:val="en-US" w:eastAsia="zh-CN"/>
              </w:rPr>
              <w:t>具备</w:t>
            </w:r>
            <w:r>
              <w:rPr>
                <w:rFonts w:hint="eastAsia" w:ascii="宋体" w:hAnsi="宋体" w:cs="宋体"/>
                <w:color w:val="auto"/>
                <w:szCs w:val="21"/>
                <w:highlight w:val="none"/>
                <w:lang w:eastAsia="zh-CN"/>
              </w:rPr>
              <w:t>水利水电工程施工总承包叁级或叁级以上资质，具有省级及以上建设行政主管部门颁发的安全生产许可证，并在人员、设备、资金等方面具备相应的施工能力。</w:t>
            </w:r>
          </w:p>
          <w:p w14:paraId="5CD08794">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拟派项目经理须具备水利水电工程专业贰级以上（含贰级）注册建造师执业资格，具备有效的安全生产考核合格证书（B类）。本项目不接受有在建、已中标未开工或其他项目中标候选人第一名的建造师作为项目经理。（</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项目经理无在建项目承诺书（格式自拟）。</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p>
          <w:p w14:paraId="62EF29B9">
            <w:pPr>
              <w:snapToGrid w:val="0"/>
              <w:spacing w:line="360" w:lineRule="auto"/>
              <w:jc w:val="lef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除磋商文件规定必须提供以外，供应商认为需要提供的其他证明材料。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46169A7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BB43D55">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74DE1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vAlign w:val="center"/>
          </w:tcPr>
          <w:p w14:paraId="26DF027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vAlign w:val="center"/>
          </w:tcPr>
          <w:p w14:paraId="6790387E">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vAlign w:val="center"/>
          </w:tcPr>
          <w:p w14:paraId="2E80E9D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B94095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951B609">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1E64769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2359F7D">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auto"/>
                <w:szCs w:val="21"/>
                <w:highlight w:val="none"/>
              </w:rPr>
              <w:t>5.</w:t>
            </w:r>
            <w:r>
              <w:rPr>
                <w:rFonts w:hint="eastAsia" w:ascii="宋体" w:hAnsi="宋体" w:cs="宋体"/>
                <w:color w:val="000000" w:themeColor="text1"/>
                <w:szCs w:val="21"/>
                <w:highlight w:val="none"/>
                <w14:textFill>
                  <w14:solidFill>
                    <w14:schemeClr w14:val="tx1"/>
                  </w14:solidFill>
                </w14:textFill>
              </w:rPr>
              <w:t>供应商类似业绩的证明文件；</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1439CB4F">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121D8CA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1A6F7F3C">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1.法定代表人授权委托书必须由法定代表人及委托代理人签字，并加盖供应商公章，否则响应文件按无效响应处理。</w:t>
            </w:r>
          </w:p>
          <w:p w14:paraId="028A99A8">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7DEC9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202399C8">
            <w:pPr>
              <w:spacing w:line="360" w:lineRule="auto"/>
              <w:jc w:val="center"/>
              <w:rPr>
                <w:rFonts w:hint="eastAsia" w:ascii="宋体" w:hAnsi="宋体" w:eastAsia="宋体" w:cs="宋体"/>
                <w:color w:val="auto"/>
                <w:szCs w:val="21"/>
                <w:highlight w:val="none"/>
              </w:rPr>
            </w:pPr>
          </w:p>
        </w:tc>
        <w:tc>
          <w:tcPr>
            <w:tcW w:w="2244" w:type="dxa"/>
            <w:vAlign w:val="center"/>
          </w:tcPr>
          <w:p w14:paraId="45817941">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vAlign w:val="center"/>
          </w:tcPr>
          <w:p w14:paraId="26121313">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C620D1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FDD53FF">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D2B6F1A">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47A41A3">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627D5D">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Cs w:val="21"/>
                <w:highlight w:val="none"/>
              </w:rPr>
              <w:t>供</w:t>
            </w:r>
            <w:r>
              <w:rPr>
                <w:rFonts w:hint="eastAsia" w:ascii="宋体" w:hAnsi="宋体" w:eastAsia="宋体" w:cs="宋体"/>
                <w:color w:val="auto"/>
                <w:szCs w:val="21"/>
                <w:highlight w:val="none"/>
              </w:rPr>
              <w:t>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454A0D10">
            <w:pPr>
              <w:numPr>
                <w:ilvl w:val="0"/>
                <w:numId w:val="0"/>
              </w:numPr>
              <w:spacing w:line="360" w:lineRule="auto"/>
              <w:ind w:leftChars="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7B5A5573">
            <w:pPr>
              <w:numPr>
                <w:ilvl w:val="0"/>
                <w:numId w:val="0"/>
              </w:numPr>
              <w:spacing w:line="360" w:lineRule="auto"/>
              <w:ind w:lef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86A6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A2552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vAlign w:val="center"/>
          </w:tcPr>
          <w:p w14:paraId="10489601">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vAlign w:val="center"/>
          </w:tcPr>
          <w:p w14:paraId="65493830">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037DC5B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84F8A03">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BCE0D62">
            <w:pPr>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4.安全文明施工措施费承诺书</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056DFC5">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tc>
      </w:tr>
      <w:tr w14:paraId="6D18B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4E4A0D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vAlign w:val="center"/>
          </w:tcPr>
          <w:p w14:paraId="5023E1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vAlign w:val="center"/>
          </w:tcPr>
          <w:p w14:paraId="642635C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199902C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303C8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3E83CB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vAlign w:val="center"/>
          </w:tcPr>
          <w:p w14:paraId="0FBD16E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vAlign w:val="center"/>
          </w:tcPr>
          <w:p w14:paraId="071D3EF2">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3CEFEA09">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309D111B">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2D824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1FA8447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vAlign w:val="center"/>
          </w:tcPr>
          <w:p w14:paraId="5A6C0D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vAlign w:val="center"/>
          </w:tcPr>
          <w:p w14:paraId="1B135E05">
            <w:pPr>
              <w:pStyle w:val="10"/>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rPr>
              <w:t>自</w:t>
            </w:r>
            <w:r>
              <w:rPr>
                <w:rFonts w:hint="eastAsia" w:cs="宋体" w:asciiTheme="minorEastAsia" w:hAnsiTheme="minorEastAsia" w:eastAsiaTheme="minorEastAsia"/>
                <w:color w:val="auto"/>
                <w:kern w:val="2"/>
                <w:sz w:val="21"/>
                <w:szCs w:val="21"/>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lang w:val="en-US" w:eastAsia="zh-CN"/>
              </w:rPr>
              <w:t>9</w:t>
            </w:r>
            <w:r>
              <w:rPr>
                <w:rFonts w:hint="eastAsia" w:ascii="宋体" w:hAnsi="宋体" w:eastAsia="宋体" w:cs="宋体"/>
                <w:color w:val="auto"/>
                <w:kern w:val="2"/>
                <w:sz w:val="21"/>
                <w:szCs w:val="21"/>
                <w:highlight w:val="none"/>
                <w:u w:val="single"/>
              </w:rPr>
              <w:t xml:space="preserve">0 </w:t>
            </w:r>
            <w:r>
              <w:rPr>
                <w:rFonts w:hint="eastAsia" w:ascii="宋体" w:hAnsi="宋体" w:eastAsia="宋体" w:cs="宋体"/>
                <w:color w:val="auto"/>
                <w:kern w:val="2"/>
                <w:sz w:val="21"/>
                <w:szCs w:val="21"/>
                <w:highlight w:val="none"/>
              </w:rPr>
              <w:t>日。</w:t>
            </w:r>
          </w:p>
        </w:tc>
      </w:tr>
      <w:tr w14:paraId="2682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7BE7D5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vAlign w:val="center"/>
          </w:tcPr>
          <w:p w14:paraId="154C49B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vAlign w:val="center"/>
          </w:tcPr>
          <w:p w14:paraId="31381017">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68308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jc w:val="center"/>
        </w:trPr>
        <w:tc>
          <w:tcPr>
            <w:tcW w:w="903" w:type="dxa"/>
            <w:vMerge w:val="restart"/>
            <w:vAlign w:val="center"/>
          </w:tcPr>
          <w:p w14:paraId="173060D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vAlign w:val="center"/>
          </w:tcPr>
          <w:p w14:paraId="7E54A73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vAlign w:val="center"/>
          </w:tcPr>
          <w:p w14:paraId="45FC1D31">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4DEE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vAlign w:val="center"/>
          </w:tcPr>
          <w:p w14:paraId="67169811">
            <w:pPr>
              <w:spacing w:line="360" w:lineRule="auto"/>
              <w:jc w:val="center"/>
              <w:rPr>
                <w:rFonts w:hint="eastAsia" w:ascii="宋体" w:hAnsi="宋体" w:eastAsia="宋体" w:cs="宋体"/>
                <w:color w:val="auto"/>
                <w:szCs w:val="21"/>
                <w:highlight w:val="none"/>
              </w:rPr>
            </w:pPr>
          </w:p>
        </w:tc>
        <w:tc>
          <w:tcPr>
            <w:tcW w:w="2244" w:type="dxa"/>
            <w:vAlign w:val="center"/>
          </w:tcPr>
          <w:p w14:paraId="2D4D9EC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vAlign w:val="center"/>
          </w:tcPr>
          <w:p w14:paraId="41C83638">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0DF51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Align w:val="center"/>
          </w:tcPr>
          <w:p w14:paraId="53AB557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vAlign w:val="center"/>
          </w:tcPr>
          <w:p w14:paraId="29F2AC6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vAlign w:val="center"/>
          </w:tcPr>
          <w:p w14:paraId="1E8ED6A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4BD19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Align w:val="center"/>
          </w:tcPr>
          <w:p w14:paraId="7F98D08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vAlign w:val="center"/>
          </w:tcPr>
          <w:p w14:paraId="1C994EC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vAlign w:val="center"/>
          </w:tcPr>
          <w:p w14:paraId="256FABF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1ED75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vAlign w:val="center"/>
          </w:tcPr>
          <w:p w14:paraId="051D9E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vAlign w:val="center"/>
          </w:tcPr>
          <w:p w14:paraId="648FB3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vAlign w:val="center"/>
          </w:tcPr>
          <w:p w14:paraId="279E5AB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60D079B2">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0D776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64CA3DFF">
            <w:pPr>
              <w:spacing w:line="360" w:lineRule="auto"/>
              <w:jc w:val="center"/>
              <w:rPr>
                <w:rFonts w:hint="eastAsia" w:ascii="宋体" w:hAnsi="宋体" w:eastAsia="宋体" w:cs="宋体"/>
                <w:color w:val="auto"/>
                <w:szCs w:val="21"/>
                <w:highlight w:val="none"/>
              </w:rPr>
            </w:pPr>
          </w:p>
        </w:tc>
        <w:tc>
          <w:tcPr>
            <w:tcW w:w="2244" w:type="dxa"/>
            <w:vAlign w:val="center"/>
          </w:tcPr>
          <w:p w14:paraId="07E30E7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vAlign w:val="center"/>
          </w:tcPr>
          <w:p w14:paraId="1F02321A">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114736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p w14:paraId="00ECEE62">
            <w:pPr>
              <w:pStyle w:val="11"/>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55CBF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14A2E3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w:t>
            </w:r>
          </w:p>
        </w:tc>
        <w:tc>
          <w:tcPr>
            <w:tcW w:w="2244" w:type="dxa"/>
            <w:vAlign w:val="center"/>
          </w:tcPr>
          <w:p w14:paraId="1A1FBC7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vAlign w:val="center"/>
          </w:tcPr>
          <w:p w14:paraId="49C225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1"/>
                <w:szCs w:val="21"/>
                <w:highlight w:val="none"/>
                <w:lang w:val="zh-CN" w:eastAsia="zh-CN"/>
              </w:rPr>
            </w:pPr>
            <w:r>
              <w:rPr>
                <w:rFonts w:hint="eastAsia" w:ascii="宋体" w:hAnsi="宋体" w:eastAsia="宋体" w:cs="宋体"/>
                <w:color w:val="auto"/>
                <w:kern w:val="0"/>
                <w:sz w:val="21"/>
                <w:szCs w:val="21"/>
                <w:highlight w:val="none"/>
                <w:lang w:val="zh-CN" w:eastAsia="zh-CN"/>
              </w:rPr>
              <w:t>履约保证金金额：合同金额的2%。</w:t>
            </w:r>
          </w:p>
          <w:p w14:paraId="444DE80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1"/>
                <w:szCs w:val="21"/>
                <w:highlight w:val="none"/>
                <w:lang w:val="zh-CN" w:eastAsia="zh-CN"/>
              </w:rPr>
            </w:pPr>
            <w:r>
              <w:rPr>
                <w:rFonts w:hint="eastAsia" w:ascii="宋体" w:hAnsi="宋体" w:eastAsia="宋体" w:cs="宋体"/>
                <w:color w:val="auto"/>
                <w:kern w:val="0"/>
                <w:sz w:val="21"/>
                <w:szCs w:val="21"/>
                <w:highlight w:val="none"/>
                <w:lang w:val="zh-CN" w:eastAsia="zh-CN"/>
              </w:rPr>
              <w:t>履约保证金提交方式：可以选择电汇、转账、支票、汇票、本票、保函等非现金形式向采购人缴纳或提交；采用保函形式缴纳的，采购人在保证期限届满后及时对收取的保证金进行核实和结算。</w:t>
            </w:r>
          </w:p>
          <w:p w14:paraId="2BAC414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1"/>
                <w:szCs w:val="21"/>
                <w:highlight w:val="none"/>
                <w:lang w:val="zh-CN" w:eastAsia="zh-CN"/>
              </w:rPr>
            </w:pPr>
            <w:r>
              <w:rPr>
                <w:rFonts w:hint="eastAsia" w:ascii="宋体" w:hAnsi="宋体" w:eastAsia="宋体" w:cs="宋体"/>
                <w:color w:val="auto"/>
                <w:kern w:val="0"/>
                <w:sz w:val="21"/>
                <w:szCs w:val="21"/>
                <w:highlight w:val="none"/>
                <w:lang w:val="zh-CN" w:eastAsia="zh-CN"/>
              </w:rPr>
              <w:t>履约保证金退付方式、时间及条件：在合同工程完工证书颁发且缺陷责任期届满无质量问题后，经承包人申请将履约担保无息退还给承包人。</w:t>
            </w:r>
          </w:p>
          <w:p w14:paraId="4EB6495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注：（1）承包人应在合同签订前提交采购人认可的履约保证金，履约保证金不足额缴纳的，或金融机构、担保机构出具的保函额度不足的或者保函有效期低于合同履行期限（即签订合同之日起至履行完合同约定的权利及义务之日止）的，不予签订合同。（2）采用金融机构、担保机构出具的保函的，必须为无条件保函，否则不予签订合同。</w:t>
            </w:r>
          </w:p>
        </w:tc>
      </w:tr>
      <w:tr w14:paraId="5EB63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C63A53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vAlign w:val="center"/>
          </w:tcPr>
          <w:p w14:paraId="6F8240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vAlign w:val="center"/>
          </w:tcPr>
          <w:p w14:paraId="4BB7F05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6D3DC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vAlign w:val="center"/>
          </w:tcPr>
          <w:p w14:paraId="1C4BAEB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vAlign w:val="center"/>
          </w:tcPr>
          <w:p w14:paraId="2777A8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vAlign w:val="center"/>
          </w:tcPr>
          <w:p w14:paraId="4CD3732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2E7B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0DB8A08C">
            <w:pPr>
              <w:spacing w:line="360" w:lineRule="auto"/>
              <w:jc w:val="center"/>
              <w:rPr>
                <w:rFonts w:hint="eastAsia" w:ascii="宋体" w:hAnsi="宋体" w:eastAsia="宋体" w:cs="宋体"/>
                <w:color w:val="auto"/>
                <w:szCs w:val="21"/>
                <w:highlight w:val="none"/>
              </w:rPr>
            </w:pPr>
          </w:p>
        </w:tc>
        <w:tc>
          <w:tcPr>
            <w:tcW w:w="2244" w:type="dxa"/>
            <w:vAlign w:val="center"/>
          </w:tcPr>
          <w:p w14:paraId="3AB5CE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vAlign w:val="center"/>
          </w:tcPr>
          <w:p w14:paraId="0192E63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（1）</w:t>
            </w:r>
            <w:r>
              <w:rPr>
                <w:rFonts w:hint="eastAsia" w:ascii="宋体" w:hAnsi="宋体" w:cs="宋体"/>
                <w:color w:val="auto"/>
                <w:szCs w:val="21"/>
                <w:highlight w:val="none"/>
                <w:u w:val="single"/>
                <w:lang w:eastAsia="zh-CN"/>
              </w:rPr>
              <w:t>广西佳鸿工程技术有限公司</w:t>
            </w:r>
            <w:r>
              <w:rPr>
                <w:rFonts w:hint="eastAsia" w:ascii="宋体" w:hAnsi="宋体" w:eastAsia="宋体" w:cs="宋体"/>
                <w:color w:val="auto"/>
                <w:szCs w:val="21"/>
                <w:highlight w:val="none"/>
              </w:rPr>
              <w:t>；</w:t>
            </w:r>
          </w:p>
          <w:p w14:paraId="24A9BDC9">
            <w:pPr>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0771-6509080</w:t>
            </w:r>
          </w:p>
          <w:p w14:paraId="3238E05D">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南宁市隆安县那桐镇侨康路6号06栋整栋</w:t>
            </w:r>
          </w:p>
          <w:p w14:paraId="42E18A7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（2）</w:t>
            </w:r>
            <w:r>
              <w:rPr>
                <w:rFonts w:hint="eastAsia" w:ascii="宋体" w:hAnsi="宋体" w:cs="宋体"/>
                <w:color w:val="auto"/>
                <w:szCs w:val="21"/>
                <w:highlight w:val="none"/>
                <w:u w:val="single"/>
                <w:lang w:eastAsia="zh-CN"/>
              </w:rPr>
              <w:t>隆安县布良水利工程管理所</w:t>
            </w:r>
            <w:r>
              <w:rPr>
                <w:rFonts w:hint="eastAsia" w:ascii="宋体" w:hAnsi="宋体" w:eastAsia="宋体" w:cs="宋体"/>
                <w:color w:val="auto"/>
                <w:szCs w:val="21"/>
                <w:highlight w:val="none"/>
              </w:rPr>
              <w:t>；</w:t>
            </w:r>
          </w:p>
          <w:p w14:paraId="1FF1017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0771-6532618</w:t>
            </w:r>
          </w:p>
          <w:p w14:paraId="26ABA3BC">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隆安县南圩镇卫南街121号</w:t>
            </w:r>
          </w:p>
        </w:tc>
      </w:tr>
      <w:tr w14:paraId="2A496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903" w:type="dxa"/>
            <w:vMerge w:val="continue"/>
            <w:vAlign w:val="center"/>
          </w:tcPr>
          <w:p w14:paraId="02069F9D">
            <w:pPr>
              <w:spacing w:line="360" w:lineRule="auto"/>
              <w:jc w:val="center"/>
              <w:rPr>
                <w:rFonts w:hint="eastAsia" w:ascii="宋体" w:hAnsi="宋体" w:eastAsia="宋体" w:cs="宋体"/>
                <w:color w:val="auto"/>
                <w:szCs w:val="21"/>
                <w:highlight w:val="none"/>
              </w:rPr>
            </w:pPr>
          </w:p>
        </w:tc>
        <w:tc>
          <w:tcPr>
            <w:tcW w:w="2244" w:type="dxa"/>
            <w:vAlign w:val="center"/>
          </w:tcPr>
          <w:p w14:paraId="69E2CEF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vAlign w:val="center"/>
          </w:tcPr>
          <w:p w14:paraId="31C321A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7DCCD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6699A2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vAlign w:val="center"/>
          </w:tcPr>
          <w:p w14:paraId="3C73483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vAlign w:val="center"/>
          </w:tcPr>
          <w:p w14:paraId="4034985C">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27B57E91">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045F61C0">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名称：隆安县财政局</w:t>
            </w:r>
          </w:p>
          <w:p w14:paraId="7D928FE2">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地址：隆安县广场路8号</w:t>
            </w:r>
            <w:r>
              <w:rPr>
                <w:rFonts w:hint="eastAsia" w:ascii="宋体" w:hAnsi="宋体" w:eastAsia="宋体" w:cs="宋体"/>
                <w:color w:val="auto"/>
                <w:szCs w:val="21"/>
                <w:highlight w:val="none"/>
                <w:lang w:eastAsia="zh-CN"/>
              </w:rPr>
              <w:t xml:space="preserve"> </w:t>
            </w:r>
            <w:r>
              <w:rPr>
                <w:rFonts w:hint="eastAsia" w:ascii="宋体" w:hAnsi="宋体" w:eastAsia="宋体" w:cs="宋体"/>
                <w:color w:val="auto"/>
                <w:szCs w:val="21"/>
                <w:highlight w:val="none"/>
              </w:rPr>
              <w:t xml:space="preserve"> </w:t>
            </w:r>
          </w:p>
          <w:p w14:paraId="77C47C49">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Cs w:val="21"/>
                <w:highlight w:val="none"/>
                <w:lang w:val="en-US" w:eastAsia="zh-CN"/>
              </w:rPr>
              <w:t xml:space="preserve">联系电话：0771-6531019 </w:t>
            </w:r>
            <w:r>
              <w:rPr>
                <w:rFonts w:hint="eastAsia" w:ascii="宋体" w:hAnsi="宋体" w:eastAsia="宋体" w:cs="宋体"/>
                <w:color w:val="auto"/>
                <w:sz w:val="21"/>
                <w:highlight w:val="none"/>
                <w:lang w:val="en-US" w:eastAsia="zh-CN"/>
              </w:rPr>
              <w:t xml:space="preserve"> </w:t>
            </w:r>
          </w:p>
        </w:tc>
      </w:tr>
      <w:tr w14:paraId="62C25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21D9857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vAlign w:val="center"/>
          </w:tcPr>
          <w:p w14:paraId="238537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vAlign w:val="center"/>
          </w:tcPr>
          <w:p w14:paraId="4616F968">
            <w:pPr>
              <w:pStyle w:val="17"/>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1.是否收取采购代理费：</w:t>
            </w:r>
          </w:p>
          <w:p w14:paraId="6A7E7DFD">
            <w:pPr>
              <w:pStyle w:val="17"/>
              <w:snapToGrid w:val="0"/>
              <w:spacing w:line="360" w:lineRule="auto"/>
              <w:rPr>
                <w:rFonts w:hAnsi="宋体" w:eastAsia="Times New Roman" w:cs="宋体"/>
                <w:color w:val="auto"/>
                <w:sz w:val="21"/>
                <w:szCs w:val="21"/>
                <w:highlight w:val="none"/>
              </w:rPr>
            </w:pPr>
            <w:r>
              <w:rPr>
                <w:rFonts w:hint="eastAsia" w:hAnsi="宋体" w:cs="宋体"/>
                <w:color w:val="auto"/>
                <w:sz w:val="21"/>
                <w:szCs w:val="21"/>
                <w:highlight w:val="none"/>
                <w:lang w:eastAsia="zh-CN"/>
              </w:rPr>
              <w:t>☑</w:t>
            </w:r>
            <w:r>
              <w:rPr>
                <w:rFonts w:hAnsi="宋体" w:eastAsia="Times New Roman" w:cs="宋体"/>
                <w:color w:val="auto"/>
                <w:sz w:val="21"/>
                <w:szCs w:val="21"/>
                <w:highlight w:val="none"/>
              </w:rPr>
              <w:t>是    □ 否</w:t>
            </w:r>
          </w:p>
          <w:p w14:paraId="3F3BC7C7">
            <w:pPr>
              <w:pStyle w:val="17"/>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2.采购代理费支付方式：</w:t>
            </w:r>
          </w:p>
          <w:p w14:paraId="17A45C5F">
            <w:pPr>
              <w:pStyle w:val="17"/>
              <w:snapToGrid w:val="0"/>
              <w:spacing w:line="360" w:lineRule="auto"/>
              <w:rPr>
                <w:rFonts w:hint="eastAsia" w:hAnsi="宋体" w:cs="宋体"/>
                <w:color w:val="auto"/>
                <w:sz w:val="21"/>
                <w:szCs w:val="21"/>
                <w:highlight w:val="none"/>
                <w:lang w:eastAsia="zh-CN"/>
              </w:rPr>
            </w:pPr>
            <w:r>
              <w:rPr>
                <w:rFonts w:hint="eastAsia" w:hAnsi="宋体" w:cs="宋体"/>
                <w:color w:val="auto"/>
                <w:sz w:val="21"/>
                <w:szCs w:val="21"/>
                <w:highlight w:val="none"/>
                <w:lang w:eastAsia="zh-CN"/>
              </w:rPr>
              <w:t>□本项目代理服务费由成交供应商领取成交通知书前，一次性向采购代理机构支付。</w:t>
            </w:r>
          </w:p>
          <w:p w14:paraId="1F965679">
            <w:pPr>
              <w:pStyle w:val="17"/>
              <w:snapToGrid w:val="0"/>
              <w:spacing w:line="360" w:lineRule="auto"/>
              <w:rPr>
                <w:rFonts w:hAnsi="宋体" w:eastAsia="Times New Roman" w:cs="宋体"/>
                <w:color w:val="auto"/>
                <w:sz w:val="21"/>
                <w:szCs w:val="21"/>
                <w:highlight w:val="none"/>
              </w:rPr>
            </w:pPr>
            <w:r>
              <w:rPr>
                <w:rFonts w:hint="eastAsia" w:hAnsi="宋体" w:cs="宋体"/>
                <w:color w:val="auto"/>
                <w:sz w:val="21"/>
                <w:szCs w:val="21"/>
                <w:highlight w:val="none"/>
                <w:lang w:eastAsia="zh-CN"/>
              </w:rPr>
              <w:t>☑采购人支付。</w:t>
            </w:r>
          </w:p>
          <w:p w14:paraId="0DB07C86">
            <w:pPr>
              <w:pStyle w:val="17"/>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3.采购代理费收取标准：</w:t>
            </w:r>
            <w:r>
              <w:rPr>
                <w:rFonts w:hint="eastAsia" w:ascii="宋体" w:hAnsi="宋体" w:eastAsia="宋体" w:cs="宋体"/>
                <w:color w:val="auto"/>
                <w:sz w:val="21"/>
                <w:szCs w:val="21"/>
                <w:highlight w:val="none"/>
                <w:lang w:val="en-US" w:eastAsia="zh-CN"/>
              </w:rPr>
              <w:t>以项目中标金额为计费基数，参考国家发展计划委员会计价格[2002]1980号《招标代理服务收费管理暂行办法》及“国家发展改革委关于降低部分建设项目收费标准规范收费行为等有关问题的通知”（发改价格【2011】534号）规定的“工程类”收费标准下浮15% 收取</w:t>
            </w:r>
            <w:r>
              <w:rPr>
                <w:rFonts w:hint="eastAsia" w:ascii="宋体" w:hAnsi="宋体" w:eastAsia="宋体" w:cs="宋体"/>
                <w:color w:val="auto"/>
                <w:sz w:val="21"/>
                <w:szCs w:val="21"/>
                <w:highlight w:val="none"/>
              </w:rPr>
              <w:t>。</w:t>
            </w:r>
          </w:p>
          <w:p w14:paraId="2CEEC1E2">
            <w:pPr>
              <w:pStyle w:val="17"/>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4.采购代理费收取银行账户</w:t>
            </w:r>
          </w:p>
          <w:p w14:paraId="20367687">
            <w:pPr>
              <w:pStyle w:val="17"/>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开户名称：</w:t>
            </w:r>
            <w:r>
              <w:rPr>
                <w:rFonts w:hint="eastAsia" w:hAnsi="宋体" w:eastAsia="Times New Roman" w:cs="宋体"/>
                <w:color w:val="auto"/>
                <w:sz w:val="21"/>
                <w:szCs w:val="21"/>
                <w:highlight w:val="none"/>
                <w:lang w:val="en-US" w:eastAsia="zh-CN"/>
              </w:rPr>
              <w:t>广西佳鸿工程技术有限公司</w:t>
            </w:r>
          </w:p>
          <w:p w14:paraId="2FE8AC9A">
            <w:pPr>
              <w:pStyle w:val="17"/>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开户行：中国建设银行股份有限公司南宁翡翠园支行</w:t>
            </w:r>
          </w:p>
          <w:p w14:paraId="177B5D56">
            <w:pPr>
              <w:pStyle w:val="17"/>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帐  户：45050160484209666888</w:t>
            </w:r>
          </w:p>
          <w:p w14:paraId="0436EA07">
            <w:pPr>
              <w:pStyle w:val="17"/>
              <w:snapToGrid w:val="0"/>
              <w:spacing w:line="360" w:lineRule="auto"/>
              <w:rPr>
                <w:rFonts w:hint="default" w:ascii="宋体" w:hAnsi="宋体" w:eastAsia="宋体" w:cs="宋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bidi="ar-SA"/>
              </w:rPr>
              <w:t>备注信息：某项目编号或项目名称采购代理服务费。</w:t>
            </w:r>
          </w:p>
        </w:tc>
      </w:tr>
      <w:tr w14:paraId="08CD8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74711C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vAlign w:val="center"/>
          </w:tcPr>
          <w:p w14:paraId="190A2B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vAlign w:val="center"/>
          </w:tcPr>
          <w:p w14:paraId="6D32A979">
            <w:pPr>
              <w:pStyle w:val="17"/>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131F6B70">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04B3FB9A">
            <w:pPr>
              <w:pStyle w:val="17"/>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D6FC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7BDA1E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vAlign w:val="center"/>
          </w:tcPr>
          <w:p w14:paraId="2EF765D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vAlign w:val="center"/>
          </w:tcPr>
          <w:p w14:paraId="5169E5DA">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E53BF91">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DEA54D4">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56421DFC">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4917D700">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0DB7F365">
      <w:pPr>
        <w:pStyle w:val="4"/>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57" w:name="_Toc18606"/>
      <w:bookmarkStart w:id="58" w:name="_Toc11716"/>
      <w:bookmarkStart w:id="59" w:name="_Toc3460"/>
      <w:bookmarkStart w:id="60" w:name="_Toc31001"/>
      <w:bookmarkStart w:id="61" w:name="_Toc11935"/>
      <w:bookmarkStart w:id="62" w:name="_Toc28698"/>
      <w:r>
        <w:rPr>
          <w:rFonts w:hint="eastAsia" w:ascii="宋体" w:hAnsi="宋体" w:eastAsia="宋体" w:cs="宋体"/>
          <w:b w:val="0"/>
          <w:color w:val="auto"/>
          <w:highlight w:val="none"/>
        </w:rPr>
        <w:t>第二节 供应商须知正文</w:t>
      </w:r>
      <w:bookmarkEnd w:id="57"/>
      <w:bookmarkEnd w:id="58"/>
      <w:bookmarkEnd w:id="59"/>
      <w:bookmarkEnd w:id="60"/>
      <w:bookmarkEnd w:id="61"/>
      <w:bookmarkEnd w:id="62"/>
    </w:p>
    <w:p w14:paraId="03CB3E32">
      <w:pPr>
        <w:pStyle w:val="5"/>
        <w:spacing w:before="0" w:after="0" w:line="360" w:lineRule="auto"/>
        <w:rPr>
          <w:rFonts w:hint="eastAsia" w:ascii="宋体" w:hAnsi="宋体" w:eastAsia="宋体" w:cs="宋体"/>
          <w:b/>
          <w:bCs w:val="0"/>
          <w:color w:val="auto"/>
          <w:highlight w:val="none"/>
        </w:rPr>
      </w:pPr>
      <w:bookmarkStart w:id="63" w:name="_Toc5632"/>
      <w:bookmarkStart w:id="64" w:name="_Toc26491"/>
      <w:bookmarkStart w:id="65" w:name="_Toc4039"/>
      <w:bookmarkStart w:id="66" w:name="_Toc4242"/>
      <w:bookmarkStart w:id="67" w:name="_Toc6602"/>
      <w:r>
        <w:rPr>
          <w:rFonts w:hint="eastAsia" w:ascii="宋体" w:hAnsi="宋体" w:eastAsia="宋体" w:cs="宋体"/>
          <w:b/>
          <w:bCs w:val="0"/>
          <w:color w:val="auto"/>
          <w:highlight w:val="none"/>
        </w:rPr>
        <w:t>一、总则</w:t>
      </w:r>
      <w:bookmarkEnd w:id="63"/>
      <w:bookmarkEnd w:id="64"/>
      <w:bookmarkEnd w:id="65"/>
      <w:bookmarkEnd w:id="66"/>
      <w:bookmarkEnd w:id="67"/>
    </w:p>
    <w:p w14:paraId="56FBADD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604C0E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9AA05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76B0A06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473AEF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7834D786">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72D942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42B7C9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szCs w:val="21"/>
        </w:rPr>
        <w:t>“工程”是指除货物和服务以外的其他政府采购对象</w:t>
      </w:r>
      <w:r>
        <w:rPr>
          <w:rFonts w:hint="eastAsia" w:ascii="宋体" w:hAnsi="宋体" w:eastAsia="宋体" w:cs="宋体"/>
          <w:color w:val="auto"/>
          <w:szCs w:val="21"/>
          <w:highlight w:val="none"/>
        </w:rPr>
        <w:t>。</w:t>
      </w:r>
    </w:p>
    <w:p w14:paraId="5E9266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738586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379B1A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3CC53C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1BF40D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4F41BA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3B02F4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7F38D5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6BE996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01F2940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46095F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63862ED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711A56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780549D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12E2B5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328623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4552FB13">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7A3C93E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22BDA4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2DEF31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rPr>
        <w:t>根据《政府采购促进中小企业发展管理办法》（财库[2020]46号）第九条及</w:t>
      </w:r>
      <w:r>
        <w:rPr>
          <w:rFonts w:hint="eastAsia" w:ascii="宋体" w:hAnsi="宋体" w:eastAsia="宋体" w:cs="宋体"/>
          <w:color w:val="auto"/>
          <w:szCs w:val="21"/>
          <w:highlight w:val="none"/>
        </w:rPr>
        <w:t>《广西壮族自治区财政厅关于持续优化政府采购营商环境推动高质量发展的通知》（桂财采〔2024〕55 号）</w:t>
      </w:r>
      <w:r>
        <w:rPr>
          <w:rFonts w:hint="eastAsia" w:ascii="宋体" w:hAnsi="宋体"/>
          <w:bCs/>
          <w:color w:val="auto"/>
          <w:szCs w:val="21"/>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37E641DE">
      <w:pPr>
        <w:spacing w:line="360" w:lineRule="auto"/>
        <w:ind w:firstLine="482" w:firstLineChars="200"/>
        <w:rPr>
          <w:rFonts w:hint="eastAsia" w:ascii="宋体" w:hAnsi="宋体" w:eastAsia="宋体" w:cs="宋体"/>
          <w:b/>
          <w:bCs/>
          <w:color w:val="auto"/>
          <w:sz w:val="24"/>
          <w:highlight w:val="none"/>
        </w:rPr>
      </w:pPr>
      <w:bookmarkStart w:id="68" w:name="_Toc254970673"/>
      <w:bookmarkStart w:id="69" w:name="_Toc254970532"/>
      <w:r>
        <w:rPr>
          <w:rFonts w:hint="eastAsia" w:ascii="宋体" w:hAnsi="宋体" w:eastAsia="宋体" w:cs="宋体"/>
          <w:b/>
          <w:bCs/>
          <w:color w:val="auto"/>
          <w:sz w:val="24"/>
          <w:highlight w:val="none"/>
        </w:rPr>
        <w:t>7.特别说明</w:t>
      </w:r>
      <w:bookmarkEnd w:id="68"/>
      <w:bookmarkEnd w:id="69"/>
    </w:p>
    <w:p w14:paraId="0A6C9E98">
      <w:pPr>
        <w:spacing w:line="360" w:lineRule="auto"/>
        <w:ind w:firstLine="420" w:firstLineChars="200"/>
        <w:rPr>
          <w:rFonts w:hint="eastAsia" w:ascii="宋体" w:hAnsi="宋体" w:eastAsia="宋体" w:cs="宋体"/>
          <w:color w:val="auto"/>
          <w:szCs w:val="21"/>
          <w:highlight w:val="none"/>
        </w:rPr>
      </w:pPr>
      <w:bookmarkStart w:id="70" w:name="_8.1提供相同品牌产品且通过资格审查、符合性审查的不同投标人参加同一合"/>
      <w:bookmarkEnd w:id="70"/>
      <w:r>
        <w:rPr>
          <w:rFonts w:hint="eastAsia" w:ascii="宋体" w:hAnsi="宋体" w:eastAsia="宋体" w:cs="宋体"/>
          <w:color w:val="auto"/>
          <w:szCs w:val="21"/>
          <w:highlight w:val="none"/>
        </w:rPr>
        <w:t>7.1</w:t>
      </w:r>
      <w:bookmarkStart w:id="71"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71"/>
    <w:p w14:paraId="4F6295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515168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378DC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6ABFEA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75E2A2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738553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0AEEA8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5283BA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2126F8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E3407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502225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6ED0F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11C4A5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3AD705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580F43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6773A4A2">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47B479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7D7096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03D743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4F565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75CF98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6745B3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189DD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712390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D48E63E">
      <w:pPr>
        <w:bidi w:val="0"/>
        <w:spacing w:line="360" w:lineRule="auto"/>
        <w:rPr>
          <w:rFonts w:hint="eastAsia" w:ascii="宋体" w:hAnsi="宋体" w:eastAsia="宋体" w:cs="宋体"/>
          <w:color w:val="auto"/>
          <w:highlight w:val="none"/>
        </w:rPr>
      </w:pPr>
      <w:bookmarkStart w:id="72" w:name="_Toc254970675"/>
      <w:bookmarkStart w:id="73" w:name="_Toc254970534"/>
    </w:p>
    <w:p w14:paraId="3B460F63">
      <w:pPr>
        <w:pStyle w:val="5"/>
        <w:spacing w:before="0" w:after="0" w:line="360" w:lineRule="auto"/>
        <w:rPr>
          <w:rFonts w:hint="eastAsia" w:ascii="宋体" w:hAnsi="宋体" w:eastAsia="宋体" w:cs="宋体"/>
          <w:b/>
          <w:bCs w:val="0"/>
          <w:color w:val="auto"/>
          <w:highlight w:val="none"/>
        </w:rPr>
      </w:pPr>
      <w:bookmarkStart w:id="74" w:name="_Toc16003"/>
      <w:bookmarkStart w:id="75" w:name="_Toc22797"/>
      <w:bookmarkStart w:id="76" w:name="_Toc25818"/>
      <w:bookmarkStart w:id="77" w:name="_Toc29382"/>
      <w:bookmarkStart w:id="78" w:name="_Toc6695"/>
      <w:r>
        <w:rPr>
          <w:rFonts w:hint="eastAsia" w:ascii="宋体" w:hAnsi="宋体" w:eastAsia="宋体" w:cs="宋体"/>
          <w:b/>
          <w:bCs w:val="0"/>
          <w:color w:val="auto"/>
          <w:highlight w:val="none"/>
        </w:rPr>
        <w:t>二、磋商文件</w:t>
      </w:r>
      <w:bookmarkEnd w:id="72"/>
      <w:bookmarkEnd w:id="73"/>
      <w:bookmarkEnd w:id="74"/>
      <w:bookmarkEnd w:id="75"/>
      <w:bookmarkEnd w:id="76"/>
      <w:bookmarkEnd w:id="77"/>
      <w:bookmarkEnd w:id="78"/>
    </w:p>
    <w:p w14:paraId="79CB359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4103320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42F30E3E">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3E90C99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1F8ED96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1843468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22AFAF7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3B5FFADF">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7B0E871D">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70AC5AF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66EFAFA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0D5F40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42113EA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4401C1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BCE4CA7">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BF11F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04F714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D82C0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2C5F5B62">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45872162">
      <w:pPr>
        <w:pStyle w:val="13"/>
        <w:spacing w:line="360" w:lineRule="auto"/>
        <w:rPr>
          <w:rFonts w:hint="eastAsia" w:ascii="宋体" w:hAnsi="宋体" w:eastAsia="宋体" w:cs="宋体"/>
          <w:color w:val="auto"/>
          <w:highlight w:val="none"/>
        </w:rPr>
      </w:pPr>
    </w:p>
    <w:p w14:paraId="5484CBB9">
      <w:pPr>
        <w:pStyle w:val="5"/>
        <w:spacing w:before="0" w:after="0" w:line="360" w:lineRule="auto"/>
        <w:rPr>
          <w:rFonts w:hint="eastAsia" w:ascii="宋体" w:hAnsi="宋体" w:eastAsia="宋体" w:cs="宋体"/>
          <w:b/>
          <w:bCs w:val="0"/>
          <w:color w:val="auto"/>
          <w:highlight w:val="none"/>
        </w:rPr>
      </w:pPr>
      <w:bookmarkStart w:id="79" w:name="_Toc30069"/>
      <w:bookmarkStart w:id="80" w:name="_Toc18572"/>
      <w:bookmarkStart w:id="81" w:name="_Toc30454"/>
      <w:bookmarkStart w:id="82" w:name="_Toc2622"/>
      <w:bookmarkStart w:id="83" w:name="_Toc19295"/>
      <w:r>
        <w:rPr>
          <w:rFonts w:hint="eastAsia" w:ascii="宋体" w:hAnsi="宋体" w:eastAsia="宋体" w:cs="宋体"/>
          <w:b/>
          <w:bCs w:val="0"/>
          <w:color w:val="auto"/>
          <w:highlight w:val="none"/>
        </w:rPr>
        <w:t>三、响应文件的编制</w:t>
      </w:r>
      <w:bookmarkEnd w:id="79"/>
      <w:bookmarkEnd w:id="80"/>
      <w:bookmarkEnd w:id="81"/>
      <w:bookmarkEnd w:id="82"/>
      <w:bookmarkEnd w:id="83"/>
    </w:p>
    <w:p w14:paraId="58902FA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0E6022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4CD8135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408EF0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734780F6">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1E96E2B0">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3BDD5D47">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5536DD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0BE045A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729842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A7C65F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1EA68B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87AE3E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77DED138">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199DF047">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543436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0B5870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4E5E74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2079D8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274B3E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3ACCCC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84"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p w14:paraId="17FCB346">
      <w:pPr>
        <w:spacing w:line="360" w:lineRule="auto"/>
        <w:ind w:firstLine="420" w:firstLineChars="200"/>
        <w:rPr>
          <w:rFonts w:hint="eastAsia"/>
          <w:color w:val="auto"/>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.4本工程报价按工程量清单报价，具体信息价等详见工程量清单说明。</w:t>
      </w:r>
    </w:p>
    <w:bookmarkEnd w:id="84"/>
    <w:p w14:paraId="13A66B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24ABE3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29D67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10BD67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7D4C34E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2AD776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37C3963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038513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37922B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5FF398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85"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85"/>
      <w:r>
        <w:rPr>
          <w:rFonts w:hint="eastAsia" w:ascii="宋体" w:hAnsi="宋体" w:eastAsia="宋体" w:cs="宋体"/>
          <w:color w:val="auto"/>
          <w:szCs w:val="21"/>
          <w:highlight w:val="none"/>
        </w:rPr>
        <w:t>，否则其响应文件按无效响应处理。骑缝盖公章不视为在规定位置盖章。</w:t>
      </w:r>
    </w:p>
    <w:p w14:paraId="5FE450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0BC18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0D67808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576B387F">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60EAB3C5">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19.2使用“政采云电子交易客户端”需要提前申领CA数字证书，申领流程见该项目采购公告附件。</w:t>
      </w:r>
    </w:p>
    <w:p w14:paraId="33542270">
      <w:pPr>
        <w:pStyle w:val="17"/>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636FFC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471510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25D9F7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7FB0E1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0C3E8B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BF5EB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20.5 </w:t>
      </w:r>
      <w:r>
        <w:rPr>
          <w:rFonts w:hint="eastAsia" w:ascii="宋体" w:hAnsi="宋体" w:eastAsia="宋体" w:cs="宋体"/>
          <w:color w:val="auto"/>
          <w:szCs w:val="21"/>
          <w:highlight w:val="none"/>
          <w:lang w:val="en-US" w:eastAsia="zh-CN"/>
        </w:rPr>
        <w:t>除法律法规及本文件规定需顺延响应文件提交截止时间的情形外，采购机构不得随意延长提交响应文件的截止时间</w:t>
      </w:r>
      <w:r>
        <w:rPr>
          <w:rFonts w:hint="eastAsia" w:ascii="宋体" w:hAnsi="宋体" w:eastAsia="宋体" w:cs="宋体"/>
          <w:color w:val="auto"/>
          <w:szCs w:val="21"/>
          <w:highlight w:val="none"/>
        </w:rPr>
        <w:t>。</w:t>
      </w:r>
    </w:p>
    <w:p w14:paraId="366B13CA">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61E793D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B668D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C994EF4">
      <w:pPr>
        <w:spacing w:line="360" w:lineRule="auto"/>
        <w:ind w:firstLine="482" w:firstLineChars="200"/>
        <w:rPr>
          <w:rFonts w:hint="eastAsia" w:ascii="宋体" w:hAnsi="宋体" w:eastAsia="宋体" w:cs="宋体"/>
          <w:b/>
          <w:bCs/>
          <w:color w:val="auto"/>
          <w:sz w:val="24"/>
          <w:highlight w:val="none"/>
        </w:rPr>
      </w:pPr>
      <w:bookmarkStart w:id="86" w:name="_Hlk45702405"/>
      <w:r>
        <w:rPr>
          <w:rFonts w:hint="eastAsia" w:ascii="宋体" w:hAnsi="宋体" w:eastAsia="宋体" w:cs="宋体"/>
          <w:b/>
          <w:bCs/>
          <w:color w:val="auto"/>
          <w:sz w:val="24"/>
          <w:highlight w:val="none"/>
        </w:rPr>
        <w:t>22. 首次响应文件的退回</w:t>
      </w:r>
    </w:p>
    <w:p w14:paraId="15D371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1A88648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6C0C53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86"/>
    </w:p>
    <w:p w14:paraId="22952F45">
      <w:pPr>
        <w:pStyle w:val="13"/>
        <w:spacing w:line="360" w:lineRule="auto"/>
        <w:rPr>
          <w:rFonts w:hint="eastAsia" w:ascii="宋体" w:hAnsi="宋体" w:eastAsia="宋体" w:cs="宋体"/>
          <w:color w:val="auto"/>
          <w:highlight w:val="none"/>
        </w:rPr>
      </w:pPr>
    </w:p>
    <w:p w14:paraId="616D43E7">
      <w:pPr>
        <w:pStyle w:val="5"/>
        <w:spacing w:before="0" w:after="0" w:line="360" w:lineRule="auto"/>
        <w:rPr>
          <w:rFonts w:hint="eastAsia" w:ascii="宋体" w:hAnsi="宋体" w:eastAsia="宋体" w:cs="宋体"/>
          <w:b/>
          <w:bCs w:val="0"/>
          <w:color w:val="auto"/>
          <w:highlight w:val="none"/>
        </w:rPr>
      </w:pPr>
      <w:bookmarkStart w:id="87" w:name="_Toc12235"/>
      <w:bookmarkStart w:id="88" w:name="_Toc21487"/>
      <w:bookmarkStart w:id="89" w:name="_Toc27120"/>
      <w:bookmarkStart w:id="90" w:name="_Toc25351"/>
      <w:bookmarkStart w:id="91" w:name="_Toc30168"/>
      <w:r>
        <w:rPr>
          <w:rFonts w:hint="eastAsia" w:ascii="宋体" w:hAnsi="宋体" w:eastAsia="宋体" w:cs="宋体"/>
          <w:b/>
          <w:bCs w:val="0"/>
          <w:color w:val="auto"/>
          <w:highlight w:val="none"/>
        </w:rPr>
        <w:t>四、评审及磋商</w:t>
      </w:r>
      <w:bookmarkEnd w:id="87"/>
      <w:bookmarkEnd w:id="88"/>
      <w:bookmarkEnd w:id="89"/>
      <w:bookmarkEnd w:id="90"/>
      <w:bookmarkEnd w:id="91"/>
    </w:p>
    <w:p w14:paraId="266A085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43ED81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D6542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17B5B9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6FBE7D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2CB3FABB">
      <w:pPr>
        <w:pStyle w:val="17"/>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7485576A">
      <w:pPr>
        <w:pStyle w:val="17"/>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1DAD99F4">
      <w:pPr>
        <w:pStyle w:val="17"/>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文件，但未在“政采云”电子开标大厅参加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71AA7A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39BFE6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5F1DF6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51C58C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1799FF7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0AB1417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4ADFA7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123D813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4768E92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657FD70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ED270CC">
      <w:pPr>
        <w:pStyle w:val="13"/>
        <w:spacing w:line="360" w:lineRule="auto"/>
        <w:rPr>
          <w:rFonts w:hint="eastAsia" w:ascii="宋体" w:hAnsi="宋体" w:eastAsia="宋体" w:cs="宋体"/>
          <w:color w:val="auto"/>
          <w:highlight w:val="none"/>
        </w:rPr>
      </w:pPr>
    </w:p>
    <w:p w14:paraId="5A06236C">
      <w:pPr>
        <w:pStyle w:val="5"/>
        <w:spacing w:before="0" w:after="0" w:line="360" w:lineRule="auto"/>
        <w:rPr>
          <w:rFonts w:hint="eastAsia" w:ascii="宋体" w:hAnsi="宋体" w:eastAsia="宋体" w:cs="宋体"/>
          <w:b/>
          <w:bCs w:val="0"/>
          <w:color w:val="auto"/>
          <w:highlight w:val="none"/>
        </w:rPr>
      </w:pPr>
      <w:bookmarkStart w:id="92" w:name="_Toc26245"/>
      <w:bookmarkStart w:id="93" w:name="_Toc18614"/>
      <w:bookmarkStart w:id="94" w:name="_Toc15815"/>
      <w:bookmarkStart w:id="95" w:name="_Toc24055"/>
      <w:bookmarkStart w:id="96" w:name="_Toc24541"/>
      <w:r>
        <w:rPr>
          <w:rFonts w:hint="eastAsia" w:ascii="宋体" w:hAnsi="宋体" w:eastAsia="宋体" w:cs="宋体"/>
          <w:b/>
          <w:bCs w:val="0"/>
          <w:color w:val="auto"/>
          <w:highlight w:val="none"/>
        </w:rPr>
        <w:t>五、成交及合同</w:t>
      </w:r>
      <w:bookmarkEnd w:id="92"/>
      <w:bookmarkEnd w:id="93"/>
      <w:bookmarkEnd w:id="94"/>
      <w:bookmarkEnd w:id="95"/>
      <w:bookmarkEnd w:id="96"/>
    </w:p>
    <w:p w14:paraId="676F011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664025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4D28C1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12DFE8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17A192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21829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53E166D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3517C625">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7B4E2D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53FE5396">
      <w:pPr>
        <w:pStyle w:val="34"/>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62E6A7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A6194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725FCB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231B2C77">
      <w:pPr>
        <w:pStyle w:val="34"/>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749ED08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4C9F5A2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74066E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63A841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11AD411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0AD19B9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27ED327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5534408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36C8C7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2B15A5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7A4F27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2DBC897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434A41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65F3AA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5D11006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191EFC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32A82B4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51E1A78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905BC0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E9BC0C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01974E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4FEBF7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97" w:name="_Toc80205930"/>
    </w:p>
    <w:p w14:paraId="228FCF7B">
      <w:pPr>
        <w:pStyle w:val="13"/>
        <w:spacing w:line="360" w:lineRule="auto"/>
        <w:rPr>
          <w:rFonts w:hint="eastAsia" w:ascii="宋体" w:hAnsi="宋体" w:eastAsia="宋体" w:cs="宋体"/>
          <w:color w:val="auto"/>
          <w:highlight w:val="none"/>
        </w:rPr>
      </w:pPr>
    </w:p>
    <w:p w14:paraId="3D0EF27A">
      <w:pPr>
        <w:pStyle w:val="5"/>
        <w:spacing w:before="0" w:after="0" w:line="360" w:lineRule="auto"/>
        <w:rPr>
          <w:rFonts w:hint="eastAsia" w:ascii="宋体" w:hAnsi="宋体" w:eastAsia="宋体" w:cs="宋体"/>
          <w:b/>
          <w:bCs w:val="0"/>
          <w:color w:val="auto"/>
          <w:highlight w:val="none"/>
        </w:rPr>
      </w:pPr>
      <w:bookmarkStart w:id="98" w:name="_Toc11545"/>
      <w:bookmarkStart w:id="99" w:name="_Toc14574"/>
      <w:bookmarkStart w:id="100" w:name="_Toc12020"/>
      <w:bookmarkStart w:id="101" w:name="_Toc15338"/>
      <w:bookmarkStart w:id="102" w:name="_Toc7926"/>
      <w:r>
        <w:rPr>
          <w:rFonts w:hint="eastAsia" w:ascii="宋体" w:hAnsi="宋体" w:eastAsia="宋体" w:cs="宋体"/>
          <w:b/>
          <w:bCs w:val="0"/>
          <w:color w:val="auto"/>
          <w:highlight w:val="none"/>
        </w:rPr>
        <w:t>六、验收</w:t>
      </w:r>
      <w:bookmarkEnd w:id="97"/>
      <w:bookmarkEnd w:id="98"/>
      <w:bookmarkEnd w:id="99"/>
      <w:bookmarkEnd w:id="100"/>
      <w:bookmarkEnd w:id="101"/>
      <w:bookmarkEnd w:id="102"/>
    </w:p>
    <w:p w14:paraId="7BB9FB93">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6F212FEF">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A9EA00D">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45152B56">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F800860">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AFC00FB">
      <w:pPr>
        <w:pStyle w:val="13"/>
        <w:spacing w:line="360" w:lineRule="auto"/>
        <w:rPr>
          <w:rFonts w:hint="eastAsia" w:ascii="宋体" w:hAnsi="宋体" w:eastAsia="宋体" w:cs="宋体"/>
          <w:color w:val="auto"/>
          <w:highlight w:val="none"/>
        </w:rPr>
      </w:pPr>
    </w:p>
    <w:p w14:paraId="75EE56D6">
      <w:pPr>
        <w:pStyle w:val="5"/>
        <w:spacing w:before="0" w:after="0" w:line="360" w:lineRule="auto"/>
        <w:rPr>
          <w:rFonts w:hint="eastAsia" w:ascii="宋体" w:hAnsi="宋体" w:eastAsia="宋体" w:cs="宋体"/>
          <w:b/>
          <w:bCs w:val="0"/>
          <w:color w:val="auto"/>
          <w:highlight w:val="none"/>
        </w:rPr>
      </w:pPr>
      <w:bookmarkStart w:id="103" w:name="_Toc3779"/>
      <w:bookmarkStart w:id="104" w:name="_Toc14544"/>
      <w:bookmarkStart w:id="105" w:name="_Toc29251"/>
      <w:bookmarkStart w:id="106" w:name="_Toc28745"/>
      <w:bookmarkStart w:id="107"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103"/>
      <w:bookmarkEnd w:id="104"/>
      <w:bookmarkEnd w:id="105"/>
      <w:bookmarkEnd w:id="106"/>
      <w:bookmarkEnd w:id="107"/>
    </w:p>
    <w:p w14:paraId="665A5FF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7FA9E3E3">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6CCCCC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4816B333">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43E31E32">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1B7690C0">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w:t>
      </w:r>
      <w:r>
        <w:rPr>
          <w:rFonts w:hint="eastAsia" w:hAnsi="宋体" w:cs="宋体"/>
          <w:color w:val="auto"/>
          <w:sz w:val="21"/>
          <w:highlight w:val="none"/>
          <w:lang w:eastAsia="zh-CN"/>
        </w:rPr>
        <w:t>民法典</w:t>
      </w:r>
      <w:r>
        <w:rPr>
          <w:rFonts w:hint="eastAsia" w:ascii="宋体" w:hAnsi="宋体" w:eastAsia="宋体" w:cs="宋体"/>
          <w:color w:val="auto"/>
          <w:sz w:val="21"/>
          <w:highlight w:val="none"/>
        </w:rPr>
        <w:t>》订立劳动合同的从业人员，不对其中涉及的货物的制造商和工程承建商作出要求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16924AA">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298A8728">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3A1D2E2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038841B5">
      <w:pPr>
        <w:pStyle w:val="17"/>
        <w:spacing w:line="360" w:lineRule="auto"/>
        <w:ind w:firstLine="420" w:firstLineChars="200"/>
        <w:rPr>
          <w:rFonts w:hAnsi="宋体"/>
          <w:color w:val="auto"/>
          <w:sz w:val="21"/>
          <w:highlight w:val="none"/>
        </w:rPr>
      </w:pPr>
      <w:r>
        <w:rPr>
          <w:rFonts w:hint="eastAsia" w:hAnsi="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03A973C7">
      <w:pPr>
        <w:pStyle w:val="17"/>
        <w:numPr>
          <w:ilvl w:val="0"/>
          <w:numId w:val="0"/>
        </w:numPr>
        <w:spacing w:line="360" w:lineRule="auto"/>
        <w:ind w:firstLine="420" w:firstLineChars="200"/>
        <w:rPr>
          <w:rFonts w:hAnsi="宋体"/>
          <w:color w:val="auto"/>
          <w:sz w:val="21"/>
          <w:highlight w:val="none"/>
        </w:rPr>
      </w:pPr>
      <w:r>
        <w:rPr>
          <w:rFonts w:hint="eastAsia" w:hAnsi="宋体"/>
          <w:color w:val="auto"/>
          <w:sz w:val="21"/>
          <w:highlight w:val="none"/>
          <w:lang w:eastAsia="zh-CN"/>
        </w:rPr>
        <w:t>（</w:t>
      </w:r>
      <w:r>
        <w:rPr>
          <w:rFonts w:hint="eastAsia" w:hAnsi="宋体"/>
          <w:color w:val="auto"/>
          <w:sz w:val="21"/>
          <w:highlight w:val="none"/>
          <w:lang w:val="en-US" w:eastAsia="zh-CN"/>
        </w:rPr>
        <w:t>1</w:t>
      </w:r>
      <w:r>
        <w:rPr>
          <w:rFonts w:hint="eastAsia" w:hAnsi="宋体"/>
          <w:color w:val="auto"/>
          <w:sz w:val="21"/>
          <w:highlight w:val="none"/>
          <w:lang w:eastAsia="zh-CN"/>
        </w:rPr>
        <w:t>）</w:t>
      </w:r>
      <w:r>
        <w:rPr>
          <w:rFonts w:hint="eastAsia" w:hAnsi="宋体"/>
          <w:color w:val="auto"/>
          <w:sz w:val="21"/>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32"/>
          <w:rFonts w:hint="eastAsia" w:hAnsi="宋体"/>
          <w:color w:val="auto"/>
          <w:sz w:val="21"/>
          <w:highlight w:val="none"/>
        </w:rPr>
        <w:t>http://www.nnggzy.org.cn）“交易信息-政府采购-政府采购信用融资”中融资银行和南宁市企业融资货物中心专栏信息申请政府采购信用融资。</w:t>
      </w:r>
      <w:r>
        <w:rPr>
          <w:rStyle w:val="32"/>
          <w:rFonts w:hint="eastAsia" w:hAnsi="宋体"/>
          <w:color w:val="auto"/>
          <w:sz w:val="21"/>
          <w:highlight w:val="none"/>
        </w:rPr>
        <w:fldChar w:fldCharType="end"/>
      </w:r>
    </w:p>
    <w:p w14:paraId="5DA9C6A8">
      <w:pPr>
        <w:pStyle w:val="17"/>
        <w:numPr>
          <w:ilvl w:val="0"/>
          <w:numId w:val="0"/>
        </w:numPr>
        <w:spacing w:line="360" w:lineRule="auto"/>
        <w:ind w:firstLine="402" w:firstLineChars="200"/>
        <w:rPr>
          <w:rFonts w:hint="eastAsia" w:ascii="宋体" w:hAnsi="宋体" w:eastAsia="宋体" w:cs="宋体"/>
          <w:color w:val="auto"/>
          <w:highlight w:val="none"/>
        </w:rPr>
      </w:pPr>
      <w:r>
        <w:rPr>
          <w:rFonts w:hint="eastAsia" w:hAnsi="宋体"/>
          <w:b/>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color w:val="auto"/>
          <w:kern w:val="0"/>
          <w:sz w:val="20"/>
          <w:szCs w:val="21"/>
          <w:highlight w:val="none"/>
          <w:lang w:val="en-US" w:eastAsia="zh-CN" w:bidi="ar-SA"/>
        </w:rPr>
        <w:t>。</w:t>
      </w:r>
    </w:p>
    <w:p w14:paraId="67480304">
      <w:pPr>
        <w:pStyle w:val="17"/>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49AE8199">
      <w:pPr>
        <w:pStyle w:val="17"/>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6DD5369F">
      <w:pPr>
        <w:pStyle w:val="17"/>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91F0268">
      <w:pPr>
        <w:pStyle w:val="17"/>
        <w:numPr>
          <w:ilvl w:val="0"/>
          <w:numId w:val="0"/>
        </w:numPr>
        <w:spacing w:line="360" w:lineRule="auto"/>
        <w:ind w:firstLine="0" w:firstLineChars="0"/>
        <w:textAlignment w:val="center"/>
        <w:rPr>
          <w:rFonts w:hint="eastAsia" w:ascii="宋体" w:hAnsi="宋体" w:eastAsia="宋体" w:cs="宋体"/>
          <w:color w:val="auto"/>
          <w:highlight w:val="none"/>
        </w:rPr>
      </w:pPr>
    </w:p>
    <w:p w14:paraId="46E8D098">
      <w:pPr>
        <w:pStyle w:val="3"/>
        <w:spacing w:line="360" w:lineRule="auto"/>
        <w:jc w:val="center"/>
        <w:rPr>
          <w:rFonts w:hint="eastAsia" w:ascii="宋体" w:hAnsi="宋体" w:eastAsia="宋体" w:cs="宋体"/>
          <w:b/>
          <w:bCs/>
          <w:color w:val="auto"/>
          <w:highlight w:val="none"/>
        </w:rPr>
        <w:sectPr>
          <w:footerReference r:id="rId12"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BF8D855">
      <w:pPr>
        <w:pStyle w:val="3"/>
        <w:spacing w:line="360" w:lineRule="auto"/>
        <w:jc w:val="center"/>
        <w:rPr>
          <w:rFonts w:hint="eastAsia" w:ascii="宋体" w:hAnsi="宋体" w:eastAsia="宋体" w:cs="宋体"/>
          <w:b/>
          <w:bCs/>
          <w:color w:val="auto"/>
          <w:highlight w:val="none"/>
        </w:rPr>
      </w:pPr>
      <w:bookmarkStart w:id="108" w:name="_Toc14829"/>
      <w:bookmarkStart w:id="109" w:name="_Toc15760"/>
      <w:bookmarkStart w:id="110" w:name="_Toc4587"/>
      <w:bookmarkStart w:id="111" w:name="_Toc23637"/>
      <w:bookmarkStart w:id="112" w:name="_Toc18270"/>
      <w:bookmarkStart w:id="113" w:name="_Toc16334"/>
      <w:bookmarkStart w:id="114" w:name="_Toc22508"/>
      <w:r>
        <w:rPr>
          <w:rFonts w:hint="eastAsia" w:ascii="宋体" w:hAnsi="宋体" w:eastAsia="宋体" w:cs="宋体"/>
          <w:b/>
          <w:bCs/>
          <w:color w:val="auto"/>
          <w:highlight w:val="none"/>
        </w:rPr>
        <w:t>第四</w:t>
      </w:r>
      <w:r>
        <w:rPr>
          <w:rFonts w:hint="eastAsia" w:ascii="宋体" w:hAnsi="宋体" w:eastAsia="宋体" w:cs="宋体"/>
          <w:b/>
          <w:bCs/>
          <w:color w:val="000000" w:themeColor="text1"/>
          <w:highlight w:val="none"/>
          <w14:textFill>
            <w14:solidFill>
              <w14:schemeClr w14:val="tx1"/>
            </w14:solidFill>
          </w14:textFill>
        </w:rPr>
        <w:t>章  评审程序、评审方法和评审标准</w:t>
      </w:r>
      <w:bookmarkEnd w:id="108"/>
      <w:bookmarkEnd w:id="109"/>
      <w:bookmarkEnd w:id="110"/>
      <w:bookmarkEnd w:id="111"/>
      <w:bookmarkEnd w:id="112"/>
      <w:bookmarkEnd w:id="113"/>
      <w:bookmarkEnd w:id="114"/>
    </w:p>
    <w:p w14:paraId="40EE4719">
      <w:pPr>
        <w:pStyle w:val="4"/>
        <w:spacing w:line="360" w:lineRule="auto"/>
        <w:jc w:val="center"/>
        <w:rPr>
          <w:rFonts w:hint="eastAsia" w:ascii="宋体" w:hAnsi="宋体" w:eastAsia="宋体" w:cs="宋体"/>
          <w:b w:val="0"/>
          <w:color w:val="auto"/>
          <w:highlight w:val="none"/>
        </w:rPr>
      </w:pPr>
      <w:bookmarkStart w:id="115" w:name="_Toc22688"/>
      <w:bookmarkStart w:id="116" w:name="_Toc23306"/>
      <w:bookmarkStart w:id="117" w:name="_Toc2012"/>
      <w:bookmarkStart w:id="118" w:name="_Toc8295"/>
      <w:bookmarkStart w:id="119" w:name="_Toc21500"/>
      <w:bookmarkStart w:id="120" w:name="_Toc19232"/>
      <w:r>
        <w:rPr>
          <w:rFonts w:hint="eastAsia" w:ascii="宋体" w:hAnsi="宋体" w:eastAsia="宋体" w:cs="宋体"/>
          <w:b w:val="0"/>
          <w:color w:val="auto"/>
          <w:highlight w:val="none"/>
        </w:rPr>
        <w:t>第一节 评审程序和评审方法</w:t>
      </w:r>
      <w:bookmarkEnd w:id="115"/>
      <w:bookmarkEnd w:id="116"/>
      <w:bookmarkEnd w:id="117"/>
      <w:bookmarkEnd w:id="118"/>
      <w:bookmarkEnd w:id="119"/>
      <w:bookmarkEnd w:id="120"/>
    </w:p>
    <w:p w14:paraId="0665FDD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4253AF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5282727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0BC4D6C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6BED728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4F3B824A">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2"/>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2"/>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2A47EC0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2D55F63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3BB1A1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B2CEF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41E8FE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25E200C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59554A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263A01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4496F14">
      <w:pPr>
        <w:spacing w:line="360" w:lineRule="auto"/>
        <w:ind w:firstLine="420" w:firstLineChars="200"/>
        <w:rPr>
          <w:rFonts w:hint="eastAsia" w:ascii="宋体" w:hAnsi="宋体" w:eastAsia="宋体" w:cs="宋体"/>
          <w:color w:val="auto"/>
          <w:szCs w:val="21"/>
          <w:highlight w:val="none"/>
        </w:rPr>
      </w:pPr>
      <w:bookmarkStart w:id="121"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21"/>
    </w:p>
    <w:p w14:paraId="17C332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75100F9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2B1905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1822C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27EA1C">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4A3BB78B">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04E535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7AC309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863D7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75FE2E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1910D2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138F1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450614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2B4494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153B26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734C8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662448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83D99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2867D4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73BAF0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0C9DA1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3952A3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0B22ED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2F61F8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46BE6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11125D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12DBF3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38000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329D9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521777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B24F0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69644C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2D0AA6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06EF6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BA87F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7A3BE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630709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4124C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E93CA4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07FB50A9">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76467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384BB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29F175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EC003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1FD2E0D">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6AF3E9D1">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F37764A">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0C3DD44F">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174B4E99">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1246681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2D512971">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3DED8A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15E07B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0EC0E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8A6F2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64EE12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13B0E5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444130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13E04F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7F84BD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2C8DE8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68AB45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4119F5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14F4172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09FDABE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666270B7">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rPr>
        <w:t>5.12</w:t>
      </w:r>
      <w:r>
        <w:rPr>
          <w:rFonts w:hint="eastAsia"/>
          <w:b/>
          <w:bCs/>
          <w:lang w:val="en-US" w:eastAsia="zh-CN"/>
        </w:rPr>
        <w:t>根据《关于推动解决政府采购异常低价问题的通知》（财库〔2026〕2号）的规定，评审中出现下列情形之一的，磋商小组应当启动异常低价投标（响应）审查程序：</w:t>
      </w:r>
    </w:p>
    <w:p w14:paraId="493C3929">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① 投标（响应）报价低于全部通过符合性审查供应商投标（响应）报价平均值50%的，即投标（响应）报价＜全部通过符合性审查供应商投标（响应）报价平均值×50%；</w:t>
      </w:r>
    </w:p>
    <w:p w14:paraId="6A3EE365">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②投标（响应）报价低于通过符合性审查的次低报价供应商投标（响应）报价50%的，即投标（响应）报价＜通过符合性审查的次低报价供应商投标（响应）报价×50%；</w:t>
      </w:r>
    </w:p>
    <w:p w14:paraId="0DED222E">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③投标（响应）报价低于采购项目最高限价45%的，即投标（响应）报价＜采购项目最高限价×45%；</w:t>
      </w:r>
    </w:p>
    <w:p w14:paraId="2363059F">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④磋商小组基于专业判断，认为供应商报价过低，有可能影响产品质量或者不能诚信履约的其他情形。</w:t>
      </w:r>
    </w:p>
    <w:p w14:paraId="4976955C">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磋商小组启动异常低价投标（响应）审查后，属于前述第①项至第④项情形的，应当要求相关供应商在评审现场30分钟内对投标（响应）价格作出解释，提供项目具体成本测算等与报价合理性相关的书面说明及必要的证明材料，包括但不限于原材料成本、人工成本、制造费用等。其中，属于第③项情形，供应商已随投标（响应）文件一并提交相关书面说明及必要的证明材料的，在评审现场可不再重复提交。</w:t>
      </w:r>
    </w:p>
    <w:p w14:paraId="0E01AC84">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rPr>
      </w:pPr>
      <w:r>
        <w:rPr>
          <w:rFonts w:hint="eastAsia"/>
          <w:b/>
          <w:bCs/>
          <w:lang w:val="en-US" w:eastAsia="zh-CN"/>
        </w:rPr>
        <w:t>磋商小组依据专业经验，参考同类项目中标（成交）价格、类似产品市场价格水平、行业人工费用标准、国家有关部门指导行业协会发布的行业平均成本等情况，对报价合理性进行判断。供应商在规定时间内不能提供书面说明、证明材料，或者提供的书面说明、证明材料不能证明其报价合理性的，磋商小组应当将其作为无效响应处理。</w:t>
      </w:r>
    </w:p>
    <w:p w14:paraId="2627DABC">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2E9FEB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2D1E76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3743DF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035921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3EF2EB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30D99D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5B625E5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384C0E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5FCAC83">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041719C7">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05385715">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4620E5DA">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7C20A04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8"/>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63"/>
        <w:gridCol w:w="6730"/>
        <w:gridCol w:w="840"/>
      </w:tblGrid>
      <w:tr w14:paraId="1570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trPr>
        <w:tc>
          <w:tcPr>
            <w:tcW w:w="693" w:type="dxa"/>
            <w:vAlign w:val="center"/>
          </w:tcPr>
          <w:p w14:paraId="41342F72">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163" w:type="dxa"/>
            <w:vAlign w:val="center"/>
          </w:tcPr>
          <w:p w14:paraId="5C6876C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730" w:type="dxa"/>
            <w:vAlign w:val="center"/>
          </w:tcPr>
          <w:p w14:paraId="7BFCFDB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840" w:type="dxa"/>
            <w:vAlign w:val="center"/>
          </w:tcPr>
          <w:p w14:paraId="1F2129A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02D8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3" w:type="dxa"/>
            <w:vAlign w:val="center"/>
          </w:tcPr>
          <w:p w14:paraId="1321C10A">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63" w:type="dxa"/>
            <w:vAlign w:val="center"/>
          </w:tcPr>
          <w:p w14:paraId="0D8CFC2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w:t>
            </w:r>
          </w:p>
        </w:tc>
        <w:tc>
          <w:tcPr>
            <w:tcW w:w="6730" w:type="dxa"/>
            <w:vAlign w:val="center"/>
          </w:tcPr>
          <w:p w14:paraId="2894727E">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Courier New"/>
                <w:b w:val="0"/>
                <w:bCs/>
                <w:color w:val="auto"/>
                <w:kern w:val="2"/>
                <w:sz w:val="21"/>
                <w:szCs w:val="21"/>
                <w:lang w:val="en-US" w:eastAsia="zh-CN" w:bidi="ar-SA"/>
              </w:rPr>
            </w:pPr>
            <w:r>
              <w:rPr>
                <w:rFonts w:hint="eastAsia" w:ascii="宋体" w:hAnsi="宋体" w:eastAsia="宋体" w:cs="Courier New"/>
                <w:b w:val="0"/>
                <w:bCs/>
                <w:color w:val="auto"/>
                <w:kern w:val="2"/>
                <w:sz w:val="21"/>
                <w:szCs w:val="21"/>
                <w:lang w:val="en-US" w:eastAsia="zh-CN" w:bidi="ar-SA"/>
              </w:rPr>
              <w:t>1、评审价为供应商的最终报价进行政策性扣除后的价格，评审价只是作为评审时使用。最终成交供应商的成交金额＝最终报价。</w:t>
            </w:r>
          </w:p>
          <w:p w14:paraId="22C16E32">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Courier New"/>
                <w:b w:val="0"/>
                <w:bCs/>
                <w:color w:val="auto"/>
                <w:kern w:val="2"/>
                <w:sz w:val="21"/>
                <w:szCs w:val="21"/>
                <w:lang w:val="en-US" w:eastAsia="zh-CN" w:bidi="ar-SA"/>
              </w:rPr>
            </w:pPr>
            <w:r>
              <w:rPr>
                <w:rFonts w:hint="eastAsia" w:ascii="宋体" w:hAnsi="宋体" w:eastAsia="宋体" w:cs="Courier New"/>
                <w:b w:val="0"/>
                <w:bCs/>
                <w:color w:val="auto"/>
                <w:kern w:val="2"/>
                <w:sz w:val="21"/>
                <w:szCs w:val="21"/>
                <w:lang w:val="en-US" w:eastAsia="zh-CN" w:bidi="ar-SA"/>
              </w:rPr>
              <w:t>2、政策性扣除计算方法：</w:t>
            </w:r>
            <w:r>
              <w:rPr>
                <w:rFonts w:hint="eastAsia" w:ascii="宋体" w:hAnsi="宋体" w:eastAsia="宋体" w:cs="宋体"/>
                <w:b w:val="0"/>
                <w:bCs/>
                <w:color w:val="auto"/>
                <w:kern w:val="0"/>
                <w:sz w:val="21"/>
                <w:szCs w:val="21"/>
                <w:highlight w:val="none"/>
                <w:lang w:val="en-US" w:eastAsia="zh-CN" w:bidi="ar-SA"/>
              </w:rPr>
              <w:t>按照《政府采购促进中小企业发展管理办法》（财库[2020]46号）及《广西壮族自治区财政厅关于持续优化政府采购营商环境推动高质量发展的通知》（桂财采〔2024〕55 号），本项目专门面向</w:t>
            </w:r>
            <w:r>
              <w:rPr>
                <w:rFonts w:hint="eastAsia" w:ascii="宋体" w:hAnsi="宋体" w:cs="宋体"/>
                <w:b w:val="0"/>
                <w:bCs/>
                <w:color w:val="auto"/>
                <w:kern w:val="0"/>
                <w:sz w:val="21"/>
                <w:szCs w:val="21"/>
                <w:highlight w:val="none"/>
                <w:lang w:val="en-US" w:eastAsia="zh-CN" w:bidi="ar-SA"/>
              </w:rPr>
              <w:t>中小</w:t>
            </w:r>
            <w:r>
              <w:rPr>
                <w:rFonts w:hint="eastAsia" w:ascii="宋体" w:hAnsi="宋体" w:eastAsia="宋体" w:cs="宋体"/>
                <w:b w:val="0"/>
                <w:bCs/>
                <w:color w:val="auto"/>
                <w:kern w:val="0"/>
                <w:sz w:val="21"/>
                <w:szCs w:val="21"/>
                <w:highlight w:val="none"/>
                <w:lang w:val="en-US" w:eastAsia="zh-CN" w:bidi="ar-SA"/>
              </w:rPr>
              <w:t>企业采购，不再执行价格评审优惠的扶持政策；监狱企业或残疾人福利性单位视同小型、微型企业</w:t>
            </w:r>
            <w:r>
              <w:rPr>
                <w:rFonts w:hint="eastAsia" w:ascii="宋体" w:hAnsi="宋体" w:eastAsia="宋体" w:cs="Courier New"/>
                <w:b w:val="0"/>
                <w:bCs/>
                <w:color w:val="auto"/>
                <w:kern w:val="2"/>
                <w:sz w:val="21"/>
                <w:szCs w:val="21"/>
                <w:lang w:val="en-US" w:eastAsia="zh-CN" w:bidi="ar-SA"/>
              </w:rPr>
              <w:t>。</w:t>
            </w:r>
          </w:p>
          <w:p w14:paraId="74C3708E">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Courier New"/>
                <w:b w:val="0"/>
                <w:bCs/>
                <w:color w:val="auto"/>
                <w:kern w:val="2"/>
                <w:sz w:val="21"/>
                <w:szCs w:val="21"/>
                <w:lang w:val="en-US" w:eastAsia="zh-CN" w:bidi="ar-SA"/>
              </w:rPr>
            </w:pPr>
            <w:r>
              <w:rPr>
                <w:rFonts w:hint="eastAsia" w:ascii="宋体" w:hAnsi="宋体" w:eastAsia="宋体" w:cs="Courier New"/>
                <w:b w:val="0"/>
                <w:bCs/>
                <w:color w:val="auto"/>
                <w:kern w:val="2"/>
                <w:sz w:val="21"/>
                <w:szCs w:val="21"/>
                <w:lang w:val="en-US" w:eastAsia="zh-CN" w:bidi="ar-SA"/>
              </w:rPr>
              <w:t>3、以通过评审供应商最低的最终报价为评标基准价，即指满足采购文件要求且价格最低的最终报价。</w:t>
            </w:r>
          </w:p>
          <w:p w14:paraId="47AFE967">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Courier New"/>
                <w:b w:val="0"/>
                <w:bCs/>
                <w:color w:val="auto"/>
                <w:kern w:val="2"/>
                <w:sz w:val="21"/>
                <w:szCs w:val="21"/>
                <w:lang w:val="en-US" w:eastAsia="zh-CN" w:bidi="ar-SA"/>
              </w:rPr>
              <w:t>4、某供应商价格分=(评标基准价/某供应商的最终报价)×10分</w:t>
            </w:r>
          </w:p>
        </w:tc>
        <w:tc>
          <w:tcPr>
            <w:tcW w:w="840" w:type="dxa"/>
            <w:vAlign w:val="center"/>
          </w:tcPr>
          <w:p w14:paraId="19ED9AD1">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lang w:val="en-US" w:eastAsia="zh-CN"/>
              </w:rPr>
              <w:t>10</w:t>
            </w:r>
            <w:r>
              <w:rPr>
                <w:rFonts w:hint="eastAsia" w:ascii="宋体" w:hAnsi="宋体" w:eastAsia="宋体" w:cs="宋体"/>
                <w:b w:val="0"/>
                <w:bCs/>
                <w:color w:val="auto"/>
                <w:kern w:val="0"/>
                <w:sz w:val="21"/>
                <w:szCs w:val="21"/>
                <w:highlight w:val="none"/>
              </w:rPr>
              <w:t>分</w:t>
            </w:r>
          </w:p>
        </w:tc>
      </w:tr>
      <w:tr w14:paraId="4E84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57E1852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w:t>
            </w:r>
          </w:p>
        </w:tc>
        <w:tc>
          <w:tcPr>
            <w:tcW w:w="1163" w:type="dxa"/>
            <w:vAlign w:val="center"/>
          </w:tcPr>
          <w:p w14:paraId="5EFF58CD">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技术分</w:t>
            </w:r>
          </w:p>
        </w:tc>
        <w:tc>
          <w:tcPr>
            <w:tcW w:w="6730" w:type="dxa"/>
            <w:vAlign w:val="center"/>
          </w:tcPr>
          <w:p w14:paraId="26677496">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评审因素</w:t>
            </w:r>
          </w:p>
        </w:tc>
        <w:tc>
          <w:tcPr>
            <w:tcW w:w="840" w:type="dxa"/>
            <w:vAlign w:val="top"/>
          </w:tcPr>
          <w:p w14:paraId="455423E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80</w:t>
            </w:r>
            <w:r>
              <w:rPr>
                <w:rFonts w:hint="eastAsia" w:ascii="宋体" w:hAnsi="宋体" w:eastAsia="宋体" w:cs="宋体"/>
                <w:b/>
                <w:color w:val="auto"/>
                <w:kern w:val="0"/>
                <w:sz w:val="21"/>
                <w:szCs w:val="21"/>
                <w:highlight w:val="none"/>
              </w:rPr>
              <w:t>分</w:t>
            </w:r>
          </w:p>
        </w:tc>
      </w:tr>
      <w:tr w14:paraId="3091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3BBF7CE9">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Cs w:val="21"/>
                <w:highlight w:val="none"/>
                <w:lang w:val="en-US" w:eastAsia="zh-CN"/>
              </w:rPr>
              <w:t>2.1</w:t>
            </w:r>
          </w:p>
        </w:tc>
        <w:tc>
          <w:tcPr>
            <w:tcW w:w="1163" w:type="dxa"/>
            <w:vAlign w:val="center"/>
          </w:tcPr>
          <w:p w14:paraId="23DA94AB">
            <w:pPr>
              <w:adjustRightInd w:val="0"/>
              <w:spacing w:line="400" w:lineRule="exact"/>
              <w:jc w:val="center"/>
              <w:textAlignment w:val="baseline"/>
              <w:rPr>
                <w:rFonts w:hint="eastAsia" w:ascii="宋体" w:hAnsi="宋体" w:eastAsia="宋体" w:cs="宋体"/>
                <w:b w:val="0"/>
                <w:bCs/>
                <w:color w:val="auto"/>
                <w:kern w:val="0"/>
                <w:sz w:val="21"/>
                <w:szCs w:val="21"/>
                <w:highlight w:val="none"/>
              </w:rPr>
            </w:pPr>
            <w:r>
              <w:rPr>
                <w:rFonts w:hint="eastAsia" w:ascii="宋体" w:hAnsi="宋体" w:eastAsia="宋体" w:cs="宋体"/>
                <w:bCs/>
                <w:kern w:val="0"/>
                <w:szCs w:val="21"/>
              </w:rPr>
              <w:t>施工方案与技术措施</w:t>
            </w:r>
          </w:p>
        </w:tc>
        <w:tc>
          <w:tcPr>
            <w:tcW w:w="6730" w:type="dxa"/>
            <w:vAlign w:val="center"/>
          </w:tcPr>
          <w:p w14:paraId="49F20763">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三档</w:t>
            </w:r>
            <w:r>
              <w:rPr>
                <w:rFonts w:hint="eastAsia" w:ascii="宋体" w:hAnsi="宋体" w:eastAsia="宋体" w:cs="宋体"/>
                <w:bCs/>
                <w:lang w:eastAsia="zh-CN"/>
              </w:rPr>
              <w:t>（</w:t>
            </w:r>
            <w:r>
              <w:rPr>
                <w:rFonts w:hint="eastAsia" w:ascii="宋体" w:hAnsi="宋体" w:eastAsia="宋体" w:cs="宋体"/>
                <w:bCs/>
                <w:lang w:val="en-US" w:eastAsia="zh-CN"/>
              </w:rPr>
              <w:t>15分</w:t>
            </w:r>
            <w:r>
              <w:rPr>
                <w:rFonts w:hint="eastAsia" w:ascii="宋体" w:hAnsi="宋体" w:eastAsia="宋体" w:cs="宋体"/>
                <w:bCs/>
                <w:lang w:eastAsia="zh-CN"/>
              </w:rPr>
              <w:t>）</w:t>
            </w:r>
            <w:r>
              <w:rPr>
                <w:rFonts w:hint="eastAsia" w:ascii="宋体" w:hAnsi="宋体" w:eastAsia="宋体" w:cs="宋体"/>
                <w:bCs/>
              </w:rPr>
              <w:t>：对项目的施工总体条件有全面认识，施工段划分呼应总体表述，划分清晰、合理、切合本工程实际，施工方法合理，技术措施具体、先进、有效。</w:t>
            </w:r>
          </w:p>
          <w:p w14:paraId="65A4AEB1">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二档</w:t>
            </w:r>
            <w:r>
              <w:rPr>
                <w:rFonts w:hint="eastAsia" w:ascii="宋体" w:hAnsi="宋体" w:eastAsia="宋体" w:cs="宋体"/>
                <w:bCs/>
                <w:lang w:eastAsia="zh-CN"/>
              </w:rPr>
              <w:t>（</w:t>
            </w:r>
            <w:r>
              <w:rPr>
                <w:rFonts w:hint="eastAsia" w:ascii="宋体" w:hAnsi="宋体" w:eastAsia="宋体" w:cs="宋体"/>
                <w:bCs/>
                <w:lang w:val="en-US" w:eastAsia="zh-CN"/>
              </w:rPr>
              <w:t>10分</w:t>
            </w:r>
            <w:r>
              <w:rPr>
                <w:rFonts w:hint="eastAsia" w:ascii="宋体" w:hAnsi="宋体" w:eastAsia="宋体" w:cs="宋体"/>
                <w:bCs/>
                <w:lang w:eastAsia="zh-CN"/>
              </w:rPr>
              <w:t>）</w:t>
            </w:r>
            <w:r>
              <w:rPr>
                <w:rFonts w:hint="eastAsia" w:ascii="宋体" w:hAnsi="宋体" w:eastAsia="宋体" w:cs="宋体"/>
                <w:bCs/>
              </w:rPr>
              <w:t>：对项目的施工总体条件有认识，施工段划分可行、切合实际可行，施工方法简单合理，施工技术措施具体，但不详细、不清晰。</w:t>
            </w:r>
          </w:p>
          <w:p w14:paraId="09303C07">
            <w:pPr>
              <w:spacing w:line="360" w:lineRule="auto"/>
              <w:ind w:firstLine="420" w:firstLineChars="200"/>
              <w:rPr>
                <w:rFonts w:hint="eastAsia" w:ascii="宋体" w:hAnsi="宋体" w:eastAsia="宋体" w:cs="宋体"/>
                <w:bCs/>
                <w:kern w:val="2"/>
                <w:sz w:val="21"/>
                <w:szCs w:val="21"/>
              </w:rPr>
            </w:pPr>
            <w:r>
              <w:rPr>
                <w:rFonts w:hint="eastAsia" w:ascii="宋体" w:hAnsi="宋体" w:eastAsia="宋体" w:cs="宋体"/>
                <w:bCs/>
                <w:lang w:val="en-US" w:eastAsia="zh-CN"/>
              </w:rPr>
              <w:t>一档</w:t>
            </w:r>
            <w:r>
              <w:rPr>
                <w:rFonts w:hint="eastAsia" w:ascii="宋体" w:hAnsi="宋体" w:eastAsia="宋体" w:cs="宋体"/>
                <w:bCs/>
                <w:lang w:eastAsia="zh-CN"/>
              </w:rPr>
              <w:t>（</w:t>
            </w:r>
            <w:r>
              <w:rPr>
                <w:rFonts w:hint="eastAsia" w:ascii="宋体" w:hAnsi="宋体" w:eastAsia="宋体" w:cs="宋体"/>
                <w:bCs/>
                <w:lang w:val="en-US" w:eastAsia="zh-CN"/>
              </w:rPr>
              <w:t>5分</w:t>
            </w:r>
            <w:r>
              <w:rPr>
                <w:rFonts w:hint="eastAsia" w:ascii="宋体" w:hAnsi="宋体" w:eastAsia="宋体" w:cs="宋体"/>
                <w:bCs/>
                <w:lang w:eastAsia="zh-CN"/>
              </w:rPr>
              <w:t>）</w:t>
            </w:r>
            <w:r>
              <w:rPr>
                <w:rFonts w:hint="eastAsia" w:ascii="宋体" w:hAnsi="宋体" w:eastAsia="宋体" w:cs="宋体"/>
                <w:bCs/>
              </w:rPr>
              <w:t>：对项目的施工总体条件简单的认识，施工段划分一般、基本切合实际，施工方法一般，施工技术措施不够具体。</w:t>
            </w:r>
          </w:p>
        </w:tc>
        <w:tc>
          <w:tcPr>
            <w:tcW w:w="840" w:type="dxa"/>
            <w:vAlign w:val="center"/>
          </w:tcPr>
          <w:p w14:paraId="1B58B39B">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Cs w:val="21"/>
                <w:highlight w:val="none"/>
                <w:lang w:val="en-US" w:eastAsia="zh-CN"/>
              </w:rPr>
              <w:t>15分</w:t>
            </w:r>
          </w:p>
        </w:tc>
      </w:tr>
      <w:tr w14:paraId="0C69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693" w:type="dxa"/>
            <w:vAlign w:val="center"/>
          </w:tcPr>
          <w:p w14:paraId="53B0EAE2">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2</w:t>
            </w:r>
          </w:p>
        </w:tc>
        <w:tc>
          <w:tcPr>
            <w:tcW w:w="1163" w:type="dxa"/>
            <w:vAlign w:val="center"/>
          </w:tcPr>
          <w:p w14:paraId="366B7855">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质量管理体系与措施</w:t>
            </w:r>
          </w:p>
        </w:tc>
        <w:tc>
          <w:tcPr>
            <w:tcW w:w="6730" w:type="dxa"/>
            <w:vAlign w:val="center"/>
          </w:tcPr>
          <w:p w14:paraId="23DA5D17">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三档（15分）：质量目标明确，质量管控体系健全（包括组织结构、人员分工、施工现场质量控制的措施和手段、原材料质量检测、单元工程验收和质量评定、质量控制奖罚机制等）质量事件（缺陷、事故）应急措施得当、可行。 </w:t>
            </w:r>
          </w:p>
          <w:p w14:paraId="5B398431">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二档（10分）：质量目标较明确，质量管控体系基本健全（包括组织结构、人员分工、施工现场质量控制的措施和手段、原材料质量检测、单元工程验收和质量评定、质量控制奖罚机制等）质量事件（缺陷、事故）应急措施基本得当、可行。 </w:t>
            </w:r>
          </w:p>
          <w:p w14:paraId="527D2810">
            <w:pPr>
              <w:spacing w:line="360" w:lineRule="auto"/>
              <w:ind w:firstLine="420" w:firstLineChars="200"/>
              <w:rPr>
                <w:rFonts w:ascii="Times New Roman" w:hAnsi="Times New Roman" w:eastAsia="宋体" w:cs="Times New Roman"/>
                <w:color w:val="auto"/>
                <w:sz w:val="21"/>
                <w:szCs w:val="21"/>
                <w:highlight w:val="none"/>
              </w:rPr>
            </w:pPr>
            <w:r>
              <w:rPr>
                <w:rFonts w:hint="eastAsia" w:ascii="宋体" w:hAnsi="宋体" w:eastAsia="宋体" w:cs="宋体"/>
                <w:bCs/>
                <w:lang w:val="en-US" w:eastAsia="zh-CN"/>
              </w:rPr>
              <w:t xml:space="preserve">一档（5分）：质量目标不明确，质量管控体系基本或不健全（包括组织结构、人员分工、施工现场质量控制的措施和手段、原材料质量检测、单元工程验收和质量评定、质量控制奖罚机制等）质量事件（缺陷、事故）应急措施一般。 </w:t>
            </w:r>
          </w:p>
        </w:tc>
        <w:tc>
          <w:tcPr>
            <w:tcW w:w="840" w:type="dxa"/>
            <w:vAlign w:val="center"/>
          </w:tcPr>
          <w:p w14:paraId="00DAC31F">
            <w:pPr>
              <w:keepNext w:val="0"/>
              <w:keepLines w:val="0"/>
              <w:pageBreakBefore w:val="0"/>
              <w:widowControl w:val="0"/>
              <w:kinsoku/>
              <w:wordWrap/>
              <w:overflowPunct/>
              <w:topLinePunct w:val="0"/>
              <w:bidi w:val="0"/>
              <w:spacing w:line="400" w:lineRule="exact"/>
              <w:jc w:val="center"/>
              <w:textAlignment w:val="auto"/>
              <w:rPr>
                <w:rFonts w:hint="eastAsia" w:ascii="宋体" w:hAnsi="宋体" w:eastAsia="宋体" w:cs="Courier New"/>
                <w:bCs/>
                <w:kern w:val="2"/>
                <w:sz w:val="21"/>
                <w:szCs w:val="21"/>
                <w:lang w:val="en-US" w:eastAsia="zh-CN" w:bidi="ar-SA"/>
              </w:rPr>
            </w:pPr>
            <w:r>
              <w:rPr>
                <w:rFonts w:hint="eastAsia" w:ascii="宋体" w:hAnsi="宋体" w:eastAsia="宋体" w:cs="Courier New"/>
                <w:bCs/>
                <w:kern w:val="2"/>
                <w:sz w:val="21"/>
                <w:szCs w:val="21"/>
                <w:lang w:val="en-US" w:eastAsia="zh-CN" w:bidi="ar-SA"/>
              </w:rPr>
              <w:t>15分</w:t>
            </w:r>
          </w:p>
          <w:p w14:paraId="2B8678B9">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p>
        </w:tc>
      </w:tr>
      <w:tr w14:paraId="24E2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693" w:type="dxa"/>
            <w:vAlign w:val="center"/>
          </w:tcPr>
          <w:p w14:paraId="135C9DE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3</w:t>
            </w:r>
          </w:p>
        </w:tc>
        <w:tc>
          <w:tcPr>
            <w:tcW w:w="1163" w:type="dxa"/>
            <w:vAlign w:val="center"/>
          </w:tcPr>
          <w:p w14:paraId="5B38ED77">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安全管理体系与措施</w:t>
            </w:r>
          </w:p>
        </w:tc>
        <w:tc>
          <w:tcPr>
            <w:tcW w:w="6730" w:type="dxa"/>
            <w:vAlign w:val="center"/>
          </w:tcPr>
          <w:p w14:paraId="14B25C50">
            <w:pPr>
              <w:spacing w:line="360" w:lineRule="auto"/>
              <w:ind w:firstLine="420" w:firstLineChars="200"/>
              <w:rPr>
                <w:rFonts w:hint="eastAsia" w:ascii="宋体" w:hAnsi="宋体" w:eastAsia="宋体" w:cs="宋体"/>
                <w:bCs/>
                <w:lang w:val="en-US" w:eastAsia="zh-CN"/>
              </w:rPr>
            </w:pPr>
            <w:r>
              <w:rPr>
                <w:rFonts w:hint="eastAsia" w:ascii="宋体" w:hAnsi="宋体" w:eastAsia="宋体" w:cs="宋体"/>
                <w:bCs/>
                <w:lang w:val="en-US" w:eastAsia="zh-CN"/>
              </w:rPr>
              <w:t>三档（15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405CE6D8">
            <w:pPr>
              <w:spacing w:line="360" w:lineRule="auto"/>
              <w:ind w:firstLine="420" w:firstLineChars="200"/>
              <w:rPr>
                <w:rFonts w:hint="eastAsia" w:ascii="宋体" w:hAnsi="宋体" w:eastAsia="宋体" w:cs="宋体"/>
                <w:bCs/>
                <w:lang w:val="en-US" w:eastAsia="zh-CN"/>
              </w:rPr>
            </w:pPr>
            <w:r>
              <w:rPr>
                <w:rFonts w:hint="eastAsia" w:ascii="宋体" w:hAnsi="宋体" w:eastAsia="宋体" w:cs="宋体"/>
                <w:bCs/>
                <w:lang w:val="en-US" w:eastAsia="zh-CN"/>
              </w:rPr>
              <w:t xml:space="preserve">二档（10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22C28524">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lang w:val="en-US" w:eastAsia="zh-CN"/>
              </w:rPr>
              <w:t xml:space="preserve">一档（5分）：有专门的安全管理人员和制度，人员配备不合理，制度不健全，各道工序安全技术措施针无对性，不满足有关安全技术标准要求。现场防火、应急救援、社会治安安全措施不得力。 </w:t>
            </w:r>
          </w:p>
        </w:tc>
        <w:tc>
          <w:tcPr>
            <w:tcW w:w="840" w:type="dxa"/>
            <w:vAlign w:val="center"/>
          </w:tcPr>
          <w:p w14:paraId="22448C19">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Courier New"/>
                <w:bCs/>
                <w:kern w:val="2"/>
                <w:sz w:val="21"/>
                <w:szCs w:val="21"/>
                <w:lang w:val="en-US" w:eastAsia="zh-CN"/>
              </w:rPr>
              <w:t>15</w:t>
            </w:r>
            <w:r>
              <w:rPr>
                <w:rFonts w:hint="eastAsia" w:ascii="宋体" w:hAnsi="宋体" w:eastAsia="宋体" w:cs="Courier New"/>
                <w:bCs/>
                <w:kern w:val="2"/>
                <w:sz w:val="21"/>
                <w:szCs w:val="21"/>
              </w:rPr>
              <w:t>分</w:t>
            </w:r>
          </w:p>
        </w:tc>
      </w:tr>
      <w:tr w14:paraId="1406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2FE1CA0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4</w:t>
            </w:r>
          </w:p>
        </w:tc>
        <w:tc>
          <w:tcPr>
            <w:tcW w:w="1163" w:type="dxa"/>
            <w:vAlign w:val="center"/>
          </w:tcPr>
          <w:p w14:paraId="2637227A">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环境保护管理体系与措施</w:t>
            </w:r>
          </w:p>
        </w:tc>
        <w:tc>
          <w:tcPr>
            <w:tcW w:w="6730" w:type="dxa"/>
            <w:vAlign w:val="center"/>
          </w:tcPr>
          <w:p w14:paraId="7955B241">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w:t>
            </w:r>
            <w:r>
              <w:rPr>
                <w:rFonts w:hint="eastAsia" w:ascii="宋体" w:hAnsi="宋体" w:eastAsia="宋体" w:cs="宋体"/>
                <w:bCs/>
              </w:rPr>
              <w:t>档</w:t>
            </w:r>
            <w:r>
              <w:rPr>
                <w:rFonts w:hint="eastAsia" w:ascii="宋体" w:hAnsi="宋体" w:eastAsia="宋体" w:cs="宋体"/>
                <w:bCs/>
                <w:lang w:val="en-US" w:eastAsia="zh-CN"/>
              </w:rPr>
              <w:t xml:space="preserve">（10分）：环境保护目标明确，环境保护管理体系健全，预防和控制（包括大气、水、噪声、固体废物、人群等环保工程）具有针对性、内容全面、可行。 </w:t>
            </w:r>
          </w:p>
          <w:p w14:paraId="73A68EE3">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二档（6分）：环境保护目标较明确，环境保护管理体系较健全，预防和控制（包括大气、水、噪声、固体废物、人群等环保工程）具较有针对性，内容较全面、可行。 </w:t>
            </w:r>
          </w:p>
          <w:p w14:paraId="0E464572">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lang w:val="en-US" w:eastAsia="zh-CN"/>
              </w:rPr>
              <w:t xml:space="preserve">一档（3分）：环境保护目标基本或不明确，环境保护管理体系基本健全，预防和控制（包括大气、水、噪声、固体废物、人群等环保工程）针对性一般，内容一般。 </w:t>
            </w:r>
          </w:p>
        </w:tc>
        <w:tc>
          <w:tcPr>
            <w:tcW w:w="840" w:type="dxa"/>
            <w:vAlign w:val="center"/>
          </w:tcPr>
          <w:p w14:paraId="2A7C0811">
            <w:pPr>
              <w:keepNext w:val="0"/>
              <w:keepLines w:val="0"/>
              <w:pageBreakBefore w:val="0"/>
              <w:widowControl w:val="0"/>
              <w:kinsoku/>
              <w:wordWrap/>
              <w:overflowPunct/>
              <w:topLinePunct w:val="0"/>
              <w:bidi w:val="0"/>
              <w:spacing w:line="400" w:lineRule="exact"/>
              <w:jc w:val="center"/>
              <w:textAlignment w:val="auto"/>
              <w:rPr>
                <w:rFonts w:hint="eastAsia" w:ascii="宋体" w:hAnsi="宋体" w:eastAsia="宋体" w:cs="Courier New"/>
                <w:bCs/>
                <w:kern w:val="2"/>
                <w:sz w:val="21"/>
                <w:szCs w:val="21"/>
                <w:lang w:val="en-US" w:eastAsia="zh-CN" w:bidi="ar-SA"/>
              </w:rPr>
            </w:pPr>
            <w:r>
              <w:rPr>
                <w:rFonts w:hint="eastAsia" w:ascii="宋体" w:hAnsi="宋体" w:eastAsia="宋体" w:cs="Courier New"/>
                <w:bCs/>
                <w:kern w:val="2"/>
                <w:sz w:val="21"/>
                <w:szCs w:val="21"/>
                <w:lang w:val="en-US" w:eastAsia="zh-CN" w:bidi="ar-SA"/>
              </w:rPr>
              <w:t>10分</w:t>
            </w:r>
          </w:p>
          <w:p w14:paraId="6DCFFDBE">
            <w:pPr>
              <w:keepNext w:val="0"/>
              <w:keepLines w:val="0"/>
              <w:pageBreakBefore w:val="0"/>
              <w:widowControl w:val="0"/>
              <w:kinsoku/>
              <w:wordWrap/>
              <w:overflowPunct/>
              <w:topLinePunct w:val="0"/>
              <w:bidi w:val="0"/>
              <w:spacing w:line="400" w:lineRule="exact"/>
              <w:ind w:firstLine="720" w:firstLineChars="0"/>
              <w:jc w:val="both"/>
              <w:textAlignment w:val="auto"/>
              <w:rPr>
                <w:rFonts w:ascii="宋体" w:hAnsi="宋体" w:eastAsia="Cambria Math" w:cs="宋体"/>
                <w:bCs/>
                <w:color w:val="auto"/>
                <w:kern w:val="0"/>
                <w:sz w:val="21"/>
                <w:szCs w:val="21"/>
                <w:highlight w:val="none"/>
                <w:lang w:val="en-US" w:eastAsia="zh-CN" w:bidi="ar-SA"/>
              </w:rPr>
            </w:pPr>
          </w:p>
        </w:tc>
      </w:tr>
      <w:tr w14:paraId="6AA2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6B3DF37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5</w:t>
            </w:r>
          </w:p>
        </w:tc>
        <w:tc>
          <w:tcPr>
            <w:tcW w:w="1163" w:type="dxa"/>
            <w:vAlign w:val="center"/>
          </w:tcPr>
          <w:p w14:paraId="048FB63C">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工程进度计划与措施</w:t>
            </w:r>
          </w:p>
        </w:tc>
        <w:tc>
          <w:tcPr>
            <w:tcW w:w="6730" w:type="dxa"/>
            <w:vAlign w:val="center"/>
          </w:tcPr>
          <w:p w14:paraId="36661C6E">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w:t>
            </w:r>
            <w:r>
              <w:rPr>
                <w:rFonts w:hint="eastAsia" w:ascii="宋体" w:hAnsi="宋体" w:eastAsia="宋体" w:cs="宋体"/>
                <w:bCs/>
              </w:rPr>
              <w:t>档</w:t>
            </w:r>
            <w:r>
              <w:rPr>
                <w:rFonts w:hint="eastAsia" w:ascii="宋体" w:hAnsi="宋体" w:eastAsia="宋体" w:cs="宋体"/>
                <w:bCs/>
                <w:lang w:val="en-US" w:eastAsia="zh-CN"/>
              </w:rPr>
              <w:t xml:space="preserve">（15分）：施工总体进度计划得当，进度计划网络图清晰合理，完全满足招标文件要求，施工强度分析可靠，各关键节点的工期切实可行，控制性项目安排得当，保证工期的措施科学，工程进度补救措施可行，完全能保证在项目要求的总工期内完成。 </w:t>
            </w:r>
          </w:p>
          <w:p w14:paraId="1EB92F5B">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二档（10分）：施工总体进度计划较得当，进度计划网络图较清晰合理，较满足招标文件要求，施工强度分析较可靠，各关键节点的工期较切实可行，控制性项目安排较得当，保证工期的措施较科学，工程进度补救措施基本可行，基本能保证在项目要求的总工期内完成。 </w:t>
            </w:r>
          </w:p>
          <w:p w14:paraId="40160667">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lang w:val="en-US" w:eastAsia="zh-CN"/>
              </w:rPr>
              <w:t xml:space="preserve">一档（5分）：施工总体进度计划基本得当，进度计划网络图基本清晰合理，基本满足招标文件要求，施工强度分析一般，各关键点的工期基本切实可行，控制性项目安排基本得当，保证工期的措施一般，工程进度补救措施一般，基本能保证在项目要求的总工期内完成。 </w:t>
            </w:r>
          </w:p>
        </w:tc>
        <w:tc>
          <w:tcPr>
            <w:tcW w:w="840" w:type="dxa"/>
            <w:vAlign w:val="center"/>
          </w:tcPr>
          <w:p w14:paraId="7B9B0910">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r>
              <w:rPr>
                <w:rFonts w:hint="eastAsia" w:ascii="宋体" w:hAnsi="宋体" w:eastAsia="宋体" w:cs="Courier New"/>
                <w:bCs/>
                <w:kern w:val="2"/>
                <w:sz w:val="21"/>
                <w:szCs w:val="21"/>
                <w:lang w:val="en-US" w:eastAsia="zh-CN"/>
              </w:rPr>
              <w:t>15</w:t>
            </w:r>
            <w:r>
              <w:rPr>
                <w:rFonts w:hint="eastAsia" w:ascii="宋体" w:hAnsi="宋体" w:eastAsia="宋体" w:cs="Courier New"/>
                <w:bCs/>
                <w:kern w:val="2"/>
                <w:sz w:val="21"/>
                <w:szCs w:val="21"/>
              </w:rPr>
              <w:t>分</w:t>
            </w:r>
          </w:p>
        </w:tc>
      </w:tr>
      <w:tr w14:paraId="5721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4C1669E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6</w:t>
            </w:r>
          </w:p>
        </w:tc>
        <w:tc>
          <w:tcPr>
            <w:tcW w:w="1163" w:type="dxa"/>
            <w:vAlign w:val="center"/>
          </w:tcPr>
          <w:p w14:paraId="3F4BEBED">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资源配置计划</w:t>
            </w:r>
          </w:p>
        </w:tc>
        <w:tc>
          <w:tcPr>
            <w:tcW w:w="6730" w:type="dxa"/>
            <w:vAlign w:val="center"/>
          </w:tcPr>
          <w:p w14:paraId="7BA777A2">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w:t>
            </w:r>
            <w:r>
              <w:rPr>
                <w:rFonts w:hint="eastAsia" w:ascii="宋体" w:hAnsi="宋体" w:eastAsia="宋体" w:cs="宋体"/>
                <w:bCs/>
              </w:rPr>
              <w:t>档</w:t>
            </w:r>
            <w:r>
              <w:rPr>
                <w:rFonts w:hint="eastAsia" w:ascii="宋体" w:hAnsi="宋体" w:eastAsia="宋体" w:cs="宋体"/>
                <w:bCs/>
                <w:lang w:val="en-US" w:eastAsia="zh-CN"/>
              </w:rPr>
              <w:t>（10分）：</w:t>
            </w:r>
            <w:r>
              <w:rPr>
                <w:rFonts w:hint="eastAsia" w:ascii="宋体" w:hAnsi="宋体" w:eastAsia="宋体" w:cs="宋体"/>
                <w:bCs/>
              </w:rPr>
              <w:t>各类施工及试验设备的配备类型、进场时间与施工组织设计完美相符，设备数量有效合理、类型完整齐全，有保证设备良好运行工况的措施，合理的满足施工需要。各类人员配备专业、进场时间与施工组织设计完全相符，人员数量、专业技能满足施工要求，有保证施工人员相对稳定的措施；</w:t>
            </w:r>
          </w:p>
          <w:p w14:paraId="7CEF6F32">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二档（6分）</w:t>
            </w:r>
            <w:r>
              <w:rPr>
                <w:rFonts w:hint="eastAsia" w:ascii="宋体" w:hAnsi="宋体" w:eastAsia="宋体" w:cs="宋体"/>
                <w:bCs/>
              </w:rPr>
              <w:t>：各类施工及试验设备的配备类型、进场时间与施工组织设计相符，设备数量合理、类型齐全，满足施工需要。各类人员配备专业、进场时间与施工组织设计相符，人员数量、专业技能满足施工要求；</w:t>
            </w:r>
          </w:p>
          <w:p w14:paraId="7CE6C6BA">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lang w:val="en-US" w:eastAsia="zh-CN"/>
              </w:rPr>
              <w:t>一档（3分）</w:t>
            </w:r>
            <w:r>
              <w:rPr>
                <w:rFonts w:hint="eastAsia" w:ascii="宋体" w:hAnsi="宋体" w:eastAsia="宋体" w:cs="宋体"/>
                <w:bCs/>
              </w:rPr>
              <w:t>：各类施工及试验设备的配备类型、进场时间与施工组织设计基本相符，设备数量基本合理、但类型基不齐全，基本满足施工需要。各类人员的配备基本专业、进场时间与施工组织设计基本相符，人员数量、专业技能基本满足施工要求；</w:t>
            </w:r>
          </w:p>
        </w:tc>
        <w:tc>
          <w:tcPr>
            <w:tcW w:w="840" w:type="dxa"/>
            <w:vAlign w:val="center"/>
          </w:tcPr>
          <w:p w14:paraId="73CEA746">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r>
              <w:rPr>
                <w:rFonts w:hint="eastAsia" w:ascii="宋体" w:hAnsi="宋体" w:eastAsia="宋体" w:cs="Courier New"/>
                <w:bCs/>
                <w:kern w:val="2"/>
                <w:sz w:val="21"/>
                <w:szCs w:val="21"/>
                <w:lang w:val="en-US" w:eastAsia="zh-CN"/>
              </w:rPr>
              <w:t>10</w:t>
            </w:r>
            <w:r>
              <w:rPr>
                <w:rFonts w:hint="eastAsia" w:ascii="宋体" w:hAnsi="宋体" w:eastAsia="宋体" w:cs="Courier New"/>
                <w:bCs/>
                <w:kern w:val="2"/>
                <w:sz w:val="21"/>
                <w:szCs w:val="21"/>
              </w:rPr>
              <w:t>分</w:t>
            </w:r>
          </w:p>
        </w:tc>
      </w:tr>
      <w:tr w14:paraId="64D9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3" w:type="dxa"/>
            <w:vAlign w:val="center"/>
          </w:tcPr>
          <w:p w14:paraId="7CB9B433">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w:t>
            </w:r>
          </w:p>
        </w:tc>
        <w:tc>
          <w:tcPr>
            <w:tcW w:w="1163" w:type="dxa"/>
            <w:vAlign w:val="center"/>
          </w:tcPr>
          <w:p w14:paraId="1E3209B2">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商务分</w:t>
            </w:r>
          </w:p>
        </w:tc>
        <w:tc>
          <w:tcPr>
            <w:tcW w:w="6730" w:type="dxa"/>
            <w:vAlign w:val="center"/>
          </w:tcPr>
          <w:p w14:paraId="28AC3E48">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eastAsia="宋体" w:cs="宋体"/>
                <w:b/>
                <w:bCs/>
                <w:color w:val="auto"/>
                <w:sz w:val="21"/>
                <w:szCs w:val="21"/>
                <w:highlight w:val="none"/>
              </w:rPr>
            </w:pPr>
            <w:r>
              <w:rPr>
                <w:rFonts w:hint="eastAsia" w:ascii="宋体" w:hAnsi="宋体" w:eastAsia="宋体" w:cs="Tahoma"/>
                <w:b/>
                <w:bCs/>
                <w:kern w:val="0"/>
                <w:sz w:val="21"/>
                <w:szCs w:val="21"/>
              </w:rPr>
              <w:t>评审因素</w:t>
            </w:r>
          </w:p>
        </w:tc>
        <w:tc>
          <w:tcPr>
            <w:tcW w:w="840" w:type="dxa"/>
            <w:vAlign w:val="center"/>
          </w:tcPr>
          <w:p w14:paraId="2F1C907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10</w:t>
            </w:r>
            <w:r>
              <w:rPr>
                <w:rFonts w:hint="eastAsia" w:ascii="宋体" w:hAnsi="宋体" w:eastAsia="宋体" w:cs="宋体"/>
                <w:b/>
                <w:bCs/>
                <w:color w:val="auto"/>
                <w:kern w:val="0"/>
                <w:sz w:val="21"/>
                <w:szCs w:val="21"/>
                <w:highlight w:val="none"/>
              </w:rPr>
              <w:t>分</w:t>
            </w:r>
          </w:p>
        </w:tc>
      </w:tr>
      <w:tr w14:paraId="0AF0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93" w:type="dxa"/>
            <w:vAlign w:val="center"/>
          </w:tcPr>
          <w:p w14:paraId="60870323">
            <w:pPr>
              <w:keepNext w:val="0"/>
              <w:keepLines w:val="0"/>
              <w:pageBreakBefore w:val="0"/>
              <w:kinsoku/>
              <w:wordWrap/>
              <w:overflowPunct/>
              <w:topLinePunct w:val="0"/>
              <w:bidi w:val="0"/>
              <w:spacing w:line="40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163" w:type="dxa"/>
            <w:vAlign w:val="center"/>
          </w:tcPr>
          <w:p w14:paraId="34BDA1D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en-US" w:eastAsia="zh-CN"/>
              </w:rPr>
              <w:t>业绩分</w:t>
            </w:r>
          </w:p>
        </w:tc>
        <w:tc>
          <w:tcPr>
            <w:tcW w:w="6730" w:type="dxa"/>
            <w:vAlign w:val="center"/>
          </w:tcPr>
          <w:p w14:paraId="44729F20">
            <w:pPr>
              <w:keepNext w:val="0"/>
              <w:keepLines w:val="0"/>
              <w:pageBreakBefore w:val="0"/>
              <w:kinsoku/>
              <w:wordWrap/>
              <w:overflowPunct/>
              <w:topLinePunct w:val="0"/>
              <w:bidi w:val="0"/>
              <w:snapToGrid w:val="0"/>
              <w:spacing w:line="400" w:lineRule="exact"/>
              <w:jc w:val="left"/>
              <w:textAlignment w:val="auto"/>
              <w:rPr>
                <w:rFonts w:ascii="宋体" w:hAnsi="宋体" w:eastAsia="宋体" w:cs="宋体"/>
                <w:bCs/>
                <w:color w:val="auto"/>
                <w:kern w:val="0"/>
                <w:sz w:val="21"/>
                <w:szCs w:val="21"/>
                <w:highlight w:val="none"/>
              </w:rPr>
            </w:pPr>
            <w:r>
              <w:rPr>
                <w:rFonts w:hint="eastAsia" w:ascii="宋体" w:hAnsi="宋体" w:eastAsia="宋体" w:cs="Times New Roman"/>
                <w:bCs/>
                <w:color w:val="auto"/>
                <w:szCs w:val="21"/>
              </w:rPr>
              <w:t>供应商202</w:t>
            </w:r>
            <w:r>
              <w:rPr>
                <w:rFonts w:hint="eastAsia" w:ascii="宋体" w:hAnsi="宋体" w:eastAsia="宋体" w:cs="Times New Roman"/>
                <w:bCs/>
                <w:color w:val="auto"/>
                <w:szCs w:val="21"/>
                <w:lang w:val="en-US" w:eastAsia="zh-CN"/>
              </w:rPr>
              <w:t>2</w:t>
            </w:r>
            <w:r>
              <w:rPr>
                <w:rFonts w:hint="eastAsia" w:ascii="宋体" w:hAnsi="宋体" w:eastAsia="宋体" w:cs="Times New Roman"/>
                <w:bCs/>
                <w:color w:val="auto"/>
                <w:szCs w:val="21"/>
              </w:rPr>
              <w:t>年</w:t>
            </w:r>
            <w:r>
              <w:rPr>
                <w:rFonts w:hint="eastAsia" w:ascii="宋体" w:hAnsi="宋体" w:eastAsia="宋体" w:cs="Times New Roman"/>
                <w:bCs/>
                <w:color w:val="auto"/>
                <w:szCs w:val="21"/>
                <w:lang w:val="en-US" w:eastAsia="zh-CN"/>
              </w:rPr>
              <w:t>1</w:t>
            </w:r>
            <w:r>
              <w:rPr>
                <w:rFonts w:hint="eastAsia" w:ascii="宋体" w:hAnsi="宋体" w:eastAsia="宋体" w:cs="Times New Roman"/>
                <w:bCs/>
                <w:color w:val="auto"/>
                <w:szCs w:val="21"/>
              </w:rPr>
              <w:t>月1日至</w:t>
            </w:r>
            <w:r>
              <w:rPr>
                <w:rFonts w:hint="eastAsia" w:ascii="宋体" w:hAnsi="宋体" w:eastAsia="宋体" w:cs="Times New Roman"/>
                <w:bCs/>
                <w:color w:val="auto"/>
                <w:szCs w:val="21"/>
                <w:lang w:eastAsia="zh-CN"/>
              </w:rPr>
              <w:t>响应</w:t>
            </w:r>
            <w:r>
              <w:rPr>
                <w:rFonts w:hint="eastAsia" w:ascii="宋体" w:hAnsi="宋体" w:eastAsia="宋体" w:cs="Times New Roman"/>
                <w:bCs/>
                <w:color w:val="auto"/>
                <w:szCs w:val="21"/>
              </w:rPr>
              <w:t>截止之日止（时间以合同工程验收鉴定书或工程竣工验收鉴定书时间为准）完成过</w:t>
            </w:r>
            <w:r>
              <w:rPr>
                <w:rFonts w:hint="eastAsia" w:ascii="宋体" w:hAnsi="宋体" w:cs="Times New Roman"/>
                <w:bCs/>
                <w:color w:val="auto"/>
                <w:szCs w:val="21"/>
                <w:lang w:val="en-US" w:eastAsia="zh-CN"/>
              </w:rPr>
              <w:t>水利工程</w:t>
            </w:r>
            <w:r>
              <w:rPr>
                <w:rFonts w:hint="eastAsia" w:ascii="宋体" w:hAnsi="宋体" w:eastAsia="宋体" w:cs="Times New Roman"/>
                <w:bCs/>
                <w:color w:val="auto"/>
                <w:szCs w:val="21"/>
              </w:rPr>
              <w:t>施工项目业绩的，</w:t>
            </w:r>
            <w:r>
              <w:rPr>
                <w:rFonts w:hint="eastAsia" w:ascii="宋体" w:hAnsi="宋体" w:eastAsia="宋体" w:cs="Tahoma"/>
                <w:color w:val="auto"/>
                <w:kern w:val="0"/>
                <w:szCs w:val="21"/>
              </w:rPr>
              <w:t>每提供</w:t>
            </w:r>
            <w:r>
              <w:rPr>
                <w:rFonts w:ascii="宋体" w:hAnsi="宋体" w:eastAsia="宋体" w:cs="Tahoma"/>
                <w:color w:val="auto"/>
                <w:kern w:val="0"/>
                <w:szCs w:val="21"/>
              </w:rPr>
              <w:t>1份符合要求的业绩得</w:t>
            </w:r>
            <w:r>
              <w:rPr>
                <w:rFonts w:hint="eastAsia" w:ascii="宋体" w:hAnsi="宋体" w:eastAsia="宋体" w:cs="Tahoma"/>
                <w:color w:val="auto"/>
                <w:kern w:val="0"/>
                <w:szCs w:val="21"/>
                <w:lang w:val="en-US" w:eastAsia="zh-CN"/>
              </w:rPr>
              <w:t>5</w:t>
            </w:r>
            <w:r>
              <w:rPr>
                <w:rFonts w:ascii="宋体" w:hAnsi="宋体" w:eastAsia="宋体" w:cs="Tahoma"/>
                <w:color w:val="auto"/>
                <w:kern w:val="0"/>
                <w:szCs w:val="21"/>
              </w:rPr>
              <w:t>分，满分</w:t>
            </w:r>
            <w:r>
              <w:rPr>
                <w:rFonts w:hint="eastAsia" w:ascii="宋体" w:hAnsi="宋体" w:eastAsia="宋体" w:cs="Tahoma"/>
                <w:color w:val="auto"/>
                <w:kern w:val="0"/>
                <w:szCs w:val="21"/>
                <w:lang w:val="en-US" w:eastAsia="zh-CN"/>
              </w:rPr>
              <w:t>10</w:t>
            </w:r>
            <w:r>
              <w:rPr>
                <w:rFonts w:ascii="宋体" w:hAnsi="宋体" w:eastAsia="宋体" w:cs="Tahoma"/>
                <w:color w:val="auto"/>
                <w:kern w:val="0"/>
                <w:szCs w:val="21"/>
              </w:rPr>
              <w:t>分</w:t>
            </w:r>
            <w:r>
              <w:rPr>
                <w:rFonts w:hint="eastAsia" w:ascii="宋体" w:hAnsi="宋体" w:eastAsia="宋体" w:cs="Times New Roman"/>
                <w:bCs/>
                <w:color w:val="auto"/>
                <w:szCs w:val="21"/>
              </w:rPr>
              <w:t>。（业绩证明材料</w:t>
            </w:r>
            <w:r>
              <w:rPr>
                <w:rFonts w:hint="eastAsia" w:ascii="宋体" w:hAnsi="Courier New" w:eastAsia="宋体" w:cs="Times New Roman"/>
                <w:color w:val="auto"/>
                <w:szCs w:val="21"/>
              </w:rPr>
              <w:t>须</w:t>
            </w:r>
            <w:r>
              <w:rPr>
                <w:rFonts w:hint="eastAsia" w:ascii="宋体" w:hAnsi="宋体" w:eastAsia="宋体" w:cs="Times New Roman"/>
                <w:bCs/>
                <w:color w:val="auto"/>
                <w:szCs w:val="21"/>
              </w:rPr>
              <w:t>提供中标通知书或合同协议书、合同工程验收鉴定书或工程竣工验收鉴定书的复印件，否则该项不予计分）</w:t>
            </w:r>
          </w:p>
        </w:tc>
        <w:tc>
          <w:tcPr>
            <w:tcW w:w="840" w:type="dxa"/>
            <w:vAlign w:val="center"/>
          </w:tcPr>
          <w:p w14:paraId="6627B65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10分</w:t>
            </w:r>
          </w:p>
        </w:tc>
      </w:tr>
    </w:tbl>
    <w:p w14:paraId="3773B9D5">
      <w:pPr>
        <w:spacing w:line="360" w:lineRule="auto"/>
        <w:rPr>
          <w:rFonts w:hint="eastAsia" w:ascii="宋体" w:hAnsi="宋体" w:eastAsia="宋体" w:cs="宋体"/>
          <w:color w:val="auto"/>
          <w:highlight w:val="none"/>
        </w:rPr>
      </w:pPr>
    </w:p>
    <w:p w14:paraId="34185F4E">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6D357F53">
      <w:pPr>
        <w:spacing w:line="360" w:lineRule="auto"/>
        <w:ind w:firstLine="420" w:firstLineChars="200"/>
        <w:rPr>
          <w:rFonts w:hint="eastAsia" w:ascii="宋体" w:hAnsi="宋体" w:eastAsia="宋体" w:cs="宋体"/>
          <w:color w:val="auto"/>
          <w:highlight w:val="none"/>
        </w:rPr>
      </w:pPr>
      <w:bookmarkStart w:id="122"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7895A98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7029FB80">
      <w:pPr>
        <w:pStyle w:val="4"/>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9D13812">
      <w:pPr>
        <w:pStyle w:val="4"/>
        <w:spacing w:before="0" w:after="0" w:line="360" w:lineRule="auto"/>
        <w:ind w:firstLine="640" w:firstLineChars="200"/>
        <w:jc w:val="center"/>
        <w:rPr>
          <w:rFonts w:hint="eastAsia" w:ascii="宋体" w:hAnsi="宋体" w:eastAsia="宋体" w:cs="宋体"/>
          <w:b w:val="0"/>
          <w:color w:val="auto"/>
          <w:highlight w:val="none"/>
          <w:lang w:eastAsia="zh-CN"/>
        </w:rPr>
      </w:pPr>
      <w:bookmarkStart w:id="123" w:name="_Toc25481"/>
      <w:bookmarkStart w:id="124" w:name="_Toc498"/>
      <w:bookmarkStart w:id="125" w:name="_Toc18798"/>
      <w:bookmarkStart w:id="126" w:name="_Toc22098"/>
      <w:bookmarkStart w:id="127" w:name="_Toc6406"/>
      <w:bookmarkStart w:id="128" w:name="_Toc1604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122"/>
      <w:bookmarkEnd w:id="123"/>
      <w:bookmarkEnd w:id="124"/>
      <w:bookmarkEnd w:id="125"/>
      <w:bookmarkEnd w:id="126"/>
      <w:bookmarkEnd w:id="127"/>
      <w:bookmarkEnd w:id="128"/>
    </w:p>
    <w:p w14:paraId="7E2A16CF">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3924EEFB">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02ABDCD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3ED84007">
      <w:pPr>
        <w:pStyle w:val="34"/>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4BCCCC48">
      <w:pPr>
        <w:pStyle w:val="4"/>
        <w:spacing w:before="0" w:after="0" w:line="360" w:lineRule="auto"/>
        <w:ind w:firstLine="640" w:firstLineChars="200"/>
        <w:jc w:val="center"/>
        <w:rPr>
          <w:rFonts w:hint="eastAsia" w:ascii="宋体" w:hAnsi="宋体" w:eastAsia="宋体" w:cs="宋体"/>
          <w:b w:val="0"/>
          <w:color w:val="auto"/>
          <w:highlight w:val="none"/>
        </w:rPr>
      </w:pPr>
      <w:bookmarkStart w:id="129" w:name="_Toc3846"/>
      <w:bookmarkStart w:id="130" w:name="_Toc7265"/>
      <w:bookmarkStart w:id="131" w:name="_Toc13101"/>
      <w:bookmarkStart w:id="132" w:name="_Toc80205936"/>
      <w:bookmarkStart w:id="133" w:name="_Toc30628"/>
      <w:bookmarkStart w:id="134" w:name="_Toc3713"/>
      <w:bookmarkStart w:id="135" w:name="_Toc923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29"/>
      <w:bookmarkEnd w:id="130"/>
      <w:bookmarkEnd w:id="131"/>
      <w:bookmarkEnd w:id="132"/>
      <w:bookmarkEnd w:id="133"/>
      <w:bookmarkEnd w:id="134"/>
      <w:bookmarkEnd w:id="135"/>
    </w:p>
    <w:p w14:paraId="501C961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76B65CB4">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DB65711">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5AD8980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3827D3AF">
      <w:pPr>
        <w:spacing w:line="360" w:lineRule="auto"/>
        <w:ind w:firstLine="420" w:firstLineChars="200"/>
        <w:rPr>
          <w:rFonts w:hint="eastAsia" w:ascii="宋体" w:hAnsi="宋体" w:eastAsia="宋体" w:cs="宋体"/>
          <w:color w:val="auto"/>
          <w:highlight w:val="none"/>
        </w:rPr>
      </w:pPr>
    </w:p>
    <w:p w14:paraId="5975F9A2">
      <w:pPr>
        <w:spacing w:line="360" w:lineRule="auto"/>
        <w:ind w:firstLine="420" w:firstLineChars="200"/>
        <w:rPr>
          <w:rFonts w:hint="eastAsia" w:ascii="宋体" w:hAnsi="宋体" w:eastAsia="宋体" w:cs="宋体"/>
          <w:color w:val="auto"/>
          <w:highlight w:val="none"/>
        </w:rPr>
      </w:pPr>
    </w:p>
    <w:p w14:paraId="3ADCB2F6">
      <w:pPr>
        <w:spacing w:line="360" w:lineRule="auto"/>
        <w:rPr>
          <w:rFonts w:hint="eastAsia" w:ascii="宋体" w:hAnsi="宋体" w:eastAsia="宋体" w:cs="宋体"/>
          <w:color w:val="auto"/>
          <w:highlight w:val="none"/>
        </w:rPr>
      </w:pPr>
    </w:p>
    <w:p w14:paraId="14348D4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72DAEDC">
      <w:pPr>
        <w:pStyle w:val="3"/>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36" w:name="_Toc423"/>
      <w:bookmarkStart w:id="137" w:name="_Toc8541"/>
      <w:bookmarkStart w:id="138" w:name="_Toc11732"/>
      <w:bookmarkStart w:id="139" w:name="_Toc29932"/>
      <w:bookmarkStart w:id="140" w:name="_Toc16991"/>
      <w:bookmarkStart w:id="141" w:name="_Toc22349"/>
      <w:bookmarkStart w:id="142" w:name="_Toc12700"/>
      <w:r>
        <w:rPr>
          <w:rFonts w:hint="eastAsia" w:ascii="宋体" w:hAnsi="宋体" w:eastAsia="宋体" w:cs="宋体"/>
          <w:b/>
          <w:bCs/>
          <w:color w:val="auto"/>
          <w:highlight w:val="none"/>
        </w:rPr>
        <w:t>第五章 响应文件格式</w:t>
      </w:r>
      <w:bookmarkEnd w:id="136"/>
      <w:bookmarkEnd w:id="137"/>
      <w:bookmarkEnd w:id="138"/>
      <w:bookmarkEnd w:id="139"/>
      <w:bookmarkEnd w:id="140"/>
      <w:bookmarkEnd w:id="141"/>
      <w:bookmarkEnd w:id="142"/>
    </w:p>
    <w:p w14:paraId="1783F05E">
      <w:pPr>
        <w:pStyle w:val="4"/>
        <w:spacing w:line="360" w:lineRule="auto"/>
        <w:jc w:val="center"/>
        <w:rPr>
          <w:rFonts w:hint="eastAsia" w:ascii="宋体" w:hAnsi="宋体" w:eastAsia="宋体" w:cs="宋体"/>
          <w:b w:val="0"/>
          <w:color w:val="auto"/>
          <w:highlight w:val="none"/>
          <w:lang w:val="en-US" w:eastAsia="zh-CN"/>
        </w:rPr>
      </w:pPr>
      <w:bookmarkStart w:id="143" w:name="_Toc3747"/>
      <w:bookmarkStart w:id="144" w:name="_Toc9368"/>
      <w:bookmarkStart w:id="145" w:name="_Toc7703"/>
      <w:bookmarkStart w:id="146" w:name="_Toc80205938"/>
      <w:bookmarkStart w:id="147" w:name="_Toc3361"/>
      <w:bookmarkStart w:id="148" w:name="_Toc16580"/>
      <w:bookmarkStart w:id="149" w:name="_Toc26547"/>
      <w:r>
        <w:rPr>
          <w:rFonts w:hint="eastAsia" w:ascii="宋体" w:hAnsi="宋体" w:eastAsia="宋体" w:cs="宋体"/>
          <w:b w:val="0"/>
          <w:color w:val="auto"/>
          <w:highlight w:val="none"/>
          <w:lang w:val="en-US" w:eastAsia="zh-CN"/>
        </w:rPr>
        <w:t>第一节 封面格式</w:t>
      </w:r>
      <w:bookmarkEnd w:id="143"/>
      <w:bookmarkEnd w:id="144"/>
      <w:bookmarkEnd w:id="145"/>
      <w:bookmarkEnd w:id="146"/>
      <w:bookmarkEnd w:id="147"/>
      <w:bookmarkEnd w:id="148"/>
      <w:bookmarkEnd w:id="149"/>
    </w:p>
    <w:p w14:paraId="78E96140">
      <w:pPr>
        <w:snapToGrid w:val="0"/>
        <w:spacing w:before="120" w:beforeLines="50" w:after="50" w:line="360" w:lineRule="auto"/>
        <w:rPr>
          <w:rFonts w:hint="eastAsia" w:ascii="宋体" w:hAnsi="宋体" w:eastAsia="宋体" w:cs="宋体"/>
          <w:color w:val="auto"/>
          <w:sz w:val="24"/>
          <w:szCs w:val="20"/>
          <w:highlight w:val="none"/>
        </w:rPr>
      </w:pPr>
    </w:p>
    <w:p w14:paraId="3DC53550">
      <w:pPr>
        <w:snapToGrid w:val="0"/>
        <w:spacing w:before="120" w:beforeLines="50" w:after="50" w:line="360" w:lineRule="auto"/>
        <w:jc w:val="center"/>
        <w:rPr>
          <w:rFonts w:hint="eastAsia" w:ascii="宋体" w:hAnsi="宋体" w:eastAsia="宋体" w:cs="宋体"/>
          <w:bCs/>
          <w:color w:val="auto"/>
          <w:sz w:val="24"/>
          <w:szCs w:val="20"/>
          <w:highlight w:val="none"/>
        </w:rPr>
      </w:pPr>
    </w:p>
    <w:p w14:paraId="52C1338D">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7FF11669">
      <w:pPr>
        <w:snapToGrid w:val="0"/>
        <w:spacing w:before="120" w:beforeLines="50" w:after="50" w:line="360" w:lineRule="auto"/>
        <w:jc w:val="center"/>
        <w:rPr>
          <w:rFonts w:hint="eastAsia" w:ascii="宋体" w:hAnsi="宋体" w:eastAsia="宋体" w:cs="宋体"/>
          <w:bCs/>
          <w:color w:val="auto"/>
          <w:sz w:val="44"/>
          <w:szCs w:val="44"/>
          <w:highlight w:val="none"/>
        </w:rPr>
      </w:pPr>
    </w:p>
    <w:p w14:paraId="3131D9EE">
      <w:pPr>
        <w:snapToGrid w:val="0"/>
        <w:spacing w:before="120" w:beforeLines="50" w:after="50" w:line="360" w:lineRule="auto"/>
        <w:rPr>
          <w:rFonts w:hint="eastAsia" w:ascii="宋体" w:hAnsi="宋体" w:eastAsia="宋体" w:cs="宋体"/>
          <w:bCs/>
          <w:color w:val="auto"/>
          <w:sz w:val="32"/>
          <w:szCs w:val="32"/>
          <w:highlight w:val="none"/>
        </w:rPr>
      </w:pPr>
    </w:p>
    <w:p w14:paraId="70E8891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隆安县布泉乡布泉水厂提升改造工程</w:t>
      </w:r>
    </w:p>
    <w:p w14:paraId="0F46591C">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7CAFC6D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6E47C4E9">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691EA4B1">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E2D5FCC">
      <w:pPr>
        <w:snapToGrid w:val="0"/>
        <w:spacing w:before="120" w:beforeLines="50" w:after="50" w:line="360" w:lineRule="auto"/>
        <w:rPr>
          <w:rFonts w:hint="eastAsia" w:ascii="宋体" w:hAnsi="宋体" w:eastAsia="宋体" w:cs="宋体"/>
          <w:bCs/>
          <w:color w:val="auto"/>
          <w:sz w:val="32"/>
          <w:szCs w:val="32"/>
          <w:highlight w:val="none"/>
        </w:rPr>
      </w:pPr>
    </w:p>
    <w:p w14:paraId="179DD26D">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424A55F">
      <w:pPr>
        <w:snapToGrid w:val="0"/>
        <w:spacing w:before="120" w:beforeLines="50" w:after="50" w:line="360" w:lineRule="auto"/>
        <w:rPr>
          <w:rFonts w:hint="eastAsia" w:ascii="宋体" w:hAnsi="宋体" w:eastAsia="宋体" w:cs="宋体"/>
          <w:bCs/>
          <w:color w:val="auto"/>
          <w:sz w:val="32"/>
          <w:szCs w:val="32"/>
          <w:highlight w:val="none"/>
        </w:rPr>
      </w:pPr>
    </w:p>
    <w:p w14:paraId="68478252">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7901FD7C">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27A41ECF">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495082CA">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B24148A">
      <w:pPr>
        <w:pStyle w:val="4"/>
        <w:spacing w:line="360" w:lineRule="auto"/>
        <w:jc w:val="center"/>
        <w:rPr>
          <w:rFonts w:hint="eastAsia" w:ascii="宋体" w:hAnsi="宋体" w:eastAsia="宋体" w:cs="宋体"/>
          <w:bCs w:val="0"/>
          <w:color w:val="auto"/>
          <w:highlight w:val="none"/>
        </w:rPr>
      </w:pPr>
      <w:bookmarkStart w:id="150" w:name="_Toc1031"/>
      <w:bookmarkStart w:id="151" w:name="_Toc1270"/>
      <w:bookmarkStart w:id="152" w:name="_Toc30309"/>
      <w:bookmarkStart w:id="153" w:name="_Toc21695"/>
      <w:bookmarkStart w:id="154" w:name="_Toc25717"/>
      <w:bookmarkStart w:id="155" w:name="_Toc25039"/>
      <w:bookmarkStart w:id="156" w:name="_Toc80205939"/>
      <w:r>
        <w:rPr>
          <w:rFonts w:hint="eastAsia" w:ascii="宋体" w:hAnsi="宋体" w:eastAsia="宋体" w:cs="宋体"/>
          <w:bCs w:val="0"/>
          <w:color w:val="auto"/>
          <w:highlight w:val="none"/>
        </w:rPr>
        <w:t>第二节 资格证明文件格式</w:t>
      </w:r>
      <w:bookmarkEnd w:id="150"/>
      <w:bookmarkEnd w:id="151"/>
      <w:bookmarkEnd w:id="152"/>
      <w:bookmarkEnd w:id="153"/>
      <w:bookmarkEnd w:id="154"/>
      <w:bookmarkEnd w:id="155"/>
      <w:bookmarkEnd w:id="156"/>
    </w:p>
    <w:p w14:paraId="53378445">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1F3A79A">
      <w:pPr>
        <w:snapToGrid w:val="0"/>
        <w:spacing w:before="120" w:beforeLines="50" w:after="50" w:line="360" w:lineRule="auto"/>
        <w:rPr>
          <w:rFonts w:hint="eastAsia" w:ascii="宋体" w:hAnsi="宋体" w:eastAsia="宋体" w:cs="宋体"/>
          <w:color w:val="auto"/>
          <w:sz w:val="24"/>
          <w:szCs w:val="20"/>
          <w:highlight w:val="none"/>
        </w:rPr>
      </w:pPr>
    </w:p>
    <w:p w14:paraId="6452FE85">
      <w:pPr>
        <w:snapToGrid w:val="0"/>
        <w:spacing w:before="120" w:beforeLines="50" w:after="50" w:line="360" w:lineRule="auto"/>
        <w:rPr>
          <w:rFonts w:hint="eastAsia" w:ascii="宋体" w:hAnsi="宋体" w:eastAsia="宋体" w:cs="宋体"/>
          <w:color w:val="auto"/>
          <w:sz w:val="24"/>
          <w:szCs w:val="20"/>
          <w:highlight w:val="none"/>
        </w:rPr>
      </w:pPr>
    </w:p>
    <w:p w14:paraId="06BA3C9D">
      <w:pPr>
        <w:snapToGrid w:val="0"/>
        <w:spacing w:before="120" w:beforeLines="50" w:after="50" w:line="360" w:lineRule="auto"/>
        <w:jc w:val="center"/>
        <w:rPr>
          <w:rFonts w:hint="eastAsia" w:ascii="宋体" w:hAnsi="宋体" w:eastAsia="宋体" w:cs="宋体"/>
          <w:bCs/>
          <w:color w:val="auto"/>
          <w:sz w:val="24"/>
          <w:szCs w:val="20"/>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6C0CB98A">
      <w:pPr>
        <w:snapToGrid w:val="0"/>
        <w:spacing w:before="120" w:beforeLines="50" w:after="50" w:line="360" w:lineRule="auto"/>
        <w:rPr>
          <w:rFonts w:hint="eastAsia" w:ascii="宋体" w:hAnsi="宋体" w:eastAsia="宋体" w:cs="宋体"/>
          <w:bCs/>
          <w:color w:val="auto"/>
          <w:sz w:val="24"/>
          <w:szCs w:val="20"/>
          <w:highlight w:val="none"/>
        </w:rPr>
      </w:pPr>
    </w:p>
    <w:p w14:paraId="7AE71C8E">
      <w:pPr>
        <w:snapToGrid w:val="0"/>
        <w:spacing w:before="120" w:beforeLines="50" w:after="50" w:line="360" w:lineRule="auto"/>
        <w:rPr>
          <w:rFonts w:hint="eastAsia" w:ascii="宋体" w:hAnsi="宋体" w:eastAsia="宋体" w:cs="宋体"/>
          <w:bCs/>
          <w:color w:val="auto"/>
          <w:sz w:val="24"/>
          <w:szCs w:val="20"/>
          <w:highlight w:val="none"/>
        </w:rPr>
      </w:pPr>
    </w:p>
    <w:p w14:paraId="317BD45D">
      <w:pPr>
        <w:snapToGrid w:val="0"/>
        <w:spacing w:before="120" w:beforeLines="50" w:after="50" w:line="360" w:lineRule="auto"/>
        <w:rPr>
          <w:rFonts w:hint="eastAsia" w:ascii="宋体" w:hAnsi="宋体" w:eastAsia="宋体" w:cs="宋体"/>
          <w:bCs/>
          <w:color w:val="auto"/>
          <w:sz w:val="24"/>
          <w:szCs w:val="20"/>
          <w:highlight w:val="none"/>
        </w:rPr>
      </w:pPr>
    </w:p>
    <w:p w14:paraId="6DEE59C0">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隆安县布泉乡布泉水厂提升改造工程</w:t>
      </w:r>
    </w:p>
    <w:p w14:paraId="4FBBA73C">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C11BE2C">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3C89A7C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A6AE7A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C0D8AD1">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3E2B889">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EE32C18">
      <w:pPr>
        <w:pStyle w:val="8"/>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4B923155">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3B2D0CE">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320D47C1">
      <w:pPr>
        <w:snapToGrid w:val="0"/>
        <w:spacing w:line="360" w:lineRule="auto"/>
        <w:rPr>
          <w:rFonts w:hint="eastAsia" w:ascii="宋体" w:hAnsi="宋体" w:eastAsia="宋体" w:cs="宋体"/>
          <w:color w:val="auto"/>
          <w:kern w:val="0"/>
          <w:sz w:val="24"/>
          <w:highlight w:val="none"/>
        </w:rPr>
      </w:pPr>
    </w:p>
    <w:p w14:paraId="3AF0915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1E7340C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5A736A6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68EDB4D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43CE740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五、供应商直接关联关系信息表</w:t>
      </w:r>
      <w:r>
        <w:rPr>
          <w:rFonts w:hint="eastAsia" w:ascii="宋体" w:hAnsi="宋体" w:eastAsia="宋体" w:cs="宋体"/>
          <w:color w:val="auto"/>
          <w:kern w:val="0"/>
          <w:sz w:val="24"/>
          <w:highlight w:val="none"/>
        </w:rPr>
        <w:t>………………………………………………（页码）</w:t>
      </w:r>
    </w:p>
    <w:p w14:paraId="3F1EF2E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22D44942">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七</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lang w:eastAsia="zh-CN"/>
        </w:rPr>
        <w:t>中小</w:t>
      </w:r>
      <w:r>
        <w:rPr>
          <w:rFonts w:hint="eastAsia" w:ascii="宋体" w:hAnsi="宋体" w:eastAsia="宋体" w:cs="宋体"/>
          <w:color w:val="auto"/>
          <w:sz w:val="24"/>
          <w:szCs w:val="24"/>
          <w:highlight w:val="none"/>
        </w:rPr>
        <w:t>企业声明函或残疾人福利性单位声明函或供应商属于监狱企业的证明材料</w:t>
      </w:r>
      <w:r>
        <w:rPr>
          <w:rFonts w:hint="eastAsia" w:ascii="宋体" w:hAnsi="宋体" w:eastAsia="宋体" w:cs="宋体"/>
          <w:color w:val="auto"/>
          <w:kern w:val="0"/>
          <w:sz w:val="24"/>
          <w:highlight w:val="none"/>
        </w:rPr>
        <w:t>………………………………………………（页码）</w:t>
      </w:r>
    </w:p>
    <w:p w14:paraId="497A19A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八</w:t>
      </w:r>
      <w:r>
        <w:rPr>
          <w:rFonts w:hint="eastAsia" w:ascii="宋体" w:hAnsi="宋体" w:eastAsia="宋体" w:cs="宋体"/>
          <w:color w:val="auto"/>
          <w:sz w:val="24"/>
          <w:highlight w:val="none"/>
        </w:rPr>
        <w:t>、符合特定资格条件（如有）的有关证明材料（复印件）</w:t>
      </w:r>
      <w:r>
        <w:rPr>
          <w:rFonts w:hint="eastAsia" w:ascii="宋体" w:hAnsi="宋体" w:eastAsia="宋体" w:cs="宋体"/>
          <w:color w:val="auto"/>
          <w:kern w:val="0"/>
          <w:sz w:val="24"/>
          <w:highlight w:val="none"/>
        </w:rPr>
        <w:t>………………（页码）</w:t>
      </w:r>
    </w:p>
    <w:p w14:paraId="7E6E071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九</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2FA3ADCF">
      <w:pPr>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rPr>
        <w:t>……………………………………………………………………………………（页码）</w:t>
      </w:r>
    </w:p>
    <w:p w14:paraId="0AD90F6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6B808BFE">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6C99318A">
      <w:pPr>
        <w:spacing w:line="360" w:lineRule="auto"/>
        <w:rPr>
          <w:rFonts w:hint="eastAsia" w:ascii="宋体" w:hAnsi="宋体" w:eastAsia="宋体" w:cs="宋体"/>
          <w:color w:val="auto"/>
          <w:szCs w:val="21"/>
          <w:highlight w:val="none"/>
        </w:rPr>
      </w:pPr>
    </w:p>
    <w:p w14:paraId="71ECB063">
      <w:pPr>
        <w:spacing w:line="360" w:lineRule="auto"/>
        <w:rPr>
          <w:rFonts w:hint="eastAsia" w:ascii="宋体" w:hAnsi="宋体" w:eastAsia="宋体" w:cs="宋体"/>
          <w:color w:val="auto"/>
          <w:szCs w:val="21"/>
          <w:highlight w:val="none"/>
        </w:rPr>
      </w:pPr>
    </w:p>
    <w:p w14:paraId="612489E7">
      <w:pPr>
        <w:spacing w:line="360" w:lineRule="auto"/>
        <w:rPr>
          <w:rFonts w:hint="eastAsia" w:ascii="宋体" w:hAnsi="宋体" w:eastAsia="宋体" w:cs="宋体"/>
          <w:color w:val="auto"/>
          <w:szCs w:val="21"/>
          <w:highlight w:val="none"/>
        </w:rPr>
      </w:pPr>
    </w:p>
    <w:p w14:paraId="11B27BDC">
      <w:pPr>
        <w:spacing w:line="360" w:lineRule="auto"/>
        <w:rPr>
          <w:rFonts w:hint="eastAsia" w:ascii="宋体" w:hAnsi="宋体" w:eastAsia="宋体" w:cs="宋体"/>
          <w:color w:val="auto"/>
          <w:szCs w:val="21"/>
          <w:highlight w:val="none"/>
        </w:rPr>
      </w:pPr>
    </w:p>
    <w:p w14:paraId="61C1653E">
      <w:pPr>
        <w:spacing w:line="360" w:lineRule="auto"/>
        <w:rPr>
          <w:rFonts w:hint="eastAsia" w:ascii="宋体" w:hAnsi="宋体" w:eastAsia="宋体" w:cs="宋体"/>
          <w:color w:val="auto"/>
          <w:szCs w:val="21"/>
          <w:highlight w:val="none"/>
        </w:rPr>
      </w:pPr>
    </w:p>
    <w:p w14:paraId="057D45C3">
      <w:pPr>
        <w:spacing w:line="360" w:lineRule="auto"/>
        <w:rPr>
          <w:rFonts w:hint="eastAsia" w:ascii="宋体" w:hAnsi="宋体" w:eastAsia="宋体" w:cs="宋体"/>
          <w:color w:val="auto"/>
          <w:szCs w:val="21"/>
          <w:highlight w:val="none"/>
        </w:rPr>
      </w:pPr>
    </w:p>
    <w:p w14:paraId="685CD977">
      <w:pPr>
        <w:spacing w:line="360" w:lineRule="auto"/>
        <w:rPr>
          <w:rFonts w:hint="eastAsia" w:ascii="宋体" w:hAnsi="宋体" w:eastAsia="宋体" w:cs="宋体"/>
          <w:color w:val="auto"/>
          <w:szCs w:val="21"/>
          <w:highlight w:val="none"/>
        </w:rPr>
      </w:pPr>
    </w:p>
    <w:p w14:paraId="7EA4A8E7">
      <w:pPr>
        <w:spacing w:line="360" w:lineRule="auto"/>
        <w:rPr>
          <w:rFonts w:hint="eastAsia" w:ascii="宋体" w:hAnsi="宋体" w:eastAsia="宋体" w:cs="宋体"/>
          <w:color w:val="auto"/>
          <w:szCs w:val="21"/>
          <w:highlight w:val="none"/>
        </w:rPr>
      </w:pPr>
    </w:p>
    <w:p w14:paraId="47FFE565">
      <w:pPr>
        <w:spacing w:line="360" w:lineRule="auto"/>
        <w:rPr>
          <w:rFonts w:hint="eastAsia" w:ascii="宋体" w:hAnsi="宋体" w:eastAsia="宋体" w:cs="宋体"/>
          <w:color w:val="auto"/>
          <w:szCs w:val="21"/>
          <w:highlight w:val="none"/>
        </w:rPr>
      </w:pPr>
    </w:p>
    <w:p w14:paraId="4A28DA95">
      <w:pPr>
        <w:pStyle w:val="17"/>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仿宋" w:hAnsi="仿宋" w:eastAsia="仿宋" w:cs="仿宋"/>
          <w:color w:val="auto"/>
          <w:highlight w:val="none"/>
        </w:rPr>
        <w:t xml:space="preserve"> </w:t>
      </w:r>
      <w:r>
        <w:rPr>
          <w:rFonts w:hint="eastAsia" w:ascii="宋体" w:hAnsi="宋体" w:eastAsia="宋体" w:cs="宋体"/>
          <w:b/>
          <w:color w:val="auto"/>
          <w:sz w:val="30"/>
          <w:szCs w:val="30"/>
          <w:highlight w:val="none"/>
        </w:rPr>
        <w:t>一、营业执照</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18CAD31D">
      <w:pPr>
        <w:pStyle w:val="17"/>
        <w:spacing w:line="360" w:lineRule="auto"/>
        <w:ind w:firstLine="602" w:firstLineChars="200"/>
        <w:rPr>
          <w:rFonts w:hint="eastAsia" w:ascii="宋体" w:hAnsi="宋体" w:eastAsia="宋体" w:cs="宋体"/>
          <w:b/>
          <w:color w:val="auto"/>
          <w:sz w:val="30"/>
          <w:szCs w:val="30"/>
          <w:highlight w:val="none"/>
        </w:rPr>
      </w:pPr>
    </w:p>
    <w:p w14:paraId="43A7BBA2">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F0348E2">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CC0AC86">
      <w:pPr>
        <w:snapToGrid w:val="0"/>
        <w:spacing w:before="120" w:beforeLines="50" w:after="50" w:line="360" w:lineRule="auto"/>
        <w:rPr>
          <w:rFonts w:hint="eastAsia" w:ascii="宋体" w:hAnsi="宋体" w:eastAsia="宋体" w:cs="宋体"/>
          <w:color w:val="auto"/>
          <w:sz w:val="24"/>
          <w:szCs w:val="20"/>
          <w:highlight w:val="none"/>
        </w:rPr>
      </w:pPr>
    </w:p>
    <w:p w14:paraId="03FA4C3E">
      <w:pPr>
        <w:pStyle w:val="17"/>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4E4F91B4">
      <w:pPr>
        <w:spacing w:line="360" w:lineRule="auto"/>
        <w:rPr>
          <w:rFonts w:hint="eastAsia" w:ascii="宋体" w:hAnsi="宋体" w:eastAsia="宋体" w:cs="宋体"/>
          <w:color w:val="auto"/>
          <w:szCs w:val="21"/>
          <w:highlight w:val="none"/>
        </w:rPr>
      </w:pPr>
    </w:p>
    <w:p w14:paraId="537B6021">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FE4EDD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17279153">
      <w:pPr>
        <w:spacing w:line="360" w:lineRule="auto"/>
        <w:rPr>
          <w:rFonts w:hint="eastAsia" w:ascii="宋体" w:hAnsi="宋体" w:eastAsia="宋体" w:cs="宋体"/>
          <w:color w:val="auto"/>
          <w:szCs w:val="21"/>
          <w:highlight w:val="none"/>
        </w:rPr>
      </w:pPr>
    </w:p>
    <w:p w14:paraId="1961D77C">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2073A245">
      <w:pPr>
        <w:spacing w:line="360" w:lineRule="auto"/>
        <w:rPr>
          <w:rFonts w:hint="eastAsia" w:ascii="宋体" w:hAnsi="宋体" w:eastAsia="宋体" w:cs="宋体"/>
          <w:color w:val="auto"/>
          <w:szCs w:val="21"/>
          <w:highlight w:val="none"/>
        </w:rPr>
      </w:pPr>
    </w:p>
    <w:p w14:paraId="042852D5">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2E727CA">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9D6949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179E1A97">
      <w:pPr>
        <w:snapToGrid w:val="0"/>
        <w:spacing w:before="120" w:beforeLines="50" w:after="50" w:line="360" w:lineRule="auto"/>
        <w:jc w:val="center"/>
        <w:rPr>
          <w:rFonts w:hint="eastAsia" w:ascii="宋体" w:hAnsi="宋体" w:eastAsia="宋体" w:cs="宋体"/>
          <w:b/>
          <w:color w:val="auto"/>
          <w:sz w:val="24"/>
          <w:highlight w:val="none"/>
        </w:rPr>
      </w:pPr>
    </w:p>
    <w:p w14:paraId="75FD2E73">
      <w:pPr>
        <w:spacing w:line="360" w:lineRule="auto"/>
        <w:ind w:firstLine="596" w:firstLineChars="198"/>
        <w:contextualSpacing/>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A796CDC">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3CA8A830">
      <w:pPr>
        <w:spacing w:line="360" w:lineRule="auto"/>
        <w:contextualSpacing/>
        <w:jc w:val="center"/>
        <w:rPr>
          <w:rFonts w:hint="eastAsia" w:ascii="宋体" w:hAnsi="宋体" w:eastAsia="宋体" w:cs="宋体"/>
          <w:b/>
          <w:color w:val="auto"/>
          <w:sz w:val="24"/>
          <w:highlight w:val="none"/>
        </w:rPr>
      </w:pPr>
    </w:p>
    <w:tbl>
      <w:tblPr>
        <w:tblStyle w:val="2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0854B10">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BE285">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33FD0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C33A9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B2E02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4C2045">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CF5976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09357B">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5EF4D6">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25B5D7">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F8A5E9">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559F5F">
            <w:pPr>
              <w:widowControl/>
              <w:spacing w:line="360" w:lineRule="auto"/>
              <w:contextualSpacing/>
              <w:jc w:val="center"/>
              <w:rPr>
                <w:rFonts w:hint="eastAsia" w:ascii="宋体" w:hAnsi="宋体" w:eastAsia="宋体" w:cs="宋体"/>
                <w:color w:val="auto"/>
                <w:kern w:val="0"/>
                <w:sz w:val="24"/>
                <w:highlight w:val="none"/>
              </w:rPr>
            </w:pPr>
          </w:p>
        </w:tc>
      </w:tr>
      <w:tr w14:paraId="1A6C43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9FA5B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2F79F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CBECFF">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C61DA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869ED8">
            <w:pPr>
              <w:widowControl/>
              <w:spacing w:line="360" w:lineRule="auto"/>
              <w:contextualSpacing/>
              <w:jc w:val="center"/>
              <w:rPr>
                <w:rFonts w:hint="eastAsia" w:ascii="宋体" w:hAnsi="宋体" w:eastAsia="宋体" w:cs="宋体"/>
                <w:color w:val="auto"/>
                <w:kern w:val="0"/>
                <w:sz w:val="24"/>
                <w:highlight w:val="none"/>
              </w:rPr>
            </w:pPr>
          </w:p>
        </w:tc>
      </w:tr>
      <w:tr w14:paraId="24449E5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DCADFF">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95764B">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C6B459">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8C9EBD">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4D4F87">
            <w:pPr>
              <w:widowControl/>
              <w:spacing w:line="360" w:lineRule="auto"/>
              <w:contextualSpacing/>
              <w:jc w:val="center"/>
              <w:rPr>
                <w:rFonts w:hint="eastAsia" w:ascii="宋体" w:hAnsi="宋体" w:eastAsia="宋体" w:cs="宋体"/>
                <w:color w:val="auto"/>
                <w:kern w:val="0"/>
                <w:sz w:val="24"/>
                <w:highlight w:val="none"/>
              </w:rPr>
            </w:pPr>
          </w:p>
        </w:tc>
      </w:tr>
      <w:tr w14:paraId="5820DB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9FE49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1F0A5F">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02E2F5">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4A1B74">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2D7967">
            <w:pPr>
              <w:widowControl/>
              <w:spacing w:line="360" w:lineRule="auto"/>
              <w:contextualSpacing/>
              <w:jc w:val="center"/>
              <w:rPr>
                <w:rFonts w:hint="eastAsia" w:ascii="宋体" w:hAnsi="宋体" w:eastAsia="宋体" w:cs="宋体"/>
                <w:color w:val="auto"/>
                <w:kern w:val="0"/>
                <w:sz w:val="24"/>
                <w:highlight w:val="none"/>
              </w:rPr>
            </w:pPr>
          </w:p>
        </w:tc>
      </w:tr>
    </w:tbl>
    <w:p w14:paraId="2A0CA7A3">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3373020C">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61D439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28C28F47">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2D0A71FE">
      <w:pPr>
        <w:snapToGrid w:val="0"/>
        <w:spacing w:line="360" w:lineRule="auto"/>
        <w:jc w:val="left"/>
        <w:rPr>
          <w:rFonts w:hint="eastAsia" w:ascii="宋体" w:hAnsi="宋体" w:eastAsia="宋体" w:cs="宋体"/>
          <w:color w:val="auto"/>
          <w:sz w:val="24"/>
          <w:highlight w:val="none"/>
        </w:rPr>
      </w:pPr>
    </w:p>
    <w:p w14:paraId="402682C8">
      <w:pPr>
        <w:snapToGrid w:val="0"/>
        <w:spacing w:line="360" w:lineRule="auto"/>
        <w:jc w:val="left"/>
        <w:rPr>
          <w:rFonts w:hint="eastAsia" w:ascii="宋体" w:hAnsi="宋体" w:eastAsia="宋体" w:cs="宋体"/>
          <w:color w:val="auto"/>
          <w:sz w:val="24"/>
          <w:highlight w:val="none"/>
        </w:rPr>
      </w:pPr>
    </w:p>
    <w:p w14:paraId="23645B10">
      <w:pPr>
        <w:snapToGrid w:val="0"/>
        <w:spacing w:line="360" w:lineRule="auto"/>
        <w:jc w:val="left"/>
        <w:rPr>
          <w:rFonts w:hint="eastAsia" w:ascii="宋体" w:hAnsi="宋体" w:eastAsia="宋体" w:cs="宋体"/>
          <w:color w:val="auto"/>
          <w:sz w:val="24"/>
          <w:highlight w:val="none"/>
        </w:rPr>
      </w:pPr>
    </w:p>
    <w:p w14:paraId="1876D132">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D2F88B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CEB42AF">
      <w:pPr>
        <w:snapToGrid w:val="0"/>
        <w:spacing w:line="360" w:lineRule="auto"/>
        <w:rPr>
          <w:rFonts w:hint="eastAsia" w:ascii="宋体" w:hAnsi="宋体" w:eastAsia="宋体" w:cs="宋体"/>
          <w:b/>
          <w:color w:val="auto"/>
          <w:kern w:val="0"/>
          <w:sz w:val="30"/>
          <w:szCs w:val="30"/>
          <w:highlight w:val="none"/>
        </w:rPr>
      </w:pPr>
    </w:p>
    <w:p w14:paraId="23874FD9">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7D2527B">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2F87895F">
      <w:pPr>
        <w:snapToGrid w:val="0"/>
        <w:spacing w:line="360" w:lineRule="auto"/>
        <w:jc w:val="center"/>
        <w:rPr>
          <w:rFonts w:hint="eastAsia" w:ascii="宋体" w:hAnsi="宋体" w:eastAsia="宋体" w:cs="宋体"/>
          <w:b/>
          <w:color w:val="auto"/>
          <w:sz w:val="24"/>
          <w:highlight w:val="none"/>
        </w:rPr>
      </w:pPr>
    </w:p>
    <w:tbl>
      <w:tblPr>
        <w:tblStyle w:val="2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A301AA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16BF7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5C5DD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0A4EB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FB081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05B3D96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82DC4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CAEE4C">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440CBA">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B2825B">
            <w:pPr>
              <w:widowControl/>
              <w:spacing w:line="360" w:lineRule="auto"/>
              <w:contextualSpacing/>
              <w:jc w:val="center"/>
              <w:rPr>
                <w:rFonts w:hint="eastAsia" w:ascii="宋体" w:hAnsi="宋体" w:eastAsia="宋体" w:cs="宋体"/>
                <w:color w:val="auto"/>
                <w:kern w:val="0"/>
                <w:sz w:val="24"/>
                <w:highlight w:val="none"/>
              </w:rPr>
            </w:pPr>
          </w:p>
        </w:tc>
      </w:tr>
      <w:tr w14:paraId="6128860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DB8A1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439AEF">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1C8E30">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B3D473">
            <w:pPr>
              <w:widowControl/>
              <w:spacing w:line="360" w:lineRule="auto"/>
              <w:contextualSpacing/>
              <w:jc w:val="center"/>
              <w:rPr>
                <w:rFonts w:hint="eastAsia" w:ascii="宋体" w:hAnsi="宋体" w:eastAsia="宋体" w:cs="宋体"/>
                <w:color w:val="auto"/>
                <w:kern w:val="0"/>
                <w:sz w:val="24"/>
                <w:highlight w:val="none"/>
              </w:rPr>
            </w:pPr>
          </w:p>
        </w:tc>
      </w:tr>
      <w:tr w14:paraId="37BA2FE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A2C8A6">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004A93">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03D8E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1BD86F">
            <w:pPr>
              <w:widowControl/>
              <w:spacing w:line="360" w:lineRule="auto"/>
              <w:contextualSpacing/>
              <w:jc w:val="center"/>
              <w:rPr>
                <w:rFonts w:hint="eastAsia" w:ascii="宋体" w:hAnsi="宋体" w:eastAsia="宋体" w:cs="宋体"/>
                <w:color w:val="auto"/>
                <w:kern w:val="0"/>
                <w:sz w:val="24"/>
                <w:highlight w:val="none"/>
              </w:rPr>
            </w:pPr>
          </w:p>
        </w:tc>
      </w:tr>
      <w:tr w14:paraId="5902404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27276F">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69BAB">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1278BE">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109AF7">
            <w:pPr>
              <w:widowControl/>
              <w:spacing w:line="360" w:lineRule="auto"/>
              <w:contextualSpacing/>
              <w:jc w:val="center"/>
              <w:rPr>
                <w:rFonts w:hint="eastAsia" w:ascii="宋体" w:hAnsi="宋体" w:eastAsia="宋体" w:cs="宋体"/>
                <w:color w:val="auto"/>
                <w:kern w:val="0"/>
                <w:sz w:val="24"/>
                <w:highlight w:val="none"/>
              </w:rPr>
            </w:pPr>
          </w:p>
        </w:tc>
      </w:tr>
    </w:tbl>
    <w:p w14:paraId="3D14BD3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0745418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6991C79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68D1F031">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35403F17">
      <w:pPr>
        <w:spacing w:line="360" w:lineRule="auto"/>
        <w:contextualSpacing/>
        <w:jc w:val="left"/>
        <w:rPr>
          <w:rFonts w:hint="eastAsia" w:ascii="宋体" w:hAnsi="宋体" w:eastAsia="宋体" w:cs="宋体"/>
          <w:color w:val="auto"/>
          <w:sz w:val="24"/>
          <w:highlight w:val="none"/>
        </w:rPr>
      </w:pPr>
    </w:p>
    <w:p w14:paraId="155FFE2E">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F8B85EC">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27D6B67">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57EE539E">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51FD6FA9">
      <w:pPr>
        <w:spacing w:line="360" w:lineRule="auto"/>
        <w:jc w:val="center"/>
        <w:rPr>
          <w:rFonts w:hint="eastAsia" w:ascii="宋体" w:hAnsi="宋体" w:eastAsia="宋体" w:cs="宋体"/>
          <w:b/>
          <w:color w:val="auto"/>
          <w:sz w:val="32"/>
          <w:szCs w:val="32"/>
          <w:highlight w:val="none"/>
        </w:rPr>
      </w:pPr>
    </w:p>
    <w:p w14:paraId="410C425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0FE5872B">
      <w:pPr>
        <w:spacing w:line="360" w:lineRule="auto"/>
        <w:jc w:val="center"/>
        <w:rPr>
          <w:rFonts w:hint="eastAsia" w:ascii="宋体" w:hAnsi="宋体" w:eastAsia="宋体" w:cs="宋体"/>
          <w:color w:val="auto"/>
          <w:sz w:val="24"/>
          <w:szCs w:val="20"/>
          <w:highlight w:val="none"/>
        </w:rPr>
      </w:pPr>
    </w:p>
    <w:p w14:paraId="66F21764">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62930EF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1E601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隆安县布泉乡布泉水厂提升改造工程</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39A8590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4E4A4B2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34A1A8F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258AB70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67B2E0E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0AF6DB7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7EEB485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31EDF5F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197E8BC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6E1C809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6179D2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7F060E5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6907FF6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6D4BCA1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3716BF3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1D0048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74B75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5C56B24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1256E91F">
      <w:pPr>
        <w:pStyle w:val="17"/>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444C5AAC">
      <w:pPr>
        <w:pStyle w:val="17"/>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2EB90D">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帐号：</w:t>
      </w:r>
      <w:r>
        <w:rPr>
          <w:rFonts w:hint="eastAsia" w:ascii="宋体" w:hAnsi="宋体" w:eastAsia="宋体" w:cs="宋体"/>
          <w:color w:val="auto"/>
          <w:sz w:val="24"/>
          <w:highlight w:val="none"/>
          <w:u w:val="single"/>
        </w:rPr>
        <w:t xml:space="preserve">                               </w:t>
      </w:r>
    </w:p>
    <w:p w14:paraId="4EAD30AC">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34A8A01B">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7A8FBE73">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1C3678CF">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p>
    <w:p w14:paraId="478966C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DA3611C">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74961192">
      <w:pPr>
        <w:pStyle w:val="17"/>
        <w:spacing w:line="360" w:lineRule="auto"/>
        <w:ind w:firstLine="0" w:firstLineChars="0"/>
        <w:rPr>
          <w:rFonts w:hint="eastAsia" w:ascii="宋体" w:hAnsi="宋体" w:eastAsia="宋体" w:cs="宋体"/>
          <w:b/>
          <w:color w:val="auto"/>
          <w:kern w:val="2"/>
          <w:sz w:val="30"/>
          <w:szCs w:val="30"/>
          <w:highlight w:val="none"/>
          <w:lang w:val="en-US" w:eastAsia="zh-CN"/>
        </w:rPr>
      </w:pPr>
      <w:r>
        <w:rPr>
          <w:rFonts w:hint="eastAsia" w:ascii="宋体" w:hAnsi="宋体" w:eastAsia="宋体" w:cs="宋体"/>
          <w:b/>
          <w:color w:val="auto"/>
          <w:sz w:val="30"/>
          <w:szCs w:val="30"/>
          <w:highlight w:val="none"/>
          <w:lang w:val="en-US" w:eastAsia="zh-CN"/>
        </w:rPr>
        <w:t>七</w:t>
      </w:r>
      <w:r>
        <w:rPr>
          <w:rFonts w:hint="eastAsia" w:ascii="宋体" w:hAnsi="宋体" w:eastAsia="宋体" w:cs="宋体"/>
          <w:b/>
          <w:color w:val="auto"/>
          <w:sz w:val="30"/>
          <w:szCs w:val="30"/>
          <w:highlight w:val="none"/>
        </w:rPr>
        <w:t>、中小企业声明函或残疾人福利性单位声明函或供应商属于监狱企业的证明材料</w:t>
      </w:r>
    </w:p>
    <w:p w14:paraId="4DF8B4EF">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eastAsia="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0DA58645">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隆安县布良水利工程管理所</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隆安县布泉乡布泉水厂提升改造工程</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42D4D2A9">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22C338B7">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2.</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，从业人员_____人，营业收入为_____万元，资产总额为_____万元，属于（中型企业、小型企业、微型企业）；</w:t>
      </w:r>
    </w:p>
    <w:p w14:paraId="1DEA9762">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w:t>
      </w:r>
    </w:p>
    <w:p w14:paraId="650E560D">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6674FBB4">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0374B40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06C644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F11CEC6">
      <w:pPr>
        <w:pStyle w:val="17"/>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1BDA4D6E">
      <w:pPr>
        <w:pStyle w:val="13"/>
        <w:spacing w:after="0" w:line="360" w:lineRule="auto"/>
        <w:ind w:left="3960" w:right="1808"/>
        <w:contextualSpacing/>
        <w:rPr>
          <w:rFonts w:hint="eastAsia" w:ascii="宋体" w:hAnsi="宋体" w:eastAsia="宋体" w:cs="宋体"/>
          <w:color w:val="auto"/>
          <w:highlight w:val="none"/>
        </w:rPr>
      </w:pPr>
    </w:p>
    <w:p w14:paraId="5D8B6D8D">
      <w:pPr>
        <w:pStyle w:val="8"/>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F153A9A">
      <w:pPr>
        <w:pStyle w:val="8"/>
        <w:overflowPunct w:val="0"/>
        <w:spacing w:line="360" w:lineRule="auto"/>
        <w:ind w:firstLine="0"/>
        <w:jc w:val="left"/>
        <w:rPr>
          <w:rFonts w:hint="eastAsia" w:ascii="宋体" w:hAnsi="宋体" w:eastAsia="宋体" w:cs="宋体"/>
          <w:b/>
          <w:color w:val="auto"/>
          <w:sz w:val="30"/>
          <w:szCs w:val="30"/>
          <w:highlight w:val="none"/>
        </w:rPr>
      </w:pPr>
    </w:p>
    <w:p w14:paraId="51FA63A2">
      <w:pPr>
        <w:pStyle w:val="8"/>
        <w:overflowPunct w:val="0"/>
        <w:spacing w:line="360" w:lineRule="auto"/>
        <w:ind w:firstLine="0"/>
        <w:jc w:val="left"/>
        <w:rPr>
          <w:rFonts w:hint="eastAsia" w:ascii="宋体" w:hAnsi="宋体" w:eastAsia="宋体" w:cs="宋体"/>
          <w:b/>
          <w:color w:val="auto"/>
          <w:sz w:val="30"/>
          <w:szCs w:val="30"/>
          <w:highlight w:val="none"/>
        </w:rPr>
      </w:pPr>
    </w:p>
    <w:p w14:paraId="18089E73">
      <w:pPr>
        <w:pStyle w:val="8"/>
        <w:overflowPunct w:val="0"/>
        <w:spacing w:line="360" w:lineRule="auto"/>
        <w:ind w:firstLine="0"/>
        <w:jc w:val="left"/>
        <w:rPr>
          <w:rFonts w:hint="eastAsia" w:ascii="宋体" w:hAnsi="宋体" w:eastAsia="宋体" w:cs="宋体"/>
          <w:b/>
          <w:color w:val="auto"/>
          <w:sz w:val="30"/>
          <w:szCs w:val="30"/>
          <w:highlight w:val="none"/>
        </w:rPr>
      </w:pPr>
    </w:p>
    <w:p w14:paraId="306D6945">
      <w:pPr>
        <w:pStyle w:val="8"/>
        <w:overflowPunct w:val="0"/>
        <w:spacing w:line="360" w:lineRule="auto"/>
        <w:ind w:firstLine="0"/>
        <w:jc w:val="left"/>
        <w:rPr>
          <w:rFonts w:hint="eastAsia" w:ascii="宋体" w:hAnsi="宋体" w:eastAsia="宋体" w:cs="宋体"/>
          <w:b/>
          <w:color w:val="auto"/>
          <w:sz w:val="30"/>
          <w:szCs w:val="30"/>
          <w:highlight w:val="none"/>
        </w:rPr>
      </w:pPr>
    </w:p>
    <w:p w14:paraId="4FF58F0C">
      <w:pPr>
        <w:spacing w:line="360" w:lineRule="auto"/>
        <w:jc w:val="center"/>
        <w:rPr>
          <w:rFonts w:hint="eastAsia" w:ascii="宋体" w:hAnsi="宋体" w:eastAsia="宋体" w:cs="宋体"/>
          <w:sz w:val="32"/>
          <w:szCs w:val="32"/>
        </w:rPr>
      </w:pPr>
      <w:r>
        <w:rPr>
          <w:rFonts w:hint="eastAsia" w:ascii="宋体" w:hAnsi="宋体" w:eastAsia="宋体" w:cs="宋体"/>
          <w:sz w:val="44"/>
          <w:szCs w:val="44"/>
        </w:rPr>
        <w:t>残疾人福利性单位声明函</w:t>
      </w:r>
    </w:p>
    <w:p w14:paraId="067DD69E">
      <w:pPr>
        <w:spacing w:line="360" w:lineRule="auto"/>
        <w:rPr>
          <w:rFonts w:hint="eastAsia" w:ascii="宋体" w:hAnsi="宋体" w:eastAsia="宋体" w:cs="宋体"/>
          <w:sz w:val="32"/>
          <w:szCs w:val="32"/>
        </w:rPr>
      </w:pPr>
    </w:p>
    <w:p w14:paraId="40C6F04E">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u w:val="single"/>
        </w:rPr>
        <w:t xml:space="preserve">       </w:t>
      </w:r>
      <w:r>
        <w:rPr>
          <w:rFonts w:hint="eastAsia" w:ascii="宋体" w:hAnsi="宋体" w:eastAsia="宋体" w:cs="宋体"/>
          <w:sz w:val="24"/>
        </w:rPr>
        <w:t>单位的</w:t>
      </w:r>
      <w:r>
        <w:rPr>
          <w:rFonts w:hint="eastAsia" w:ascii="宋体" w:hAnsi="宋体" w:eastAsia="宋体" w:cs="宋体"/>
          <w:sz w:val="24"/>
          <w:u w:val="single"/>
        </w:rPr>
        <w:t xml:space="preserve">        </w:t>
      </w:r>
      <w:r>
        <w:rPr>
          <w:rFonts w:hint="eastAsia" w:ascii="宋体" w:hAnsi="宋体" w:eastAsia="宋体" w:cs="宋体"/>
          <w:sz w:val="24"/>
        </w:rPr>
        <w:t>项目采购活动由本单位提供服务。</w:t>
      </w:r>
    </w:p>
    <w:p w14:paraId="2071200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本单位对上述声明的真实性负责。如有虚假，将依法承担相应责任。</w:t>
      </w:r>
    </w:p>
    <w:p w14:paraId="0A4E7B02">
      <w:pPr>
        <w:spacing w:line="360" w:lineRule="auto"/>
        <w:contextualSpacing/>
        <w:rPr>
          <w:rFonts w:hint="eastAsia" w:ascii="宋体" w:hAnsi="宋体" w:eastAsia="宋体" w:cs="宋体"/>
          <w:sz w:val="24"/>
        </w:rPr>
      </w:pPr>
    </w:p>
    <w:p w14:paraId="6EB6F5CC">
      <w:pPr>
        <w:spacing w:line="360" w:lineRule="auto"/>
        <w:contextualSpacing/>
        <w:rPr>
          <w:rFonts w:hint="eastAsia" w:ascii="宋体" w:hAnsi="宋体" w:eastAsia="宋体" w:cs="宋体"/>
          <w:sz w:val="24"/>
        </w:rPr>
      </w:pPr>
    </w:p>
    <w:p w14:paraId="5EAE2FFC">
      <w:pPr>
        <w:spacing w:line="360" w:lineRule="auto"/>
        <w:ind w:firstLine="2400" w:firstLineChars="1000"/>
        <w:contextualSpacing/>
        <w:rPr>
          <w:rFonts w:hint="eastAsia" w:ascii="宋体" w:hAnsi="宋体" w:eastAsia="宋体" w:cs="宋体"/>
          <w:sz w:val="24"/>
        </w:rPr>
      </w:pPr>
      <w:r>
        <w:rPr>
          <w:rFonts w:hint="eastAsia" w:ascii="宋体" w:hAnsi="宋体" w:eastAsia="宋体" w:cs="宋体"/>
          <w:sz w:val="24"/>
        </w:rPr>
        <w:t>供应商名称（电子签章）：</w:t>
      </w:r>
    </w:p>
    <w:p w14:paraId="2C1EFE32">
      <w:pPr>
        <w:spacing w:line="360" w:lineRule="auto"/>
        <w:ind w:firstLine="4320" w:firstLineChars="1800"/>
        <w:contextualSpacing/>
        <w:rPr>
          <w:rFonts w:hint="eastAsia" w:ascii="宋体" w:hAnsi="宋体" w:eastAsia="宋体" w:cs="宋体"/>
          <w:sz w:val="24"/>
        </w:rPr>
      </w:pPr>
      <w:r>
        <w:rPr>
          <w:rFonts w:hint="eastAsia" w:ascii="宋体" w:hAnsi="宋体" w:eastAsia="宋体" w:cs="宋体"/>
          <w:sz w:val="24"/>
        </w:rPr>
        <w:t>日  期：     年   月   日</w:t>
      </w:r>
    </w:p>
    <w:p w14:paraId="5E1CFE44">
      <w:pPr>
        <w:spacing w:line="360" w:lineRule="auto"/>
        <w:contextualSpacing/>
        <w:rPr>
          <w:rFonts w:hint="eastAsia" w:ascii="宋体" w:hAnsi="宋体" w:eastAsia="宋体" w:cs="宋体"/>
          <w:sz w:val="24"/>
        </w:rPr>
      </w:pPr>
    </w:p>
    <w:p w14:paraId="59D4C697">
      <w:pPr>
        <w:spacing w:line="360" w:lineRule="auto"/>
        <w:contextualSpacing/>
        <w:rPr>
          <w:rFonts w:hint="eastAsia" w:ascii="宋体" w:hAnsi="宋体" w:eastAsia="宋体" w:cs="宋体"/>
          <w:sz w:val="24"/>
        </w:rPr>
      </w:pPr>
    </w:p>
    <w:p w14:paraId="1A4E9CBF">
      <w:pPr>
        <w:spacing w:line="360" w:lineRule="auto"/>
        <w:contextualSpacing/>
        <w:rPr>
          <w:rFonts w:hint="eastAsia" w:ascii="宋体" w:hAnsi="宋体" w:eastAsia="宋体" w:cs="宋体"/>
          <w:sz w:val="24"/>
        </w:rPr>
      </w:pPr>
    </w:p>
    <w:p w14:paraId="45466D4B">
      <w:pPr>
        <w:spacing w:line="360" w:lineRule="auto"/>
        <w:contextualSpacing/>
        <w:rPr>
          <w:rFonts w:hint="eastAsia" w:ascii="宋体" w:hAnsi="宋体" w:eastAsia="宋体" w:cs="宋体"/>
          <w:sz w:val="24"/>
        </w:rPr>
      </w:pPr>
      <w:r>
        <w:rPr>
          <w:rFonts w:hint="eastAsia" w:ascii="宋体" w:hAnsi="宋体" w:eastAsia="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035FB2E3">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F180D4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72688A38">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10CF06EE">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771DCE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83B340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3640FA8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72258B9A">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27FBCFE1">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5622ADBF">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753EB0DD">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5D94788">
      <w:pPr>
        <w:pStyle w:val="8"/>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八、</w:t>
      </w:r>
      <w:r>
        <w:rPr>
          <w:rFonts w:hint="eastAsia" w:ascii="宋体" w:hAnsi="宋体" w:eastAsia="宋体" w:cs="宋体"/>
          <w:b/>
          <w:color w:val="auto"/>
          <w:sz w:val="30"/>
          <w:szCs w:val="30"/>
          <w:highlight w:val="none"/>
        </w:rPr>
        <w:t>符合特定资格</w:t>
      </w:r>
      <w:r>
        <w:rPr>
          <w:rFonts w:hint="eastAsia" w:ascii="宋体" w:hAnsi="宋体" w:eastAsia="宋体" w:cs="宋体"/>
          <w:b/>
          <w:color w:val="auto"/>
          <w:sz w:val="30"/>
          <w:szCs w:val="30"/>
          <w:highlight w:val="none"/>
          <w:lang w:eastAsia="zh-CN"/>
        </w:rPr>
        <w:t>要求和特定</w:t>
      </w:r>
      <w:r>
        <w:rPr>
          <w:rFonts w:hint="eastAsia" w:ascii="宋体" w:hAnsi="宋体" w:eastAsia="宋体" w:cs="宋体"/>
          <w:b/>
          <w:color w:val="auto"/>
          <w:sz w:val="30"/>
          <w:szCs w:val="30"/>
          <w:highlight w:val="none"/>
        </w:rPr>
        <w:t>条件（如果项目要求）的有关证明材料（复印件）</w:t>
      </w:r>
    </w:p>
    <w:p w14:paraId="24F54C4D">
      <w:pPr>
        <w:snapToGrid w:val="0"/>
        <w:spacing w:line="360" w:lineRule="auto"/>
        <w:ind w:firstLine="602" w:firstLineChars="200"/>
        <w:rPr>
          <w:rFonts w:hint="eastAsia" w:ascii="宋体" w:hAnsi="宋体" w:eastAsia="宋体" w:cs="宋体"/>
          <w:b/>
          <w:color w:val="auto"/>
          <w:sz w:val="30"/>
          <w:szCs w:val="30"/>
          <w:highlight w:val="none"/>
        </w:rPr>
      </w:pPr>
    </w:p>
    <w:p w14:paraId="5DD31D7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58837D1">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A42DA6C">
      <w:pPr>
        <w:pStyle w:val="13"/>
        <w:rPr>
          <w:rFonts w:hint="eastAsia" w:ascii="宋体" w:hAnsi="宋体" w:eastAsia="宋体" w:cs="宋体"/>
          <w:color w:val="auto"/>
          <w:kern w:val="0"/>
          <w:sz w:val="24"/>
          <w:highlight w:val="none"/>
          <w:lang w:val="zh-CN"/>
        </w:rPr>
      </w:pPr>
    </w:p>
    <w:p w14:paraId="4A26D245">
      <w:pPr>
        <w:rPr>
          <w:rFonts w:hint="eastAsia" w:ascii="宋体" w:hAnsi="宋体" w:eastAsia="宋体" w:cs="宋体"/>
          <w:color w:val="auto"/>
          <w:kern w:val="0"/>
          <w:sz w:val="24"/>
          <w:highlight w:val="none"/>
          <w:lang w:val="zh-CN"/>
        </w:rPr>
      </w:pPr>
    </w:p>
    <w:p w14:paraId="2A89F194">
      <w:pPr>
        <w:pStyle w:val="13"/>
        <w:rPr>
          <w:rFonts w:hint="eastAsia" w:ascii="宋体" w:hAnsi="宋体" w:eastAsia="宋体" w:cs="宋体"/>
          <w:color w:val="auto"/>
          <w:kern w:val="0"/>
          <w:sz w:val="24"/>
          <w:highlight w:val="none"/>
          <w:lang w:val="zh-CN"/>
        </w:rPr>
      </w:pPr>
      <w:r>
        <w:rPr>
          <w:rFonts w:hint="eastAsia" w:ascii="宋体" w:hAnsi="宋体" w:eastAsia="宋体" w:cs="宋体"/>
          <w:b/>
          <w:color w:val="auto"/>
          <w:sz w:val="30"/>
          <w:szCs w:val="30"/>
          <w:highlight w:val="none"/>
          <w:lang w:val="en-US" w:eastAsia="zh-CN"/>
        </w:rPr>
        <w:t>九</w:t>
      </w:r>
      <w:r>
        <w:rPr>
          <w:rFonts w:hint="eastAsia" w:ascii="宋体" w:hAnsi="宋体" w:eastAsia="宋体" w:cs="宋体"/>
          <w:b/>
          <w:color w:val="auto"/>
          <w:sz w:val="30"/>
          <w:szCs w:val="30"/>
          <w:highlight w:val="none"/>
        </w:rPr>
        <w:t>、除磋商文件规定必须提供以外，供应商认为需要提供的其他证明材料</w:t>
      </w:r>
    </w:p>
    <w:p w14:paraId="108ECF0D">
      <w:pPr>
        <w:rPr>
          <w:rFonts w:hint="eastAsia" w:ascii="宋体" w:hAnsi="宋体" w:eastAsia="宋体" w:cs="宋体"/>
          <w:color w:val="auto"/>
          <w:kern w:val="0"/>
          <w:sz w:val="24"/>
          <w:highlight w:val="none"/>
          <w:lang w:val="zh-CN"/>
        </w:rPr>
      </w:pPr>
    </w:p>
    <w:p w14:paraId="2CD07E11">
      <w:pPr>
        <w:pStyle w:val="13"/>
        <w:rPr>
          <w:rFonts w:hint="eastAsia" w:ascii="宋体" w:hAnsi="宋体" w:eastAsia="宋体" w:cs="宋体"/>
          <w:color w:val="auto"/>
          <w:highlight w:val="none"/>
          <w:lang w:val="zh-CN"/>
        </w:rPr>
      </w:pPr>
    </w:p>
    <w:p w14:paraId="19B9BA20">
      <w:pPr>
        <w:rPr>
          <w:rFonts w:hint="eastAsia" w:ascii="宋体" w:hAnsi="宋体" w:eastAsia="宋体" w:cs="宋体"/>
          <w:color w:val="auto"/>
          <w:highlight w:val="none"/>
          <w:lang w:val="zh-CN"/>
        </w:rPr>
      </w:pPr>
    </w:p>
    <w:p w14:paraId="1F024B3E">
      <w:pPr>
        <w:pStyle w:val="13"/>
        <w:rPr>
          <w:rFonts w:hint="eastAsia" w:ascii="宋体" w:hAnsi="宋体" w:eastAsia="宋体" w:cs="宋体"/>
          <w:color w:val="auto"/>
          <w:highlight w:val="none"/>
          <w:lang w:val="zh-CN"/>
        </w:rPr>
      </w:pPr>
    </w:p>
    <w:p w14:paraId="2C1DD7A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CA92B7D">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FCF277A">
      <w:pPr>
        <w:rPr>
          <w:rFonts w:hint="eastAsia"/>
          <w:color w:val="auto"/>
          <w:highlight w:val="none"/>
          <w:lang w:val="zh-CN"/>
        </w:rPr>
      </w:pPr>
    </w:p>
    <w:p w14:paraId="4539F635">
      <w:pPr>
        <w:pStyle w:val="13"/>
        <w:rPr>
          <w:rFonts w:hint="eastAsia"/>
          <w:color w:val="auto"/>
          <w:highlight w:val="none"/>
          <w:lang w:val="zh-CN"/>
        </w:rPr>
      </w:pPr>
    </w:p>
    <w:p w14:paraId="58FFDD33">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081D0BA">
      <w:pPr>
        <w:pStyle w:val="4"/>
        <w:spacing w:line="360" w:lineRule="auto"/>
        <w:jc w:val="center"/>
        <w:rPr>
          <w:rFonts w:hint="eastAsia" w:ascii="宋体" w:hAnsi="宋体" w:eastAsia="宋体" w:cs="宋体"/>
          <w:b w:val="0"/>
          <w:color w:val="auto"/>
          <w:highlight w:val="none"/>
        </w:rPr>
      </w:pPr>
      <w:bookmarkStart w:id="157" w:name="_Toc24675"/>
      <w:bookmarkStart w:id="158" w:name="_Toc1171"/>
      <w:bookmarkStart w:id="159" w:name="_Toc80205940"/>
      <w:bookmarkStart w:id="160" w:name="_Toc7889"/>
      <w:bookmarkStart w:id="161" w:name="_Toc22872"/>
      <w:bookmarkStart w:id="162" w:name="_Toc14159"/>
      <w:bookmarkStart w:id="163" w:name="_Toc8220"/>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57"/>
      <w:bookmarkEnd w:id="158"/>
      <w:bookmarkEnd w:id="159"/>
      <w:bookmarkEnd w:id="160"/>
      <w:bookmarkEnd w:id="161"/>
      <w:bookmarkEnd w:id="162"/>
      <w:bookmarkEnd w:id="163"/>
    </w:p>
    <w:p w14:paraId="0E3CEFD9">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140C9940">
      <w:pPr>
        <w:snapToGrid w:val="0"/>
        <w:spacing w:before="120" w:beforeLines="50" w:after="50" w:line="360" w:lineRule="auto"/>
        <w:rPr>
          <w:rFonts w:hint="eastAsia" w:ascii="宋体" w:hAnsi="宋体" w:eastAsia="宋体" w:cs="宋体"/>
          <w:color w:val="auto"/>
          <w:sz w:val="24"/>
          <w:szCs w:val="20"/>
          <w:highlight w:val="none"/>
        </w:rPr>
      </w:pPr>
    </w:p>
    <w:p w14:paraId="365CAD68">
      <w:pPr>
        <w:snapToGrid w:val="0"/>
        <w:spacing w:before="120" w:beforeLines="50" w:after="50" w:line="360" w:lineRule="auto"/>
        <w:rPr>
          <w:rFonts w:hint="eastAsia" w:ascii="宋体" w:hAnsi="宋体" w:eastAsia="宋体" w:cs="宋体"/>
          <w:color w:val="auto"/>
          <w:sz w:val="24"/>
          <w:szCs w:val="20"/>
          <w:highlight w:val="none"/>
        </w:rPr>
      </w:pPr>
    </w:p>
    <w:p w14:paraId="3A62CD1E">
      <w:pPr>
        <w:snapToGrid w:val="0"/>
        <w:spacing w:before="120" w:beforeLines="50" w:after="50" w:line="360" w:lineRule="auto"/>
        <w:rPr>
          <w:rFonts w:hint="eastAsia" w:ascii="宋体" w:hAnsi="宋体" w:eastAsia="宋体" w:cs="宋体"/>
          <w:color w:val="auto"/>
          <w:sz w:val="24"/>
          <w:szCs w:val="20"/>
          <w:highlight w:val="none"/>
        </w:rPr>
      </w:pPr>
    </w:p>
    <w:p w14:paraId="5E432953">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25459D47">
      <w:pPr>
        <w:snapToGrid w:val="0"/>
        <w:spacing w:before="120" w:beforeLines="50" w:after="50" w:line="360" w:lineRule="auto"/>
        <w:rPr>
          <w:rFonts w:hint="eastAsia" w:ascii="宋体" w:hAnsi="宋体" w:eastAsia="宋体" w:cs="宋体"/>
          <w:bCs/>
          <w:color w:val="auto"/>
          <w:sz w:val="24"/>
          <w:szCs w:val="20"/>
          <w:highlight w:val="none"/>
        </w:rPr>
      </w:pPr>
    </w:p>
    <w:p w14:paraId="45BEC8EE">
      <w:pPr>
        <w:snapToGrid w:val="0"/>
        <w:spacing w:before="120" w:beforeLines="50" w:after="50" w:line="360" w:lineRule="auto"/>
        <w:rPr>
          <w:rFonts w:hint="eastAsia" w:ascii="宋体" w:hAnsi="宋体" w:eastAsia="宋体" w:cs="宋体"/>
          <w:bCs/>
          <w:color w:val="auto"/>
          <w:sz w:val="24"/>
          <w:szCs w:val="20"/>
          <w:highlight w:val="none"/>
        </w:rPr>
      </w:pPr>
    </w:p>
    <w:p w14:paraId="0FEC5B93">
      <w:pPr>
        <w:snapToGrid w:val="0"/>
        <w:spacing w:before="120" w:beforeLines="50" w:after="50" w:line="360" w:lineRule="auto"/>
        <w:rPr>
          <w:rFonts w:hint="eastAsia" w:ascii="宋体" w:hAnsi="宋体" w:eastAsia="宋体" w:cs="宋体"/>
          <w:bCs/>
          <w:color w:val="auto"/>
          <w:sz w:val="24"/>
          <w:szCs w:val="20"/>
          <w:highlight w:val="none"/>
        </w:rPr>
      </w:pPr>
    </w:p>
    <w:p w14:paraId="0AE1C34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隆安县布泉乡布泉水厂提升改造工程</w:t>
      </w:r>
    </w:p>
    <w:p w14:paraId="1051571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330ADEA">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6FE5A4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50E653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7B269B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5B88719">
      <w:pPr>
        <w:pStyle w:val="8"/>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5EC7166B">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p>
    <w:p w14:paraId="5BEF6000">
      <w:pPr>
        <w:pStyle w:val="8"/>
        <w:snapToGrid w:val="0"/>
        <w:spacing w:before="50" w:after="50" w:line="360" w:lineRule="auto"/>
        <w:ind w:firstLine="1280" w:firstLineChars="400"/>
        <w:rPr>
          <w:rFonts w:hint="eastAsia" w:ascii="宋体" w:hAnsi="宋体" w:eastAsia="宋体" w:cs="宋体"/>
          <w:bCs/>
          <w:color w:val="auto"/>
          <w:sz w:val="32"/>
          <w:szCs w:val="32"/>
          <w:highlight w:val="none"/>
        </w:rPr>
      </w:pPr>
    </w:p>
    <w:p w14:paraId="48A436A0">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5F16407">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48D3847">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商务技术文件目录</w:t>
      </w:r>
    </w:p>
    <w:p w14:paraId="2FDE638A">
      <w:pPr>
        <w:spacing w:line="360" w:lineRule="auto"/>
        <w:jc w:val="center"/>
        <w:rPr>
          <w:rFonts w:hint="eastAsia" w:ascii="宋体" w:hAnsi="宋体" w:eastAsia="宋体" w:cs="宋体"/>
          <w:b/>
          <w:color w:val="auto"/>
          <w:kern w:val="0"/>
          <w:sz w:val="28"/>
          <w:szCs w:val="28"/>
          <w:highlight w:val="none"/>
        </w:rPr>
      </w:pPr>
    </w:p>
    <w:p w14:paraId="73AB7346">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7F8B0088">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4988FCCF">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35257030">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19AF1DA5">
      <w:pPr>
        <w:pStyle w:val="35"/>
        <w:spacing w:line="360" w:lineRule="auto"/>
        <w:rPr>
          <w:rFonts w:hint="eastAsia" w:ascii="宋体" w:hAnsi="宋体" w:eastAsia="宋体" w:cs="宋体"/>
          <w:color w:val="auto"/>
          <w:highlight w:val="none"/>
        </w:rPr>
      </w:pPr>
      <w:bookmarkStart w:id="164" w:name="OLE_LINK7"/>
      <w:bookmarkStart w:id="165" w:name="OLE_LINK6"/>
      <w:bookmarkStart w:id="166" w:name="OLE_LINK5"/>
      <w:r>
        <w:rPr>
          <w:rFonts w:hint="eastAsia" w:ascii="宋体" w:hAnsi="宋体" w:eastAsia="宋体" w:cs="宋体"/>
          <w:color w:val="auto"/>
          <w:highlight w:val="none"/>
        </w:rPr>
        <w:t>五、供应商类似业绩的证明文件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3480188">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64"/>
      <w:bookmarkEnd w:id="165"/>
    </w:p>
    <w:bookmarkEnd w:id="166"/>
    <w:p w14:paraId="719706D4">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4A46E97E">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2A1FDEF7">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九、项目经理（或建造师）简历表………………………………………………（页码）</w:t>
      </w:r>
    </w:p>
    <w:p w14:paraId="3395258F">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244A043A">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十一、施工组织设计………………………………………………………………（页码）</w:t>
      </w:r>
    </w:p>
    <w:p w14:paraId="6CF52E33">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p w14:paraId="1E05F079">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23C1415D">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294D0B85">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47B71060">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052E82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7F6EACC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4C06248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6D081F0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5995838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0D31BA0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2BE9598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66B9E45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6B84F66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0C96EB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3EB9588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2BA7A03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A67766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423F3BA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27A383BB">
      <w:pPr>
        <w:spacing w:line="360" w:lineRule="auto"/>
        <w:ind w:firstLine="480" w:firstLineChars="200"/>
        <w:contextualSpacing/>
        <w:rPr>
          <w:rFonts w:hint="eastAsia" w:ascii="宋体" w:hAnsi="宋体" w:eastAsia="宋体" w:cs="宋体"/>
          <w:color w:val="auto"/>
          <w:sz w:val="24"/>
          <w:highlight w:val="none"/>
        </w:rPr>
      </w:pPr>
    </w:p>
    <w:p w14:paraId="461CCF42">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62602AF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88B707B">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05EF39BA">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05A88BC5">
      <w:pPr>
        <w:spacing w:line="360" w:lineRule="auto"/>
        <w:ind w:left="540"/>
        <w:contextualSpacing/>
        <w:rPr>
          <w:rFonts w:hint="eastAsia" w:ascii="宋体" w:hAnsi="宋体" w:eastAsia="宋体" w:cs="宋体"/>
          <w:color w:val="auto"/>
          <w:sz w:val="32"/>
          <w:szCs w:val="32"/>
          <w:highlight w:val="none"/>
        </w:rPr>
      </w:pPr>
    </w:p>
    <w:p w14:paraId="0464205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08F0F7F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59F15EA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351D5B49">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77B13B6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366955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087C7DE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7EA279F">
      <w:pPr>
        <w:spacing w:line="360" w:lineRule="auto"/>
        <w:ind w:left="540"/>
        <w:contextualSpacing/>
        <w:rPr>
          <w:rFonts w:hint="eastAsia" w:ascii="宋体" w:hAnsi="宋体" w:eastAsia="宋体" w:cs="宋体"/>
          <w:color w:val="auto"/>
          <w:sz w:val="24"/>
          <w:highlight w:val="none"/>
        </w:rPr>
      </w:pPr>
    </w:p>
    <w:p w14:paraId="062BCC6D">
      <w:pPr>
        <w:spacing w:line="360" w:lineRule="auto"/>
        <w:ind w:left="540"/>
        <w:contextualSpacing/>
        <w:rPr>
          <w:rFonts w:hint="eastAsia" w:ascii="宋体" w:hAnsi="宋体" w:eastAsia="宋体" w:cs="宋体"/>
          <w:color w:val="auto"/>
          <w:sz w:val="24"/>
          <w:highlight w:val="none"/>
        </w:rPr>
      </w:pPr>
    </w:p>
    <w:p w14:paraId="03D93E78">
      <w:pPr>
        <w:spacing w:line="360" w:lineRule="auto"/>
        <w:ind w:left="540"/>
        <w:contextualSpacing/>
        <w:rPr>
          <w:rFonts w:hint="eastAsia" w:ascii="宋体" w:hAnsi="宋体" w:eastAsia="宋体" w:cs="宋体"/>
          <w:color w:val="auto"/>
          <w:sz w:val="24"/>
          <w:highlight w:val="none"/>
        </w:rPr>
      </w:pPr>
    </w:p>
    <w:p w14:paraId="22CB5471">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60D384CF">
      <w:pPr>
        <w:spacing w:line="360" w:lineRule="auto"/>
        <w:ind w:left="540"/>
        <w:contextualSpacing/>
        <w:rPr>
          <w:rFonts w:hint="eastAsia" w:ascii="宋体" w:hAnsi="宋体" w:eastAsia="宋体" w:cs="宋体"/>
          <w:color w:val="auto"/>
          <w:sz w:val="24"/>
          <w:highlight w:val="none"/>
        </w:rPr>
      </w:pPr>
    </w:p>
    <w:p w14:paraId="37AE470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619B7A2">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277D16A9">
      <w:pPr>
        <w:spacing w:line="360" w:lineRule="auto"/>
        <w:contextualSpacing/>
        <w:jc w:val="left"/>
        <w:rPr>
          <w:rFonts w:hint="eastAsia" w:ascii="宋体" w:hAnsi="宋体" w:eastAsia="宋体" w:cs="宋体"/>
          <w:color w:val="auto"/>
          <w:sz w:val="24"/>
          <w:highlight w:val="none"/>
        </w:rPr>
      </w:pPr>
    </w:p>
    <w:p w14:paraId="32E3E007">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54A52926">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3997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vAlign w:val="top"/>
          </w:tcPr>
          <w:p w14:paraId="412A484B">
            <w:pPr>
              <w:spacing w:line="360" w:lineRule="auto"/>
              <w:rPr>
                <w:rFonts w:hint="eastAsia" w:ascii="宋体" w:hAnsi="宋体" w:eastAsia="宋体" w:cs="宋体"/>
                <w:b/>
                <w:color w:val="auto"/>
                <w:sz w:val="24"/>
                <w:highlight w:val="none"/>
              </w:rPr>
            </w:pPr>
          </w:p>
          <w:p w14:paraId="060640E2">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22FA0B68">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62FBB3B1">
      <w:pPr>
        <w:adjustRightInd w:val="0"/>
        <w:snapToGrid w:val="0"/>
        <w:spacing w:line="360" w:lineRule="auto"/>
        <w:jc w:val="left"/>
        <w:rPr>
          <w:rFonts w:hint="eastAsia" w:ascii="宋体" w:hAnsi="宋体" w:eastAsia="宋体" w:cs="宋体"/>
          <w:b/>
          <w:color w:val="auto"/>
          <w:szCs w:val="21"/>
          <w:highlight w:val="none"/>
        </w:rPr>
      </w:pPr>
    </w:p>
    <w:p w14:paraId="1F8ACA31">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6CE4DA13">
      <w:pPr>
        <w:spacing w:line="360" w:lineRule="auto"/>
        <w:jc w:val="center"/>
        <w:rPr>
          <w:rFonts w:hint="eastAsia" w:ascii="宋体" w:hAnsi="宋体" w:eastAsia="宋体" w:cs="宋体"/>
          <w:color w:val="auto"/>
          <w:sz w:val="44"/>
          <w:szCs w:val="44"/>
          <w:highlight w:val="none"/>
        </w:rPr>
      </w:pPr>
    </w:p>
    <w:p w14:paraId="08D0F0A1">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34B7AF7D">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3C0997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6A904F3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4764BC4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7B2628D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12B7B63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02A7692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4337F14A">
      <w:pPr>
        <w:spacing w:line="360" w:lineRule="auto"/>
        <w:rPr>
          <w:rFonts w:hint="eastAsia" w:ascii="宋体" w:hAnsi="宋体" w:eastAsia="宋体" w:cs="宋体"/>
          <w:color w:val="auto"/>
          <w:sz w:val="24"/>
          <w:highlight w:val="none"/>
        </w:rPr>
      </w:pPr>
    </w:p>
    <w:p w14:paraId="0575913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74BFEC1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600B972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68F8E6A8">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0049D41A">
      <w:pPr>
        <w:spacing w:line="360" w:lineRule="auto"/>
        <w:rPr>
          <w:rFonts w:hint="eastAsia" w:ascii="宋体" w:hAnsi="宋体" w:eastAsia="宋体" w:cs="宋体"/>
          <w:color w:val="auto"/>
          <w:sz w:val="24"/>
          <w:highlight w:val="none"/>
        </w:rPr>
      </w:pPr>
    </w:p>
    <w:p w14:paraId="048352F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60E66E0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F28847D">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015EF801">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697E3C63">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1C29A2D4">
      <w:pPr>
        <w:spacing w:line="360" w:lineRule="auto"/>
        <w:jc w:val="center"/>
        <w:rPr>
          <w:rFonts w:hint="eastAsia" w:ascii="宋体" w:hAnsi="宋体" w:eastAsia="宋体" w:cs="宋体"/>
          <w:color w:val="auto"/>
          <w:sz w:val="32"/>
          <w:szCs w:val="32"/>
          <w:highlight w:val="none"/>
        </w:rPr>
      </w:pPr>
    </w:p>
    <w:p w14:paraId="40725532">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24D6442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7FAD36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684A8B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61107D9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AC2A060">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4B7A54F7">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0DA27869">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BE3E53C">
      <w:pPr>
        <w:spacing w:line="360" w:lineRule="auto"/>
        <w:rPr>
          <w:rFonts w:hint="eastAsia" w:ascii="宋体" w:hAnsi="宋体" w:eastAsia="宋体" w:cs="宋体"/>
          <w:color w:val="auto"/>
          <w:sz w:val="24"/>
          <w:highlight w:val="none"/>
        </w:rPr>
      </w:pPr>
    </w:p>
    <w:p w14:paraId="2D9EC02B">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6FE146AB">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24A970C4">
      <w:pPr>
        <w:spacing w:line="360" w:lineRule="auto"/>
        <w:rPr>
          <w:rFonts w:hint="eastAsia" w:ascii="宋体" w:hAnsi="宋体" w:eastAsia="宋体" w:cs="宋体"/>
          <w:color w:val="auto"/>
          <w:sz w:val="24"/>
          <w:highlight w:val="none"/>
        </w:rPr>
      </w:pPr>
    </w:p>
    <w:p w14:paraId="6EFA4DA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6D58B353">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06A9637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BED05F7">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4544E576">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5EB1118F">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65F3BFFE">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eastAsia="zh-CN"/>
        </w:rPr>
        <w:t>隆安县布泉乡布泉水厂提升改造工程</w:t>
      </w:r>
      <w:r>
        <w:rPr>
          <w:rFonts w:hint="eastAsia" w:ascii="宋体" w:hAnsi="宋体" w:eastAsia="宋体" w:cs="宋体"/>
          <w:color w:val="auto"/>
          <w:sz w:val="24"/>
          <w:highlight w:val="none"/>
          <w:u w:val="single"/>
        </w:rPr>
        <w:t xml:space="preserve"> </w:t>
      </w:r>
    </w:p>
    <w:p w14:paraId="6B55ABB6">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2742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758A89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1151FB4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vAlign w:val="center"/>
          </w:tcPr>
          <w:p w14:paraId="234AF4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vAlign w:val="center"/>
          </w:tcPr>
          <w:p w14:paraId="6BB3B06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9C0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vAlign w:val="top"/>
          </w:tcPr>
          <w:p w14:paraId="1E418F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vAlign w:val="top"/>
          </w:tcPr>
          <w:p w14:paraId="5D97B0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CD74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2015C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B278E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vAlign w:val="top"/>
          </w:tcPr>
          <w:p w14:paraId="67D8DE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EB78A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261C1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D3254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vAlign w:val="top"/>
          </w:tcPr>
          <w:p w14:paraId="487219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4C6B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top"/>
          </w:tcPr>
          <w:p w14:paraId="633F52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vAlign w:val="top"/>
          </w:tcPr>
          <w:p w14:paraId="3222DD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4A7AE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9E901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176C1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vAlign w:val="top"/>
          </w:tcPr>
          <w:p w14:paraId="3D96DC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22BD1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5352E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99372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vAlign w:val="top"/>
          </w:tcPr>
          <w:p w14:paraId="3C6A3AE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704B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vAlign w:val="top"/>
          </w:tcPr>
          <w:p w14:paraId="5F5C9BF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vAlign w:val="top"/>
          </w:tcPr>
          <w:p w14:paraId="65309C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F4F85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CFF58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B3B33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vAlign w:val="top"/>
          </w:tcPr>
          <w:p w14:paraId="2FCD32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D4C35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62369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EC7B5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vAlign w:val="top"/>
          </w:tcPr>
          <w:p w14:paraId="44EB47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5348D909">
      <w:pPr>
        <w:pStyle w:val="14"/>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CE5914E">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采购需求”中的商务条款逐条作出明确响应，并做出偏离说明。</w:t>
      </w:r>
    </w:p>
    <w:p w14:paraId="4E1DDA23">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p>
    <w:p w14:paraId="7447C4A7">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303E25AF">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CA63A58">
      <w:pPr>
        <w:pStyle w:val="17"/>
        <w:spacing w:line="360" w:lineRule="auto"/>
        <w:contextualSpacing/>
        <w:rPr>
          <w:rFonts w:hint="eastAsia" w:ascii="宋体" w:hAnsi="宋体" w:eastAsia="宋体" w:cs="宋体"/>
          <w:color w:val="auto"/>
          <w:sz w:val="24"/>
          <w:highlight w:val="none"/>
          <w:lang w:eastAsia="zh-CN"/>
        </w:rPr>
      </w:pPr>
    </w:p>
    <w:p w14:paraId="380B4B3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75890E24">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0B808F07">
      <w:pPr>
        <w:tabs>
          <w:tab w:val="left" w:pos="826"/>
        </w:tabs>
        <w:snapToGrid w:val="0"/>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五、供应商类似业绩的证明文件</w:t>
      </w:r>
    </w:p>
    <w:p w14:paraId="57BA2B63">
      <w:pPr>
        <w:tabs>
          <w:tab w:val="left" w:pos="826"/>
        </w:tabs>
        <w:snapToGrid w:val="0"/>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类似</w:t>
      </w:r>
      <w:r>
        <w:rPr>
          <w:rFonts w:hint="eastAsia" w:ascii="宋体" w:hAnsi="宋体" w:eastAsia="宋体" w:cs="宋体"/>
          <w:b/>
          <w:color w:val="auto"/>
          <w:sz w:val="30"/>
          <w:szCs w:val="30"/>
          <w:highlight w:val="none"/>
          <w:lang w:val="en-US" w:eastAsia="zh-CN"/>
        </w:rPr>
        <w:t>业绩</w:t>
      </w:r>
      <w:r>
        <w:rPr>
          <w:rFonts w:hint="eastAsia" w:ascii="宋体" w:hAnsi="宋体" w:eastAsia="宋体" w:cs="宋体"/>
          <w:b/>
          <w:color w:val="auto"/>
          <w:sz w:val="30"/>
          <w:szCs w:val="30"/>
          <w:highlight w:val="none"/>
        </w:rPr>
        <w:t>一览表</w:t>
      </w:r>
    </w:p>
    <w:p w14:paraId="146C521A">
      <w:pPr>
        <w:pStyle w:val="13"/>
        <w:rPr>
          <w:rFonts w:hint="eastAsia" w:ascii="宋体" w:hAnsi="宋体" w:eastAsia="宋体" w:cs="宋体"/>
          <w:color w:val="auto"/>
          <w:highlight w:val="none"/>
        </w:rPr>
      </w:pPr>
    </w:p>
    <w:tbl>
      <w:tblPr>
        <w:tblStyle w:val="28"/>
        <w:tblW w:w="7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63A5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5582D4B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vAlign w:val="center"/>
          </w:tcPr>
          <w:p w14:paraId="25CEE1C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vAlign w:val="center"/>
          </w:tcPr>
          <w:p w14:paraId="7527A6A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p>
          <w:p w14:paraId="66961D1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vAlign w:val="center"/>
          </w:tcPr>
          <w:p w14:paraId="43BA536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vAlign w:val="center"/>
          </w:tcPr>
          <w:p w14:paraId="030614B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w:t>
            </w:r>
          </w:p>
          <w:p w14:paraId="45A79D4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r>
      <w:tr w14:paraId="3413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003249FE">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6DDC64A8">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2321339E">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257D514C">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0B9E15C9">
            <w:pPr>
              <w:jc w:val="center"/>
              <w:rPr>
                <w:rFonts w:hint="eastAsia" w:ascii="宋体" w:hAnsi="宋体" w:eastAsia="宋体" w:cs="宋体"/>
                <w:color w:val="auto"/>
                <w:sz w:val="24"/>
                <w:szCs w:val="24"/>
                <w:highlight w:val="none"/>
              </w:rPr>
            </w:pPr>
          </w:p>
        </w:tc>
      </w:tr>
      <w:tr w14:paraId="4FC4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61ACE328">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385F81C5">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7638C54D">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712610D3">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39BEA964">
            <w:pPr>
              <w:jc w:val="center"/>
              <w:rPr>
                <w:rFonts w:hint="eastAsia" w:ascii="宋体" w:hAnsi="宋体" w:eastAsia="宋体" w:cs="宋体"/>
                <w:color w:val="auto"/>
                <w:sz w:val="24"/>
                <w:szCs w:val="24"/>
                <w:highlight w:val="none"/>
              </w:rPr>
            </w:pPr>
          </w:p>
        </w:tc>
      </w:tr>
      <w:tr w14:paraId="37B7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111563DE">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31E88D32">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6FFCFD12">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184D1B5A">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BC34E13">
            <w:pPr>
              <w:jc w:val="center"/>
              <w:rPr>
                <w:rFonts w:hint="eastAsia" w:ascii="宋体" w:hAnsi="宋体" w:eastAsia="宋体" w:cs="宋体"/>
                <w:color w:val="auto"/>
                <w:sz w:val="24"/>
                <w:szCs w:val="24"/>
                <w:highlight w:val="none"/>
              </w:rPr>
            </w:pPr>
          </w:p>
        </w:tc>
      </w:tr>
      <w:tr w14:paraId="1E0E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18732E62">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7DBEB872">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55A9436F">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19EE953F">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4DDB4A2">
            <w:pPr>
              <w:jc w:val="center"/>
              <w:rPr>
                <w:rFonts w:hint="eastAsia" w:ascii="宋体" w:hAnsi="宋体" w:eastAsia="宋体" w:cs="宋体"/>
                <w:color w:val="auto"/>
                <w:sz w:val="24"/>
                <w:szCs w:val="24"/>
                <w:highlight w:val="none"/>
              </w:rPr>
            </w:pPr>
          </w:p>
        </w:tc>
      </w:tr>
      <w:tr w14:paraId="2BD1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6C5B2182">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3CE621E2">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3174BCC1">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5D4B3BB3">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FF723D0">
            <w:pPr>
              <w:jc w:val="center"/>
              <w:rPr>
                <w:rFonts w:hint="eastAsia" w:ascii="宋体" w:hAnsi="宋体" w:eastAsia="宋体" w:cs="宋体"/>
                <w:color w:val="auto"/>
                <w:sz w:val="24"/>
                <w:szCs w:val="24"/>
                <w:highlight w:val="none"/>
              </w:rPr>
            </w:pPr>
          </w:p>
        </w:tc>
      </w:tr>
      <w:tr w14:paraId="722A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79091266">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63DABCC5">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6EB2FF69">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4C01D1FF">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59D2FF6">
            <w:pPr>
              <w:jc w:val="center"/>
              <w:rPr>
                <w:rFonts w:hint="eastAsia" w:ascii="宋体" w:hAnsi="宋体" w:eastAsia="宋体" w:cs="宋体"/>
                <w:color w:val="auto"/>
                <w:sz w:val="24"/>
                <w:szCs w:val="24"/>
                <w:highlight w:val="none"/>
              </w:rPr>
            </w:pPr>
          </w:p>
        </w:tc>
      </w:tr>
      <w:tr w14:paraId="692F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4758F826">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65962E00">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794BB34E">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02A65446">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767BD9B">
            <w:pPr>
              <w:jc w:val="center"/>
              <w:rPr>
                <w:rFonts w:hint="eastAsia" w:ascii="宋体" w:hAnsi="宋体" w:eastAsia="宋体" w:cs="宋体"/>
                <w:color w:val="auto"/>
                <w:sz w:val="24"/>
                <w:szCs w:val="24"/>
                <w:highlight w:val="none"/>
              </w:rPr>
            </w:pPr>
          </w:p>
        </w:tc>
      </w:tr>
    </w:tbl>
    <w:p w14:paraId="47C5FB62">
      <w:pPr>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p w14:paraId="63F5F9F1">
      <w:pPr>
        <w:ind w:firstLine="720" w:firstLineChars="300"/>
        <w:rPr>
          <w:rFonts w:hint="eastAsia" w:ascii="宋体" w:hAnsi="宋体" w:eastAsia="宋体" w:cs="宋体"/>
          <w:color w:val="auto"/>
          <w:sz w:val="24"/>
          <w:szCs w:val="24"/>
          <w:highlight w:val="none"/>
        </w:rPr>
      </w:pPr>
      <w:bookmarkStart w:id="167" w:name="OLE_LINK26"/>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附以上类似工程的</w:t>
      </w:r>
      <w:r>
        <w:rPr>
          <w:rFonts w:hint="eastAsia" w:ascii="宋体" w:hAnsi="宋体" w:eastAsia="宋体" w:cs="宋体"/>
          <w:color w:val="000000" w:themeColor="text1"/>
          <w:sz w:val="24"/>
          <w:szCs w:val="24"/>
          <w:lang w:val="en-US" w:eastAsia="zh-CN"/>
          <w14:textFill>
            <w14:solidFill>
              <w14:schemeClr w14:val="tx1"/>
            </w14:solidFill>
          </w14:textFill>
        </w:rPr>
        <w:t>中标（</w:t>
      </w:r>
      <w:r>
        <w:rPr>
          <w:rFonts w:hint="eastAsia" w:ascii="宋体" w:hAnsi="宋体" w:eastAsia="宋体" w:cs="宋体"/>
          <w:color w:val="000000" w:themeColor="text1"/>
          <w:sz w:val="24"/>
          <w:szCs w:val="24"/>
          <w14:textFill>
            <w14:solidFill>
              <w14:schemeClr w14:val="tx1"/>
            </w14:solidFill>
          </w14:textFill>
        </w:rPr>
        <w:t>成交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通知书或工程合同</w:t>
      </w:r>
      <w:r>
        <w:rPr>
          <w:rFonts w:hint="eastAsia" w:ascii="宋体" w:hAnsi="宋体" w:eastAsia="宋体" w:cs="宋体"/>
          <w:color w:val="auto"/>
          <w:sz w:val="24"/>
          <w:szCs w:val="24"/>
          <w:highlight w:val="none"/>
        </w:rPr>
        <w:t>。</w:t>
      </w:r>
    </w:p>
    <w:bookmarkEnd w:id="167"/>
    <w:p w14:paraId="4706E313">
      <w:pPr>
        <w:jc w:val="center"/>
        <w:rPr>
          <w:rFonts w:hint="eastAsia" w:ascii="宋体" w:hAnsi="宋体" w:eastAsia="宋体" w:cs="宋体"/>
          <w:color w:val="auto"/>
          <w:sz w:val="24"/>
          <w:szCs w:val="24"/>
          <w:highlight w:val="none"/>
        </w:rPr>
      </w:pPr>
    </w:p>
    <w:p w14:paraId="7103CA1E">
      <w:pPr>
        <w:widowControl/>
        <w:tabs>
          <w:tab w:val="center" w:pos="4153"/>
          <w:tab w:val="right" w:pos="8306"/>
        </w:tabs>
        <w:snapToGrid w:val="0"/>
        <w:jc w:val="left"/>
        <w:rPr>
          <w:rFonts w:hint="eastAsia" w:ascii="宋体" w:hAnsi="宋体" w:eastAsia="宋体" w:cs="宋体"/>
          <w:color w:val="auto"/>
          <w:kern w:val="0"/>
          <w:sz w:val="24"/>
          <w:szCs w:val="24"/>
          <w:highlight w:val="none"/>
        </w:rPr>
      </w:pPr>
    </w:p>
    <w:p w14:paraId="79B68E67">
      <w:pPr>
        <w:widowControl/>
        <w:tabs>
          <w:tab w:val="center" w:pos="4153"/>
          <w:tab w:val="right" w:pos="8306"/>
        </w:tabs>
        <w:snapToGrid w:val="0"/>
        <w:jc w:val="left"/>
        <w:rPr>
          <w:rFonts w:hint="eastAsia" w:ascii="宋体" w:hAnsi="宋体" w:eastAsia="宋体" w:cs="宋体"/>
          <w:color w:val="auto"/>
          <w:kern w:val="0"/>
          <w:sz w:val="24"/>
          <w:szCs w:val="24"/>
          <w:highlight w:val="none"/>
        </w:rPr>
      </w:pPr>
    </w:p>
    <w:p w14:paraId="541222E0">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1A4B80E0">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25E65C4E">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3EC7EA1F">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14AB926F">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11AD645E">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64C2F495">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456F883C">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0ADC0CDE">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eastAsia="zh-CN"/>
        </w:rPr>
      </w:pPr>
    </w:p>
    <w:p w14:paraId="0FE114E9">
      <w:pPr>
        <w:pStyle w:val="24"/>
        <w:snapToGrid w:val="0"/>
        <w:spacing w:line="360" w:lineRule="auto"/>
        <w:ind w:left="480" w:hanging="480"/>
        <w:rPr>
          <w:rFonts w:hint="eastAsia" w:ascii="宋体" w:hAnsi="宋体" w:eastAsia="宋体" w:cs="宋体"/>
          <w:color w:val="auto"/>
          <w:sz w:val="24"/>
          <w:highlight w:val="none"/>
        </w:rPr>
      </w:pPr>
    </w:p>
    <w:p w14:paraId="75F23903">
      <w:pPr>
        <w:jc w:val="center"/>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eastAsia="宋体" w:cs="宋体"/>
          <w:b/>
          <w:color w:val="auto"/>
          <w:sz w:val="30"/>
          <w:szCs w:val="30"/>
          <w:highlight w:val="none"/>
        </w:rPr>
        <w:t>、供应商认为需要提供的其他有关资料</w:t>
      </w:r>
    </w:p>
    <w:p w14:paraId="06E1F5B9">
      <w:pPr>
        <w:jc w:val="center"/>
        <w:rPr>
          <w:rFonts w:hint="eastAsia" w:ascii="宋体" w:hAnsi="宋体" w:eastAsia="宋体" w:cs="宋体"/>
          <w:b/>
          <w:color w:val="auto"/>
          <w:sz w:val="30"/>
          <w:szCs w:val="30"/>
          <w:highlight w:val="none"/>
        </w:rPr>
      </w:pPr>
    </w:p>
    <w:p w14:paraId="2FC1CD1A">
      <w:pPr>
        <w:jc w:val="center"/>
        <w:rPr>
          <w:rFonts w:hint="eastAsia" w:ascii="宋体" w:hAnsi="宋体" w:eastAsia="宋体" w:cs="宋体"/>
          <w:b/>
          <w:color w:val="auto"/>
          <w:sz w:val="30"/>
          <w:szCs w:val="30"/>
          <w:highlight w:val="none"/>
        </w:rPr>
      </w:pPr>
    </w:p>
    <w:p w14:paraId="4D698818">
      <w:pPr>
        <w:jc w:val="center"/>
        <w:rPr>
          <w:rFonts w:hint="eastAsia" w:ascii="宋体" w:hAnsi="宋体" w:eastAsia="宋体" w:cs="宋体"/>
          <w:b/>
          <w:color w:val="auto"/>
          <w:sz w:val="30"/>
          <w:szCs w:val="30"/>
          <w:highlight w:val="none"/>
        </w:rPr>
      </w:pPr>
    </w:p>
    <w:p w14:paraId="67B55386">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0C2495F8">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3A5267A6">
      <w:pPr>
        <w:jc w:val="center"/>
        <w:rPr>
          <w:rFonts w:hint="eastAsia" w:ascii="宋体" w:hAnsi="宋体" w:cs="宋体"/>
          <w:b/>
          <w:color w:val="auto"/>
          <w:sz w:val="30"/>
          <w:szCs w:val="30"/>
          <w:highlight w:val="none"/>
        </w:rPr>
      </w:pPr>
    </w:p>
    <w:p w14:paraId="1E4E15DD">
      <w:pPr>
        <w:jc w:val="center"/>
        <w:rPr>
          <w:rFonts w:hint="eastAsia" w:ascii="宋体" w:hAnsi="宋体" w:cs="宋体"/>
          <w:b/>
          <w:color w:val="auto"/>
          <w:sz w:val="30"/>
          <w:szCs w:val="30"/>
          <w:highlight w:val="none"/>
        </w:rPr>
      </w:pPr>
    </w:p>
    <w:p w14:paraId="08C1924D">
      <w:pPr>
        <w:jc w:val="center"/>
        <w:rPr>
          <w:rFonts w:hint="eastAsia" w:ascii="宋体" w:hAnsi="宋体" w:cs="宋体"/>
          <w:b/>
          <w:color w:val="auto"/>
          <w:sz w:val="30"/>
          <w:szCs w:val="30"/>
          <w:highlight w:val="none"/>
        </w:rPr>
      </w:pPr>
    </w:p>
    <w:p w14:paraId="2F1D1760">
      <w:pPr>
        <w:jc w:val="center"/>
        <w:rPr>
          <w:rFonts w:hint="eastAsia" w:ascii="宋体" w:hAnsi="宋体" w:cs="宋体"/>
          <w:b/>
          <w:color w:val="auto"/>
          <w:sz w:val="30"/>
          <w:szCs w:val="30"/>
          <w:highlight w:val="none"/>
        </w:rPr>
      </w:pPr>
    </w:p>
    <w:p w14:paraId="7353D4CB">
      <w:pPr>
        <w:pStyle w:val="43"/>
        <w:rPr>
          <w:rFonts w:hint="eastAsia" w:ascii="宋体" w:hAnsi="宋体" w:cs="宋体"/>
          <w:b/>
          <w:color w:val="auto"/>
          <w:sz w:val="30"/>
          <w:szCs w:val="30"/>
          <w:highlight w:val="none"/>
        </w:rPr>
      </w:pPr>
    </w:p>
    <w:p w14:paraId="606FC872">
      <w:pPr>
        <w:pStyle w:val="43"/>
        <w:rPr>
          <w:rFonts w:hint="eastAsia" w:ascii="宋体" w:hAnsi="宋体" w:cs="宋体"/>
          <w:b/>
          <w:color w:val="auto"/>
          <w:sz w:val="30"/>
          <w:szCs w:val="30"/>
          <w:highlight w:val="none"/>
        </w:rPr>
      </w:pPr>
    </w:p>
    <w:p w14:paraId="46C9D503">
      <w:pPr>
        <w:pStyle w:val="43"/>
        <w:rPr>
          <w:rFonts w:hint="eastAsia" w:ascii="宋体" w:hAnsi="宋体" w:cs="宋体"/>
          <w:b/>
          <w:color w:val="auto"/>
          <w:sz w:val="30"/>
          <w:szCs w:val="30"/>
          <w:highlight w:val="none"/>
        </w:rPr>
      </w:pPr>
    </w:p>
    <w:p w14:paraId="77401C77">
      <w:pPr>
        <w:pStyle w:val="43"/>
        <w:rPr>
          <w:rFonts w:hint="eastAsia" w:ascii="宋体" w:hAnsi="宋体" w:cs="宋体"/>
          <w:b/>
          <w:color w:val="auto"/>
          <w:sz w:val="30"/>
          <w:szCs w:val="30"/>
          <w:highlight w:val="none"/>
        </w:rPr>
      </w:pPr>
    </w:p>
    <w:p w14:paraId="0EA8B7AB">
      <w:pPr>
        <w:pStyle w:val="43"/>
        <w:rPr>
          <w:rFonts w:hint="eastAsia" w:ascii="宋体" w:hAnsi="宋体" w:cs="宋体"/>
          <w:b/>
          <w:color w:val="auto"/>
          <w:sz w:val="30"/>
          <w:szCs w:val="30"/>
          <w:highlight w:val="none"/>
        </w:rPr>
      </w:pPr>
    </w:p>
    <w:p w14:paraId="6EBDE185">
      <w:pPr>
        <w:pStyle w:val="43"/>
        <w:rPr>
          <w:rFonts w:hint="eastAsia" w:ascii="宋体" w:hAnsi="宋体" w:cs="宋体"/>
          <w:b/>
          <w:color w:val="auto"/>
          <w:sz w:val="30"/>
          <w:szCs w:val="30"/>
          <w:highlight w:val="none"/>
        </w:rPr>
      </w:pPr>
    </w:p>
    <w:p w14:paraId="17BBE852">
      <w:pPr>
        <w:pStyle w:val="43"/>
        <w:rPr>
          <w:rFonts w:hint="eastAsia" w:ascii="宋体" w:hAnsi="宋体" w:cs="宋体"/>
          <w:b/>
          <w:color w:val="auto"/>
          <w:sz w:val="30"/>
          <w:szCs w:val="30"/>
          <w:highlight w:val="none"/>
        </w:rPr>
      </w:pPr>
    </w:p>
    <w:p w14:paraId="2F485AC7">
      <w:pPr>
        <w:pStyle w:val="43"/>
        <w:rPr>
          <w:rFonts w:hint="eastAsia" w:ascii="宋体" w:hAnsi="宋体" w:cs="宋体"/>
          <w:b/>
          <w:color w:val="auto"/>
          <w:sz w:val="30"/>
          <w:szCs w:val="30"/>
          <w:highlight w:val="none"/>
        </w:rPr>
      </w:pPr>
    </w:p>
    <w:p w14:paraId="19D5B7FA">
      <w:pPr>
        <w:pStyle w:val="43"/>
        <w:rPr>
          <w:rFonts w:hint="eastAsia" w:ascii="宋体" w:hAnsi="宋体" w:cs="宋体"/>
          <w:b/>
          <w:color w:val="auto"/>
          <w:sz w:val="30"/>
          <w:szCs w:val="30"/>
          <w:highlight w:val="none"/>
        </w:rPr>
      </w:pPr>
    </w:p>
    <w:p w14:paraId="26102BBE">
      <w:pPr>
        <w:pStyle w:val="43"/>
        <w:rPr>
          <w:rFonts w:hint="eastAsia" w:ascii="宋体" w:hAnsi="宋体" w:cs="宋体"/>
          <w:b/>
          <w:color w:val="auto"/>
          <w:sz w:val="30"/>
          <w:szCs w:val="30"/>
          <w:highlight w:val="none"/>
        </w:rPr>
      </w:pPr>
    </w:p>
    <w:p w14:paraId="582BE64D">
      <w:pPr>
        <w:pStyle w:val="43"/>
        <w:rPr>
          <w:rFonts w:hint="eastAsia" w:ascii="宋体" w:hAnsi="宋体" w:cs="宋体"/>
          <w:b/>
          <w:color w:val="auto"/>
          <w:sz w:val="30"/>
          <w:szCs w:val="30"/>
          <w:highlight w:val="none"/>
        </w:rPr>
      </w:pPr>
    </w:p>
    <w:p w14:paraId="3E55266D">
      <w:pPr>
        <w:pStyle w:val="43"/>
        <w:rPr>
          <w:rFonts w:hint="eastAsia" w:ascii="宋体" w:hAnsi="宋体" w:cs="宋体"/>
          <w:b/>
          <w:color w:val="auto"/>
          <w:sz w:val="30"/>
          <w:szCs w:val="30"/>
          <w:highlight w:val="none"/>
        </w:rPr>
      </w:pPr>
    </w:p>
    <w:p w14:paraId="0C195FF3">
      <w:pPr>
        <w:pStyle w:val="43"/>
        <w:rPr>
          <w:rFonts w:hint="eastAsia" w:ascii="宋体" w:hAnsi="宋体" w:cs="宋体"/>
          <w:b/>
          <w:color w:val="auto"/>
          <w:sz w:val="30"/>
          <w:szCs w:val="30"/>
          <w:highlight w:val="none"/>
        </w:rPr>
      </w:pPr>
    </w:p>
    <w:p w14:paraId="6F7EDB8C">
      <w:pPr>
        <w:pStyle w:val="43"/>
        <w:rPr>
          <w:rFonts w:hint="eastAsia" w:ascii="宋体" w:hAnsi="宋体" w:cs="宋体"/>
          <w:b/>
          <w:color w:val="auto"/>
          <w:sz w:val="30"/>
          <w:szCs w:val="30"/>
          <w:highlight w:val="none"/>
        </w:rPr>
      </w:pPr>
    </w:p>
    <w:p w14:paraId="76E59BA8">
      <w:pPr>
        <w:pStyle w:val="43"/>
        <w:rPr>
          <w:rFonts w:hint="eastAsia" w:ascii="宋体" w:hAnsi="宋体" w:cs="宋体"/>
          <w:b/>
          <w:color w:val="auto"/>
          <w:sz w:val="30"/>
          <w:szCs w:val="30"/>
          <w:highlight w:val="none"/>
        </w:rPr>
      </w:pPr>
    </w:p>
    <w:p w14:paraId="6BB70B76">
      <w:pPr>
        <w:pStyle w:val="43"/>
        <w:rPr>
          <w:rFonts w:hint="eastAsia" w:ascii="宋体" w:hAnsi="宋体" w:cs="宋体"/>
          <w:b/>
          <w:color w:val="auto"/>
          <w:sz w:val="30"/>
          <w:szCs w:val="30"/>
          <w:highlight w:val="none"/>
        </w:rPr>
      </w:pPr>
    </w:p>
    <w:p w14:paraId="74DDBD39">
      <w:pPr>
        <w:pStyle w:val="43"/>
        <w:rPr>
          <w:rFonts w:hint="eastAsia" w:ascii="宋体" w:hAnsi="宋体" w:cs="宋体"/>
          <w:b/>
          <w:color w:val="auto"/>
          <w:sz w:val="30"/>
          <w:szCs w:val="30"/>
          <w:highlight w:val="none"/>
        </w:rPr>
      </w:pPr>
    </w:p>
    <w:p w14:paraId="1C3CEE54">
      <w:pPr>
        <w:pStyle w:val="43"/>
        <w:rPr>
          <w:rFonts w:hint="eastAsia" w:ascii="宋体" w:hAnsi="宋体" w:cs="宋体"/>
          <w:b/>
          <w:color w:val="auto"/>
          <w:sz w:val="30"/>
          <w:szCs w:val="30"/>
          <w:highlight w:val="none"/>
        </w:rPr>
      </w:pPr>
    </w:p>
    <w:p w14:paraId="29432F27">
      <w:pPr>
        <w:pStyle w:val="43"/>
        <w:rPr>
          <w:rFonts w:hint="eastAsia" w:ascii="宋体" w:hAnsi="宋体" w:cs="宋体"/>
          <w:b/>
          <w:color w:val="auto"/>
          <w:sz w:val="30"/>
          <w:szCs w:val="30"/>
          <w:highlight w:val="none"/>
        </w:rPr>
      </w:pPr>
    </w:p>
    <w:p w14:paraId="73E4321F">
      <w:pPr>
        <w:pStyle w:val="43"/>
        <w:rPr>
          <w:rFonts w:hint="eastAsia" w:ascii="宋体" w:hAnsi="宋体" w:cs="宋体"/>
          <w:b/>
          <w:color w:val="auto"/>
          <w:sz w:val="30"/>
          <w:szCs w:val="30"/>
          <w:highlight w:val="none"/>
        </w:rPr>
      </w:pPr>
    </w:p>
    <w:p w14:paraId="12ED6EBE">
      <w:pPr>
        <w:pStyle w:val="43"/>
        <w:rPr>
          <w:rFonts w:hint="eastAsia" w:ascii="宋体" w:hAnsi="宋体" w:cs="宋体"/>
          <w:b/>
          <w:color w:val="auto"/>
          <w:sz w:val="30"/>
          <w:szCs w:val="30"/>
          <w:highlight w:val="none"/>
        </w:rPr>
      </w:pPr>
    </w:p>
    <w:p w14:paraId="6C94E2A6">
      <w:pPr>
        <w:pStyle w:val="43"/>
        <w:rPr>
          <w:rFonts w:hint="eastAsia" w:ascii="宋体" w:hAnsi="宋体" w:cs="宋体"/>
          <w:b/>
          <w:color w:val="auto"/>
          <w:sz w:val="30"/>
          <w:szCs w:val="30"/>
          <w:highlight w:val="none"/>
        </w:rPr>
      </w:pPr>
    </w:p>
    <w:p w14:paraId="6A84B045">
      <w:pPr>
        <w:pStyle w:val="43"/>
        <w:rPr>
          <w:rFonts w:hint="eastAsia" w:ascii="宋体" w:hAnsi="宋体" w:cs="宋体"/>
          <w:b/>
          <w:color w:val="auto"/>
          <w:sz w:val="30"/>
          <w:szCs w:val="30"/>
          <w:highlight w:val="none"/>
        </w:rPr>
      </w:pPr>
    </w:p>
    <w:p w14:paraId="4F8DAE6D">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lang w:eastAsia="zh-CN"/>
        </w:rPr>
        <w:t>、采购需求内容响应偏离表</w:t>
      </w:r>
    </w:p>
    <w:p w14:paraId="7F492065">
      <w:pPr>
        <w:jc w:val="center"/>
        <w:rPr>
          <w:rFonts w:hint="eastAsia" w:ascii="宋体" w:hAnsi="宋体" w:cs="宋体"/>
          <w:b/>
          <w:color w:val="auto"/>
          <w:sz w:val="30"/>
          <w:szCs w:val="30"/>
          <w:highlight w:val="none"/>
          <w:lang w:eastAsia="zh-CN"/>
        </w:rPr>
      </w:pPr>
    </w:p>
    <w:p w14:paraId="51309534">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6A90171D">
      <w:pPr>
        <w:pStyle w:val="12"/>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8"/>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37F7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vAlign w:val="center"/>
          </w:tcPr>
          <w:p w14:paraId="2C0F04F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vAlign w:val="center"/>
          </w:tcPr>
          <w:p w14:paraId="727FABED">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vAlign w:val="center"/>
          </w:tcPr>
          <w:p w14:paraId="5F5C987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vAlign w:val="center"/>
          </w:tcPr>
          <w:p w14:paraId="3984C88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AE9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vAlign w:val="center"/>
          </w:tcPr>
          <w:p w14:paraId="514334BE">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vAlign w:val="center"/>
          </w:tcPr>
          <w:p w14:paraId="589A674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vAlign w:val="center"/>
          </w:tcPr>
          <w:p w14:paraId="28E02667">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vAlign w:val="center"/>
          </w:tcPr>
          <w:p w14:paraId="6305CB7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vAlign w:val="center"/>
          </w:tcPr>
          <w:p w14:paraId="5BF67AA4">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vAlign w:val="center"/>
          </w:tcPr>
          <w:p w14:paraId="6776093C">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vAlign w:val="center"/>
          </w:tcPr>
          <w:p w14:paraId="1939BFF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vAlign w:val="center"/>
          </w:tcPr>
          <w:p w14:paraId="24D7DFA8">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6B7F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6D4C266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vAlign w:val="center"/>
          </w:tcPr>
          <w:p w14:paraId="534E184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vAlign w:val="center"/>
          </w:tcPr>
          <w:p w14:paraId="742C931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vAlign w:val="center"/>
          </w:tcPr>
          <w:p w14:paraId="68D8304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C698BA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2D23A8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E48A0E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vAlign w:val="center"/>
          </w:tcPr>
          <w:p w14:paraId="131F911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vAlign w:val="center"/>
          </w:tcPr>
          <w:p w14:paraId="5F01541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vAlign w:val="center"/>
          </w:tcPr>
          <w:p w14:paraId="7D3D659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0D8E93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B98A19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53E82F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vAlign w:val="center"/>
          </w:tcPr>
          <w:p w14:paraId="1D2A2DCA">
            <w:pPr>
              <w:pageBreakBefore w:val="0"/>
              <w:kinsoku/>
              <w:overflowPunct/>
              <w:topLinePunct w:val="0"/>
              <w:bidi w:val="0"/>
              <w:spacing w:line="360" w:lineRule="auto"/>
              <w:rPr>
                <w:rFonts w:hint="eastAsia" w:ascii="宋体" w:hAnsi="宋体" w:eastAsia="宋体" w:cs="宋体"/>
                <w:color w:val="auto"/>
                <w:szCs w:val="21"/>
                <w:highlight w:val="none"/>
              </w:rPr>
            </w:pPr>
          </w:p>
        </w:tc>
      </w:tr>
      <w:tr w14:paraId="4AEF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441E0AF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vAlign w:val="center"/>
          </w:tcPr>
          <w:p w14:paraId="60D1644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vAlign w:val="center"/>
          </w:tcPr>
          <w:p w14:paraId="5FFC289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vAlign w:val="center"/>
          </w:tcPr>
          <w:p w14:paraId="12A7B0D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CEC589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C80980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78DD8B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vAlign w:val="center"/>
          </w:tcPr>
          <w:p w14:paraId="34F36A5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vAlign w:val="center"/>
          </w:tcPr>
          <w:p w14:paraId="3AF0D06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vAlign w:val="center"/>
          </w:tcPr>
          <w:p w14:paraId="3D05CF1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98AEED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5F1EB6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A5F80E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vAlign w:val="center"/>
          </w:tcPr>
          <w:p w14:paraId="00ADE7F4">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36A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07E132C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vAlign w:val="center"/>
          </w:tcPr>
          <w:p w14:paraId="28EF2B69">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7A0821C9">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vAlign w:val="center"/>
          </w:tcPr>
          <w:p w14:paraId="56EEB4CE">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14:paraId="63F5D9E5">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vAlign w:val="center"/>
          </w:tcPr>
          <w:p w14:paraId="5D49DACD">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1B76BB3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vAlign w:val="center"/>
          </w:tcPr>
          <w:p w14:paraId="308E0005">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494F863F">
      <w:pPr>
        <w:pStyle w:val="12"/>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615B57A4">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615F72DA">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47EC2C24">
      <w:pPr>
        <w:pStyle w:val="14"/>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5411A34D">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25355C0E">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6E55CCF">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5C2686C2">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390FB7B">
      <w:pPr>
        <w:pageBreakBefore w:val="0"/>
        <w:kinsoku/>
        <w:overflowPunct/>
        <w:topLinePunct w:val="0"/>
        <w:autoSpaceDE w:val="0"/>
        <w:autoSpaceDN w:val="0"/>
        <w:bidi w:val="0"/>
        <w:spacing w:line="360" w:lineRule="auto"/>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27BD7CC">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、企业概况表</w:t>
      </w:r>
    </w:p>
    <w:tbl>
      <w:tblPr>
        <w:tblStyle w:val="28"/>
        <w:tblW w:w="8808" w:type="dxa"/>
        <w:jc w:val="center"/>
        <w:tblLayout w:type="fixed"/>
        <w:tblCellMar>
          <w:top w:w="0" w:type="dxa"/>
          <w:left w:w="0" w:type="dxa"/>
          <w:bottom w:w="0" w:type="dxa"/>
          <w:right w:w="0" w:type="dxa"/>
        </w:tblCellMar>
      </w:tblPr>
      <w:tblGrid>
        <w:gridCol w:w="2008"/>
        <w:gridCol w:w="1318"/>
        <w:gridCol w:w="1382"/>
        <w:gridCol w:w="1400"/>
        <w:gridCol w:w="1513"/>
        <w:gridCol w:w="1187"/>
      </w:tblGrid>
      <w:tr w14:paraId="0B2D8E40">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70F704">
            <w:pPr>
              <w:spacing w:line="500" w:lineRule="exact"/>
              <w:jc w:val="center"/>
              <w:rPr>
                <w:rFonts w:ascii="新宋体" w:hAnsi="新宋体" w:eastAsia="新宋体"/>
              </w:rPr>
            </w:pPr>
            <w:r>
              <w:rPr>
                <w:rFonts w:hint="eastAsia" w:ascii="新宋体" w:hAnsi="新宋体" w:eastAsia="新宋体"/>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F41EDA">
            <w:pPr>
              <w:spacing w:line="500" w:lineRule="exact"/>
              <w:jc w:val="center"/>
              <w:rPr>
                <w:rFonts w:ascii="新宋体" w:hAnsi="新宋体" w:eastAsia="新宋体"/>
              </w:rPr>
            </w:pPr>
          </w:p>
        </w:tc>
        <w:tc>
          <w:tcPr>
            <w:tcW w:w="15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96B2E2">
            <w:pPr>
              <w:spacing w:line="500" w:lineRule="exact"/>
              <w:ind w:left="72"/>
              <w:jc w:val="center"/>
              <w:rPr>
                <w:rFonts w:ascii="新宋体" w:hAnsi="新宋体" w:eastAsia="新宋体"/>
              </w:rPr>
            </w:pPr>
            <w:r>
              <w:rPr>
                <w:rFonts w:hint="eastAsia" w:ascii="新宋体" w:hAnsi="新宋体" w:eastAsia="新宋体"/>
              </w:rPr>
              <w:t>建立日期</w:t>
            </w:r>
          </w:p>
        </w:tc>
        <w:tc>
          <w:tcPr>
            <w:tcW w:w="11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EDFD26">
            <w:pPr>
              <w:spacing w:line="500" w:lineRule="exact"/>
              <w:jc w:val="center"/>
              <w:rPr>
                <w:rFonts w:ascii="新宋体" w:hAnsi="新宋体" w:eastAsia="新宋体"/>
              </w:rPr>
            </w:pPr>
          </w:p>
        </w:tc>
      </w:tr>
      <w:tr w14:paraId="0466CF1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E56095">
            <w:pPr>
              <w:spacing w:line="500" w:lineRule="exact"/>
              <w:jc w:val="center"/>
              <w:rPr>
                <w:rFonts w:ascii="新宋体" w:hAnsi="新宋体" w:eastAsia="新宋体"/>
              </w:rPr>
            </w:pPr>
            <w:r>
              <w:rPr>
                <w:rFonts w:hint="eastAsia" w:ascii="新宋体" w:hAnsi="新宋体" w:eastAsia="新宋体"/>
              </w:rPr>
              <w:t>企业法人代表</w:t>
            </w:r>
          </w:p>
        </w:tc>
        <w:tc>
          <w:tcPr>
            <w:tcW w:w="13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4986A7FB">
            <w:pPr>
              <w:spacing w:line="500" w:lineRule="exact"/>
              <w:rPr>
                <w:rFonts w:ascii="新宋体" w:hAnsi="新宋体" w:eastAsia="新宋体"/>
              </w:rPr>
            </w:pPr>
          </w:p>
        </w:tc>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61514C">
            <w:pPr>
              <w:spacing w:line="500" w:lineRule="exact"/>
              <w:jc w:val="center"/>
              <w:rPr>
                <w:rFonts w:ascii="新宋体" w:hAnsi="新宋体" w:eastAsia="新宋体"/>
              </w:rPr>
            </w:pPr>
            <w:r>
              <w:rPr>
                <w:rFonts w:hint="eastAsia" w:ascii="新宋体" w:hAnsi="新宋体" w:eastAsia="新宋体"/>
              </w:rPr>
              <w:t>职    称</w:t>
            </w:r>
          </w:p>
        </w:tc>
        <w:tc>
          <w:tcPr>
            <w:tcW w:w="14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DD9052">
            <w:pPr>
              <w:spacing w:line="500" w:lineRule="exact"/>
              <w:jc w:val="center"/>
              <w:rPr>
                <w:rFonts w:ascii="新宋体" w:hAnsi="新宋体" w:eastAsia="新宋体"/>
              </w:rPr>
            </w:pPr>
          </w:p>
        </w:tc>
        <w:tc>
          <w:tcPr>
            <w:tcW w:w="15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528F9E">
            <w:pPr>
              <w:spacing w:line="500" w:lineRule="exact"/>
              <w:ind w:left="72"/>
              <w:jc w:val="center"/>
              <w:rPr>
                <w:rFonts w:ascii="新宋体" w:hAnsi="新宋体" w:eastAsia="新宋体"/>
              </w:rPr>
            </w:pPr>
            <w:r>
              <w:rPr>
                <w:rFonts w:hint="eastAsia" w:ascii="新宋体" w:hAnsi="新宋体" w:eastAsia="新宋体"/>
              </w:rPr>
              <w:t>企业性质</w:t>
            </w:r>
          </w:p>
        </w:tc>
        <w:tc>
          <w:tcPr>
            <w:tcW w:w="11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CE4E85">
            <w:pPr>
              <w:spacing w:line="500" w:lineRule="exact"/>
              <w:jc w:val="center"/>
              <w:rPr>
                <w:rFonts w:ascii="新宋体" w:hAnsi="新宋体" w:eastAsia="新宋体"/>
              </w:rPr>
            </w:pPr>
          </w:p>
        </w:tc>
      </w:tr>
      <w:tr w14:paraId="5F9F14D6">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A6A40F">
            <w:pPr>
              <w:spacing w:line="500" w:lineRule="exact"/>
              <w:jc w:val="center"/>
              <w:rPr>
                <w:rFonts w:ascii="新宋体" w:hAnsi="新宋体" w:eastAsia="新宋体"/>
              </w:rPr>
            </w:pPr>
            <w:r>
              <w:rPr>
                <w:rFonts w:hint="eastAsia" w:ascii="新宋体" w:hAnsi="新宋体" w:eastAsia="新宋体"/>
              </w:rPr>
              <w:t>企业资质等级</w:t>
            </w:r>
          </w:p>
        </w:tc>
        <w:tc>
          <w:tcPr>
            <w:tcW w:w="13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12BD5B5D">
            <w:pPr>
              <w:spacing w:line="500" w:lineRule="exact"/>
              <w:rPr>
                <w:rFonts w:ascii="新宋体" w:hAnsi="新宋体" w:eastAsia="新宋体"/>
              </w:rPr>
            </w:pPr>
          </w:p>
        </w:tc>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33C29F">
            <w:pPr>
              <w:spacing w:line="500" w:lineRule="exact"/>
              <w:jc w:val="center"/>
              <w:rPr>
                <w:rFonts w:ascii="新宋体" w:hAnsi="新宋体" w:eastAsia="新宋体"/>
              </w:rPr>
            </w:pPr>
            <w:r>
              <w:rPr>
                <w:rFonts w:hint="eastAsia" w:ascii="新宋体" w:hAnsi="新宋体" w:eastAsia="新宋体"/>
              </w:rPr>
              <w:t>经营方式</w:t>
            </w:r>
          </w:p>
        </w:tc>
        <w:tc>
          <w:tcPr>
            <w:tcW w:w="410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9AB4DA">
            <w:pPr>
              <w:spacing w:line="500" w:lineRule="exact"/>
              <w:jc w:val="center"/>
              <w:rPr>
                <w:rFonts w:ascii="新宋体" w:hAnsi="新宋体" w:eastAsia="新宋体"/>
              </w:rPr>
            </w:pPr>
          </w:p>
        </w:tc>
      </w:tr>
      <w:tr w14:paraId="4E59B93E">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46A649">
            <w:pPr>
              <w:spacing w:line="500" w:lineRule="exact"/>
              <w:jc w:val="center"/>
              <w:rPr>
                <w:rFonts w:ascii="新宋体" w:hAnsi="新宋体" w:eastAsia="新宋体"/>
              </w:rPr>
            </w:pPr>
            <w:r>
              <w:rPr>
                <w:rFonts w:hint="eastAsia" w:ascii="新宋体" w:hAnsi="新宋体" w:eastAsia="新宋体"/>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505550">
            <w:pPr>
              <w:spacing w:line="500" w:lineRule="exact"/>
              <w:jc w:val="center"/>
              <w:rPr>
                <w:rFonts w:ascii="新宋体" w:hAnsi="新宋体" w:eastAsia="新宋体"/>
              </w:rPr>
            </w:pPr>
          </w:p>
        </w:tc>
      </w:tr>
      <w:tr w14:paraId="718BD77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1FCF48">
            <w:pPr>
              <w:spacing w:line="500" w:lineRule="exact"/>
              <w:jc w:val="center"/>
              <w:rPr>
                <w:rFonts w:ascii="新宋体" w:hAnsi="新宋体" w:eastAsia="新宋体"/>
              </w:rPr>
            </w:pPr>
            <w:r>
              <w:rPr>
                <w:rFonts w:hint="eastAsia" w:ascii="新宋体" w:hAnsi="新宋体" w:eastAsia="新宋体"/>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52D62F31">
            <w:pPr>
              <w:spacing w:line="500" w:lineRule="exact"/>
              <w:rPr>
                <w:rFonts w:ascii="新宋体" w:hAnsi="新宋体" w:eastAsia="新宋体"/>
              </w:rPr>
            </w:pPr>
          </w:p>
        </w:tc>
      </w:tr>
      <w:tr w14:paraId="1A6547CA">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7140BE">
            <w:pPr>
              <w:spacing w:line="500" w:lineRule="exact"/>
              <w:jc w:val="center"/>
              <w:rPr>
                <w:rFonts w:ascii="新宋体" w:hAnsi="新宋体" w:eastAsia="新宋体"/>
              </w:rPr>
            </w:pPr>
            <w:r>
              <w:rPr>
                <w:rFonts w:hint="eastAsia" w:ascii="新宋体" w:hAnsi="新宋体" w:eastAsia="新宋体"/>
              </w:rPr>
              <w:t>经营范围</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2FBB0D72">
            <w:pPr>
              <w:spacing w:line="500" w:lineRule="exact"/>
              <w:rPr>
                <w:rFonts w:ascii="新宋体" w:hAnsi="新宋体" w:eastAsia="新宋体"/>
              </w:rPr>
            </w:pPr>
            <w:r>
              <w:rPr>
                <w:rFonts w:hint="eastAsia" w:ascii="新宋体" w:hAnsi="新宋体" w:eastAsia="新宋体"/>
              </w:rPr>
              <w:t xml:space="preserve">                                                                  </w:t>
            </w:r>
          </w:p>
        </w:tc>
      </w:tr>
      <w:tr w14:paraId="2BDB85ED">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86607A">
            <w:pPr>
              <w:spacing w:line="500" w:lineRule="exact"/>
              <w:jc w:val="center"/>
              <w:rPr>
                <w:rFonts w:ascii="新宋体" w:hAnsi="新宋体" w:eastAsia="新宋体"/>
              </w:rPr>
            </w:pPr>
            <w:r>
              <w:rPr>
                <w:rFonts w:hint="eastAsia" w:ascii="新宋体" w:hAnsi="新宋体" w:eastAsia="新宋体"/>
              </w:rPr>
              <w:t>企业简介</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5A9D467F">
            <w:pPr>
              <w:spacing w:line="500" w:lineRule="exact"/>
              <w:rPr>
                <w:rFonts w:ascii="新宋体" w:hAnsi="新宋体" w:eastAsia="新宋体"/>
              </w:rPr>
            </w:pPr>
          </w:p>
        </w:tc>
      </w:tr>
    </w:tbl>
    <w:p w14:paraId="29CBBFCB">
      <w:pPr>
        <w:snapToGrid w:val="0"/>
        <w:spacing w:line="360" w:lineRule="auto"/>
        <w:ind w:firstLine="602" w:firstLineChars="200"/>
        <w:rPr>
          <w:rFonts w:ascii="仿宋" w:hAnsi="仿宋" w:eastAsia="仿宋" w:cs="仿宋_GB2312"/>
          <w:b/>
          <w:sz w:val="30"/>
          <w:szCs w:val="30"/>
        </w:rPr>
      </w:pPr>
    </w:p>
    <w:p w14:paraId="0FA2175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051358C">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2C17AC2C">
      <w:pPr>
        <w:jc w:val="center"/>
        <w:rPr>
          <w:rFonts w:hint="eastAsia" w:ascii="宋体" w:hAnsi="宋体" w:cs="宋体"/>
          <w:b/>
          <w:color w:val="auto"/>
          <w:sz w:val="30"/>
          <w:szCs w:val="30"/>
          <w:highlight w:val="none"/>
          <w:lang w:eastAsia="zh-CN"/>
        </w:rPr>
      </w:pPr>
    </w:p>
    <w:p w14:paraId="0D352840">
      <w:pPr>
        <w:jc w:val="center"/>
        <w:rPr>
          <w:rFonts w:hint="eastAsia" w:ascii="宋体" w:hAnsi="宋体" w:cs="宋体"/>
          <w:b/>
          <w:color w:val="auto"/>
          <w:sz w:val="30"/>
          <w:szCs w:val="30"/>
          <w:highlight w:val="none"/>
          <w:lang w:eastAsia="zh-CN"/>
        </w:rPr>
      </w:pPr>
    </w:p>
    <w:p w14:paraId="58F09615">
      <w:pPr>
        <w:jc w:val="center"/>
        <w:rPr>
          <w:rFonts w:hint="eastAsia" w:ascii="宋体" w:hAnsi="宋体" w:cs="宋体"/>
          <w:b/>
          <w:color w:val="auto"/>
          <w:sz w:val="30"/>
          <w:szCs w:val="30"/>
          <w:highlight w:val="none"/>
          <w:lang w:eastAsia="zh-CN"/>
        </w:rPr>
      </w:pPr>
    </w:p>
    <w:p w14:paraId="6609FBBC">
      <w:pPr>
        <w:jc w:val="center"/>
        <w:rPr>
          <w:rFonts w:hint="eastAsia" w:ascii="宋体" w:hAnsi="宋体" w:cs="宋体"/>
          <w:b/>
          <w:color w:val="auto"/>
          <w:sz w:val="30"/>
          <w:szCs w:val="30"/>
          <w:highlight w:val="none"/>
          <w:lang w:eastAsia="zh-CN"/>
        </w:rPr>
      </w:pPr>
    </w:p>
    <w:p w14:paraId="63420BBA">
      <w:pPr>
        <w:jc w:val="center"/>
        <w:rPr>
          <w:rFonts w:hint="eastAsia" w:ascii="宋体" w:hAnsi="宋体" w:cs="宋体"/>
          <w:b/>
          <w:color w:val="auto"/>
          <w:sz w:val="30"/>
          <w:szCs w:val="30"/>
          <w:highlight w:val="none"/>
          <w:lang w:eastAsia="zh-CN"/>
        </w:rPr>
      </w:pPr>
    </w:p>
    <w:p w14:paraId="2A0C0A1A">
      <w:pPr>
        <w:jc w:val="center"/>
        <w:rPr>
          <w:rFonts w:hint="eastAsia" w:ascii="宋体" w:hAnsi="宋体" w:cs="宋体"/>
          <w:b/>
          <w:color w:val="auto"/>
          <w:sz w:val="30"/>
          <w:szCs w:val="30"/>
          <w:highlight w:val="none"/>
          <w:lang w:eastAsia="zh-CN"/>
        </w:rPr>
      </w:pPr>
    </w:p>
    <w:p w14:paraId="4EDE109B">
      <w:pPr>
        <w:jc w:val="center"/>
        <w:rPr>
          <w:rFonts w:ascii="宋体" w:hAnsi="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rPr>
        <w:t>项目经理（或建造师）简历表</w:t>
      </w:r>
    </w:p>
    <w:p w14:paraId="58B018EB">
      <w:pPr>
        <w:jc w:val="center"/>
        <w:rPr>
          <w:rFonts w:ascii="宋体" w:hAnsi="宋体"/>
          <w:color w:val="auto"/>
          <w:highlight w:val="none"/>
        </w:rPr>
      </w:pPr>
    </w:p>
    <w:tbl>
      <w:tblPr>
        <w:tblStyle w:val="28"/>
        <w:tblW w:w="8613" w:type="dxa"/>
        <w:jc w:val="center"/>
        <w:tblLayout w:type="fixed"/>
        <w:tblCellMar>
          <w:top w:w="0" w:type="dxa"/>
          <w:left w:w="0" w:type="dxa"/>
          <w:bottom w:w="0" w:type="dxa"/>
          <w:right w:w="0" w:type="dxa"/>
        </w:tblCellMar>
      </w:tblPr>
      <w:tblGrid>
        <w:gridCol w:w="1158"/>
        <w:gridCol w:w="2005"/>
        <w:gridCol w:w="1155"/>
        <w:gridCol w:w="1565"/>
        <w:gridCol w:w="1060"/>
        <w:gridCol w:w="1670"/>
      </w:tblGrid>
      <w:tr w14:paraId="2B3242E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70AD99">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48D16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5163AE">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8B0CA7">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F6FB20">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6D76E4">
            <w:pPr>
              <w:jc w:val="center"/>
              <w:rPr>
                <w:rFonts w:ascii="宋体" w:hAnsi="宋体"/>
                <w:color w:val="auto"/>
                <w:szCs w:val="21"/>
                <w:highlight w:val="none"/>
              </w:rPr>
            </w:pPr>
          </w:p>
        </w:tc>
      </w:tr>
      <w:tr w14:paraId="633BCAB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BDFAE2">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9DF18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D0E23C">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D58F96">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F2ABF2">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D65B7EF">
            <w:pPr>
              <w:jc w:val="center"/>
              <w:rPr>
                <w:rFonts w:ascii="宋体" w:hAnsi="宋体"/>
                <w:color w:val="auto"/>
                <w:szCs w:val="21"/>
                <w:highlight w:val="none"/>
              </w:rPr>
            </w:pPr>
          </w:p>
        </w:tc>
      </w:tr>
      <w:tr w14:paraId="1C9826AA">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0A2BAB">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B51896">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C2F824">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4A2F1A">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4FB92C">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849E95">
            <w:pPr>
              <w:jc w:val="center"/>
              <w:rPr>
                <w:rFonts w:ascii="宋体" w:hAnsi="宋体"/>
                <w:color w:val="auto"/>
                <w:szCs w:val="21"/>
                <w:highlight w:val="none"/>
              </w:rPr>
            </w:pPr>
          </w:p>
        </w:tc>
      </w:tr>
      <w:tr w14:paraId="49492364">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8AB211">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DB79D7">
            <w:pPr>
              <w:jc w:val="center"/>
              <w:rPr>
                <w:rFonts w:ascii="宋体" w:hAnsi="宋体"/>
                <w:color w:val="auto"/>
                <w:szCs w:val="21"/>
                <w:highlight w:val="none"/>
              </w:rPr>
            </w:pPr>
          </w:p>
        </w:tc>
      </w:tr>
      <w:tr w14:paraId="6D4CA8FD">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E564C0">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635A86F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B48FA2">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C0F307">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8BF549">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DA26B4">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E98773">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2D22C3A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71EE1A">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BD499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6479BC">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FE126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0D2732">
            <w:pPr>
              <w:jc w:val="center"/>
              <w:rPr>
                <w:rFonts w:ascii="宋体" w:hAnsi="宋体"/>
                <w:color w:val="auto"/>
                <w:szCs w:val="21"/>
                <w:highlight w:val="none"/>
              </w:rPr>
            </w:pPr>
          </w:p>
        </w:tc>
      </w:tr>
      <w:tr w14:paraId="199D599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09BCC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C3554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C06441">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C8D93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565843">
            <w:pPr>
              <w:jc w:val="center"/>
              <w:rPr>
                <w:rFonts w:ascii="宋体" w:hAnsi="宋体"/>
                <w:color w:val="auto"/>
                <w:szCs w:val="21"/>
                <w:highlight w:val="none"/>
              </w:rPr>
            </w:pPr>
          </w:p>
        </w:tc>
      </w:tr>
      <w:tr w14:paraId="2D9DFE6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94FAE9">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56B06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0AF323">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F3A3B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C3D36C">
            <w:pPr>
              <w:jc w:val="center"/>
              <w:rPr>
                <w:rFonts w:ascii="宋体" w:hAnsi="宋体"/>
                <w:color w:val="auto"/>
                <w:szCs w:val="21"/>
                <w:highlight w:val="none"/>
              </w:rPr>
            </w:pPr>
          </w:p>
        </w:tc>
      </w:tr>
      <w:tr w14:paraId="72B210A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4DABA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42B67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EC22E0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1EA958">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65349B">
            <w:pPr>
              <w:jc w:val="center"/>
              <w:rPr>
                <w:rFonts w:ascii="宋体" w:hAnsi="宋体"/>
                <w:color w:val="auto"/>
                <w:szCs w:val="21"/>
                <w:highlight w:val="none"/>
              </w:rPr>
            </w:pPr>
          </w:p>
        </w:tc>
      </w:tr>
      <w:tr w14:paraId="3BE5415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04984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50983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B0E8B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8BFFB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0A6063">
            <w:pPr>
              <w:jc w:val="center"/>
              <w:rPr>
                <w:rFonts w:ascii="宋体" w:hAnsi="宋体"/>
                <w:color w:val="auto"/>
                <w:szCs w:val="21"/>
                <w:highlight w:val="none"/>
              </w:rPr>
            </w:pPr>
          </w:p>
        </w:tc>
      </w:tr>
      <w:tr w14:paraId="1D8558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6DD79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11541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FB944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13A39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EC525B">
            <w:pPr>
              <w:jc w:val="center"/>
              <w:rPr>
                <w:rFonts w:ascii="宋体" w:hAnsi="宋体"/>
                <w:color w:val="auto"/>
                <w:szCs w:val="21"/>
                <w:highlight w:val="none"/>
              </w:rPr>
            </w:pPr>
          </w:p>
        </w:tc>
      </w:tr>
      <w:tr w14:paraId="0C11BF4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EB1AC1">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49EF1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43F90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DB5178">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F12947">
            <w:pPr>
              <w:jc w:val="center"/>
              <w:rPr>
                <w:rFonts w:ascii="宋体" w:hAnsi="宋体"/>
                <w:color w:val="auto"/>
                <w:szCs w:val="21"/>
                <w:highlight w:val="none"/>
              </w:rPr>
            </w:pPr>
          </w:p>
        </w:tc>
      </w:tr>
      <w:tr w14:paraId="1FC3448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635E6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7698E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4C1A73">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14BF6A">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4B2322">
            <w:pPr>
              <w:jc w:val="center"/>
              <w:rPr>
                <w:rFonts w:ascii="宋体" w:hAnsi="宋体"/>
                <w:color w:val="auto"/>
                <w:szCs w:val="21"/>
                <w:highlight w:val="none"/>
              </w:rPr>
            </w:pPr>
          </w:p>
        </w:tc>
      </w:tr>
      <w:tr w14:paraId="6309B63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26EB52">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BAA91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6CADF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98B61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DC3796">
            <w:pPr>
              <w:jc w:val="center"/>
              <w:rPr>
                <w:rFonts w:ascii="宋体" w:hAnsi="宋体"/>
                <w:color w:val="auto"/>
                <w:szCs w:val="21"/>
                <w:highlight w:val="none"/>
              </w:rPr>
            </w:pPr>
          </w:p>
        </w:tc>
      </w:tr>
      <w:tr w14:paraId="4E3129E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3BECE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D810A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37E423">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931055">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F32941">
            <w:pPr>
              <w:jc w:val="center"/>
              <w:rPr>
                <w:rFonts w:ascii="宋体" w:hAnsi="宋体"/>
                <w:color w:val="auto"/>
                <w:szCs w:val="21"/>
                <w:highlight w:val="none"/>
              </w:rPr>
            </w:pPr>
          </w:p>
        </w:tc>
      </w:tr>
      <w:tr w14:paraId="2FEED56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C5670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E0477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D9C9C6">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1ED6F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B789A5">
            <w:pPr>
              <w:jc w:val="center"/>
              <w:rPr>
                <w:rFonts w:ascii="宋体" w:hAnsi="宋体"/>
                <w:color w:val="auto"/>
                <w:szCs w:val="21"/>
                <w:highlight w:val="none"/>
              </w:rPr>
            </w:pPr>
          </w:p>
        </w:tc>
      </w:tr>
      <w:tr w14:paraId="6D101D8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E73F7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1FDD9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0CCF2F">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1A6DA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7650D7">
            <w:pPr>
              <w:jc w:val="center"/>
              <w:rPr>
                <w:rFonts w:ascii="宋体" w:hAnsi="宋体"/>
                <w:color w:val="auto"/>
                <w:szCs w:val="21"/>
                <w:highlight w:val="none"/>
              </w:rPr>
            </w:pPr>
          </w:p>
        </w:tc>
      </w:tr>
    </w:tbl>
    <w:p w14:paraId="5143DCEF">
      <w:pPr>
        <w:rPr>
          <w:rFonts w:ascii="宋体" w:hAnsi="宋体"/>
          <w:color w:val="auto"/>
          <w:szCs w:val="21"/>
          <w:highlight w:val="none"/>
        </w:rPr>
      </w:pPr>
    </w:p>
    <w:p w14:paraId="7766CACB">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w:t>
      </w:r>
    </w:p>
    <w:p w14:paraId="14472EF7">
      <w:pPr>
        <w:rPr>
          <w:rFonts w:ascii="宋体" w:hAnsi="宋体"/>
          <w:b/>
          <w:color w:val="auto"/>
          <w:szCs w:val="21"/>
          <w:highlight w:val="none"/>
        </w:rPr>
      </w:pPr>
    </w:p>
    <w:p w14:paraId="627D59A8">
      <w:pPr>
        <w:rPr>
          <w:rFonts w:ascii="宋体" w:hAnsi="宋体"/>
          <w:b/>
          <w:color w:val="auto"/>
          <w:szCs w:val="21"/>
          <w:highlight w:val="none"/>
        </w:rPr>
      </w:pPr>
    </w:p>
    <w:p w14:paraId="042BC5B1">
      <w:pPr>
        <w:rPr>
          <w:rFonts w:ascii="宋体" w:hAnsi="宋体"/>
          <w:b/>
          <w:color w:val="auto"/>
          <w:szCs w:val="21"/>
          <w:highlight w:val="none"/>
        </w:rPr>
      </w:pPr>
    </w:p>
    <w:p w14:paraId="3D3A7608">
      <w:pPr>
        <w:rPr>
          <w:rFonts w:ascii="宋体" w:hAnsi="宋体"/>
          <w:b/>
          <w:color w:val="auto"/>
          <w:szCs w:val="21"/>
          <w:highlight w:val="none"/>
        </w:rPr>
      </w:pPr>
    </w:p>
    <w:p w14:paraId="4DBE0627">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030A93A1">
      <w:pPr>
        <w:pStyle w:val="24"/>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776BE85A">
      <w:pPr>
        <w:pStyle w:val="24"/>
        <w:snapToGrid w:val="0"/>
        <w:spacing w:line="360" w:lineRule="auto"/>
        <w:ind w:left="480" w:hanging="480"/>
        <w:rPr>
          <w:rFonts w:hint="eastAsia" w:ascii="宋体" w:hAnsi="宋体" w:eastAsia="宋体" w:cs="宋体"/>
          <w:color w:val="auto"/>
          <w:sz w:val="24"/>
          <w:highlight w:val="none"/>
        </w:rPr>
      </w:pPr>
    </w:p>
    <w:p w14:paraId="01D430D8">
      <w:pPr>
        <w:pStyle w:val="24"/>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5700BA3">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r>
        <w:rPr>
          <w:rFonts w:hint="eastAsia" w:ascii="宋体" w:hAnsi="宋体" w:cs="宋体"/>
          <w:b/>
          <w:color w:val="auto"/>
          <w:sz w:val="28"/>
          <w:szCs w:val="28"/>
          <w:highlight w:val="none"/>
          <w:lang w:val="en-US" w:eastAsia="zh-CN"/>
        </w:rPr>
        <w:t>十</w:t>
      </w:r>
      <w:r>
        <w:rPr>
          <w:rFonts w:hint="eastAsia" w:ascii="宋体" w:hAnsi="宋体" w:cs="宋体"/>
          <w:b/>
          <w:color w:val="auto"/>
          <w:sz w:val="28"/>
          <w:szCs w:val="28"/>
          <w:highlight w:val="none"/>
        </w:rPr>
        <w:t>、项目管理机构配备情况表</w:t>
      </w:r>
    </w:p>
    <w:p w14:paraId="708046C9">
      <w:pPr>
        <w:widowControl/>
        <w:rPr>
          <w:rFonts w:hint="eastAsia" w:ascii="宋体" w:hAnsi="宋体" w:cs="宋体"/>
          <w:color w:val="auto"/>
          <w:szCs w:val="21"/>
          <w:highlight w:val="none"/>
          <w:u w:val="single"/>
        </w:rPr>
      </w:pPr>
      <w:bookmarkStart w:id="168" w:name="_Toc251052185"/>
    </w:p>
    <w:p w14:paraId="1FCDCA55">
      <w:pPr>
        <w:widowControl/>
        <w:ind w:firstLine="210" w:firstLineChars="100"/>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rPr>
        <w:t>项目名称</w:t>
      </w:r>
      <w:bookmarkEnd w:id="168"/>
      <w:r>
        <w:rPr>
          <w:rFonts w:hint="eastAsia" w:ascii="宋体" w:hAnsi="宋体" w:cs="宋体"/>
          <w:color w:val="auto"/>
          <w:szCs w:val="21"/>
          <w:highlight w:val="none"/>
          <w:u w:val="single"/>
          <w:lang w:eastAsia="zh-CN"/>
        </w:rPr>
        <w:t>：隆安县布泉乡布泉水厂提升改造工程</w:t>
      </w:r>
    </w:p>
    <w:p w14:paraId="752B2A37">
      <w:pPr>
        <w:widowControl/>
        <w:ind w:firstLine="210" w:firstLineChars="100"/>
        <w:rPr>
          <w:rFonts w:hint="eastAsia" w:ascii="宋体" w:hAnsi="宋体" w:cs="宋体"/>
          <w:color w:val="auto"/>
          <w:szCs w:val="21"/>
          <w:highlight w:val="none"/>
          <w:u w:val="single"/>
          <w:lang w:val="en-US" w:eastAsia="zh-CN"/>
        </w:rPr>
      </w:pPr>
    </w:p>
    <w:p w14:paraId="01208CAF">
      <w:pPr>
        <w:widowControl/>
        <w:ind w:firstLine="210" w:firstLineChars="100"/>
        <w:rPr>
          <w:rFonts w:hint="default"/>
          <w:color w:val="auto"/>
          <w:highlight w:val="none"/>
          <w:lang w:val="en-US" w:eastAsia="zh-CN"/>
        </w:rPr>
      </w:pPr>
      <w:r>
        <w:rPr>
          <w:rFonts w:hint="eastAsia" w:ascii="宋体" w:hAnsi="宋体" w:cs="宋体"/>
          <w:color w:val="auto"/>
          <w:szCs w:val="21"/>
          <w:highlight w:val="none"/>
          <w:u w:val="single"/>
          <w:lang w:val="en-US" w:eastAsia="zh-CN"/>
        </w:rPr>
        <w:t xml:space="preserve">项目编号：              </w:t>
      </w:r>
    </w:p>
    <w:tbl>
      <w:tblPr>
        <w:tblStyle w:val="2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41EF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7" w:hRule="atLeast"/>
          <w:jc w:val="center"/>
        </w:trPr>
        <w:tc>
          <w:tcPr>
            <w:tcW w:w="994" w:type="dxa"/>
            <w:vMerge w:val="restart"/>
            <w:tcBorders>
              <w:top w:val="single" w:color="auto" w:sz="4" w:space="0"/>
              <w:left w:val="single" w:color="auto" w:sz="4" w:space="0"/>
              <w:bottom w:val="single" w:color="auto" w:sz="4" w:space="0"/>
              <w:right w:val="single" w:color="auto" w:sz="4" w:space="0"/>
            </w:tcBorders>
            <w:vAlign w:val="center"/>
          </w:tcPr>
          <w:p w14:paraId="0AAA4D6B">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30" w:type="dxa"/>
            <w:vMerge w:val="restart"/>
            <w:tcBorders>
              <w:top w:val="single" w:color="auto" w:sz="4" w:space="0"/>
              <w:left w:val="single" w:color="auto" w:sz="4" w:space="0"/>
              <w:bottom w:val="single" w:color="auto" w:sz="4" w:space="0"/>
              <w:right w:val="single" w:color="auto" w:sz="4" w:space="0"/>
            </w:tcBorders>
            <w:vAlign w:val="center"/>
          </w:tcPr>
          <w:p w14:paraId="6D464F20">
            <w:pPr>
              <w:ind w:left="223" w:hanging="222" w:hangingChars="106"/>
              <w:jc w:val="center"/>
              <w:rPr>
                <w:rFonts w:ascii="宋体" w:hAnsi="宋体"/>
                <w:color w:val="auto"/>
                <w:szCs w:val="21"/>
                <w:highlight w:val="none"/>
              </w:rPr>
            </w:pPr>
            <w:bookmarkStart w:id="169" w:name="_Toc251052187"/>
            <w:r>
              <w:rPr>
                <w:rFonts w:hint="eastAsia" w:ascii="宋体" w:hAnsi="宋体" w:cs="宋体"/>
                <w:color w:val="auto"/>
                <w:szCs w:val="21"/>
                <w:highlight w:val="none"/>
              </w:rPr>
              <w:t>姓名</w:t>
            </w:r>
            <w:bookmarkEnd w:id="169"/>
          </w:p>
        </w:tc>
        <w:tc>
          <w:tcPr>
            <w:tcW w:w="817" w:type="dxa"/>
            <w:vMerge w:val="restart"/>
            <w:tcBorders>
              <w:top w:val="single" w:color="auto" w:sz="4" w:space="0"/>
              <w:left w:val="single" w:color="auto" w:sz="4" w:space="0"/>
              <w:bottom w:val="single" w:color="auto" w:sz="4" w:space="0"/>
              <w:right w:val="single" w:color="auto" w:sz="4" w:space="0"/>
            </w:tcBorders>
            <w:vAlign w:val="center"/>
          </w:tcPr>
          <w:p w14:paraId="6EEA6F49">
            <w:pPr>
              <w:ind w:left="223" w:hanging="222" w:hangingChars="106"/>
              <w:jc w:val="center"/>
              <w:rPr>
                <w:rFonts w:ascii="宋体" w:hAnsi="宋体"/>
                <w:color w:val="auto"/>
                <w:szCs w:val="21"/>
                <w:highlight w:val="none"/>
              </w:rPr>
            </w:pPr>
            <w:bookmarkStart w:id="170" w:name="_Toc251052188"/>
            <w:r>
              <w:rPr>
                <w:rFonts w:hint="eastAsia" w:ascii="宋体" w:hAnsi="宋体" w:cs="宋体"/>
                <w:color w:val="auto"/>
                <w:szCs w:val="21"/>
                <w:highlight w:val="none"/>
              </w:rPr>
              <w:t>职称</w:t>
            </w:r>
            <w:bookmarkEnd w:id="170"/>
          </w:p>
        </w:tc>
        <w:tc>
          <w:tcPr>
            <w:tcW w:w="4592" w:type="dxa"/>
            <w:gridSpan w:val="4"/>
            <w:tcBorders>
              <w:top w:val="single" w:color="auto" w:sz="4" w:space="0"/>
              <w:left w:val="single" w:color="auto" w:sz="4" w:space="0"/>
              <w:bottom w:val="single" w:color="auto" w:sz="4" w:space="0"/>
              <w:right w:val="single" w:color="auto" w:sz="4" w:space="0"/>
            </w:tcBorders>
            <w:vAlign w:val="center"/>
          </w:tcPr>
          <w:p w14:paraId="53380D54">
            <w:pPr>
              <w:ind w:left="223" w:hanging="222" w:hangingChars="106"/>
              <w:jc w:val="center"/>
              <w:rPr>
                <w:rFonts w:ascii="宋体" w:hAnsi="宋体"/>
                <w:color w:val="auto"/>
                <w:szCs w:val="21"/>
                <w:highlight w:val="none"/>
              </w:rPr>
            </w:pPr>
            <w:bookmarkStart w:id="171" w:name="_Toc251052189"/>
            <w:r>
              <w:rPr>
                <w:rFonts w:hint="eastAsia" w:ascii="宋体" w:hAnsi="宋体" w:cs="宋体"/>
                <w:color w:val="auto"/>
                <w:szCs w:val="21"/>
                <w:highlight w:val="none"/>
              </w:rPr>
              <w:t>执业或职业资格证明</w:t>
            </w:r>
            <w:bookmarkEnd w:id="171"/>
          </w:p>
        </w:tc>
        <w:tc>
          <w:tcPr>
            <w:tcW w:w="2127" w:type="dxa"/>
            <w:gridSpan w:val="2"/>
            <w:tcBorders>
              <w:top w:val="single" w:color="auto" w:sz="4" w:space="0"/>
              <w:left w:val="single" w:color="auto" w:sz="4" w:space="0"/>
              <w:bottom w:val="single" w:color="auto" w:sz="4" w:space="0"/>
              <w:right w:val="single" w:color="auto" w:sz="4" w:space="0"/>
            </w:tcBorders>
            <w:vAlign w:val="center"/>
          </w:tcPr>
          <w:p w14:paraId="03C3AAAF">
            <w:pPr>
              <w:ind w:left="223" w:hanging="222" w:hangingChars="106"/>
              <w:jc w:val="center"/>
              <w:rPr>
                <w:rFonts w:ascii="宋体" w:hAnsi="宋体"/>
                <w:color w:val="auto"/>
                <w:szCs w:val="21"/>
                <w:highlight w:val="none"/>
              </w:rPr>
            </w:pPr>
            <w:bookmarkStart w:id="172" w:name="_Toc251052190"/>
            <w:r>
              <w:rPr>
                <w:rFonts w:hint="eastAsia" w:ascii="宋体" w:hAnsi="宋体" w:cs="宋体"/>
                <w:color w:val="auto"/>
                <w:szCs w:val="21"/>
                <w:highlight w:val="none"/>
              </w:rPr>
              <w:t>承担完工</w:t>
            </w:r>
            <w:bookmarkEnd w:id="172"/>
            <w:bookmarkStart w:id="173" w:name="_Toc251052191"/>
            <w:r>
              <w:rPr>
                <w:rFonts w:hint="eastAsia" w:ascii="宋体" w:hAnsi="宋体" w:cs="宋体"/>
                <w:color w:val="auto"/>
                <w:szCs w:val="21"/>
                <w:highlight w:val="none"/>
              </w:rPr>
              <w:t>工程情况</w:t>
            </w:r>
            <w:bookmarkEnd w:id="173"/>
          </w:p>
        </w:tc>
      </w:tr>
      <w:tr w14:paraId="2AE4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4" w:type="dxa"/>
            <w:vMerge w:val="continue"/>
            <w:tcBorders>
              <w:top w:val="single" w:color="auto" w:sz="4" w:space="0"/>
              <w:left w:val="single" w:color="auto" w:sz="4" w:space="0"/>
              <w:bottom w:val="single" w:color="auto" w:sz="4" w:space="0"/>
              <w:right w:val="single" w:color="auto" w:sz="4" w:space="0"/>
            </w:tcBorders>
            <w:vAlign w:val="center"/>
          </w:tcPr>
          <w:p w14:paraId="550C92DD">
            <w:pPr>
              <w:rPr>
                <w:rFonts w:ascii="宋体" w:hAnsi="宋体"/>
                <w:color w:val="auto"/>
                <w:szCs w:val="21"/>
                <w:highlight w:val="none"/>
              </w:rPr>
            </w:pPr>
          </w:p>
        </w:tc>
        <w:tc>
          <w:tcPr>
            <w:tcW w:w="830" w:type="dxa"/>
            <w:vMerge w:val="continue"/>
            <w:tcBorders>
              <w:top w:val="single" w:color="auto" w:sz="4" w:space="0"/>
              <w:left w:val="single" w:color="auto" w:sz="4" w:space="0"/>
              <w:bottom w:val="single" w:color="auto" w:sz="4" w:space="0"/>
              <w:right w:val="single" w:color="auto" w:sz="4" w:space="0"/>
            </w:tcBorders>
            <w:vAlign w:val="center"/>
          </w:tcPr>
          <w:p w14:paraId="71880622">
            <w:pPr>
              <w:rPr>
                <w:rFonts w:ascii="宋体" w:hAnsi="宋体"/>
                <w:color w:val="auto"/>
                <w:szCs w:val="21"/>
                <w:highlight w:val="none"/>
              </w:rPr>
            </w:pPr>
          </w:p>
        </w:tc>
        <w:tc>
          <w:tcPr>
            <w:tcW w:w="817" w:type="dxa"/>
            <w:vMerge w:val="continue"/>
            <w:tcBorders>
              <w:top w:val="single" w:color="auto" w:sz="4" w:space="0"/>
              <w:left w:val="single" w:color="auto" w:sz="4" w:space="0"/>
              <w:bottom w:val="single" w:color="auto" w:sz="4" w:space="0"/>
              <w:right w:val="single" w:color="auto" w:sz="4" w:space="0"/>
            </w:tcBorders>
            <w:vAlign w:val="center"/>
          </w:tcPr>
          <w:p w14:paraId="1529D252">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5C555525">
            <w:pPr>
              <w:ind w:left="223" w:hanging="222" w:hangingChars="106"/>
              <w:jc w:val="center"/>
              <w:rPr>
                <w:rFonts w:ascii="宋体" w:hAnsi="宋体"/>
                <w:color w:val="auto"/>
                <w:szCs w:val="21"/>
                <w:highlight w:val="none"/>
              </w:rPr>
            </w:pPr>
            <w:bookmarkStart w:id="174" w:name="_Toc251052192"/>
            <w:r>
              <w:rPr>
                <w:rFonts w:hint="eastAsia" w:ascii="宋体" w:hAnsi="宋体" w:cs="宋体"/>
                <w:color w:val="auto"/>
                <w:szCs w:val="21"/>
                <w:highlight w:val="none"/>
              </w:rPr>
              <w:t>证书名称</w:t>
            </w:r>
            <w:bookmarkEnd w:id="174"/>
          </w:p>
        </w:tc>
        <w:tc>
          <w:tcPr>
            <w:tcW w:w="1148" w:type="dxa"/>
            <w:tcBorders>
              <w:top w:val="single" w:color="auto" w:sz="4" w:space="0"/>
              <w:left w:val="single" w:color="auto" w:sz="4" w:space="0"/>
              <w:bottom w:val="single" w:color="auto" w:sz="4" w:space="0"/>
              <w:right w:val="single" w:color="auto" w:sz="4" w:space="0"/>
            </w:tcBorders>
            <w:vAlign w:val="center"/>
          </w:tcPr>
          <w:p w14:paraId="00DE80CB">
            <w:pPr>
              <w:ind w:left="223" w:hanging="222" w:hangingChars="106"/>
              <w:jc w:val="center"/>
              <w:rPr>
                <w:rFonts w:ascii="宋体" w:hAnsi="宋体"/>
                <w:color w:val="auto"/>
                <w:szCs w:val="21"/>
                <w:highlight w:val="none"/>
              </w:rPr>
            </w:pPr>
            <w:bookmarkStart w:id="175" w:name="_Toc251052193"/>
            <w:r>
              <w:rPr>
                <w:rFonts w:hint="eastAsia" w:ascii="宋体" w:hAnsi="宋体" w:cs="宋体"/>
                <w:color w:val="auto"/>
                <w:szCs w:val="21"/>
                <w:highlight w:val="none"/>
              </w:rPr>
              <w:t>级别</w:t>
            </w:r>
            <w:bookmarkEnd w:id="175"/>
          </w:p>
        </w:tc>
        <w:tc>
          <w:tcPr>
            <w:tcW w:w="1148" w:type="dxa"/>
            <w:tcBorders>
              <w:top w:val="single" w:color="auto" w:sz="4" w:space="0"/>
              <w:left w:val="single" w:color="auto" w:sz="4" w:space="0"/>
              <w:bottom w:val="single" w:color="auto" w:sz="4" w:space="0"/>
              <w:right w:val="single" w:color="auto" w:sz="4" w:space="0"/>
            </w:tcBorders>
            <w:vAlign w:val="center"/>
          </w:tcPr>
          <w:p w14:paraId="2848F744">
            <w:pPr>
              <w:ind w:left="223" w:hanging="222" w:hangingChars="106"/>
              <w:jc w:val="center"/>
              <w:rPr>
                <w:rFonts w:ascii="宋体" w:hAnsi="宋体"/>
                <w:color w:val="auto"/>
                <w:szCs w:val="21"/>
                <w:highlight w:val="none"/>
              </w:rPr>
            </w:pPr>
            <w:bookmarkStart w:id="176" w:name="_Toc251052194"/>
            <w:r>
              <w:rPr>
                <w:rFonts w:hint="eastAsia" w:ascii="宋体" w:hAnsi="宋体" w:cs="宋体"/>
                <w:color w:val="auto"/>
                <w:szCs w:val="21"/>
                <w:highlight w:val="none"/>
              </w:rPr>
              <w:t>证号</w:t>
            </w:r>
            <w:bookmarkEnd w:id="176"/>
          </w:p>
        </w:tc>
        <w:tc>
          <w:tcPr>
            <w:tcW w:w="1148" w:type="dxa"/>
            <w:tcBorders>
              <w:top w:val="single" w:color="auto" w:sz="4" w:space="0"/>
              <w:left w:val="single" w:color="auto" w:sz="4" w:space="0"/>
              <w:bottom w:val="single" w:color="auto" w:sz="4" w:space="0"/>
              <w:right w:val="single" w:color="auto" w:sz="4" w:space="0"/>
            </w:tcBorders>
            <w:vAlign w:val="center"/>
          </w:tcPr>
          <w:p w14:paraId="5F0D2584">
            <w:pPr>
              <w:ind w:left="223" w:hanging="222" w:hangingChars="106"/>
              <w:jc w:val="center"/>
              <w:rPr>
                <w:rFonts w:ascii="宋体" w:hAnsi="宋体"/>
                <w:color w:val="auto"/>
                <w:szCs w:val="21"/>
                <w:highlight w:val="none"/>
              </w:rPr>
            </w:pPr>
            <w:bookmarkStart w:id="177" w:name="_Toc251052195"/>
            <w:r>
              <w:rPr>
                <w:rFonts w:hint="eastAsia" w:ascii="宋体" w:hAnsi="宋体" w:cs="宋体"/>
                <w:color w:val="auto"/>
                <w:szCs w:val="21"/>
                <w:highlight w:val="none"/>
              </w:rPr>
              <w:t>专业</w:t>
            </w:r>
            <w:bookmarkEnd w:id="177"/>
          </w:p>
        </w:tc>
        <w:tc>
          <w:tcPr>
            <w:tcW w:w="850" w:type="dxa"/>
            <w:tcBorders>
              <w:top w:val="single" w:color="auto" w:sz="4" w:space="0"/>
              <w:left w:val="single" w:color="auto" w:sz="4" w:space="0"/>
              <w:bottom w:val="single" w:color="auto" w:sz="4" w:space="0"/>
              <w:right w:val="single" w:color="auto" w:sz="4" w:space="0"/>
            </w:tcBorders>
            <w:vAlign w:val="center"/>
          </w:tcPr>
          <w:p w14:paraId="516BAE42">
            <w:pPr>
              <w:ind w:left="223" w:hanging="222" w:hangingChars="106"/>
              <w:jc w:val="center"/>
              <w:rPr>
                <w:rFonts w:ascii="宋体" w:hAnsi="宋体"/>
                <w:color w:val="auto"/>
                <w:szCs w:val="21"/>
                <w:highlight w:val="none"/>
              </w:rPr>
            </w:pPr>
            <w:bookmarkStart w:id="178" w:name="_Toc251052197"/>
            <w:r>
              <w:rPr>
                <w:rFonts w:hint="eastAsia" w:ascii="宋体" w:hAnsi="宋体" w:cs="宋体"/>
                <w:color w:val="auto"/>
                <w:szCs w:val="21"/>
                <w:highlight w:val="none"/>
              </w:rPr>
              <w:t>项目数</w:t>
            </w:r>
            <w:bookmarkEnd w:id="178"/>
          </w:p>
        </w:tc>
        <w:tc>
          <w:tcPr>
            <w:tcW w:w="1277" w:type="dxa"/>
            <w:tcBorders>
              <w:top w:val="single" w:color="auto" w:sz="4" w:space="0"/>
              <w:left w:val="single" w:color="auto" w:sz="4" w:space="0"/>
              <w:bottom w:val="single" w:color="auto" w:sz="4" w:space="0"/>
              <w:right w:val="single" w:color="auto" w:sz="4" w:space="0"/>
            </w:tcBorders>
            <w:vAlign w:val="center"/>
          </w:tcPr>
          <w:p w14:paraId="2B71303F">
            <w:pPr>
              <w:ind w:left="223" w:hanging="222" w:hangingChars="106"/>
              <w:jc w:val="center"/>
              <w:rPr>
                <w:rFonts w:ascii="宋体" w:hAnsi="宋体"/>
                <w:color w:val="auto"/>
                <w:szCs w:val="21"/>
                <w:highlight w:val="none"/>
              </w:rPr>
            </w:pPr>
            <w:bookmarkStart w:id="179" w:name="_Toc251052198"/>
            <w:r>
              <w:rPr>
                <w:rFonts w:hint="eastAsia" w:ascii="宋体" w:hAnsi="宋体" w:cs="宋体"/>
                <w:color w:val="auto"/>
                <w:szCs w:val="21"/>
                <w:highlight w:val="none"/>
              </w:rPr>
              <w:t>主要项目</w:t>
            </w:r>
          </w:p>
          <w:p w14:paraId="01BD2899">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79"/>
          </w:p>
        </w:tc>
      </w:tr>
      <w:tr w14:paraId="477F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443A361E">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71998BC7">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7980E30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D5D709D">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EEA95B0">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0651B6C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4CAA3317">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35700159">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5E4FB959">
            <w:pPr>
              <w:ind w:left="223" w:hanging="222" w:hangingChars="106"/>
              <w:jc w:val="center"/>
              <w:rPr>
                <w:rFonts w:ascii="宋体" w:hAnsi="宋体"/>
                <w:color w:val="auto"/>
                <w:szCs w:val="21"/>
                <w:highlight w:val="none"/>
              </w:rPr>
            </w:pPr>
          </w:p>
        </w:tc>
      </w:tr>
      <w:tr w14:paraId="0CB0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34676C27">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3934D03F">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00E873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221EC23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B4AC5E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45F8F7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7664D31">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3E47BB83">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20B4768D">
            <w:pPr>
              <w:ind w:left="223" w:hanging="222" w:hangingChars="106"/>
              <w:jc w:val="center"/>
              <w:rPr>
                <w:rFonts w:ascii="宋体" w:hAnsi="宋体"/>
                <w:color w:val="auto"/>
                <w:szCs w:val="21"/>
                <w:highlight w:val="none"/>
              </w:rPr>
            </w:pPr>
          </w:p>
        </w:tc>
      </w:tr>
      <w:tr w14:paraId="62F5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8C0FBE0">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4D0F671B">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7B9430F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CC6353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8B48E2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E9A8DA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EADB274">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80AD7F6">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0B6C97B8">
            <w:pPr>
              <w:ind w:left="223" w:hanging="222" w:hangingChars="106"/>
              <w:jc w:val="center"/>
              <w:rPr>
                <w:rFonts w:ascii="宋体" w:hAnsi="宋体"/>
                <w:color w:val="auto"/>
                <w:szCs w:val="21"/>
                <w:highlight w:val="none"/>
              </w:rPr>
            </w:pPr>
          </w:p>
        </w:tc>
      </w:tr>
      <w:tr w14:paraId="1952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EEC825F">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475D9BC2">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3C786F99">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172320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6CDA48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2543A1A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BBBEE0D">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7C072181">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6F46E4BA">
            <w:pPr>
              <w:ind w:left="223" w:hanging="222" w:hangingChars="106"/>
              <w:jc w:val="center"/>
              <w:rPr>
                <w:rFonts w:ascii="宋体" w:hAnsi="宋体"/>
                <w:color w:val="auto"/>
                <w:szCs w:val="21"/>
                <w:highlight w:val="none"/>
              </w:rPr>
            </w:pPr>
          </w:p>
        </w:tc>
      </w:tr>
    </w:tbl>
    <w:p w14:paraId="13265F48">
      <w:pPr>
        <w:jc w:val="center"/>
        <w:rPr>
          <w:rFonts w:ascii="宋体" w:hAnsi="宋体"/>
          <w:b/>
          <w:color w:val="auto"/>
          <w:szCs w:val="21"/>
          <w:highlight w:val="none"/>
        </w:rPr>
      </w:pPr>
    </w:p>
    <w:p w14:paraId="64667BC0">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16764A3A">
      <w:pPr>
        <w:spacing w:line="440" w:lineRule="exact"/>
        <w:jc w:val="center"/>
        <w:rPr>
          <w:rFonts w:ascii="宋体" w:hAnsi="宋体"/>
          <w:b/>
          <w:color w:val="auto"/>
          <w:szCs w:val="21"/>
          <w:highlight w:val="none"/>
        </w:rPr>
      </w:pPr>
    </w:p>
    <w:p w14:paraId="7232E438">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7E72834C">
      <w:pPr>
        <w:pStyle w:val="13"/>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0AA099B7">
      <w:pPr>
        <w:snapToGrid w:val="0"/>
        <w:spacing w:line="360" w:lineRule="auto"/>
        <w:ind w:left="480" w:hanging="480"/>
        <w:rPr>
          <w:rFonts w:hint="eastAsia"/>
          <w:color w:val="auto"/>
          <w:sz w:val="24"/>
          <w:szCs w:val="24"/>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A3EA408">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十一、施工组织设计</w:t>
      </w:r>
    </w:p>
    <w:p w14:paraId="32C93CC8">
      <w:pPr>
        <w:numPr>
          <w:ilvl w:val="0"/>
          <w:numId w:val="0"/>
        </w:numPr>
        <w:ind w:firstLine="630" w:firstLineChars="300"/>
        <w:outlineLvl w:val="9"/>
        <w:rPr>
          <w:rFonts w:hint="eastAsia"/>
          <w:color w:val="auto"/>
          <w:highlight w:val="none"/>
          <w:lang w:val="en-US" w:eastAsia="zh-CN"/>
        </w:rPr>
      </w:pPr>
      <w:r>
        <w:rPr>
          <w:rFonts w:hint="eastAsia" w:hAnsi="宋体"/>
        </w:rPr>
        <w:t>由供应商</w:t>
      </w:r>
      <w:r>
        <w:rPr>
          <w:rFonts w:hint="eastAsia" w:hAnsi="宋体"/>
          <w:lang w:eastAsia="zh-CN"/>
        </w:rPr>
        <w:t>根据</w:t>
      </w:r>
      <w:r>
        <w:rPr>
          <w:rFonts w:hint="eastAsia" w:hAnsi="宋体"/>
        </w:rPr>
        <w:t>本项目“采购需求”</w:t>
      </w:r>
      <w:r>
        <w:rPr>
          <w:rFonts w:hint="eastAsia" w:hAnsi="宋体"/>
          <w:lang w:eastAsia="zh-CN"/>
        </w:rPr>
        <w:t>及评审内容</w:t>
      </w:r>
      <w:r>
        <w:rPr>
          <w:rFonts w:hint="eastAsia" w:hAnsi="宋体"/>
        </w:rPr>
        <w:t>自行</w:t>
      </w:r>
      <w:r>
        <w:rPr>
          <w:rFonts w:hint="eastAsia" w:hAnsi="宋体"/>
          <w:lang w:eastAsia="zh-CN"/>
        </w:rPr>
        <w:t>编</w:t>
      </w:r>
      <w:r>
        <w:rPr>
          <w:rFonts w:hint="eastAsia" w:hAnsi="宋体"/>
        </w:rPr>
        <w:t>写。</w:t>
      </w:r>
    </w:p>
    <w:p w14:paraId="352889DB">
      <w:pPr>
        <w:outlineLvl w:val="9"/>
        <w:rPr>
          <w:rFonts w:hint="eastAsia"/>
          <w:color w:val="auto"/>
          <w:highlight w:val="none"/>
          <w:lang w:val="en-US" w:eastAsia="zh-CN"/>
        </w:rPr>
      </w:pPr>
    </w:p>
    <w:p w14:paraId="224B5A7C">
      <w:pPr>
        <w:outlineLvl w:val="9"/>
        <w:rPr>
          <w:rFonts w:hint="eastAsia"/>
          <w:color w:val="auto"/>
          <w:highlight w:val="none"/>
          <w:lang w:val="en-US" w:eastAsia="zh-CN"/>
        </w:rPr>
      </w:pPr>
    </w:p>
    <w:p w14:paraId="4568F6B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DF8AC1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07C7B2A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32C4F1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708253C">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B2DADB3">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8826434">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6C89425C">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502899E">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046CF99D">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983F63A">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3D4620B">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6AC672B8">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835755E">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17D7A2F">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1E24A343">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7DDDBA6">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5D310117">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428EB79">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534A92F6">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4DBC9071">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1B573DB7">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3E79D39">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65102688">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71F965B">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w:t>
      </w:r>
      <w:r>
        <w:rPr>
          <w:rFonts w:hint="eastAsia" w:ascii="宋体" w:hAnsi="宋体" w:eastAsia="宋体" w:cs="宋体"/>
          <w:b/>
          <w:color w:val="auto"/>
          <w:sz w:val="28"/>
          <w:szCs w:val="28"/>
          <w:highlight w:val="none"/>
          <w:lang w:val="en-US" w:eastAsia="zh-CN"/>
        </w:rPr>
        <w:t>供应商认为需要提供的其他有关资料</w:t>
      </w:r>
    </w:p>
    <w:p w14:paraId="2E8C1D59">
      <w:pPr>
        <w:numPr>
          <w:ilvl w:val="0"/>
          <w:numId w:val="0"/>
        </w:numPr>
        <w:outlineLvl w:val="9"/>
        <w:rPr>
          <w:rFonts w:hint="eastAsia"/>
          <w:color w:val="auto"/>
          <w:highlight w:val="none"/>
          <w:lang w:val="en-US" w:eastAsia="zh-CN"/>
        </w:rPr>
      </w:pPr>
    </w:p>
    <w:p w14:paraId="43CB79A1">
      <w:pPr>
        <w:outlineLvl w:val="9"/>
        <w:rPr>
          <w:rFonts w:hint="eastAsia"/>
          <w:color w:val="auto"/>
          <w:highlight w:val="none"/>
          <w:lang w:val="en-US" w:eastAsia="zh-CN"/>
        </w:rPr>
      </w:pPr>
    </w:p>
    <w:p w14:paraId="279B8846">
      <w:pPr>
        <w:outlineLvl w:val="9"/>
        <w:rPr>
          <w:rFonts w:hint="eastAsia"/>
          <w:color w:val="auto"/>
          <w:highlight w:val="none"/>
          <w:lang w:val="en-US" w:eastAsia="zh-CN"/>
        </w:rPr>
      </w:pPr>
    </w:p>
    <w:p w14:paraId="56340F8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85FAD7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B80C9A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F420712">
      <w:pPr>
        <w:pStyle w:val="1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1F5960DC">
      <w:pPr>
        <w:pStyle w:val="24"/>
        <w:snapToGrid w:val="0"/>
        <w:spacing w:line="360" w:lineRule="auto"/>
        <w:ind w:left="409" w:leftChars="195" w:firstLine="6240" w:firstLineChars="2600"/>
        <w:rPr>
          <w:rFonts w:hint="eastAsia" w:ascii="仿宋" w:hAnsi="仿宋" w:eastAsia="仿宋" w:cs="仿宋"/>
          <w:color w:val="auto"/>
          <w:sz w:val="24"/>
          <w:szCs w:val="24"/>
          <w:highlight w:val="none"/>
        </w:rPr>
      </w:pPr>
    </w:p>
    <w:p w14:paraId="2E346F1F">
      <w:pPr>
        <w:pStyle w:val="24"/>
        <w:snapToGrid w:val="0"/>
        <w:spacing w:line="360" w:lineRule="auto"/>
        <w:ind w:left="480" w:hanging="480"/>
        <w:rPr>
          <w:rFonts w:hint="eastAsia" w:ascii="宋体" w:hAnsi="宋体" w:eastAsia="宋体" w:cs="宋体"/>
          <w:color w:val="auto"/>
          <w:sz w:val="24"/>
          <w:highlight w:val="none"/>
        </w:rPr>
      </w:pPr>
    </w:p>
    <w:p w14:paraId="2E3D9885">
      <w:pPr>
        <w:pStyle w:val="24"/>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530169F">
      <w:pPr>
        <w:autoSpaceDE w:val="0"/>
        <w:autoSpaceDN w:val="0"/>
        <w:spacing w:line="360" w:lineRule="auto"/>
        <w:ind w:firstLine="6505" w:firstLineChars="2700"/>
        <w:rPr>
          <w:rFonts w:hint="eastAsia" w:ascii="宋体" w:hAnsi="宋体" w:eastAsia="宋体" w:cs="宋体"/>
          <w:b/>
          <w:bCs/>
          <w:color w:val="auto"/>
          <w:sz w:val="24"/>
          <w:highlight w:val="none"/>
        </w:rPr>
      </w:pPr>
    </w:p>
    <w:p w14:paraId="6289E299">
      <w:pPr>
        <w:pStyle w:val="4"/>
        <w:spacing w:line="360" w:lineRule="auto"/>
        <w:jc w:val="center"/>
        <w:rPr>
          <w:rFonts w:hint="eastAsia" w:ascii="宋体" w:hAnsi="宋体" w:eastAsia="宋体" w:cs="宋体"/>
          <w:color w:val="auto"/>
          <w:highlight w:val="none"/>
          <w:lang w:val="en-US" w:eastAsia="zh-CN"/>
        </w:rPr>
      </w:pPr>
      <w:bookmarkStart w:id="180" w:name="_Toc7838"/>
      <w:bookmarkStart w:id="181" w:name="_Toc9136"/>
      <w:bookmarkStart w:id="182" w:name="_Toc12752"/>
      <w:bookmarkStart w:id="183" w:name="_Toc4162"/>
      <w:bookmarkStart w:id="184" w:name="_Toc14497"/>
      <w:bookmarkStart w:id="185" w:name="_Toc80205941"/>
      <w:bookmarkStart w:id="186" w:name="_Toc23387"/>
      <w:r>
        <w:rPr>
          <w:rFonts w:hint="eastAsia" w:ascii="宋体" w:hAnsi="宋体" w:eastAsia="宋体" w:cs="宋体"/>
          <w:color w:val="auto"/>
          <w:highlight w:val="none"/>
          <w:lang w:val="en-US" w:eastAsia="zh-CN"/>
        </w:rPr>
        <w:t>第四节 报价文件格式</w:t>
      </w:r>
      <w:bookmarkEnd w:id="180"/>
      <w:bookmarkEnd w:id="181"/>
      <w:bookmarkEnd w:id="182"/>
      <w:bookmarkEnd w:id="183"/>
      <w:bookmarkEnd w:id="184"/>
      <w:bookmarkEnd w:id="185"/>
      <w:bookmarkEnd w:id="186"/>
    </w:p>
    <w:p w14:paraId="26E737D4">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14270A9B">
      <w:pPr>
        <w:snapToGrid w:val="0"/>
        <w:spacing w:before="120" w:beforeLines="50" w:after="50" w:line="360" w:lineRule="auto"/>
        <w:rPr>
          <w:rFonts w:hint="eastAsia" w:ascii="宋体" w:hAnsi="宋体" w:eastAsia="宋体" w:cs="宋体"/>
          <w:color w:val="auto"/>
          <w:sz w:val="24"/>
          <w:szCs w:val="20"/>
          <w:highlight w:val="none"/>
        </w:rPr>
      </w:pPr>
    </w:p>
    <w:p w14:paraId="5C27E414">
      <w:pPr>
        <w:snapToGrid w:val="0"/>
        <w:spacing w:before="120" w:beforeLines="50" w:after="50" w:line="360" w:lineRule="auto"/>
        <w:rPr>
          <w:rFonts w:hint="eastAsia" w:ascii="宋体" w:hAnsi="宋体" w:eastAsia="宋体" w:cs="宋体"/>
          <w:color w:val="auto"/>
          <w:sz w:val="24"/>
          <w:szCs w:val="20"/>
          <w:highlight w:val="none"/>
        </w:rPr>
      </w:pPr>
    </w:p>
    <w:p w14:paraId="411D9610">
      <w:pPr>
        <w:snapToGrid w:val="0"/>
        <w:spacing w:before="120" w:beforeLines="50" w:after="50" w:line="360" w:lineRule="auto"/>
        <w:rPr>
          <w:rFonts w:hint="eastAsia" w:ascii="宋体" w:hAnsi="宋体" w:eastAsia="宋体" w:cs="宋体"/>
          <w:color w:val="auto"/>
          <w:sz w:val="24"/>
          <w:szCs w:val="20"/>
          <w:highlight w:val="none"/>
        </w:rPr>
      </w:pPr>
    </w:p>
    <w:p w14:paraId="540184FA">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件（封面）</w:t>
      </w:r>
    </w:p>
    <w:p w14:paraId="3C3AFF11">
      <w:pPr>
        <w:snapToGrid w:val="0"/>
        <w:spacing w:before="120" w:beforeLines="50" w:after="50" w:line="360" w:lineRule="auto"/>
        <w:rPr>
          <w:rFonts w:hint="eastAsia" w:ascii="宋体" w:hAnsi="宋体" w:eastAsia="宋体" w:cs="宋体"/>
          <w:bCs/>
          <w:color w:val="auto"/>
          <w:sz w:val="24"/>
          <w:szCs w:val="20"/>
          <w:highlight w:val="none"/>
        </w:rPr>
      </w:pPr>
    </w:p>
    <w:p w14:paraId="55AA9060">
      <w:pPr>
        <w:snapToGrid w:val="0"/>
        <w:spacing w:before="120" w:beforeLines="50" w:after="50" w:line="360" w:lineRule="auto"/>
        <w:rPr>
          <w:rFonts w:hint="eastAsia" w:ascii="宋体" w:hAnsi="宋体" w:eastAsia="宋体" w:cs="宋体"/>
          <w:bCs/>
          <w:color w:val="auto"/>
          <w:sz w:val="24"/>
          <w:szCs w:val="20"/>
          <w:highlight w:val="none"/>
        </w:rPr>
      </w:pPr>
    </w:p>
    <w:p w14:paraId="46F9D16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隆安县布泉乡布泉水厂提升改造工程</w:t>
      </w:r>
    </w:p>
    <w:p w14:paraId="3B016AA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5A32EE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197FCFB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EFA53D7">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5306A12">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E8BC70C">
      <w:pPr>
        <w:pStyle w:val="8"/>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9365299">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p>
    <w:p w14:paraId="3F09C190">
      <w:pPr>
        <w:pStyle w:val="8"/>
        <w:snapToGrid w:val="0"/>
        <w:spacing w:before="50" w:after="50" w:line="360" w:lineRule="auto"/>
        <w:ind w:firstLine="1280" w:firstLineChars="400"/>
        <w:rPr>
          <w:rFonts w:hint="eastAsia" w:ascii="宋体" w:hAnsi="宋体" w:eastAsia="宋体" w:cs="宋体"/>
          <w:bCs/>
          <w:color w:val="auto"/>
          <w:sz w:val="32"/>
          <w:szCs w:val="32"/>
          <w:highlight w:val="none"/>
        </w:rPr>
      </w:pPr>
    </w:p>
    <w:p w14:paraId="0182416A">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4FA8783">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kern w:val="0"/>
          <w:sz w:val="36"/>
          <w:szCs w:val="36"/>
          <w:highlight w:val="none"/>
        </w:rPr>
        <w:t>报价文件目录</w:t>
      </w:r>
    </w:p>
    <w:p w14:paraId="7A8D14D5">
      <w:pPr>
        <w:spacing w:line="360" w:lineRule="auto"/>
        <w:rPr>
          <w:rFonts w:hint="eastAsia" w:ascii="宋体" w:hAnsi="宋体" w:eastAsia="宋体" w:cs="宋体"/>
          <w:color w:val="auto"/>
          <w:highlight w:val="none"/>
        </w:rPr>
      </w:pPr>
    </w:p>
    <w:p w14:paraId="7974C56A">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一、响应函………………………………………………………（页码）</w:t>
      </w:r>
    </w:p>
    <w:p w14:paraId="7DF16993">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二、响应报价表…………………………………………………（页码）</w:t>
      </w:r>
    </w:p>
    <w:p w14:paraId="541E3F45">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已标价工程量清单</w:t>
      </w:r>
      <w:r>
        <w:rPr>
          <w:rFonts w:hint="eastAsia" w:ascii="宋体" w:hAnsi="宋体" w:eastAsia="宋体" w:cs="宋体"/>
          <w:color w:val="auto"/>
          <w:highlight w:val="none"/>
        </w:rPr>
        <w:t>…………………………………………（页码）</w:t>
      </w:r>
    </w:p>
    <w:p w14:paraId="765AC9A0">
      <w:pPr>
        <w:pStyle w:val="35"/>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四、安全文明施工措施费承诺书………………………………（页码）</w:t>
      </w:r>
    </w:p>
    <w:p w14:paraId="38D99614">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供应商认为需要提供的其他有关资料……………………（页码）</w:t>
      </w:r>
    </w:p>
    <w:p w14:paraId="401EDD90">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23EFF465">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57E2B1F5">
      <w:pPr>
        <w:pStyle w:val="17"/>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3FCC415D">
      <w:pPr>
        <w:pStyle w:val="17"/>
        <w:spacing w:line="360" w:lineRule="auto"/>
        <w:rPr>
          <w:rFonts w:hint="eastAsia" w:ascii="宋体" w:hAnsi="宋体" w:eastAsia="宋体" w:cs="宋体"/>
          <w:color w:val="auto"/>
          <w:sz w:val="32"/>
          <w:highlight w:val="none"/>
        </w:rPr>
      </w:pPr>
    </w:p>
    <w:p w14:paraId="15EC5D4F">
      <w:pPr>
        <w:pStyle w:val="1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2E434BA0">
      <w:pPr>
        <w:pStyle w:val="17"/>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隆安县布泉乡布泉水厂提升改造工程</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705505BE">
      <w:pPr>
        <w:pStyle w:val="17"/>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一、首次报价文件</w:t>
      </w:r>
      <w:r>
        <w:rPr>
          <w:rFonts w:hint="eastAsia" w:ascii="宋体" w:hAnsi="宋体" w:eastAsia="宋体" w:cs="宋体"/>
          <w:color w:val="000000" w:themeColor="text1"/>
          <w:sz w:val="21"/>
          <w:szCs w:val="21"/>
          <w:highlight w:val="none"/>
          <w:lang w:eastAsia="zh-CN"/>
          <w14:textFill>
            <w14:solidFill>
              <w14:schemeClr w14:val="tx1"/>
            </w14:solidFill>
          </w14:textFill>
        </w:rPr>
        <w:t>电子版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份（包含按</w:t>
      </w:r>
      <w:r>
        <w:rPr>
          <w:rFonts w:hint="eastAsia" w:ascii="宋体" w:hAnsi="宋体" w:eastAsia="宋体" w:cs="宋体"/>
          <w:color w:val="000000" w:themeColor="text1"/>
          <w:sz w:val="21"/>
          <w:szCs w:val="21"/>
          <w:highlight w:val="none"/>
          <w:lang w:eastAsia="zh-CN"/>
          <w14:textFill>
            <w14:solidFill>
              <w14:schemeClr w14:val="tx1"/>
            </w14:solidFill>
          </w14:textFill>
        </w:rPr>
        <w:t>“第三章 供应商须知”</w:t>
      </w:r>
      <w:r>
        <w:rPr>
          <w:rFonts w:hint="eastAsia" w:ascii="宋体" w:hAnsi="宋体" w:eastAsia="宋体" w:cs="宋体"/>
          <w:color w:val="000000" w:themeColor="text1"/>
          <w:sz w:val="21"/>
          <w:szCs w:val="21"/>
          <w:highlight w:val="none"/>
          <w14:textFill>
            <w14:solidFill>
              <w14:schemeClr w14:val="tx1"/>
            </w14:solidFill>
          </w14:textFill>
        </w:rPr>
        <w:t>提交的全部文件）；</w:t>
      </w:r>
    </w:p>
    <w:p w14:paraId="00399899">
      <w:pPr>
        <w:pStyle w:val="17"/>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二、技术文件</w:t>
      </w:r>
      <w:r>
        <w:rPr>
          <w:rFonts w:hint="eastAsia" w:ascii="宋体" w:hAnsi="宋体" w:eastAsia="宋体" w:cs="宋体"/>
          <w:color w:val="000000" w:themeColor="text1"/>
          <w:sz w:val="21"/>
          <w:szCs w:val="21"/>
          <w:highlight w:val="none"/>
          <w:lang w:eastAsia="zh-CN"/>
          <w14:textFill>
            <w14:solidFill>
              <w14:schemeClr w14:val="tx1"/>
            </w14:solidFill>
          </w14:textFill>
        </w:rPr>
        <w:t>电子版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份（包含按</w:t>
      </w:r>
      <w:r>
        <w:rPr>
          <w:rFonts w:hint="eastAsia" w:ascii="宋体" w:hAnsi="宋体" w:eastAsia="宋体" w:cs="宋体"/>
          <w:color w:val="000000" w:themeColor="text1"/>
          <w:sz w:val="21"/>
          <w:szCs w:val="21"/>
          <w:highlight w:val="none"/>
          <w:lang w:eastAsia="zh-CN"/>
          <w14:textFill>
            <w14:solidFill>
              <w14:schemeClr w14:val="tx1"/>
            </w14:solidFill>
          </w14:textFill>
        </w:rPr>
        <w:t>“第三章 供应商须知”</w:t>
      </w:r>
      <w:r>
        <w:rPr>
          <w:rFonts w:hint="eastAsia" w:ascii="宋体" w:hAnsi="宋体" w:eastAsia="宋体" w:cs="宋体"/>
          <w:color w:val="000000" w:themeColor="text1"/>
          <w:sz w:val="21"/>
          <w:szCs w:val="21"/>
          <w:highlight w:val="none"/>
          <w14:textFill>
            <w14:solidFill>
              <w14:schemeClr w14:val="tx1"/>
            </w14:solidFill>
          </w14:textFill>
        </w:rPr>
        <w:t>提交的全部文件）；商务文件</w:t>
      </w:r>
      <w:r>
        <w:rPr>
          <w:rFonts w:hint="eastAsia" w:ascii="宋体" w:hAnsi="宋体" w:eastAsia="宋体" w:cs="宋体"/>
          <w:color w:val="000000" w:themeColor="text1"/>
          <w:sz w:val="21"/>
          <w:szCs w:val="21"/>
          <w:highlight w:val="none"/>
          <w:lang w:eastAsia="zh-CN"/>
          <w14:textFill>
            <w14:solidFill>
              <w14:schemeClr w14:val="tx1"/>
            </w14:solidFill>
          </w14:textFill>
        </w:rPr>
        <w:t>电子版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份（包含按</w:t>
      </w:r>
      <w:r>
        <w:rPr>
          <w:rFonts w:hint="eastAsia" w:ascii="宋体" w:hAnsi="宋体" w:eastAsia="宋体" w:cs="宋体"/>
          <w:color w:val="000000" w:themeColor="text1"/>
          <w:sz w:val="21"/>
          <w:szCs w:val="21"/>
          <w:highlight w:val="none"/>
          <w:lang w:eastAsia="zh-CN"/>
          <w14:textFill>
            <w14:solidFill>
              <w14:schemeClr w14:val="tx1"/>
            </w14:solidFill>
          </w14:textFill>
        </w:rPr>
        <w:t>“第三章 供应商须知”</w:t>
      </w:r>
      <w:r>
        <w:rPr>
          <w:rFonts w:hint="eastAsia" w:ascii="宋体" w:hAnsi="宋体" w:eastAsia="宋体" w:cs="宋体"/>
          <w:color w:val="000000" w:themeColor="text1"/>
          <w:sz w:val="21"/>
          <w:szCs w:val="21"/>
          <w:highlight w:val="none"/>
          <w14:textFill>
            <w14:solidFill>
              <w14:schemeClr w14:val="tx1"/>
            </w14:solidFill>
          </w14:textFill>
        </w:rPr>
        <w:t>提交的全部文件）；</w:t>
      </w:r>
      <w:r>
        <w:rPr>
          <w:rFonts w:hint="eastAsia" w:ascii="宋体" w:hAnsi="宋体" w:eastAsia="宋体" w:cs="宋体"/>
          <w:color w:val="000000" w:themeColor="text1"/>
          <w:sz w:val="21"/>
          <w:szCs w:val="21"/>
          <w:highlight w:val="none"/>
          <w:lang w:eastAsia="zh-CN"/>
          <w14:textFill>
            <w14:solidFill>
              <w14:schemeClr w14:val="tx1"/>
            </w14:solidFill>
          </w14:textFill>
        </w:rPr>
        <w:t>（商务技术文件已合并装订成册）</w:t>
      </w:r>
    </w:p>
    <w:p w14:paraId="1D3569AA">
      <w:pPr>
        <w:pStyle w:val="17"/>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06A6FFC1">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w:t>
      </w:r>
      <w:r>
        <w:rPr>
          <w:rFonts w:hint="eastAsia" w:ascii="宋体" w:hAnsi="宋体" w:eastAsia="宋体" w:cs="宋体"/>
          <w:color w:val="000000" w:themeColor="text1"/>
          <w:sz w:val="21"/>
          <w:szCs w:val="21"/>
          <w:highlight w:val="none"/>
          <w14:textFill>
            <w14:solidFill>
              <w14:schemeClr w14:val="tx1"/>
            </w14:solidFill>
          </w14:textFill>
        </w:rPr>
        <w:t>我方承接本项目</w:t>
      </w:r>
      <w:r>
        <w:rPr>
          <w:rFonts w:hint="eastAsia" w:ascii="宋体" w:hAnsi="宋体" w:eastAsia="宋体" w:cs="宋体"/>
          <w:color w:val="000000" w:themeColor="text1"/>
          <w:spacing w:val="8"/>
          <w:sz w:val="21"/>
          <w:szCs w:val="21"/>
          <w14:textFill>
            <w14:solidFill>
              <w14:schemeClr w14:val="tx1"/>
            </w14:solidFill>
          </w14:textFill>
        </w:rPr>
        <w:t>磋商</w:t>
      </w:r>
      <w:r>
        <w:rPr>
          <w:rFonts w:hint="eastAsia" w:ascii="宋体" w:hAnsi="宋体" w:eastAsia="宋体" w:cs="宋体"/>
          <w:color w:val="000000" w:themeColor="text1"/>
          <w:sz w:val="21"/>
          <w:szCs w:val="21"/>
          <w:highlight w:val="none"/>
          <w14:textFill>
            <w14:solidFill>
              <w14:schemeClr w14:val="tx1"/>
            </w14:solidFill>
          </w14:textFill>
        </w:rPr>
        <w:t>报价为人民币（大写）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           </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auto"/>
          <w:sz w:val="21"/>
          <w:szCs w:val="21"/>
          <w:highlight w:val="none"/>
        </w:rPr>
        <w:t>上述合同条件、技术规范、图纸的条件承包本采购范围内全部工程的施工、竣工和保修。</w:t>
      </w:r>
    </w:p>
    <w:p w14:paraId="7B8026EB">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r>
        <w:rPr>
          <w:rFonts w:hint="eastAsia" w:ascii="宋体" w:hAnsi="宋体" w:eastAsia="宋体" w:cs="宋体"/>
          <w:color w:val="auto"/>
          <w:sz w:val="21"/>
          <w:szCs w:val="21"/>
          <w:highlight w:val="none"/>
          <w:lang w:eastAsia="zh-CN"/>
        </w:rPr>
        <w:t>，</w:t>
      </w:r>
      <w:r>
        <w:rPr>
          <w:rFonts w:hint="eastAsia" w:ascii="宋体" w:hAnsi="宋体" w:eastAsia="宋体" w:cs="宋体"/>
          <w:sz w:val="21"/>
          <w:szCs w:val="21"/>
        </w:rPr>
        <w:t>并保证工程质量</w:t>
      </w:r>
      <w:r>
        <w:rPr>
          <w:rFonts w:hint="eastAsia" w:ascii="宋体" w:hAnsi="宋体" w:eastAsia="宋体" w:cs="宋体"/>
          <w:sz w:val="21"/>
          <w:szCs w:val="21"/>
          <w:u w:val="single"/>
        </w:rPr>
        <w:t xml:space="preserve">      </w:t>
      </w:r>
      <w:r>
        <w:rPr>
          <w:rFonts w:hint="eastAsia" w:ascii="宋体" w:hAnsi="宋体" w:eastAsia="宋体" w:cs="宋体"/>
          <w:color w:val="auto"/>
          <w:sz w:val="21"/>
          <w:szCs w:val="21"/>
          <w:highlight w:val="none"/>
        </w:rPr>
        <w:t>。</w:t>
      </w:r>
    </w:p>
    <w:p w14:paraId="1E52DF4B">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0F700D8D">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1391D144">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5FC5290B">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、我方承诺未被列入失信被执行人、重大税收违法失信主体、政府采购严重违法失信行为记录名单，并已经具备《中华人民共和国政府采购法》中规定的参加政府采购活动的供应商应当具备的条件：</w:t>
      </w:r>
    </w:p>
    <w:p w14:paraId="06F5D551">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0979486B">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7DC1E3D3">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5D8F5D74">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97A2CEB">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75530D2A">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37F0B12E">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50D390A7">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725A658E">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181D8C0E">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41680025">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009B78D3">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BEA413">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526B0479">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2C47B8B0">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6089BF52">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7CDD5FC3">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1A16BB3F">
      <w:pPr>
        <w:pStyle w:val="17"/>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09B79A2F">
      <w:pPr>
        <w:pStyle w:val="17"/>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2502F9CB">
      <w:pPr>
        <w:pStyle w:val="17"/>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E5A5266">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11CEFC5A">
      <w:pPr>
        <w:pStyle w:val="17"/>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48E9F099">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54456F3C">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1BD6D329">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3137AA5D">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732D6ECC">
      <w:pPr>
        <w:pStyle w:val="15"/>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5D153FD7">
      <w:pPr>
        <w:spacing w:line="360" w:lineRule="auto"/>
        <w:contextualSpacing/>
        <w:jc w:val="left"/>
        <w:rPr>
          <w:rFonts w:hint="eastAsia" w:ascii="宋体" w:hAnsi="宋体" w:eastAsia="宋体" w:cs="宋体"/>
          <w:color w:val="auto"/>
          <w:szCs w:val="21"/>
          <w:highlight w:val="none"/>
        </w:rPr>
      </w:pPr>
    </w:p>
    <w:p w14:paraId="649B88A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E95FD01">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614D3EE">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DC68916">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二、响应报价表</w:t>
      </w:r>
    </w:p>
    <w:p w14:paraId="1EDCC7DE">
      <w:pPr>
        <w:snapToGrid w:val="0"/>
        <w:spacing w:before="50" w:after="50" w:line="360" w:lineRule="auto"/>
        <w:rPr>
          <w:rFonts w:hint="eastAsia" w:ascii="宋体" w:hAnsi="宋体" w:eastAsia="宋体" w:cs="宋体"/>
          <w:color w:val="auto"/>
          <w:sz w:val="24"/>
          <w:highlight w:val="none"/>
        </w:rPr>
      </w:pPr>
    </w:p>
    <w:p w14:paraId="35B7AF51">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lang w:eastAsia="zh-CN"/>
        </w:rPr>
        <w:t>隆安县布泉乡布泉水厂提升改造工程</w:t>
      </w:r>
    </w:p>
    <w:p w14:paraId="1BD8C1F0">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1034E037">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28"/>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168"/>
        <w:gridCol w:w="1080"/>
        <w:gridCol w:w="2686"/>
        <w:gridCol w:w="1124"/>
      </w:tblGrid>
      <w:tr w14:paraId="59D4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0D5BBEF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68" w:type="dxa"/>
            <w:tcBorders>
              <w:top w:val="single" w:color="auto" w:sz="4" w:space="0"/>
              <w:left w:val="single" w:color="auto" w:sz="4" w:space="0"/>
              <w:bottom w:val="single" w:color="auto" w:sz="4" w:space="0"/>
              <w:right w:val="single" w:color="auto" w:sz="4" w:space="0"/>
            </w:tcBorders>
            <w:vAlign w:val="center"/>
          </w:tcPr>
          <w:p w14:paraId="62ED9A63">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工程</w:t>
            </w:r>
            <w:r>
              <w:rPr>
                <w:rFonts w:hint="eastAsia" w:ascii="宋体" w:hAnsi="宋体" w:eastAsia="宋体" w:cs="宋体"/>
                <w:color w:val="auto"/>
                <w:sz w:val="24"/>
                <w:szCs w:val="24"/>
                <w:highlight w:val="none"/>
                <w:lang w:eastAsia="zh-CN"/>
              </w:rPr>
              <w:t>名称</w:t>
            </w:r>
          </w:p>
        </w:tc>
        <w:tc>
          <w:tcPr>
            <w:tcW w:w="1080" w:type="dxa"/>
            <w:tcBorders>
              <w:top w:val="single" w:color="auto" w:sz="4" w:space="0"/>
              <w:left w:val="single" w:color="auto" w:sz="4" w:space="0"/>
              <w:bottom w:val="single" w:color="auto" w:sz="4" w:space="0"/>
              <w:right w:val="single" w:color="auto" w:sz="4" w:space="0"/>
            </w:tcBorders>
            <w:vAlign w:val="center"/>
          </w:tcPr>
          <w:p w14:paraId="35A0361B">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2686" w:type="dxa"/>
            <w:tcBorders>
              <w:top w:val="single" w:color="auto" w:sz="4" w:space="0"/>
              <w:left w:val="single" w:color="auto" w:sz="4" w:space="0"/>
              <w:bottom w:val="single" w:color="auto" w:sz="4" w:space="0"/>
              <w:right w:val="single" w:color="auto" w:sz="4" w:space="0"/>
            </w:tcBorders>
            <w:vAlign w:val="center"/>
          </w:tcPr>
          <w:p w14:paraId="622F10D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24" w:type="dxa"/>
            <w:tcBorders>
              <w:top w:val="single" w:color="auto" w:sz="4" w:space="0"/>
              <w:left w:val="single" w:color="auto" w:sz="4" w:space="0"/>
              <w:bottom w:val="single" w:color="auto" w:sz="4" w:space="0"/>
              <w:right w:val="single" w:color="auto" w:sz="4" w:space="0"/>
            </w:tcBorders>
            <w:vAlign w:val="center"/>
          </w:tcPr>
          <w:p w14:paraId="796BB57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1D49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6773E50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168" w:type="dxa"/>
            <w:tcBorders>
              <w:top w:val="single" w:color="auto" w:sz="4" w:space="0"/>
              <w:left w:val="single" w:color="auto" w:sz="4" w:space="0"/>
              <w:bottom w:val="single" w:color="auto" w:sz="4" w:space="0"/>
              <w:right w:val="single" w:color="auto" w:sz="4" w:space="0"/>
            </w:tcBorders>
            <w:vAlign w:val="center"/>
          </w:tcPr>
          <w:p w14:paraId="3ED5AAD9">
            <w:pPr>
              <w:jc w:val="center"/>
              <w:rPr>
                <w:rFonts w:hint="eastAsia" w:ascii="宋体" w:hAnsi="宋体" w:eastAsia="宋体" w:cs="宋体"/>
                <w:color w:val="auto"/>
                <w:sz w:val="24"/>
                <w:szCs w:val="24"/>
                <w:highlight w:val="none"/>
              </w:rPr>
            </w:pPr>
            <w:r>
              <w:rPr>
                <w:rFonts w:hint="eastAsia" w:ascii="宋体" w:hAnsi="宋体" w:cs="宋体"/>
                <w:color w:val="auto"/>
                <w:sz w:val="24"/>
                <w:highlight w:val="none"/>
                <w:lang w:eastAsia="zh-CN"/>
              </w:rPr>
              <w:t>隆安县布泉乡布泉水厂提升改造工程</w:t>
            </w:r>
          </w:p>
        </w:tc>
        <w:tc>
          <w:tcPr>
            <w:tcW w:w="1080" w:type="dxa"/>
            <w:tcBorders>
              <w:top w:val="single" w:color="auto" w:sz="4" w:space="0"/>
              <w:left w:val="single" w:color="auto" w:sz="4" w:space="0"/>
              <w:bottom w:val="single" w:color="auto" w:sz="4" w:space="0"/>
              <w:right w:val="single" w:color="auto" w:sz="4" w:space="0"/>
            </w:tcBorders>
            <w:vAlign w:val="center"/>
          </w:tcPr>
          <w:p w14:paraId="6DBD160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2686" w:type="dxa"/>
            <w:tcBorders>
              <w:top w:val="single" w:color="auto" w:sz="4" w:space="0"/>
              <w:left w:val="single" w:color="auto" w:sz="4" w:space="0"/>
              <w:bottom w:val="single" w:color="auto" w:sz="4" w:space="0"/>
              <w:right w:val="single" w:color="auto" w:sz="4" w:space="0"/>
            </w:tcBorders>
            <w:vAlign w:val="center"/>
          </w:tcPr>
          <w:p w14:paraId="0C66C78B">
            <w:pPr>
              <w:jc w:val="center"/>
              <w:rPr>
                <w:rFonts w:hint="eastAsia" w:ascii="宋体" w:hAnsi="宋体" w:eastAsia="宋体" w:cs="宋体"/>
                <w:color w:val="auto"/>
                <w:sz w:val="24"/>
                <w:szCs w:val="24"/>
                <w:highlight w:val="none"/>
              </w:rPr>
            </w:pPr>
          </w:p>
        </w:tc>
        <w:tc>
          <w:tcPr>
            <w:tcW w:w="1124" w:type="dxa"/>
            <w:tcBorders>
              <w:top w:val="single" w:color="auto" w:sz="4" w:space="0"/>
              <w:left w:val="single" w:color="auto" w:sz="4" w:space="0"/>
              <w:bottom w:val="single" w:color="auto" w:sz="4" w:space="0"/>
              <w:right w:val="single" w:color="auto" w:sz="4" w:space="0"/>
            </w:tcBorders>
            <w:vAlign w:val="center"/>
          </w:tcPr>
          <w:p w14:paraId="44CA153E">
            <w:pPr>
              <w:jc w:val="center"/>
              <w:rPr>
                <w:rFonts w:hint="eastAsia" w:ascii="宋体" w:hAnsi="宋体" w:eastAsia="宋体" w:cs="宋体"/>
                <w:color w:val="auto"/>
                <w:sz w:val="24"/>
                <w:szCs w:val="24"/>
                <w:highlight w:val="none"/>
              </w:rPr>
            </w:pPr>
          </w:p>
        </w:tc>
      </w:tr>
      <w:tr w14:paraId="4D9C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vAlign w:val="center"/>
          </w:tcPr>
          <w:p w14:paraId="00528C66">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报价合计（包含税费等所有费用）：（大写）人民币             （¥        元）</w:t>
            </w:r>
          </w:p>
        </w:tc>
      </w:tr>
      <w:tr w14:paraId="5EC3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vAlign w:val="center"/>
          </w:tcPr>
          <w:p w14:paraId="541D5EE5">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合同履行期限（工期）：</w:t>
            </w:r>
          </w:p>
        </w:tc>
      </w:tr>
      <w:tr w14:paraId="0475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823" w:type="dxa"/>
            <w:gridSpan w:val="5"/>
            <w:tcBorders>
              <w:top w:val="single" w:color="auto" w:sz="4" w:space="0"/>
              <w:left w:val="single" w:color="auto" w:sz="4" w:space="0"/>
              <w:bottom w:val="single" w:color="auto" w:sz="4" w:space="0"/>
              <w:right w:val="single" w:color="auto" w:sz="4" w:space="0"/>
            </w:tcBorders>
            <w:vAlign w:val="center"/>
          </w:tcPr>
          <w:p w14:paraId="08A500CB">
            <w:pP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sz w:val="24"/>
              </w:rPr>
              <w:t>工程质量要求</w:t>
            </w:r>
            <w:r>
              <w:rPr>
                <w:rFonts w:hint="eastAsia" w:ascii="宋体" w:hAnsi="宋体" w:eastAsia="宋体" w:cs="宋体"/>
                <w:color w:val="auto"/>
                <w:sz w:val="24"/>
                <w:szCs w:val="24"/>
                <w:highlight w:val="none"/>
              </w:rPr>
              <w:t>：</w:t>
            </w:r>
          </w:p>
        </w:tc>
      </w:tr>
    </w:tbl>
    <w:p w14:paraId="59341A51">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4B202385">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rPr>
      </w:pPr>
      <w:r>
        <w:rPr>
          <w:rFonts w:hint="eastAsia" w:ascii="宋体" w:hAnsi="宋体" w:eastAsia="宋体" w:cs="宋体"/>
          <w:kern w:val="0"/>
          <w:sz w:val="24"/>
          <w:szCs w:val="22"/>
          <w:lang w:val="zh-CN"/>
        </w:rPr>
        <w:t>注：</w:t>
      </w:r>
      <w:r>
        <w:rPr>
          <w:rFonts w:hint="eastAsia" w:ascii="宋体" w:hAnsi="宋体" w:eastAsia="宋体" w:cs="宋体"/>
          <w:kern w:val="0"/>
          <w:sz w:val="24"/>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r>
        <w:rPr>
          <w:rFonts w:hint="eastAsia" w:ascii="宋体" w:hAnsi="宋体" w:eastAsia="宋体" w:cs="宋体"/>
          <w:color w:val="auto"/>
          <w:kern w:val="0"/>
          <w:sz w:val="24"/>
          <w:highlight w:val="none"/>
          <w:lang w:val="zh-CN"/>
        </w:rPr>
        <w:t>。</w:t>
      </w:r>
    </w:p>
    <w:p w14:paraId="3BEA9A6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20BBEEC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41EC03D">
      <w:pPr>
        <w:pStyle w:val="17"/>
        <w:spacing w:line="360" w:lineRule="auto"/>
        <w:ind w:left="0" w:leftChars="0" w:firstLine="5678" w:firstLineChars="2366"/>
        <w:rPr>
          <w:rFonts w:hint="eastAsia" w:ascii="宋体" w:hAnsi="宋体" w:eastAsia="宋体" w:cs="宋体"/>
          <w:color w:val="auto"/>
          <w:highlight w:val="none"/>
          <w:lang w:val="zh-CN"/>
        </w:rPr>
      </w:pPr>
      <w:r>
        <w:rPr>
          <w:rFonts w:hint="eastAsia" w:ascii="宋体" w:hAnsi="宋体" w:eastAsia="宋体" w:cs="宋体"/>
          <w:color w:val="auto"/>
          <w:sz w:val="24"/>
          <w:highlight w:val="none"/>
          <w:lang w:val="zh-CN"/>
        </w:rPr>
        <w:t>日期：  年  月   日</w:t>
      </w:r>
    </w:p>
    <w:p w14:paraId="730F4602">
      <w:pPr>
        <w:rPr>
          <w:rFonts w:hint="eastAsia" w:ascii="宋体" w:hAnsi="宋体" w:eastAsia="宋体" w:cs="宋体"/>
          <w:color w:val="auto"/>
          <w:highlight w:val="none"/>
          <w:lang w:val="zh-CN"/>
        </w:rPr>
      </w:pPr>
    </w:p>
    <w:p w14:paraId="15624FA7">
      <w:pPr>
        <w:pStyle w:val="27"/>
        <w:rPr>
          <w:rFonts w:hint="eastAsia"/>
          <w:color w:val="auto"/>
          <w:highlight w:val="none"/>
          <w:lang w:val="zh-CN"/>
        </w:rPr>
      </w:pPr>
    </w:p>
    <w:p w14:paraId="14FB3F20">
      <w:pPr>
        <w:rPr>
          <w:rFonts w:hint="eastAsia"/>
          <w:color w:val="auto"/>
          <w:highlight w:val="none"/>
          <w:lang w:val="zh-CN"/>
        </w:rPr>
      </w:pPr>
    </w:p>
    <w:p w14:paraId="4D6A4908">
      <w:pPr>
        <w:pStyle w:val="27"/>
        <w:rPr>
          <w:rFonts w:hint="eastAsia"/>
          <w:color w:val="auto"/>
          <w:highlight w:val="none"/>
          <w:lang w:val="zh-CN"/>
        </w:rPr>
      </w:pPr>
    </w:p>
    <w:p w14:paraId="6C825352">
      <w:pPr>
        <w:rPr>
          <w:rFonts w:hint="eastAsia"/>
          <w:color w:val="auto"/>
          <w:highlight w:val="none"/>
          <w:lang w:val="zh-CN"/>
        </w:rPr>
      </w:pPr>
    </w:p>
    <w:p w14:paraId="5289D826">
      <w:pPr>
        <w:pStyle w:val="27"/>
        <w:rPr>
          <w:rFonts w:hint="eastAsia"/>
          <w:lang w:val="zh-CN"/>
        </w:rPr>
      </w:pPr>
    </w:p>
    <w:p w14:paraId="2F331733">
      <w:pPr>
        <w:pStyle w:val="27"/>
        <w:rPr>
          <w:rFonts w:hint="eastAsia"/>
          <w:lang w:val="zh-CN"/>
        </w:rPr>
      </w:pPr>
    </w:p>
    <w:p w14:paraId="079C8DF4">
      <w:pPr>
        <w:pStyle w:val="27"/>
        <w:rPr>
          <w:rFonts w:hint="eastAsia"/>
          <w:lang w:val="zh-CN"/>
        </w:rPr>
      </w:pPr>
    </w:p>
    <w:p w14:paraId="12882000">
      <w:pPr>
        <w:rPr>
          <w:rFonts w:hint="eastAsia"/>
          <w:lang w:val="zh-CN"/>
        </w:rPr>
      </w:pPr>
    </w:p>
    <w:p w14:paraId="4C404979">
      <w:pPr>
        <w:snapToGrid w:val="0"/>
        <w:spacing w:line="360" w:lineRule="auto"/>
        <w:ind w:firstLine="602"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30"/>
          <w:szCs w:val="30"/>
          <w:highlight w:val="none"/>
        </w:rPr>
        <w:t>三、已标价工程量清单</w:t>
      </w:r>
    </w:p>
    <w:p w14:paraId="7BE53369">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24"/>
          <w:szCs w:val="24"/>
          <w:highlight w:val="none"/>
          <w:lang w:val="en-US" w:eastAsia="zh-CN"/>
        </w:rPr>
        <w:t>说明：最后报价与首次报价相比有调整的，供应商提交的最后报价必须包含已标价的工程量清单（上传格式必须为PDF格式），请供应商提前准备好调整后的已标价工程量清单（已标价工程量清单合计金额须与相对应的竞标总报价金额保持一致），如未在规定时间内提供调整后的已标价工程量清单，由此造成的后果供应商自行承担。</w:t>
      </w:r>
    </w:p>
    <w:p w14:paraId="1A9400DA">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771CC858">
      <w:pPr>
        <w:pStyle w:val="13"/>
        <w:jc w:val="center"/>
        <w:rPr>
          <w:rFonts w:hint="eastAsia" w:ascii="宋体" w:hAnsi="宋体" w:cs="宋体"/>
          <w:b/>
          <w:color w:val="auto"/>
          <w:sz w:val="24"/>
          <w:szCs w:val="24"/>
          <w:highlight w:val="none"/>
          <w:lang w:val="en-US" w:eastAsia="zh-CN"/>
        </w:rPr>
      </w:pPr>
    </w:p>
    <w:p w14:paraId="28AAD452">
      <w:pPr>
        <w:pStyle w:val="13"/>
        <w:jc w:val="center"/>
        <w:rPr>
          <w:rFonts w:hint="eastAsia" w:ascii="宋体" w:hAnsi="宋体" w:cs="宋体"/>
          <w:b/>
          <w:color w:val="auto"/>
          <w:sz w:val="24"/>
          <w:szCs w:val="24"/>
          <w:highlight w:val="none"/>
          <w:lang w:val="en-US" w:eastAsia="zh-CN"/>
        </w:rPr>
      </w:pPr>
    </w:p>
    <w:p w14:paraId="744B5AF0">
      <w:pPr>
        <w:rPr>
          <w:rFonts w:hint="eastAsia" w:ascii="宋体" w:hAnsi="宋体" w:cs="宋体"/>
          <w:b/>
          <w:color w:val="auto"/>
          <w:sz w:val="24"/>
          <w:szCs w:val="24"/>
          <w:highlight w:val="none"/>
          <w:lang w:val="en-US" w:eastAsia="zh-CN"/>
        </w:rPr>
      </w:pPr>
    </w:p>
    <w:p w14:paraId="7857D092">
      <w:pPr>
        <w:pStyle w:val="13"/>
        <w:rPr>
          <w:rFonts w:hint="eastAsia" w:ascii="宋体" w:hAnsi="宋体" w:cs="宋体"/>
          <w:b/>
          <w:color w:val="auto"/>
          <w:sz w:val="24"/>
          <w:szCs w:val="24"/>
          <w:highlight w:val="none"/>
          <w:lang w:val="en-US" w:eastAsia="zh-CN"/>
        </w:rPr>
      </w:pPr>
    </w:p>
    <w:p w14:paraId="73E04258">
      <w:pPr>
        <w:rPr>
          <w:rFonts w:hint="eastAsia" w:ascii="宋体" w:hAnsi="宋体" w:cs="宋体"/>
          <w:b/>
          <w:color w:val="auto"/>
          <w:sz w:val="24"/>
          <w:szCs w:val="24"/>
          <w:highlight w:val="none"/>
          <w:lang w:val="en-US" w:eastAsia="zh-CN"/>
        </w:rPr>
      </w:pPr>
    </w:p>
    <w:p w14:paraId="08FED68C">
      <w:pPr>
        <w:pStyle w:val="13"/>
        <w:rPr>
          <w:rFonts w:hint="eastAsia" w:ascii="宋体" w:hAnsi="宋体" w:cs="宋体"/>
          <w:b/>
          <w:color w:val="auto"/>
          <w:sz w:val="24"/>
          <w:szCs w:val="24"/>
          <w:highlight w:val="none"/>
          <w:lang w:val="en-US" w:eastAsia="zh-CN"/>
        </w:rPr>
      </w:pPr>
    </w:p>
    <w:p w14:paraId="204B2D48">
      <w:pPr>
        <w:rPr>
          <w:rFonts w:hint="eastAsia" w:ascii="宋体" w:hAnsi="宋体" w:cs="宋体"/>
          <w:b/>
          <w:color w:val="auto"/>
          <w:sz w:val="24"/>
          <w:szCs w:val="24"/>
          <w:highlight w:val="none"/>
          <w:lang w:val="en-US" w:eastAsia="zh-CN"/>
        </w:rPr>
      </w:pPr>
    </w:p>
    <w:p w14:paraId="00FA2781">
      <w:pPr>
        <w:pStyle w:val="13"/>
        <w:rPr>
          <w:rFonts w:hint="eastAsia" w:ascii="宋体" w:hAnsi="宋体" w:cs="宋体"/>
          <w:b/>
          <w:color w:val="auto"/>
          <w:sz w:val="24"/>
          <w:szCs w:val="24"/>
          <w:highlight w:val="none"/>
          <w:lang w:val="en-US" w:eastAsia="zh-CN"/>
        </w:rPr>
      </w:pPr>
    </w:p>
    <w:p w14:paraId="6EAA5A23">
      <w:pPr>
        <w:rPr>
          <w:rFonts w:hint="eastAsia" w:ascii="宋体" w:hAnsi="宋体" w:cs="宋体"/>
          <w:b/>
          <w:color w:val="auto"/>
          <w:sz w:val="24"/>
          <w:szCs w:val="24"/>
          <w:highlight w:val="none"/>
          <w:lang w:val="en-US" w:eastAsia="zh-CN"/>
        </w:rPr>
      </w:pPr>
    </w:p>
    <w:p w14:paraId="33AE96AA">
      <w:pPr>
        <w:pStyle w:val="13"/>
        <w:rPr>
          <w:rFonts w:hint="eastAsia" w:ascii="宋体" w:hAnsi="宋体" w:cs="宋体"/>
          <w:b/>
          <w:color w:val="auto"/>
          <w:sz w:val="24"/>
          <w:szCs w:val="24"/>
          <w:highlight w:val="none"/>
          <w:lang w:val="en-US" w:eastAsia="zh-CN"/>
        </w:rPr>
      </w:pPr>
    </w:p>
    <w:p w14:paraId="6FB69EB2">
      <w:pPr>
        <w:rPr>
          <w:rFonts w:hint="eastAsia" w:ascii="宋体" w:hAnsi="宋体" w:cs="宋体"/>
          <w:b/>
          <w:color w:val="auto"/>
          <w:sz w:val="24"/>
          <w:szCs w:val="24"/>
          <w:highlight w:val="none"/>
          <w:lang w:val="en-US" w:eastAsia="zh-CN"/>
        </w:rPr>
      </w:pPr>
    </w:p>
    <w:p w14:paraId="22AE2722">
      <w:pPr>
        <w:pStyle w:val="13"/>
        <w:rPr>
          <w:rFonts w:hint="eastAsia" w:ascii="宋体" w:hAnsi="宋体" w:cs="宋体"/>
          <w:b/>
          <w:color w:val="auto"/>
          <w:sz w:val="24"/>
          <w:szCs w:val="24"/>
          <w:highlight w:val="none"/>
          <w:lang w:val="en-US" w:eastAsia="zh-CN"/>
        </w:rPr>
      </w:pPr>
    </w:p>
    <w:p w14:paraId="4948BDE8">
      <w:pPr>
        <w:rPr>
          <w:rFonts w:hint="eastAsia" w:ascii="宋体" w:hAnsi="宋体" w:cs="宋体"/>
          <w:b/>
          <w:color w:val="auto"/>
          <w:sz w:val="24"/>
          <w:szCs w:val="24"/>
          <w:highlight w:val="none"/>
          <w:lang w:val="en-US" w:eastAsia="zh-CN"/>
        </w:rPr>
      </w:pPr>
    </w:p>
    <w:p w14:paraId="16F81C18">
      <w:pPr>
        <w:pStyle w:val="13"/>
        <w:rPr>
          <w:rFonts w:hint="eastAsia" w:ascii="宋体" w:hAnsi="宋体" w:cs="宋体"/>
          <w:b/>
          <w:color w:val="auto"/>
          <w:sz w:val="24"/>
          <w:szCs w:val="24"/>
          <w:highlight w:val="none"/>
          <w:lang w:val="en-US" w:eastAsia="zh-CN"/>
        </w:rPr>
      </w:pPr>
    </w:p>
    <w:p w14:paraId="7E976933">
      <w:pPr>
        <w:rPr>
          <w:rFonts w:hint="eastAsia" w:ascii="宋体" w:hAnsi="宋体" w:cs="宋体"/>
          <w:b/>
          <w:color w:val="auto"/>
          <w:sz w:val="24"/>
          <w:szCs w:val="24"/>
          <w:highlight w:val="none"/>
          <w:lang w:val="en-US" w:eastAsia="zh-CN"/>
        </w:rPr>
      </w:pPr>
    </w:p>
    <w:p w14:paraId="4C66284C">
      <w:pPr>
        <w:pStyle w:val="13"/>
        <w:rPr>
          <w:rFonts w:hint="eastAsia" w:ascii="宋体" w:hAnsi="宋体" w:cs="宋体"/>
          <w:b/>
          <w:color w:val="auto"/>
          <w:sz w:val="24"/>
          <w:szCs w:val="24"/>
          <w:highlight w:val="none"/>
          <w:lang w:val="en-US" w:eastAsia="zh-CN"/>
        </w:rPr>
      </w:pPr>
    </w:p>
    <w:p w14:paraId="45C6E952">
      <w:pPr>
        <w:rPr>
          <w:rFonts w:hint="eastAsia" w:ascii="宋体" w:hAnsi="宋体" w:cs="宋体"/>
          <w:b/>
          <w:color w:val="auto"/>
          <w:sz w:val="24"/>
          <w:szCs w:val="24"/>
          <w:highlight w:val="none"/>
          <w:lang w:val="en-US" w:eastAsia="zh-CN"/>
        </w:rPr>
      </w:pPr>
    </w:p>
    <w:p w14:paraId="4468B931">
      <w:pPr>
        <w:pStyle w:val="2"/>
        <w:rPr>
          <w:rFonts w:hint="eastAsia" w:ascii="宋体" w:hAnsi="宋体" w:cs="宋体"/>
          <w:b/>
          <w:color w:val="auto"/>
          <w:sz w:val="24"/>
          <w:szCs w:val="24"/>
          <w:highlight w:val="none"/>
          <w:lang w:val="en-US" w:eastAsia="zh-CN"/>
        </w:rPr>
      </w:pPr>
    </w:p>
    <w:p w14:paraId="0689D4AE">
      <w:pPr>
        <w:pStyle w:val="2"/>
        <w:rPr>
          <w:rFonts w:hint="eastAsia" w:ascii="宋体" w:hAnsi="宋体" w:cs="宋体"/>
          <w:b/>
          <w:color w:val="auto"/>
          <w:sz w:val="24"/>
          <w:szCs w:val="24"/>
          <w:highlight w:val="none"/>
          <w:lang w:val="en-US" w:eastAsia="zh-CN"/>
        </w:rPr>
      </w:pPr>
    </w:p>
    <w:p w14:paraId="76A4AA4E">
      <w:pPr>
        <w:pStyle w:val="2"/>
        <w:rPr>
          <w:rFonts w:hint="eastAsia" w:ascii="宋体" w:hAnsi="宋体" w:cs="宋体"/>
          <w:b/>
          <w:color w:val="auto"/>
          <w:sz w:val="24"/>
          <w:szCs w:val="24"/>
          <w:highlight w:val="none"/>
          <w:lang w:val="en-US" w:eastAsia="zh-CN"/>
        </w:rPr>
      </w:pPr>
    </w:p>
    <w:p w14:paraId="036702D9">
      <w:pPr>
        <w:pStyle w:val="2"/>
        <w:rPr>
          <w:rFonts w:hint="eastAsia" w:ascii="宋体" w:hAnsi="宋体" w:cs="宋体"/>
          <w:b/>
          <w:color w:val="auto"/>
          <w:sz w:val="24"/>
          <w:szCs w:val="24"/>
          <w:highlight w:val="none"/>
          <w:lang w:val="en-US" w:eastAsia="zh-CN"/>
        </w:rPr>
      </w:pPr>
    </w:p>
    <w:p w14:paraId="40C45302">
      <w:pPr>
        <w:pStyle w:val="2"/>
        <w:rPr>
          <w:rFonts w:hint="eastAsia" w:ascii="宋体" w:hAnsi="宋体" w:cs="宋体"/>
          <w:b/>
          <w:color w:val="auto"/>
          <w:sz w:val="24"/>
          <w:szCs w:val="24"/>
          <w:highlight w:val="none"/>
          <w:lang w:val="en-US" w:eastAsia="zh-CN"/>
        </w:rPr>
      </w:pPr>
    </w:p>
    <w:p w14:paraId="20C41D61">
      <w:pPr>
        <w:pStyle w:val="2"/>
        <w:rPr>
          <w:rFonts w:hint="eastAsia" w:ascii="宋体" w:hAnsi="宋体" w:cs="宋体"/>
          <w:b/>
          <w:color w:val="auto"/>
          <w:sz w:val="24"/>
          <w:szCs w:val="24"/>
          <w:highlight w:val="none"/>
          <w:lang w:val="en-US" w:eastAsia="zh-CN"/>
        </w:rPr>
      </w:pPr>
    </w:p>
    <w:p w14:paraId="00CC87DB">
      <w:pPr>
        <w:pStyle w:val="2"/>
        <w:rPr>
          <w:rFonts w:hint="eastAsia" w:ascii="宋体" w:hAnsi="宋体" w:cs="宋体"/>
          <w:b/>
          <w:color w:val="auto"/>
          <w:sz w:val="24"/>
          <w:szCs w:val="24"/>
          <w:highlight w:val="none"/>
          <w:lang w:val="en-US" w:eastAsia="zh-CN"/>
        </w:rPr>
      </w:pPr>
    </w:p>
    <w:p w14:paraId="7422C09F">
      <w:pPr>
        <w:pStyle w:val="2"/>
        <w:rPr>
          <w:rFonts w:hint="eastAsia" w:ascii="宋体" w:hAnsi="宋体" w:cs="宋体"/>
          <w:b/>
          <w:color w:val="auto"/>
          <w:sz w:val="24"/>
          <w:szCs w:val="24"/>
          <w:highlight w:val="none"/>
          <w:lang w:val="en-US" w:eastAsia="zh-CN"/>
        </w:rPr>
      </w:pPr>
    </w:p>
    <w:p w14:paraId="5CF0FD92">
      <w:pPr>
        <w:pStyle w:val="2"/>
        <w:rPr>
          <w:rFonts w:hint="eastAsia" w:ascii="宋体" w:hAnsi="宋体" w:cs="宋体"/>
          <w:b/>
          <w:color w:val="auto"/>
          <w:sz w:val="24"/>
          <w:szCs w:val="24"/>
          <w:highlight w:val="none"/>
          <w:lang w:val="en-US" w:eastAsia="zh-CN"/>
        </w:rPr>
      </w:pPr>
    </w:p>
    <w:p w14:paraId="44467A13">
      <w:pPr>
        <w:pStyle w:val="2"/>
        <w:rPr>
          <w:rFonts w:hint="eastAsia" w:ascii="宋体" w:hAnsi="宋体" w:cs="宋体"/>
          <w:b/>
          <w:color w:val="auto"/>
          <w:sz w:val="24"/>
          <w:szCs w:val="24"/>
          <w:highlight w:val="none"/>
          <w:lang w:val="en-US" w:eastAsia="zh-CN"/>
        </w:rPr>
      </w:pPr>
    </w:p>
    <w:p w14:paraId="71F4F2CC">
      <w:pPr>
        <w:pStyle w:val="2"/>
        <w:rPr>
          <w:rFonts w:hint="eastAsia" w:ascii="宋体" w:hAnsi="宋体" w:cs="宋体"/>
          <w:b/>
          <w:color w:val="auto"/>
          <w:sz w:val="24"/>
          <w:szCs w:val="24"/>
          <w:highlight w:val="none"/>
          <w:lang w:val="en-US" w:eastAsia="zh-CN"/>
        </w:rPr>
      </w:pPr>
    </w:p>
    <w:p w14:paraId="30AFFF1D">
      <w:pPr>
        <w:pStyle w:val="13"/>
        <w:rPr>
          <w:rFonts w:hint="eastAsia" w:ascii="宋体" w:hAnsi="宋体" w:cs="宋体"/>
          <w:b/>
          <w:color w:val="auto"/>
          <w:sz w:val="24"/>
          <w:szCs w:val="24"/>
          <w:highlight w:val="none"/>
          <w:lang w:val="en-US" w:eastAsia="zh-CN"/>
        </w:rPr>
      </w:pPr>
    </w:p>
    <w:p w14:paraId="0CA4D10D">
      <w:pPr>
        <w:rPr>
          <w:rFonts w:hint="eastAsia" w:ascii="宋体" w:hAnsi="宋体" w:cs="宋体"/>
          <w:b/>
          <w:color w:val="auto"/>
          <w:sz w:val="24"/>
          <w:szCs w:val="24"/>
          <w:highlight w:val="none"/>
          <w:lang w:val="en-US" w:eastAsia="zh-CN"/>
        </w:rPr>
      </w:pPr>
    </w:p>
    <w:p w14:paraId="28D7C2A6">
      <w:pPr>
        <w:snapToGrid w:val="0"/>
        <w:spacing w:line="360" w:lineRule="auto"/>
        <w:ind w:firstLine="602" w:firstLineChars="200"/>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四、安全文明施工措施费承诺书</w:t>
      </w:r>
    </w:p>
    <w:p w14:paraId="1B1B0A5C">
      <w:pPr>
        <w:spacing w:before="185" w:line="221" w:lineRule="auto"/>
        <w:rPr>
          <w:rFonts w:ascii="宋体" w:hAnsi="宋体" w:eastAsia="宋体" w:cs="宋体"/>
          <w:color w:val="auto"/>
          <w:spacing w:val="4"/>
          <w:sz w:val="22"/>
          <w:szCs w:val="22"/>
          <w:highlight w:val="none"/>
        </w:rPr>
      </w:pPr>
    </w:p>
    <w:p w14:paraId="43E24949">
      <w:pPr>
        <w:spacing w:before="185" w:line="221"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4"/>
          <w:sz w:val="24"/>
          <w:szCs w:val="24"/>
          <w:highlight w:val="none"/>
        </w:rPr>
        <w:t>致</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3"/>
          <w:sz w:val="24"/>
          <w:szCs w:val="24"/>
          <w:highlight w:val="none"/>
          <w:u w:val="single" w:color="auto"/>
        </w:rPr>
        <w:t xml:space="preserve">        </w:t>
      </w:r>
      <w:r>
        <w:rPr>
          <w:rFonts w:hint="eastAsia" w:ascii="宋体" w:hAnsi="宋体" w:eastAsia="宋体" w:cs="宋体"/>
          <w:color w:val="auto"/>
          <w:spacing w:val="-15"/>
          <w:sz w:val="24"/>
          <w:szCs w:val="24"/>
          <w:highlight w:val="none"/>
          <w:u w:val="single" w:color="auto"/>
        </w:rPr>
        <w:t>（</w:t>
      </w:r>
      <w:r>
        <w:rPr>
          <w:rFonts w:hint="eastAsia" w:ascii="宋体" w:hAnsi="宋体" w:eastAsia="宋体" w:cs="宋体"/>
          <w:color w:val="auto"/>
          <w:spacing w:val="4"/>
          <w:sz w:val="24"/>
          <w:szCs w:val="24"/>
          <w:highlight w:val="none"/>
          <w:u w:val="single" w:color="auto"/>
          <w:lang w:val="en-US" w:eastAsia="zh-CN"/>
        </w:rPr>
        <w:t>采购人</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4"/>
          <w:sz w:val="24"/>
          <w:szCs w:val="24"/>
          <w:highlight w:val="none"/>
          <w:u w:val="single" w:color="auto"/>
          <w:lang w:val="en-US" w:eastAsia="zh-CN"/>
        </w:rPr>
        <w:t xml:space="preserve"> </w:t>
      </w:r>
    </w:p>
    <w:p w14:paraId="7B241478">
      <w:pPr>
        <w:spacing w:before="72" w:line="420" w:lineRule="auto"/>
        <w:ind w:left="9" w:firstLine="440"/>
        <w:jc w:val="both"/>
        <w:rPr>
          <w:rFonts w:hint="eastAsia" w:ascii="宋体" w:hAnsi="宋体" w:eastAsia="宋体" w:cs="宋体"/>
          <w:color w:val="auto"/>
          <w:spacing w:val="-1"/>
          <w:sz w:val="24"/>
          <w:szCs w:val="24"/>
          <w:highlight w:val="none"/>
        </w:rPr>
      </w:pPr>
    </w:p>
    <w:p w14:paraId="74E3E7F7">
      <w:pPr>
        <w:spacing w:before="72" w:line="420" w:lineRule="auto"/>
        <w:ind w:left="9" w:firstLine="440"/>
        <w:jc w:val="both"/>
        <w:rPr>
          <w:rFonts w:hint="eastAsia" w:ascii="宋体" w:hAnsi="宋体" w:eastAsia="宋体" w:cs="宋体"/>
          <w:color w:val="auto"/>
          <w:kern w:val="0"/>
          <w:sz w:val="24"/>
          <w:szCs w:val="24"/>
          <w:highlight w:val="none"/>
        </w:rPr>
      </w:pPr>
      <w:r>
        <w:rPr>
          <w:rFonts w:hint="eastAsia" w:ascii="宋体" w:hAnsi="宋体" w:eastAsia="宋体" w:cs="宋体"/>
          <w:color w:val="auto"/>
          <w:spacing w:val="-1"/>
          <w:sz w:val="24"/>
          <w:szCs w:val="24"/>
          <w:highlight w:val="none"/>
        </w:rPr>
        <w:t>现承诺我单位在本项目的投标中，对本项目列举的安全文明施工措施费总价及项目清单进行响应，如中标后按合同约定和实际为准。</w:t>
      </w:r>
    </w:p>
    <w:p w14:paraId="29956E5B">
      <w:pPr>
        <w:widowControl w:val="0"/>
        <w:spacing w:after="120" w:line="360" w:lineRule="auto"/>
        <w:jc w:val="both"/>
        <w:rPr>
          <w:rFonts w:hint="eastAsia" w:ascii="宋体" w:hAnsi="宋体" w:eastAsia="宋体" w:cs="宋体"/>
          <w:color w:val="auto"/>
          <w:kern w:val="2"/>
          <w:sz w:val="24"/>
          <w:szCs w:val="24"/>
          <w:highlight w:val="none"/>
          <w:lang w:val="en-US" w:eastAsia="zh-CN" w:bidi="ar-SA"/>
        </w:rPr>
      </w:pPr>
    </w:p>
    <w:p w14:paraId="013C59EE">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67D64CD3">
      <w:pPr>
        <w:snapToGrid w:val="0"/>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eastAsia="zh-CN" w:bidi="ar-SA"/>
        </w:rPr>
        <w:t>日期：  年  月   日</w:t>
      </w:r>
    </w:p>
    <w:p w14:paraId="08125F1E">
      <w:pPr>
        <w:snapToGrid w:val="0"/>
        <w:spacing w:line="360" w:lineRule="auto"/>
        <w:ind w:firstLine="602" w:firstLineChars="200"/>
        <w:rPr>
          <w:rFonts w:hint="eastAsia" w:ascii="仿宋" w:hAnsi="仿宋" w:eastAsia="仿宋" w:cs="仿宋"/>
          <w:b/>
          <w:color w:val="auto"/>
          <w:sz w:val="30"/>
          <w:szCs w:val="30"/>
          <w:highlight w:val="none"/>
        </w:rPr>
      </w:pPr>
    </w:p>
    <w:p w14:paraId="43B6DFE5">
      <w:pPr>
        <w:snapToGrid w:val="0"/>
        <w:spacing w:line="360" w:lineRule="auto"/>
        <w:ind w:firstLine="602" w:firstLineChars="200"/>
        <w:rPr>
          <w:rFonts w:hint="eastAsia" w:ascii="仿宋" w:hAnsi="仿宋" w:eastAsia="仿宋" w:cs="仿宋"/>
          <w:b/>
          <w:color w:val="auto"/>
          <w:sz w:val="30"/>
          <w:szCs w:val="30"/>
          <w:highlight w:val="none"/>
        </w:rPr>
      </w:pPr>
    </w:p>
    <w:p w14:paraId="6712974F">
      <w:pPr>
        <w:snapToGrid w:val="0"/>
        <w:spacing w:line="360" w:lineRule="auto"/>
        <w:ind w:firstLine="602" w:firstLineChars="200"/>
        <w:rPr>
          <w:rFonts w:hint="eastAsia" w:ascii="仿宋" w:hAnsi="仿宋" w:eastAsia="仿宋" w:cs="仿宋"/>
          <w:b/>
          <w:color w:val="auto"/>
          <w:sz w:val="30"/>
          <w:szCs w:val="30"/>
          <w:highlight w:val="none"/>
        </w:rPr>
      </w:pPr>
    </w:p>
    <w:p w14:paraId="529C34E4">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五、</w:t>
      </w:r>
      <w:r>
        <w:rPr>
          <w:rFonts w:hint="eastAsia" w:ascii="宋体" w:hAnsi="宋体" w:eastAsia="宋体" w:cs="宋体"/>
          <w:b/>
          <w:color w:val="auto"/>
          <w:sz w:val="30"/>
          <w:szCs w:val="30"/>
          <w:highlight w:val="none"/>
        </w:rPr>
        <w:t>供应商认为需要提供的其他有关资料</w:t>
      </w:r>
    </w:p>
    <w:p w14:paraId="7819C955">
      <w:pPr>
        <w:widowControl/>
        <w:shd w:val="clear" w:color="auto" w:fill="FFFFFF"/>
        <w:spacing w:line="360" w:lineRule="auto"/>
        <w:jc w:val="left"/>
        <w:rPr>
          <w:rFonts w:hint="eastAsia" w:ascii="宋体" w:hAnsi="宋体" w:eastAsia="宋体" w:cs="宋体"/>
          <w:color w:val="auto"/>
          <w:kern w:val="2"/>
          <w:sz w:val="24"/>
          <w:szCs w:val="24"/>
          <w:highlight w:val="none"/>
          <w:shd w:val="clear" w:color="auto" w:fill="FFFFFF"/>
          <w:lang w:val="en-US" w:eastAsia="zh-CN"/>
        </w:rPr>
      </w:pPr>
    </w:p>
    <w:p w14:paraId="48253DF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29D153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286392F">
      <w:pPr>
        <w:pStyle w:val="17"/>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455812AD">
      <w:pPr>
        <w:pStyle w:val="13"/>
        <w:spacing w:after="0" w:line="360" w:lineRule="auto"/>
        <w:ind w:left="3960" w:right="1808"/>
        <w:contextualSpacing/>
        <w:rPr>
          <w:rFonts w:hint="eastAsia" w:ascii="仿宋" w:hAnsi="仿宋" w:eastAsia="仿宋" w:cs="仿宋"/>
          <w:color w:val="auto"/>
          <w:highlight w:val="none"/>
        </w:rPr>
      </w:pPr>
    </w:p>
    <w:p w14:paraId="081D7D12">
      <w:pPr>
        <w:spacing w:line="360" w:lineRule="auto"/>
        <w:contextualSpacing/>
        <w:jc w:val="left"/>
        <w:rPr>
          <w:rFonts w:hint="eastAsia" w:ascii="仿宋" w:hAnsi="仿宋" w:eastAsia="仿宋" w:cs="仿宋"/>
          <w:color w:val="auto"/>
          <w:kern w:val="0"/>
          <w:sz w:val="24"/>
          <w:highlight w:val="none"/>
        </w:rPr>
      </w:pPr>
    </w:p>
    <w:p w14:paraId="2067D4F2">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181C750">
      <w:pPr>
        <w:pStyle w:val="4"/>
        <w:spacing w:line="360" w:lineRule="auto"/>
        <w:jc w:val="center"/>
        <w:rPr>
          <w:rFonts w:hint="eastAsia" w:ascii="宋体" w:hAnsi="宋体" w:eastAsia="宋体" w:cs="宋体"/>
          <w:color w:val="auto"/>
          <w:highlight w:val="none"/>
          <w:lang w:val="en-US" w:eastAsia="zh-CN"/>
        </w:rPr>
      </w:pPr>
      <w:bookmarkStart w:id="187" w:name="_Toc18354"/>
      <w:bookmarkStart w:id="188" w:name="_Toc147684389"/>
      <w:bookmarkStart w:id="189" w:name="_Toc29246"/>
      <w:bookmarkStart w:id="190" w:name="_Toc80205942"/>
      <w:r>
        <w:rPr>
          <w:rFonts w:hint="eastAsia" w:ascii="宋体" w:hAnsi="宋体" w:eastAsia="宋体" w:cs="宋体"/>
          <w:color w:val="auto"/>
          <w:highlight w:val="none"/>
          <w:lang w:val="en-US" w:eastAsia="zh-CN"/>
        </w:rPr>
        <w:t>第五节 其他文书、文件格式</w:t>
      </w:r>
      <w:bookmarkEnd w:id="187"/>
      <w:bookmarkEnd w:id="188"/>
      <w:bookmarkEnd w:id="189"/>
      <w:bookmarkEnd w:id="190"/>
    </w:p>
    <w:p w14:paraId="3BFCB2E7">
      <w:pPr>
        <w:jc w:val="center"/>
        <w:rPr>
          <w:rFonts w:ascii="宋体" w:hAnsi="宋体" w:cs="宋体"/>
          <w:b/>
          <w:bCs/>
          <w:sz w:val="32"/>
          <w:szCs w:val="32"/>
        </w:rPr>
      </w:pPr>
      <w:r>
        <w:rPr>
          <w:rFonts w:hint="eastAsia" w:ascii="宋体" w:hAnsi="宋体" w:cs="宋体"/>
          <w:b/>
          <w:bCs/>
          <w:sz w:val="32"/>
          <w:szCs w:val="32"/>
        </w:rPr>
        <w:t>知识产权合规性声明</w:t>
      </w:r>
    </w:p>
    <w:p w14:paraId="45E7CE24">
      <w:pPr>
        <w:rPr>
          <w:rFonts w:ascii="仿宋_GB2312" w:hAnsi="仿宋_GB2312" w:eastAsia="仿宋_GB2312" w:cs="仿宋_GB2312"/>
          <w:sz w:val="30"/>
          <w:szCs w:val="30"/>
        </w:rPr>
      </w:pPr>
    </w:p>
    <w:p w14:paraId="58D163E5">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本企业（单位）自愿参与政府投资政府采购的</w:t>
      </w:r>
      <w:r>
        <w:rPr>
          <w:rFonts w:hint="eastAsia" w:ascii="仿宋_GB2312" w:hAnsi="仿宋_GB2312" w:eastAsia="仿宋_GB2312" w:cs="仿宋_GB2312"/>
          <w:sz w:val="30"/>
          <w:szCs w:val="30"/>
          <w:u w:val="single"/>
          <w:lang w:eastAsia="zh-CN"/>
        </w:rPr>
        <w:t>隆安县布泉乡布泉水厂提升改造工程</w:t>
      </w:r>
      <w:r>
        <w:rPr>
          <w:rFonts w:hint="eastAsia" w:ascii="仿宋_GB2312" w:hAnsi="仿宋_GB2312" w:eastAsia="仿宋_GB2312" w:cs="仿宋_GB2312"/>
          <w:sz w:val="30"/>
          <w:szCs w:val="30"/>
        </w:rPr>
        <w:t>项目，</w:t>
      </w:r>
      <w:r>
        <w:rPr>
          <w:rFonts w:hint="eastAsia" w:ascii="仿宋_GB2312" w:hAnsi="仿宋_GB2312" w:eastAsia="仿宋_GB2312" w:cs="仿宋_GB2312"/>
          <w:b/>
          <w:bCs/>
          <w:sz w:val="30"/>
          <w:szCs w:val="30"/>
        </w:rPr>
        <w:t>在此郑重承诺：</w:t>
      </w:r>
      <w:r>
        <w:rPr>
          <w:rFonts w:hint="eastAsia" w:ascii="仿宋_GB2312" w:hAnsi="仿宋_GB2312" w:eastAsia="仿宋_GB2312" w:cs="仿宋_GB2312"/>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4DDB683">
      <w:pPr>
        <w:snapToGrid w:val="0"/>
        <w:spacing w:line="360" w:lineRule="auto"/>
        <w:ind w:left="5137" w:leftChars="1736" w:hanging="1491" w:hangingChars="825"/>
        <w:rPr>
          <w:b/>
          <w:sz w:val="18"/>
          <w:szCs w:val="18"/>
        </w:rPr>
      </w:pPr>
    </w:p>
    <w:p w14:paraId="459ADB33">
      <w:pPr>
        <w:snapToGrid w:val="0"/>
        <w:spacing w:line="360" w:lineRule="auto"/>
        <w:ind w:left="5137" w:leftChars="1736" w:hanging="1491" w:hangingChars="825"/>
        <w:rPr>
          <w:b/>
          <w:sz w:val="18"/>
          <w:szCs w:val="18"/>
        </w:rPr>
      </w:pPr>
    </w:p>
    <w:p w14:paraId="1BC353B4">
      <w:pPr>
        <w:snapToGrid w:val="0"/>
        <w:spacing w:line="360" w:lineRule="auto"/>
        <w:ind w:left="5137" w:leftChars="1736" w:hanging="1491" w:hangingChars="825"/>
        <w:rPr>
          <w:b/>
          <w:sz w:val="18"/>
          <w:szCs w:val="18"/>
        </w:rPr>
      </w:pPr>
    </w:p>
    <w:p w14:paraId="6BA8717D">
      <w:pPr>
        <w:snapToGrid w:val="0"/>
        <w:spacing w:line="360" w:lineRule="auto"/>
        <w:ind w:left="5626" w:leftChars="1736" w:hanging="1980" w:hangingChars="825"/>
        <w:rPr>
          <w:rFonts w:ascii="仿宋_GB2312" w:hAnsi="仿宋" w:eastAsia="仿宋_GB2312" w:cs="仿宋_GB2312"/>
          <w:kern w:val="0"/>
          <w:sz w:val="24"/>
        </w:rPr>
      </w:pPr>
      <w:r>
        <w:rPr>
          <w:rFonts w:hint="eastAsia" w:ascii="仿宋_GB2312" w:hAnsi="仿宋" w:eastAsia="仿宋_GB2312" w:cs="仿宋_GB2312"/>
          <w:kern w:val="0"/>
          <w:sz w:val="24"/>
          <w:lang w:val="zh-CN"/>
        </w:rPr>
        <w:t>供应商名称(电子签章)：</w:t>
      </w:r>
    </w:p>
    <w:p w14:paraId="2F89CFA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lang w:val="en-US" w:eastAsia="zh-CN"/>
        </w:rPr>
        <w:t xml:space="preserve"> </w:t>
      </w:r>
      <w:r>
        <w:rPr>
          <w:rFonts w:hint="eastAsia" w:ascii="仿宋_GB2312" w:hAnsi="仿宋" w:eastAsia="仿宋_GB2312" w:cs="仿宋_GB2312"/>
          <w:kern w:val="0"/>
          <w:sz w:val="24"/>
          <w:lang w:val="zh-CN"/>
        </w:rPr>
        <w:t>日</w:t>
      </w:r>
    </w:p>
    <w:p w14:paraId="18641301">
      <w:pPr>
        <w:widowControl/>
        <w:jc w:val="left"/>
        <w:rPr>
          <w:rFonts w:ascii="宋体" w:hAnsi="宋体" w:cs="仿宋_GB2312"/>
          <w:sz w:val="24"/>
        </w:rPr>
        <w:sectPr>
          <w:pgSz w:w="11906" w:h="16838"/>
          <w:pgMar w:top="1134" w:right="1134" w:bottom="1134" w:left="1134" w:header="720" w:footer="720" w:gutter="0"/>
          <w:cols w:space="720" w:num="1"/>
          <w:docGrid w:type="lines" w:linePitch="331" w:charSpace="0"/>
        </w:sectPr>
      </w:pPr>
    </w:p>
    <w:p w14:paraId="04229B6A">
      <w:pPr>
        <w:pStyle w:val="3"/>
        <w:spacing w:line="360" w:lineRule="auto"/>
        <w:jc w:val="center"/>
        <w:rPr>
          <w:rFonts w:hint="eastAsia" w:ascii="宋体" w:hAnsi="宋体" w:eastAsia="宋体" w:cs="宋体"/>
          <w:b w:val="0"/>
          <w:bCs w:val="0"/>
          <w:color w:val="auto"/>
          <w:highlight w:val="none"/>
        </w:rPr>
      </w:pPr>
      <w:bookmarkStart w:id="191" w:name="_Toc14897"/>
      <w:bookmarkStart w:id="192" w:name="_Toc957"/>
      <w:bookmarkStart w:id="193" w:name="_Toc26628"/>
      <w:bookmarkStart w:id="194" w:name="_Toc25466"/>
      <w:bookmarkStart w:id="195" w:name="_Toc11775"/>
      <w:bookmarkStart w:id="196" w:name="_Toc2080"/>
      <w:bookmarkStart w:id="197" w:name="_Toc11925"/>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91"/>
      <w:bookmarkEnd w:id="192"/>
      <w:bookmarkEnd w:id="193"/>
      <w:bookmarkEnd w:id="194"/>
      <w:bookmarkEnd w:id="195"/>
      <w:bookmarkEnd w:id="196"/>
      <w:bookmarkEnd w:id="197"/>
    </w:p>
    <w:p w14:paraId="5EE696F5">
      <w:pPr>
        <w:spacing w:line="360" w:lineRule="auto"/>
        <w:rPr>
          <w:rFonts w:hint="eastAsia" w:ascii="宋体" w:hAnsi="宋体" w:eastAsia="宋体" w:cs="宋体"/>
          <w:b/>
          <w:bCs/>
          <w:color w:val="auto"/>
          <w:highlight w:val="none"/>
        </w:rPr>
      </w:pPr>
      <w:bookmarkStart w:id="198" w:name="bookmark1882"/>
      <w:bookmarkEnd w:id="198"/>
      <w:r>
        <w:rPr>
          <w:rFonts w:hint="eastAsia" w:ascii="宋体" w:hAnsi="宋体" w:eastAsia="宋体" w:cs="宋体"/>
          <w:b/>
          <w:bCs/>
          <w:color w:val="auto"/>
          <w:sz w:val="24"/>
          <w:highlight w:val="none"/>
          <w:lang w:eastAsia="zh-CN"/>
        </w:rPr>
        <w:t>“广西政府采购云平台”</w:t>
      </w:r>
      <w:r>
        <w:rPr>
          <w:rFonts w:hint="eastAsia" w:ascii="宋体" w:hAnsi="宋体" w:eastAsia="宋体" w:cs="宋体"/>
          <w:b/>
          <w:bCs/>
          <w:color w:val="auto"/>
          <w:sz w:val="24"/>
          <w:highlight w:val="none"/>
        </w:rPr>
        <w:t>合同编号：</w:t>
      </w:r>
    </w:p>
    <w:p w14:paraId="117F88B4">
      <w:pPr>
        <w:spacing w:line="360" w:lineRule="auto"/>
        <w:jc w:val="center"/>
        <w:rPr>
          <w:rFonts w:hint="eastAsia" w:ascii="宋体" w:hAnsi="宋体" w:eastAsia="宋体" w:cs="宋体"/>
          <w:b/>
          <w:bCs/>
          <w:color w:val="auto"/>
          <w:sz w:val="52"/>
          <w:highlight w:val="none"/>
        </w:rPr>
      </w:pPr>
    </w:p>
    <w:p w14:paraId="45EA2AF5">
      <w:pPr>
        <w:spacing w:line="360" w:lineRule="auto"/>
        <w:jc w:val="center"/>
        <w:rPr>
          <w:rFonts w:hint="eastAsia" w:ascii="宋体" w:hAnsi="宋体" w:eastAsia="宋体" w:cs="宋体"/>
          <w:b/>
          <w:bCs/>
          <w:color w:val="auto"/>
          <w:sz w:val="52"/>
          <w:highlight w:val="none"/>
        </w:rPr>
      </w:pPr>
      <w:r>
        <w:rPr>
          <w:rFonts w:hint="eastAsia" w:ascii="宋体" w:hAnsi="宋体" w:eastAsia="宋体" w:cs="宋体"/>
          <w:b/>
          <w:bCs/>
          <w:color w:val="auto"/>
          <w:sz w:val="52"/>
          <w:highlight w:val="none"/>
        </w:rPr>
        <w:t>南 宁 市 政 府 采 购</w:t>
      </w:r>
    </w:p>
    <w:p w14:paraId="29B8D623">
      <w:pPr>
        <w:spacing w:line="360" w:lineRule="auto"/>
        <w:ind w:firstLine="420" w:firstLineChars="200"/>
        <w:rPr>
          <w:rFonts w:hint="eastAsia" w:ascii="宋体" w:hAnsi="宋体" w:eastAsia="宋体" w:cs="宋体"/>
          <w:color w:val="auto"/>
          <w:highlight w:val="none"/>
        </w:rPr>
      </w:pPr>
    </w:p>
    <w:p w14:paraId="338B8E7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6253C9E">
      <w:pPr>
        <w:spacing w:line="360" w:lineRule="auto"/>
        <w:jc w:val="center"/>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rPr>
        <w:t xml:space="preserve"> </w:t>
      </w:r>
      <w:r>
        <w:rPr>
          <w:rFonts w:hint="eastAsia" w:ascii="宋体" w:hAnsi="宋体" w:eastAsia="宋体" w:cs="宋体"/>
          <w:b/>
          <w:bCs/>
          <w:color w:val="auto"/>
          <w:sz w:val="44"/>
          <w:highlight w:val="none"/>
          <w:u w:val="single"/>
          <w:lang w:eastAsia="zh-CN"/>
        </w:rPr>
        <w:t>隆安县布泉乡布泉水厂提升改造工程</w:t>
      </w:r>
      <w:r>
        <w:rPr>
          <w:rFonts w:hint="eastAsia" w:ascii="宋体" w:hAnsi="宋体" w:eastAsia="宋体" w:cs="宋体"/>
          <w:b/>
          <w:bCs/>
          <w:color w:val="auto"/>
          <w:sz w:val="44"/>
          <w:highlight w:val="none"/>
          <w:u w:val="single"/>
        </w:rPr>
        <w:t xml:space="preserve"> </w:t>
      </w:r>
      <w:r>
        <w:rPr>
          <w:rFonts w:hint="eastAsia" w:ascii="宋体" w:hAnsi="宋体" w:eastAsia="宋体" w:cs="宋体"/>
          <w:b/>
          <w:bCs/>
          <w:color w:val="auto"/>
          <w:sz w:val="44"/>
          <w:highlight w:val="none"/>
        </w:rPr>
        <w:t>合同</w:t>
      </w:r>
    </w:p>
    <w:p w14:paraId="7DCFCD09">
      <w:pPr>
        <w:spacing w:line="360" w:lineRule="auto"/>
        <w:jc w:val="center"/>
        <w:rPr>
          <w:rFonts w:hint="eastAsia" w:ascii="宋体" w:hAnsi="宋体" w:eastAsia="宋体" w:cs="宋体"/>
          <w:b/>
          <w:bCs/>
          <w:color w:val="auto"/>
          <w:sz w:val="44"/>
          <w:highlight w:val="none"/>
        </w:rPr>
      </w:pPr>
    </w:p>
    <w:p w14:paraId="142F829C">
      <w:pPr>
        <w:spacing w:line="360" w:lineRule="auto"/>
        <w:ind w:firstLine="3507" w:firstLineChars="794"/>
        <w:rPr>
          <w:rFonts w:hint="eastAsia" w:ascii="宋体" w:hAnsi="宋体" w:eastAsia="宋体" w:cs="宋体"/>
          <w:b/>
          <w:bCs/>
          <w:color w:val="auto"/>
          <w:sz w:val="44"/>
          <w:highlight w:val="none"/>
        </w:rPr>
      </w:pPr>
    </w:p>
    <w:p w14:paraId="52DC7F16">
      <w:pPr>
        <w:spacing w:line="360" w:lineRule="auto"/>
        <w:ind w:firstLine="3507" w:firstLineChars="794"/>
        <w:rPr>
          <w:rFonts w:hint="eastAsia" w:ascii="宋体" w:hAnsi="宋体" w:eastAsia="宋体" w:cs="宋体"/>
          <w:b/>
          <w:bCs/>
          <w:color w:val="auto"/>
          <w:sz w:val="44"/>
          <w:highlight w:val="none"/>
        </w:rPr>
      </w:pPr>
    </w:p>
    <w:p w14:paraId="0A5B1F77">
      <w:pPr>
        <w:spacing w:line="360" w:lineRule="auto"/>
        <w:ind w:left="0" w:leftChars="0" w:firstLine="1063" w:firstLineChars="294"/>
        <w:rPr>
          <w:rFonts w:hint="default"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rPr>
        <w:t>采购项目编号：</w:t>
      </w:r>
      <w:r>
        <w:rPr>
          <w:rFonts w:hint="eastAsia" w:ascii="宋体" w:hAnsi="宋体" w:eastAsia="宋体" w:cs="宋体"/>
          <w:b/>
          <w:color w:val="auto"/>
          <w:sz w:val="36"/>
          <w:szCs w:val="36"/>
          <w:highlight w:val="none"/>
          <w:u w:val="single"/>
          <w:lang w:val="en-US" w:eastAsia="zh-CN"/>
        </w:rPr>
        <w:t xml:space="preserve">                     </w:t>
      </w:r>
    </w:p>
    <w:p w14:paraId="38CFCEC4">
      <w:pPr>
        <w:spacing w:line="360" w:lineRule="auto"/>
        <w:ind w:left="0" w:leftChars="0" w:firstLine="1063" w:firstLineChars="294"/>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采购计划编号：</w:t>
      </w:r>
      <w:r>
        <w:rPr>
          <w:rFonts w:hint="eastAsia" w:ascii="宋体" w:hAnsi="宋体" w:eastAsia="宋体" w:cs="宋体"/>
          <w:b/>
          <w:color w:val="auto"/>
          <w:sz w:val="36"/>
          <w:szCs w:val="36"/>
          <w:highlight w:val="none"/>
          <w:u w:val="single"/>
        </w:rPr>
        <w:t xml:space="preserve">                     </w:t>
      </w:r>
    </w:p>
    <w:p w14:paraId="53567272">
      <w:pPr>
        <w:spacing w:line="360" w:lineRule="auto"/>
        <w:ind w:left="0" w:leftChars="0" w:firstLine="705" w:firstLineChars="294"/>
        <w:rPr>
          <w:rFonts w:hint="eastAsia" w:ascii="宋体" w:hAnsi="宋体" w:eastAsia="宋体" w:cs="宋体"/>
          <w:color w:val="auto"/>
          <w:sz w:val="24"/>
          <w:highlight w:val="none"/>
        </w:rPr>
      </w:pPr>
    </w:p>
    <w:p w14:paraId="4AE5BE40">
      <w:pPr>
        <w:spacing w:line="360" w:lineRule="auto"/>
        <w:ind w:left="0" w:leftChars="0" w:firstLine="1063" w:firstLineChars="294"/>
        <w:rPr>
          <w:rFonts w:hint="eastAsia" w:ascii="宋体" w:hAnsi="宋体" w:eastAsia="宋体" w:cs="宋体"/>
          <w:b/>
          <w:color w:val="auto"/>
          <w:sz w:val="36"/>
          <w:szCs w:val="36"/>
          <w:highlight w:val="none"/>
          <w:u w:val="single"/>
        </w:rPr>
      </w:pPr>
    </w:p>
    <w:p w14:paraId="4A1C1377">
      <w:pPr>
        <w:spacing w:line="360" w:lineRule="auto"/>
        <w:ind w:left="0" w:leftChars="0" w:firstLine="1063" w:firstLineChars="294"/>
        <w:rPr>
          <w:rFonts w:hint="eastAsia" w:ascii="宋体" w:hAnsi="宋体" w:eastAsia="宋体" w:cs="宋体"/>
          <w:b/>
          <w:color w:val="auto"/>
          <w:sz w:val="36"/>
          <w:szCs w:val="36"/>
          <w:highlight w:val="none"/>
          <w:u w:val="single"/>
        </w:rPr>
      </w:pPr>
    </w:p>
    <w:p w14:paraId="7A52C7D4">
      <w:pPr>
        <w:widowControl/>
        <w:kinsoku w:val="0"/>
        <w:autoSpaceDE w:val="0"/>
        <w:autoSpaceDN w:val="0"/>
        <w:adjustRightInd w:val="0"/>
        <w:snapToGrid w:val="0"/>
        <w:spacing w:line="360" w:lineRule="auto"/>
        <w:ind w:right="1234" w:firstLine="1084" w:firstLineChars="300"/>
        <w:jc w:val="left"/>
        <w:textAlignment w:val="baseline"/>
        <w:rPr>
          <w:rFonts w:hint="default" w:ascii="宋体" w:hAnsi="宋体" w:eastAsia="宋体" w:cs="宋体"/>
          <w:b/>
          <w:sz w:val="36"/>
          <w:szCs w:val="36"/>
          <w:u w:val="single"/>
          <w:lang w:val="en-US"/>
        </w:rPr>
      </w:pPr>
      <w:r>
        <w:rPr>
          <w:rFonts w:hint="eastAsia" w:ascii="宋体" w:hAnsi="宋体" w:eastAsia="宋体" w:cs="宋体"/>
          <w:b/>
          <w:sz w:val="36"/>
          <w:szCs w:val="36"/>
        </w:rPr>
        <w:t>发包人：</w:t>
      </w:r>
      <w:r>
        <w:rPr>
          <w:rFonts w:hint="eastAsia" w:ascii="宋体" w:hAnsi="宋体" w:eastAsia="宋体" w:cs="宋体"/>
          <w:b/>
          <w:sz w:val="36"/>
          <w:szCs w:val="36"/>
          <w:u w:val="single"/>
          <w:lang w:val="en-US" w:eastAsia="zh-CN"/>
        </w:rPr>
        <w:t xml:space="preserve">                         </w:t>
      </w:r>
    </w:p>
    <w:p w14:paraId="10E6CD7B">
      <w:pPr>
        <w:widowControl/>
        <w:kinsoku w:val="0"/>
        <w:autoSpaceDE w:val="0"/>
        <w:autoSpaceDN w:val="0"/>
        <w:adjustRightInd w:val="0"/>
        <w:snapToGrid w:val="0"/>
        <w:spacing w:line="360" w:lineRule="auto"/>
        <w:ind w:right="1234" w:firstLine="1084" w:firstLineChars="300"/>
        <w:jc w:val="left"/>
        <w:textAlignment w:val="baseline"/>
        <w:rPr>
          <w:rFonts w:ascii="宋体" w:hAnsi="宋体" w:eastAsia="宋体" w:cs="宋体"/>
          <w:b/>
          <w:bCs/>
          <w:sz w:val="44"/>
        </w:rPr>
      </w:pPr>
      <w:r>
        <w:rPr>
          <w:rFonts w:hint="eastAsia" w:ascii="宋体" w:hAnsi="宋体" w:eastAsia="宋体" w:cs="宋体"/>
          <w:b/>
          <w:sz w:val="36"/>
          <w:szCs w:val="36"/>
        </w:rPr>
        <w:t>承包人：</w:t>
      </w:r>
      <w:r>
        <w:rPr>
          <w:rFonts w:hint="eastAsia" w:ascii="宋体" w:hAnsi="宋体" w:eastAsia="宋体" w:cs="宋体"/>
          <w:b/>
          <w:sz w:val="36"/>
          <w:szCs w:val="36"/>
          <w:u w:val="single"/>
        </w:rPr>
        <w:t xml:space="preserve">                         </w:t>
      </w:r>
      <w:r>
        <w:rPr>
          <w:rFonts w:hint="eastAsia" w:ascii="宋体" w:hAnsi="宋体" w:eastAsia="宋体" w:cs="宋体"/>
          <w:b/>
          <w:sz w:val="36"/>
          <w:szCs w:val="36"/>
        </w:rPr>
        <w:t xml:space="preserve">            </w:t>
      </w:r>
    </w:p>
    <w:p w14:paraId="673987B9">
      <w:pPr>
        <w:tabs>
          <w:tab w:val="left" w:pos="7380"/>
        </w:tabs>
        <w:spacing w:line="360" w:lineRule="auto"/>
        <w:rPr>
          <w:rFonts w:ascii="宋体" w:hAnsi="宋体" w:eastAsia="宋体" w:cs="宋体"/>
          <w:b/>
          <w:bCs/>
          <w:sz w:val="44"/>
        </w:rPr>
      </w:pPr>
    </w:p>
    <w:p w14:paraId="1A18BECC">
      <w:pPr>
        <w:tabs>
          <w:tab w:val="left" w:pos="7380"/>
        </w:tabs>
        <w:spacing w:line="360" w:lineRule="auto"/>
        <w:ind w:left="0" w:leftChars="0" w:firstLine="1058" w:firstLineChars="294"/>
        <w:rPr>
          <w:rFonts w:hint="eastAsia" w:ascii="宋体" w:hAnsi="宋体" w:eastAsia="宋体" w:cs="宋体"/>
          <w:b/>
          <w:bCs/>
          <w:color w:val="auto"/>
          <w:sz w:val="44"/>
          <w:highlight w:val="none"/>
        </w:rPr>
      </w:pPr>
      <w:r>
        <w:rPr>
          <w:rFonts w:hint="eastAsia" w:ascii="宋体" w:hAnsi="宋体" w:eastAsia="宋体" w:cs="宋体"/>
          <w:sz w:val="36"/>
          <w:szCs w:val="36"/>
          <w:lang w:val="zh-CN"/>
        </w:rPr>
        <w:t>签订时间：</w:t>
      </w:r>
      <w:r>
        <w:rPr>
          <w:rFonts w:hint="eastAsia" w:ascii="宋体" w:hAnsi="宋体" w:eastAsia="宋体" w:cs="宋体"/>
          <w:sz w:val="36"/>
          <w:szCs w:val="36"/>
          <w:u w:val="single"/>
          <w:lang w:val="zh-CN"/>
        </w:rPr>
        <w:t xml:space="preserve">     </w:t>
      </w:r>
      <w:r>
        <w:rPr>
          <w:rFonts w:hint="eastAsia" w:ascii="宋体" w:hAnsi="宋体" w:eastAsia="宋体" w:cs="宋体"/>
          <w:sz w:val="36"/>
          <w:szCs w:val="36"/>
          <w:lang w:val="zh-CN"/>
        </w:rPr>
        <w:t>年</w:t>
      </w:r>
      <w:r>
        <w:rPr>
          <w:rFonts w:hint="eastAsia" w:ascii="宋体" w:hAnsi="宋体" w:eastAsia="宋体" w:cs="宋体"/>
          <w:sz w:val="36"/>
          <w:szCs w:val="36"/>
          <w:u w:val="single"/>
          <w:lang w:val="zh-CN"/>
        </w:rPr>
        <w:t xml:space="preserve">    </w:t>
      </w:r>
      <w:r>
        <w:rPr>
          <w:rFonts w:hint="eastAsia" w:ascii="宋体" w:hAnsi="宋体" w:eastAsia="宋体" w:cs="宋体"/>
          <w:sz w:val="36"/>
          <w:szCs w:val="36"/>
          <w:lang w:val="zh-CN"/>
        </w:rPr>
        <w:t>月</w:t>
      </w:r>
      <w:r>
        <w:rPr>
          <w:rFonts w:hint="eastAsia" w:ascii="宋体" w:hAnsi="宋体" w:eastAsia="宋体" w:cs="宋体"/>
          <w:sz w:val="36"/>
          <w:szCs w:val="36"/>
          <w:u w:val="single"/>
          <w:lang w:val="zh-CN"/>
        </w:rPr>
        <w:t xml:space="preserve">    </w:t>
      </w:r>
      <w:r>
        <w:rPr>
          <w:rFonts w:hint="eastAsia" w:ascii="宋体" w:hAnsi="宋体" w:eastAsia="宋体" w:cs="宋体"/>
          <w:sz w:val="36"/>
          <w:szCs w:val="36"/>
          <w:lang w:val="zh-CN"/>
        </w:rPr>
        <w:t>日</w:t>
      </w:r>
    </w:p>
    <w:p w14:paraId="3A724857">
      <w:pPr>
        <w:tabs>
          <w:tab w:val="left" w:pos="7380"/>
        </w:tabs>
        <w:spacing w:line="360" w:lineRule="auto"/>
        <w:rPr>
          <w:rFonts w:hint="eastAsia" w:ascii="宋体" w:hAnsi="宋体" w:eastAsia="宋体" w:cs="宋体"/>
          <w:b/>
          <w:bCs/>
          <w:color w:val="auto"/>
          <w:sz w:val="44"/>
          <w:highlight w:val="none"/>
        </w:rPr>
        <w:sectPr>
          <w:pgSz w:w="11907" w:h="16840"/>
          <w:pgMar w:top="1440" w:right="1440" w:bottom="1440" w:left="1797" w:header="851" w:footer="851" w:gutter="0"/>
          <w:cols w:space="720" w:num="1"/>
          <w:docGrid w:linePitch="312" w:charSpace="0"/>
        </w:sectPr>
      </w:pPr>
    </w:p>
    <w:p w14:paraId="6FAD63B0">
      <w:pPr>
        <w:pageBreakBefore w:val="0"/>
        <w:widowControl w:val="0"/>
        <w:kinsoku/>
        <w:wordWrap/>
        <w:overflowPunct/>
        <w:topLinePunct w:val="0"/>
        <w:bidi w:val="0"/>
        <w:spacing w:line="360" w:lineRule="auto"/>
        <w:ind w:left="0" w:leftChars="0" w:firstLine="643" w:firstLineChars="20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14:paraId="748BEDA4">
      <w:pPr>
        <w:pageBreakBefore w:val="0"/>
        <w:widowControl w:val="0"/>
        <w:kinsoku/>
        <w:wordWrap/>
        <w:overflowPunct/>
        <w:topLinePunct w:val="0"/>
        <w:bidi w:val="0"/>
        <w:spacing w:line="360" w:lineRule="auto"/>
        <w:ind w:left="0" w:leftChars="0" w:firstLine="480" w:firstLineChars="200"/>
        <w:jc w:val="center"/>
        <w:rPr>
          <w:rFonts w:hint="eastAsia" w:ascii="宋体" w:hAnsi="宋体" w:eastAsia="宋体" w:cs="宋体"/>
          <w:color w:val="auto"/>
          <w:sz w:val="24"/>
          <w:szCs w:val="24"/>
          <w:highlight w:val="none"/>
        </w:rPr>
      </w:pPr>
    </w:p>
    <w:p w14:paraId="14CB68A0">
      <w:pPr>
        <w:pageBreakBefore w:val="0"/>
        <w:widowControl w:val="0"/>
        <w:kinsoku/>
        <w:wordWrap/>
        <w:overflowPunct/>
        <w:topLinePunct w:val="0"/>
        <w:bidi w:val="0"/>
        <w:spacing w:line="360" w:lineRule="auto"/>
        <w:ind w:left="0" w:leftChars="0" w:firstLine="480" w:firstLineChars="200"/>
        <w:jc w:val="center"/>
        <w:rPr>
          <w:rFonts w:hint="eastAsia" w:ascii="宋体" w:hAnsi="宋体" w:eastAsia="宋体" w:cs="宋体"/>
          <w:color w:val="auto"/>
          <w:sz w:val="24"/>
          <w:szCs w:val="24"/>
          <w:highlight w:val="none"/>
        </w:rPr>
      </w:pPr>
    </w:p>
    <w:p w14:paraId="00C2322D">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第一节、</w:t>
      </w:r>
      <w:r>
        <w:rPr>
          <w:rFonts w:hint="eastAsia" w:ascii="宋体" w:hAnsi="宋体" w:eastAsia="宋体" w:cs="宋体"/>
          <w:b/>
          <w:color w:val="auto"/>
          <w:sz w:val="28"/>
          <w:szCs w:val="28"/>
          <w:highlight w:val="none"/>
        </w:rPr>
        <w:t>合同协议书</w:t>
      </w:r>
    </w:p>
    <w:p w14:paraId="2EDF9134">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t>第二节、中标通知书</w:t>
      </w:r>
    </w:p>
    <w:p w14:paraId="07FD7BD0">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第三节、</w:t>
      </w:r>
      <w:r>
        <w:rPr>
          <w:rFonts w:hint="eastAsia" w:ascii="宋体" w:hAnsi="宋体" w:eastAsia="宋体" w:cs="宋体"/>
          <w:b/>
          <w:color w:val="auto"/>
          <w:sz w:val="28"/>
          <w:szCs w:val="28"/>
          <w:highlight w:val="none"/>
        </w:rPr>
        <w:t>通用合同条款</w:t>
      </w:r>
    </w:p>
    <w:p w14:paraId="71B30878">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第四节、</w:t>
      </w:r>
      <w:r>
        <w:rPr>
          <w:rFonts w:hint="eastAsia" w:ascii="宋体" w:hAnsi="宋体" w:eastAsia="宋体" w:cs="宋体"/>
          <w:b/>
          <w:color w:val="auto"/>
          <w:sz w:val="28"/>
          <w:szCs w:val="28"/>
          <w:highlight w:val="none"/>
        </w:rPr>
        <w:t>专用合同条款</w:t>
      </w:r>
    </w:p>
    <w:p w14:paraId="25328E11">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第</w:t>
      </w: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lang w:eastAsia="zh-CN"/>
        </w:rPr>
        <w:t>节、</w:t>
      </w:r>
      <w:r>
        <w:rPr>
          <w:rFonts w:hint="eastAsia" w:ascii="宋体" w:hAnsi="宋体" w:eastAsia="宋体" w:cs="宋体"/>
          <w:b/>
          <w:color w:val="auto"/>
          <w:sz w:val="28"/>
          <w:szCs w:val="28"/>
          <w:highlight w:val="none"/>
          <w:lang w:val="en-US" w:eastAsia="zh-CN"/>
        </w:rPr>
        <w:t>合同附件格式</w:t>
      </w:r>
    </w:p>
    <w:p w14:paraId="78C99221">
      <w:pPr>
        <w:widowControl w:val="0"/>
        <w:ind w:leftChars="200" w:hanging="420" w:hangingChars="200"/>
        <w:jc w:val="both"/>
        <w:rPr>
          <w:rFonts w:hint="eastAsia" w:ascii="Times New Roman" w:hAnsi="Times New Roman" w:eastAsia="宋体" w:cs="Times New Roman"/>
          <w:kern w:val="2"/>
          <w:sz w:val="21"/>
          <w:szCs w:val="24"/>
          <w:lang w:val="en-US" w:eastAsia="zh-CN" w:bidi="ar-SA"/>
        </w:rPr>
      </w:pPr>
    </w:p>
    <w:p w14:paraId="44CF428E">
      <w:pPr>
        <w:pageBreakBefore w:val="0"/>
        <w:widowControl w:val="0"/>
        <w:kinsoku/>
        <w:wordWrap/>
        <w:overflowPunct/>
        <w:topLinePunct w:val="0"/>
        <w:autoSpaceDE w:val="0"/>
        <w:autoSpaceDN w:val="0"/>
        <w:bidi w:val="0"/>
        <w:adjustRightInd w:val="0"/>
        <w:spacing w:line="360" w:lineRule="auto"/>
        <w:ind w:left="0" w:leftChars="0" w:firstLine="480" w:firstLineChars="200"/>
        <w:rPr>
          <w:rFonts w:hint="eastAsia" w:ascii="宋体" w:hAnsi="宋体" w:eastAsia="宋体" w:cs="宋体"/>
          <w:color w:val="auto"/>
          <w:sz w:val="24"/>
          <w:szCs w:val="24"/>
          <w:highlight w:val="none"/>
          <w:lang w:val="en-US" w:eastAsia="zh-CN" w:bidi="ar-SA"/>
        </w:rPr>
      </w:pPr>
    </w:p>
    <w:p w14:paraId="57CE4579">
      <w:pPr>
        <w:pageBreakBefore w:val="0"/>
        <w:widowControl w:val="0"/>
        <w:numPr>
          <w:ilvl w:val="0"/>
          <w:numId w:val="0"/>
        </w:numPr>
        <w:tabs>
          <w:tab w:val="left" w:pos="600"/>
        </w:tabs>
        <w:kinsoku/>
        <w:wordWrap/>
        <w:overflowPunct/>
        <w:topLinePunct w:val="0"/>
        <w:bidi w:val="0"/>
        <w:spacing w:line="360" w:lineRule="auto"/>
        <w:ind w:left="0" w:leftChars="0" w:firstLine="482" w:firstLineChars="200"/>
        <w:jc w:val="center"/>
        <w:textAlignment w:val="baseline"/>
        <w:rPr>
          <w:rFonts w:hint="eastAsia" w:ascii="宋体" w:hAnsi="宋体" w:eastAsia="宋体" w:cs="宋体"/>
          <w:b/>
          <w:color w:val="auto"/>
          <w:sz w:val="24"/>
          <w:szCs w:val="24"/>
          <w:highlight w:val="none"/>
          <w:u w:val="none" w:color="auto"/>
        </w:rPr>
      </w:pPr>
    </w:p>
    <w:p w14:paraId="24E40143">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rPr>
        <w:sectPr>
          <w:footerReference r:id="rId13" w:type="default"/>
          <w:pgSz w:w="11906" w:h="16838"/>
          <w:pgMar w:top="1418" w:right="1134" w:bottom="1418" w:left="1418" w:header="851" w:footer="737" w:gutter="0"/>
          <w:pgNumType w:fmt="decimal"/>
          <w:cols w:space="720" w:num="1"/>
          <w:docGrid w:type="lines" w:linePitch="312" w:charSpace="0"/>
        </w:sectPr>
      </w:pPr>
    </w:p>
    <w:p w14:paraId="524C835D">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199" w:name="_Toc31385"/>
      <w:r>
        <w:rPr>
          <w:rFonts w:hint="eastAsia" w:ascii="宋体" w:hAnsi="宋体" w:eastAsia="宋体" w:cs="宋体"/>
          <w:b/>
          <w:bCs/>
          <w:color w:val="auto"/>
          <w:kern w:val="44"/>
          <w:sz w:val="44"/>
          <w:szCs w:val="44"/>
          <w:highlight w:val="none"/>
          <w:lang w:val="en-US" w:eastAsia="zh-CN" w:bidi="ar-SA"/>
        </w:rPr>
        <w:t>第一节 合同协议书</w:t>
      </w:r>
      <w:bookmarkEnd w:id="199"/>
    </w:p>
    <w:p w14:paraId="44684111">
      <w:pPr>
        <w:spacing w:line="440" w:lineRule="exact"/>
        <w:ind w:firstLine="482"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（发包人名称，以下简称“发包人”）为实施</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（项目名称），已接受</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（承包人名称，以下简称“承包人”）为该项目</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（项目名称）的施工单位，并确定其为中标人。发包人和承包人共同达成如下协议。</w:t>
      </w:r>
    </w:p>
    <w:p w14:paraId="2F273C1B">
      <w:pPr>
        <w:spacing w:line="520" w:lineRule="exact"/>
        <w:ind w:firstLine="530" w:firstLineChars="2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本协议书与下列文件一起构成合同文件：</w:t>
      </w:r>
    </w:p>
    <w:p w14:paraId="6397BD8B">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）中标通知书；</w:t>
      </w:r>
    </w:p>
    <w:p w14:paraId="15E138EC">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）投标函及投标函附录；</w:t>
      </w:r>
    </w:p>
    <w:p w14:paraId="6C74F25C">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）专用合同条款（含附加条款）；</w:t>
      </w:r>
    </w:p>
    <w:p w14:paraId="5EA757F9">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）通用合同条款；</w:t>
      </w:r>
    </w:p>
    <w:p w14:paraId="0C0FDF5B">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）技术标准和要求（合同技术条款）；</w:t>
      </w:r>
    </w:p>
    <w:p w14:paraId="440883A9">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）图纸；</w:t>
      </w:r>
    </w:p>
    <w:p w14:paraId="4CBE1EC0">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）已标价工程量清单；</w:t>
      </w:r>
    </w:p>
    <w:p w14:paraId="52E22527">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）其他合同文件。</w:t>
      </w:r>
    </w:p>
    <w:p w14:paraId="68846596">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上述文件互相补充和解释，如有不明确或不一致之处，以合同约定次序在先者为准。</w:t>
      </w:r>
    </w:p>
    <w:p w14:paraId="739A3E31">
      <w:pPr>
        <w:spacing w:line="520" w:lineRule="exact"/>
        <w:ind w:firstLine="482" w:firstLineChars="200"/>
        <w:rPr>
          <w:rFonts w:hint="eastAsia" w:ascii="宋体" w:hAnsi="宋体" w:eastAsia="宋体" w:cs="宋体"/>
          <w:b/>
          <w:color w:val="auto"/>
          <w:spacing w:val="-6"/>
          <w:sz w:val="24"/>
          <w:szCs w:val="24"/>
          <w:highlight w:val="none"/>
        </w:rPr>
      </w:pPr>
      <w:r>
        <w:rPr>
          <w:rFonts w:hint="eastAsia" w:ascii="宋体" w:hAnsi="宋体" w:eastAsia="宋体" w:cs="宋体"/>
          <w:b/>
          <w:color w:val="auto"/>
          <w:sz w:val="24"/>
          <w:szCs w:val="24"/>
          <w:highlight w:val="none"/>
        </w:rPr>
        <w:t>3. 签约合同价</w:t>
      </w:r>
      <w:r>
        <w:rPr>
          <w:rFonts w:hint="eastAsia" w:ascii="宋体" w:hAnsi="宋体" w:eastAsia="宋体" w:cs="宋体"/>
          <w:b/>
          <w:color w:val="auto"/>
          <w:spacing w:val="-6"/>
          <w:sz w:val="24"/>
          <w:szCs w:val="24"/>
          <w:highlight w:val="none"/>
        </w:rPr>
        <w:t>：</w:t>
      </w:r>
    </w:p>
    <w:p w14:paraId="476F81DC">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（1）建安合同价：（大写）</w:t>
      </w:r>
      <w:r>
        <w:rPr>
          <w:rFonts w:hint="eastAsia" w:ascii="宋体" w:hAnsi="宋体" w:eastAsia="宋体" w:cs="宋体"/>
          <w:color w:val="auto"/>
          <w:sz w:val="24"/>
          <w:szCs w:val="24"/>
          <w:highlight w:val="none"/>
          <w:u w:val="single"/>
          <w:lang w:val="en-US" w:eastAsia="zh-CN"/>
        </w:rPr>
        <w:t xml:space="preserve">         </w:t>
      </w:r>
    </w:p>
    <w:p w14:paraId="624AEF5C">
      <w:pPr>
        <w:spacing w:line="520" w:lineRule="exact"/>
        <w:ind w:firstLine="2474" w:firstLineChars="11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37B85BC4">
      <w:pPr>
        <w:spacing w:line="520" w:lineRule="exact"/>
        <w:ind w:firstLine="450" w:firstLineChars="2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工程承包方式：</w:t>
      </w:r>
      <w:r>
        <w:rPr>
          <w:rFonts w:hint="eastAsia" w:ascii="宋体" w:hAnsi="宋体" w:eastAsia="宋体" w:cs="宋体"/>
          <w:b/>
          <w:color w:val="auto"/>
          <w:spacing w:val="-8"/>
          <w:kern w:val="0"/>
          <w:sz w:val="24"/>
          <w:szCs w:val="24"/>
          <w:highlight w:val="none"/>
          <w:u w:val="single"/>
        </w:rPr>
        <w:t xml:space="preserve">固定单价承包 </w:t>
      </w:r>
      <w:r>
        <w:rPr>
          <w:rFonts w:hint="eastAsia" w:ascii="宋体" w:hAnsi="宋体" w:eastAsia="宋体" w:cs="宋体"/>
          <w:b/>
          <w:color w:val="auto"/>
          <w:spacing w:val="-8"/>
          <w:kern w:val="0"/>
          <w:sz w:val="24"/>
          <w:szCs w:val="24"/>
          <w:highlight w:val="none"/>
        </w:rPr>
        <w:t>。</w:t>
      </w:r>
    </w:p>
    <w:p w14:paraId="45B787E6">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（2）安全文明措施费：（大写）</w:t>
      </w:r>
      <w:r>
        <w:rPr>
          <w:rFonts w:hint="eastAsia" w:ascii="宋体" w:hAnsi="宋体" w:eastAsia="宋体" w:cs="宋体"/>
          <w:color w:val="auto"/>
          <w:sz w:val="24"/>
          <w:szCs w:val="24"/>
          <w:highlight w:val="none"/>
          <w:u w:val="single"/>
          <w:lang w:val="en-US" w:eastAsia="zh-CN"/>
        </w:rPr>
        <w:t xml:space="preserve">         </w:t>
      </w:r>
    </w:p>
    <w:p w14:paraId="7E6AF92B">
      <w:pPr>
        <w:spacing w:line="520" w:lineRule="exact"/>
        <w:ind w:firstLine="2924" w:firstLineChars="13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48EED378">
      <w:pPr>
        <w:numPr>
          <w:ilvl w:val="0"/>
          <w:numId w:val="4"/>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lang w:val="en-US" w:eastAsia="zh-CN"/>
        </w:rPr>
        <w:t xml:space="preserve">         </w:t>
      </w:r>
    </w:p>
    <w:p w14:paraId="46AB76A5">
      <w:pPr>
        <w:numPr>
          <w:ilvl w:val="0"/>
          <w:numId w:val="4"/>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国家施工验收规范合格</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标准。</w:t>
      </w:r>
    </w:p>
    <w:p w14:paraId="2DDFCEC5">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承包人承诺按合同约定承担工程的实施、完成及缺陷修复。</w:t>
      </w:r>
    </w:p>
    <w:p w14:paraId="46AC660C">
      <w:pPr>
        <w:spacing w:line="520" w:lineRule="exact"/>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 发包人承诺按合同约定的条件、时间和方式向承包人支付合同价款。</w:t>
      </w:r>
    </w:p>
    <w:p w14:paraId="0B55C12B">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 承包人承诺执行监理人开工通知，计划工期为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天。承包人应积极配合完成项目开工准备工作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eastAsia="zh-CN"/>
        </w:rPr>
        <w:t>开工</w:t>
      </w:r>
      <w:r>
        <w:rPr>
          <w:rFonts w:hint="eastAsia" w:ascii="宋体" w:hAnsi="宋体" w:eastAsia="宋体" w:cs="宋体"/>
          <w:color w:val="auto"/>
          <w:sz w:val="24"/>
          <w:szCs w:val="24"/>
          <w:highlight w:val="none"/>
        </w:rPr>
        <w:t>，开工日期以监理人签发的开工令为准，由于承包人原因造成开工日期延误的，由承包人承担相应责任。</w:t>
      </w:r>
    </w:p>
    <w:p w14:paraId="4797169E">
      <w:pPr>
        <w:spacing w:line="520" w:lineRule="exact"/>
        <w:ind w:left="281" w:leftChars="13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 本协议书一式</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份，发包人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份，承包人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2FD42D8B">
      <w:pPr>
        <w:spacing w:line="520" w:lineRule="exact"/>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0</w:t>
      </w:r>
      <w:r>
        <w:rPr>
          <w:rFonts w:hint="eastAsia" w:ascii="宋体" w:hAnsi="宋体" w:eastAsia="宋体" w:cs="宋体"/>
          <w:color w:val="auto"/>
          <w:spacing w:val="-2"/>
          <w:sz w:val="24"/>
          <w:szCs w:val="24"/>
          <w:highlight w:val="none"/>
        </w:rPr>
        <w:t>. 合同未尽事宜，双方另行签订补充协议。补充协议是合同的组成部分。</w:t>
      </w:r>
    </w:p>
    <w:p w14:paraId="245A6E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 xml:space="preserve">   </w:t>
      </w:r>
    </w:p>
    <w:tbl>
      <w:tblPr>
        <w:tblStyle w:val="28"/>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5"/>
        <w:gridCol w:w="5934"/>
      </w:tblGrid>
      <w:tr w14:paraId="2CF7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865" w:type="dxa"/>
            <w:tcBorders>
              <w:top w:val="nil"/>
              <w:left w:val="nil"/>
              <w:bottom w:val="nil"/>
              <w:right w:val="nil"/>
            </w:tcBorders>
            <w:shd w:val="clear" w:color="auto" w:fill="auto"/>
            <w:noWrap w:val="0"/>
            <w:vAlign w:val="top"/>
          </w:tcPr>
          <w:p w14:paraId="1E7289D8">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发包人：</w:t>
            </w:r>
          </w:p>
        </w:tc>
        <w:tc>
          <w:tcPr>
            <w:tcW w:w="5934" w:type="dxa"/>
            <w:tcBorders>
              <w:top w:val="nil"/>
              <w:left w:val="nil"/>
              <w:bottom w:val="nil"/>
              <w:right w:val="nil"/>
            </w:tcBorders>
            <w:shd w:val="clear" w:color="auto" w:fill="auto"/>
            <w:noWrap w:val="0"/>
            <w:vAlign w:val="top"/>
          </w:tcPr>
          <w:p w14:paraId="57EF0B6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tc>
      </w:tr>
      <w:tr w14:paraId="775F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3865" w:type="dxa"/>
            <w:tcBorders>
              <w:top w:val="nil"/>
              <w:left w:val="nil"/>
              <w:bottom w:val="nil"/>
              <w:right w:val="nil"/>
            </w:tcBorders>
            <w:shd w:val="clear" w:color="auto" w:fill="auto"/>
            <w:noWrap w:val="0"/>
            <w:vAlign w:val="top"/>
          </w:tcPr>
          <w:p w14:paraId="19B22B05">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w:t>
            </w:r>
          </w:p>
          <w:p w14:paraId="68C5B53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（盖章或签字）</w:t>
            </w:r>
          </w:p>
        </w:tc>
        <w:tc>
          <w:tcPr>
            <w:tcW w:w="5934" w:type="dxa"/>
            <w:tcBorders>
              <w:top w:val="nil"/>
              <w:left w:val="nil"/>
              <w:bottom w:val="nil"/>
              <w:right w:val="nil"/>
            </w:tcBorders>
            <w:shd w:val="clear" w:color="auto" w:fill="auto"/>
            <w:noWrap w:val="0"/>
            <w:vAlign w:val="top"/>
          </w:tcPr>
          <w:p w14:paraId="2F7FD29F">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或授权委托人：（盖章或签字）</w:t>
            </w:r>
          </w:p>
        </w:tc>
      </w:tr>
      <w:tr w14:paraId="76A3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11C548B2">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地  址：</w:t>
            </w:r>
          </w:p>
        </w:tc>
        <w:tc>
          <w:tcPr>
            <w:tcW w:w="5934" w:type="dxa"/>
            <w:tcBorders>
              <w:top w:val="nil"/>
              <w:left w:val="nil"/>
              <w:bottom w:val="nil"/>
              <w:right w:val="nil"/>
            </w:tcBorders>
            <w:shd w:val="clear" w:color="auto" w:fill="auto"/>
            <w:noWrap w:val="0"/>
            <w:vAlign w:val="top"/>
          </w:tcPr>
          <w:p w14:paraId="33042AA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 xml:space="preserve">    </w:t>
            </w:r>
          </w:p>
        </w:tc>
      </w:tr>
      <w:tr w14:paraId="425E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1C399CD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电  话：</w:t>
            </w:r>
          </w:p>
        </w:tc>
        <w:tc>
          <w:tcPr>
            <w:tcW w:w="5934" w:type="dxa"/>
            <w:tcBorders>
              <w:top w:val="nil"/>
              <w:left w:val="nil"/>
              <w:bottom w:val="nil"/>
              <w:right w:val="nil"/>
            </w:tcBorders>
            <w:shd w:val="clear" w:color="auto" w:fill="auto"/>
            <w:noWrap w:val="0"/>
            <w:vAlign w:val="top"/>
          </w:tcPr>
          <w:p w14:paraId="11FE090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lang w:val="en-US" w:eastAsia="zh-CN"/>
              </w:rPr>
              <w:t xml:space="preserve"> </w:t>
            </w:r>
          </w:p>
        </w:tc>
      </w:tr>
      <w:tr w14:paraId="6145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31311AF5">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传  真：</w:t>
            </w:r>
          </w:p>
        </w:tc>
        <w:tc>
          <w:tcPr>
            <w:tcW w:w="5934" w:type="dxa"/>
            <w:tcBorders>
              <w:top w:val="nil"/>
              <w:left w:val="nil"/>
              <w:bottom w:val="nil"/>
              <w:right w:val="nil"/>
            </w:tcBorders>
            <w:shd w:val="clear" w:color="auto" w:fill="auto"/>
            <w:noWrap w:val="0"/>
            <w:vAlign w:val="top"/>
          </w:tcPr>
          <w:p w14:paraId="7E9F482F">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lang w:val="en-US" w:eastAsia="zh-CN"/>
              </w:rPr>
              <w:t>：</w:t>
            </w:r>
          </w:p>
        </w:tc>
      </w:tr>
      <w:tr w14:paraId="5F1D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7FAA9A97">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 xml:space="preserve">邮  箱: </w:t>
            </w:r>
          </w:p>
        </w:tc>
        <w:tc>
          <w:tcPr>
            <w:tcW w:w="5934" w:type="dxa"/>
            <w:tcBorders>
              <w:top w:val="nil"/>
              <w:left w:val="nil"/>
              <w:bottom w:val="nil"/>
              <w:right w:val="nil"/>
            </w:tcBorders>
            <w:shd w:val="clear" w:color="auto" w:fill="auto"/>
            <w:noWrap w:val="0"/>
            <w:vAlign w:val="top"/>
          </w:tcPr>
          <w:p w14:paraId="508304C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公司邮箱</w:t>
            </w:r>
            <w:r>
              <w:rPr>
                <w:rFonts w:hint="eastAsia" w:ascii="宋体" w:hAnsi="宋体" w:eastAsia="宋体" w:cs="宋体"/>
                <w:color w:val="auto"/>
                <w:sz w:val="24"/>
                <w:szCs w:val="24"/>
                <w:highlight w:val="none"/>
                <w:lang w:eastAsia="zh-CN"/>
              </w:rPr>
              <w:t>：</w:t>
            </w:r>
          </w:p>
        </w:tc>
      </w:tr>
      <w:tr w14:paraId="75E6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027CD31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邮  编</w:t>
            </w:r>
            <w:r>
              <w:rPr>
                <w:rFonts w:hint="eastAsia" w:ascii="宋体" w:hAnsi="宋体" w:eastAsia="宋体" w:cs="宋体"/>
                <w:color w:val="auto"/>
                <w:sz w:val="24"/>
                <w:szCs w:val="24"/>
                <w:highlight w:val="none"/>
                <w:lang w:val="en-US" w:eastAsia="zh-CN"/>
              </w:rPr>
              <w:t xml:space="preserve"> ：</w:t>
            </w:r>
          </w:p>
        </w:tc>
        <w:tc>
          <w:tcPr>
            <w:tcW w:w="5934" w:type="dxa"/>
            <w:tcBorders>
              <w:top w:val="nil"/>
              <w:left w:val="nil"/>
              <w:bottom w:val="nil"/>
              <w:right w:val="nil"/>
            </w:tcBorders>
            <w:shd w:val="clear" w:color="auto" w:fill="auto"/>
            <w:noWrap w:val="0"/>
            <w:vAlign w:val="top"/>
          </w:tcPr>
          <w:p w14:paraId="61566BF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邮  编：</w:t>
            </w:r>
            <w:r>
              <w:rPr>
                <w:rFonts w:hint="eastAsia" w:ascii="宋体" w:hAnsi="宋体" w:eastAsia="宋体" w:cs="Times New Roman"/>
                <w:color w:val="auto"/>
                <w:sz w:val="24"/>
                <w:szCs w:val="24"/>
                <w:highlight w:val="none"/>
                <w:lang w:val="en-US" w:eastAsia="zh-CN"/>
              </w:rPr>
              <w:t xml:space="preserve"> </w:t>
            </w:r>
          </w:p>
        </w:tc>
      </w:tr>
      <w:tr w14:paraId="32DF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22A30BB0">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开票信息：</w:t>
            </w:r>
            <w:r>
              <w:rPr>
                <w:rFonts w:hint="eastAsia" w:ascii="宋体" w:hAnsi="宋体" w:eastAsia="宋体" w:cs="宋体"/>
                <w:color w:val="auto"/>
                <w:sz w:val="24"/>
                <w:szCs w:val="24"/>
                <w:highlight w:val="none"/>
                <w:lang w:val="en-US" w:eastAsia="zh-CN"/>
              </w:rPr>
              <w:t xml:space="preserve"> </w:t>
            </w:r>
          </w:p>
        </w:tc>
        <w:tc>
          <w:tcPr>
            <w:tcW w:w="5934" w:type="dxa"/>
            <w:tcBorders>
              <w:top w:val="nil"/>
              <w:left w:val="nil"/>
              <w:bottom w:val="nil"/>
              <w:right w:val="nil"/>
            </w:tcBorders>
            <w:shd w:val="clear" w:color="auto" w:fill="auto"/>
            <w:noWrap w:val="0"/>
            <w:vAlign w:val="top"/>
          </w:tcPr>
          <w:p w14:paraId="031108AB">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基本账户开户银行</w:t>
            </w:r>
            <w:r>
              <w:rPr>
                <w:rFonts w:hint="eastAsia" w:ascii="宋体" w:hAnsi="宋体" w:eastAsia="宋体" w:cs="宋体"/>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 xml:space="preserve"> </w:t>
            </w:r>
          </w:p>
        </w:tc>
      </w:tr>
      <w:tr w14:paraId="5AB2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865" w:type="dxa"/>
            <w:tcBorders>
              <w:top w:val="nil"/>
              <w:left w:val="nil"/>
              <w:bottom w:val="nil"/>
              <w:right w:val="nil"/>
            </w:tcBorders>
            <w:shd w:val="clear" w:color="auto" w:fill="auto"/>
            <w:noWrap w:val="0"/>
            <w:vAlign w:val="top"/>
          </w:tcPr>
          <w:p w14:paraId="4A015C2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纳税人识别号：</w:t>
            </w:r>
            <w:r>
              <w:rPr>
                <w:rFonts w:hint="eastAsia" w:ascii="宋体" w:hAnsi="宋体" w:eastAsia="宋体" w:cs="宋体"/>
                <w:color w:val="auto"/>
                <w:sz w:val="24"/>
                <w:szCs w:val="24"/>
                <w:highlight w:val="none"/>
                <w:lang w:val="en-US" w:eastAsia="zh-CN"/>
              </w:rPr>
              <w:t xml:space="preserve"> </w:t>
            </w:r>
          </w:p>
        </w:tc>
        <w:tc>
          <w:tcPr>
            <w:tcW w:w="5934" w:type="dxa"/>
            <w:tcBorders>
              <w:top w:val="nil"/>
              <w:left w:val="nil"/>
              <w:bottom w:val="nil"/>
              <w:right w:val="nil"/>
            </w:tcBorders>
            <w:shd w:val="clear" w:color="auto" w:fill="auto"/>
            <w:noWrap w:val="0"/>
            <w:vAlign w:val="top"/>
          </w:tcPr>
          <w:p w14:paraId="0D44CDDF">
            <w:pPr>
              <w:keepNext w:val="0"/>
              <w:keepLines w:val="0"/>
              <w:pageBreakBefore w:val="0"/>
              <w:widowControl w:val="0"/>
              <w:kinsoku/>
              <w:wordWrap/>
              <w:overflowPunct/>
              <w:topLinePunct w:val="0"/>
              <w:autoSpaceDE/>
              <w:autoSpaceDN/>
              <w:bidi w:val="0"/>
              <w:adjustRightInd/>
              <w:snapToGrid/>
              <w:spacing w:line="400" w:lineRule="atLeast"/>
              <w:ind w:left="6020" w:hanging="5160" w:hangingChars="215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eastAsia="zh-CN"/>
              </w:rPr>
              <w:t>基本账户账户：</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tc>
      </w:tr>
      <w:tr w14:paraId="3D3B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7041FA42">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rPr>
            </w:pPr>
          </w:p>
        </w:tc>
        <w:tc>
          <w:tcPr>
            <w:tcW w:w="5934" w:type="dxa"/>
            <w:tcBorders>
              <w:top w:val="nil"/>
              <w:left w:val="nil"/>
              <w:bottom w:val="nil"/>
              <w:right w:val="nil"/>
            </w:tcBorders>
            <w:shd w:val="clear" w:color="auto" w:fill="auto"/>
            <w:noWrap w:val="0"/>
            <w:vAlign w:val="top"/>
          </w:tcPr>
          <w:p w14:paraId="4DF76883">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安全文明施工措施费专用账户：</w:t>
            </w:r>
            <w:r>
              <w:rPr>
                <w:rFonts w:hint="eastAsia" w:ascii="宋体" w:hAnsi="宋体" w:eastAsia="宋体" w:cs="宋体"/>
                <w:color w:val="auto"/>
                <w:sz w:val="24"/>
                <w:szCs w:val="24"/>
                <w:highlight w:val="none"/>
                <w:lang w:val="en-US" w:eastAsia="zh-CN"/>
              </w:rPr>
              <w:t xml:space="preserve"> </w:t>
            </w:r>
          </w:p>
        </w:tc>
      </w:tr>
      <w:tr w14:paraId="1A97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78F525C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rPr>
            </w:pPr>
          </w:p>
        </w:tc>
        <w:tc>
          <w:tcPr>
            <w:tcW w:w="5934" w:type="dxa"/>
            <w:tcBorders>
              <w:top w:val="nil"/>
              <w:left w:val="nil"/>
              <w:bottom w:val="nil"/>
              <w:right w:val="nil"/>
            </w:tcBorders>
            <w:shd w:val="clear" w:color="auto" w:fill="auto"/>
            <w:noWrap w:val="0"/>
            <w:vAlign w:val="top"/>
          </w:tcPr>
          <w:p w14:paraId="1BB61181">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安全文明施工措施费</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tc>
      </w:tr>
      <w:tr w14:paraId="17FF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65" w:type="dxa"/>
            <w:tcBorders>
              <w:top w:val="nil"/>
              <w:left w:val="nil"/>
              <w:bottom w:val="nil"/>
              <w:right w:val="nil"/>
            </w:tcBorders>
            <w:shd w:val="clear" w:color="auto" w:fill="auto"/>
            <w:noWrap w:val="0"/>
            <w:vAlign w:val="top"/>
          </w:tcPr>
          <w:p w14:paraId="65C25434">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rPr>
            </w:pPr>
          </w:p>
        </w:tc>
        <w:tc>
          <w:tcPr>
            <w:tcW w:w="5934" w:type="dxa"/>
            <w:tcBorders>
              <w:top w:val="nil"/>
              <w:left w:val="nil"/>
              <w:bottom w:val="nil"/>
              <w:right w:val="nil"/>
            </w:tcBorders>
            <w:shd w:val="clear" w:color="auto" w:fill="auto"/>
            <w:noWrap w:val="0"/>
            <w:vAlign w:val="top"/>
          </w:tcPr>
          <w:p w14:paraId="5553B13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安全文明施工措施费开户账号：</w:t>
            </w:r>
            <w:r>
              <w:rPr>
                <w:rFonts w:hint="eastAsia" w:ascii="宋体" w:hAnsi="宋体" w:eastAsia="宋体" w:cs="宋体"/>
                <w:color w:val="auto"/>
                <w:sz w:val="24"/>
                <w:szCs w:val="24"/>
                <w:highlight w:val="none"/>
                <w:lang w:val="en-US" w:eastAsia="zh-CN"/>
              </w:rPr>
              <w:t xml:space="preserve"> </w:t>
            </w:r>
          </w:p>
        </w:tc>
      </w:tr>
    </w:tbl>
    <w:p w14:paraId="4BDEAF45">
      <w:pPr>
        <w:pageBreakBefore w:val="0"/>
        <w:widowControl w:val="0"/>
        <w:kinsoku/>
        <w:wordWrap/>
        <w:overflowPunct/>
        <w:topLinePunct w:val="0"/>
        <w:bidi w:val="0"/>
        <w:snapToGrid w:val="0"/>
        <w:spacing w:line="360" w:lineRule="auto"/>
        <w:ind w:left="0" w:leftChars="0" w:firstLine="480" w:firstLineChars="200"/>
        <w:jc w:val="left"/>
        <w:rPr>
          <w:rFonts w:hint="eastAsia" w:ascii="宋体" w:hAnsi="宋体" w:eastAsia="宋体" w:cs="宋体"/>
          <w:color w:val="auto"/>
          <w:kern w:val="0"/>
          <w:sz w:val="24"/>
          <w:szCs w:val="24"/>
          <w:highlight w:val="none"/>
          <w:lang w:val="en-US" w:eastAsia="zh-CN" w:bidi="ar-SA"/>
        </w:rPr>
      </w:pPr>
    </w:p>
    <w:p w14:paraId="2255DDDC">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rPr>
        <w:sectPr>
          <w:footerReference r:id="rId15" w:type="first"/>
          <w:footerReference r:id="rId14" w:type="default"/>
          <w:pgSz w:w="11906" w:h="16838"/>
          <w:pgMar w:top="1440" w:right="1418" w:bottom="1440" w:left="1588" w:header="851" w:footer="992" w:gutter="0"/>
          <w:pgNumType w:fmt="decimal"/>
          <w:cols w:space="720" w:num="1"/>
          <w:titlePg/>
          <w:docGrid w:type="lines" w:linePitch="312" w:charSpace="0"/>
        </w:sectPr>
      </w:pPr>
    </w:p>
    <w:p w14:paraId="57F1883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center"/>
        <w:textAlignment w:val="auto"/>
        <w:rPr>
          <w:rFonts w:hint="eastAsia" w:ascii="宋体" w:hAnsi="宋体" w:eastAsia="宋体" w:cs="宋体"/>
          <w:color w:val="auto"/>
          <w:sz w:val="24"/>
          <w:szCs w:val="24"/>
          <w:highlight w:val="none"/>
          <w:lang w:eastAsia="zh-CN"/>
        </w:rPr>
        <w:sectPr>
          <w:type w:val="continuous"/>
          <w:pgSz w:w="11906" w:h="16838"/>
          <w:pgMar w:top="1440" w:right="1418" w:bottom="1440" w:left="1588" w:header="851" w:footer="992" w:gutter="0"/>
          <w:pgNumType w:fmt="decimal"/>
          <w:cols w:space="720" w:num="1"/>
          <w:titlePg/>
          <w:docGrid w:type="lines" w:linePitch="312" w:charSpace="0"/>
        </w:sectPr>
      </w:pPr>
      <w:r>
        <w:rPr>
          <w:rFonts w:hint="eastAsia" w:ascii="宋体" w:hAnsi="宋体" w:eastAsia="宋体" w:cs="宋体"/>
          <w:color w:val="auto"/>
          <w:sz w:val="24"/>
          <w:szCs w:val="24"/>
          <w:highlight w:val="none"/>
          <w:lang w:val="en-US" w:eastAsia="zh-CN"/>
        </w:rPr>
        <w:t>签订日期：        年     月    日</w:t>
      </w:r>
    </w:p>
    <w:p w14:paraId="374212CD">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200" w:name="_Toc27308"/>
      <w:r>
        <w:rPr>
          <w:rFonts w:hint="eastAsia" w:ascii="宋体" w:hAnsi="宋体" w:eastAsia="宋体" w:cs="宋体"/>
          <w:b/>
          <w:bCs/>
          <w:color w:val="auto"/>
          <w:kern w:val="44"/>
          <w:sz w:val="44"/>
          <w:szCs w:val="44"/>
          <w:highlight w:val="none"/>
          <w:lang w:val="en-US" w:eastAsia="zh-CN" w:bidi="ar-SA"/>
        </w:rPr>
        <w:t>第二节 中标通知书</w:t>
      </w:r>
      <w:bookmarkEnd w:id="200"/>
      <w:r>
        <w:rPr>
          <w:rFonts w:hint="eastAsia" w:ascii="宋体" w:hAnsi="宋体" w:eastAsia="宋体" w:cs="宋体"/>
          <w:b/>
          <w:bCs/>
          <w:color w:val="auto"/>
          <w:kern w:val="44"/>
          <w:sz w:val="44"/>
          <w:szCs w:val="44"/>
          <w:highlight w:val="none"/>
          <w:lang w:val="en-US" w:eastAsia="zh-CN" w:bidi="ar-SA"/>
        </w:rPr>
        <w:t xml:space="preserve"> </w:t>
      </w:r>
    </w:p>
    <w:p w14:paraId="147D0D51">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r>
        <w:rPr>
          <w:rFonts w:hint="eastAsia" w:ascii="宋体" w:hAnsi="宋体" w:eastAsia="宋体" w:cs="宋体"/>
          <w:b/>
          <w:bCs/>
          <w:color w:val="auto"/>
          <w:kern w:val="44"/>
          <w:sz w:val="24"/>
          <w:szCs w:val="24"/>
          <w:highlight w:val="none"/>
          <w:lang w:val="en-US" w:eastAsia="zh-CN" w:bidi="ar-SA"/>
        </w:rPr>
        <w:br w:type="page"/>
      </w:r>
      <w:bookmarkStart w:id="201" w:name="_Toc3376"/>
      <w:r>
        <w:rPr>
          <w:rFonts w:hint="eastAsia" w:ascii="宋体" w:hAnsi="宋体" w:eastAsia="宋体" w:cs="宋体"/>
          <w:b/>
          <w:bCs/>
          <w:color w:val="auto"/>
          <w:kern w:val="44"/>
          <w:sz w:val="44"/>
          <w:szCs w:val="44"/>
          <w:highlight w:val="none"/>
          <w:lang w:val="en-US" w:eastAsia="zh-CN" w:bidi="ar-SA"/>
        </w:rPr>
        <w:t>第三节 通用合同条款</w:t>
      </w:r>
      <w:bookmarkEnd w:id="201"/>
    </w:p>
    <w:p w14:paraId="483B819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2" w:name="_Toc350"/>
      <w:r>
        <w:rPr>
          <w:rFonts w:hint="eastAsia" w:ascii="宋体" w:hAnsi="宋体" w:eastAsia="宋体" w:cs="宋体"/>
          <w:color w:val="auto"/>
          <w:kern w:val="2"/>
          <w:sz w:val="24"/>
          <w:szCs w:val="24"/>
          <w:highlight w:val="none"/>
          <w:lang w:val="en-US" w:eastAsia="zh-CN" w:bidi="ar-SA"/>
        </w:rPr>
        <w:t>1. 一般约定</w:t>
      </w:r>
      <w:bookmarkEnd w:id="202"/>
    </w:p>
    <w:p w14:paraId="4597CD8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1.1词语定义</w:t>
      </w:r>
    </w:p>
    <w:p w14:paraId="6B28DFA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通用合同条款、专用合同条款中的下列词语应具有本款所赋予的含义。</w:t>
      </w:r>
    </w:p>
    <w:p w14:paraId="1CCC02ED">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eastAsia="宋体" w:cs="宋体"/>
          <w:color w:val="auto"/>
          <w:kern w:val="0"/>
          <w:sz w:val="24"/>
          <w:szCs w:val="24"/>
          <w:highlight w:val="none"/>
          <w:lang w:val="zh-CN" w:eastAsia="zh-CN" w:bidi="zh-CN"/>
        </w:rPr>
        <w:t>1合同</w:t>
      </w:r>
    </w:p>
    <w:p w14:paraId="7302B76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1.1.1.1</w:t>
      </w:r>
      <w:r>
        <w:rPr>
          <w:rFonts w:hint="eastAsia" w:ascii="宋体" w:hAnsi="宋体" w:eastAsia="宋体" w:cs="宋体"/>
          <w:color w:val="auto"/>
          <w:kern w:val="2"/>
          <w:sz w:val="24"/>
          <w:szCs w:val="24"/>
          <w:highlight w:val="none"/>
          <w:lang w:val="zh-CN" w:eastAsia="zh-CN" w:bidi="zh-CN"/>
        </w:rPr>
        <w:t>合同文件（或称合同）：指合同协议书、中标通知书、投标函及投标函附录、专用合同条款、通用合同条款、技术标准和要求、图纸、已标价工程量清单，以及其他合同文件。</w:t>
      </w:r>
    </w:p>
    <w:p w14:paraId="0E0827DA">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2合同协议书：指第</w:t>
      </w:r>
      <w:r>
        <w:rPr>
          <w:rFonts w:hint="eastAsia" w:ascii="宋体" w:hAnsi="宋体" w:eastAsia="宋体" w:cs="宋体"/>
          <w:color w:val="auto"/>
          <w:kern w:val="2"/>
          <w:sz w:val="24"/>
          <w:szCs w:val="24"/>
          <w:highlight w:val="none"/>
          <w:lang w:val="en-US" w:eastAsia="zh-CN" w:bidi="en-US"/>
        </w:rPr>
        <w:t>1.5</w:t>
      </w:r>
      <w:r>
        <w:rPr>
          <w:rFonts w:hint="eastAsia" w:ascii="宋体" w:hAnsi="宋体" w:eastAsia="宋体" w:cs="宋体"/>
          <w:color w:val="auto"/>
          <w:kern w:val="2"/>
          <w:sz w:val="24"/>
          <w:szCs w:val="24"/>
          <w:highlight w:val="none"/>
          <w:lang w:val="zh-CN" w:eastAsia="zh-CN" w:bidi="zh-CN"/>
        </w:rPr>
        <w:t>款所指的合同协议书。</w:t>
      </w:r>
    </w:p>
    <w:p w14:paraId="2C06DF8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3中标通知书：指发包人通知承包人中标的函件。</w:t>
      </w:r>
    </w:p>
    <w:p w14:paraId="41E1C78A">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4投标函：指构成合同文件组成部分的由承包人填写并签署的投标函。</w:t>
      </w:r>
    </w:p>
    <w:p w14:paraId="0733A12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5投标函附录：指附在投标函后构成合同文件的投标函附录。</w:t>
      </w:r>
    </w:p>
    <w:p w14:paraId="42C7C00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1.1.1.6技术标准和要求：指构成合同文件组成部分的名为技术标准和要求（合同技术条款）的文件，包括合同双方当事人约定对其所做的修改或补充。</w:t>
      </w:r>
    </w:p>
    <w:p w14:paraId="2CF25C2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1.1.1.7  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096EFDA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8已标价工程量清单：指构成合同文件组成部分的由承包人按照规定的格式和要求填写并标明价格的工程量清单。</w:t>
      </w:r>
    </w:p>
    <w:p w14:paraId="30715E4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9其他合同文件：指经合同双方当事人确认构成合同文件的其他文件。</w:t>
      </w:r>
    </w:p>
    <w:p w14:paraId="059C40D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合同当事人和人员。</w:t>
      </w:r>
    </w:p>
    <w:p w14:paraId="3FB71B0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1.1.2.1</w:t>
      </w:r>
      <w:r>
        <w:rPr>
          <w:rFonts w:hint="eastAsia" w:ascii="宋体" w:hAnsi="宋体" w:eastAsia="宋体" w:cs="宋体"/>
          <w:color w:val="auto"/>
          <w:kern w:val="2"/>
          <w:sz w:val="24"/>
          <w:szCs w:val="24"/>
          <w:highlight w:val="none"/>
          <w:lang w:val="zh-CN" w:eastAsia="zh-CN" w:bidi="zh-CN"/>
        </w:rPr>
        <w:t>合同当事人：指发包人和（或）承包人。</w:t>
      </w:r>
    </w:p>
    <w:p w14:paraId="593091E7">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1.1.2.2</w:t>
      </w:r>
      <w:r>
        <w:rPr>
          <w:rFonts w:hint="eastAsia" w:ascii="宋体" w:hAnsi="宋体" w:eastAsia="宋体" w:cs="宋体"/>
          <w:color w:val="auto"/>
          <w:kern w:val="2"/>
          <w:sz w:val="24"/>
          <w:szCs w:val="24"/>
          <w:highlight w:val="none"/>
          <w:lang w:val="zh-CN" w:eastAsia="zh-CN" w:bidi="zh-CN"/>
        </w:rPr>
        <w:t>发包人：指专用合同条款中指明并与承包人在合同协议书中签字的当事人。</w:t>
      </w:r>
    </w:p>
    <w:p w14:paraId="1DA1D95F">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1.1.2.3</w:t>
      </w:r>
      <w:r>
        <w:rPr>
          <w:rFonts w:hint="eastAsia" w:ascii="宋体" w:hAnsi="宋体" w:eastAsia="宋体" w:cs="宋体"/>
          <w:color w:val="auto"/>
          <w:kern w:val="2"/>
          <w:sz w:val="24"/>
          <w:szCs w:val="24"/>
          <w:highlight w:val="none"/>
          <w:lang w:val="zh-CN" w:eastAsia="zh-CN" w:bidi="zh-CN"/>
        </w:rPr>
        <w:t>承包人：指专用合同条款中指明并与发包人在合同协议书中签字的当事人。</w:t>
      </w:r>
    </w:p>
    <w:p w14:paraId="55529A2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1.1.2.4</w:t>
      </w:r>
      <w:r>
        <w:rPr>
          <w:rFonts w:hint="eastAsia" w:ascii="宋体" w:hAnsi="宋体" w:eastAsia="宋体" w:cs="宋体"/>
          <w:color w:val="auto"/>
          <w:kern w:val="2"/>
          <w:sz w:val="24"/>
          <w:szCs w:val="24"/>
          <w:highlight w:val="none"/>
          <w:lang w:val="zh-CN" w:eastAsia="zh-CN" w:bidi="zh-CN"/>
        </w:rPr>
        <w:t>承包人项目经理：指承包人派驻施工场地的全权负责人。</w:t>
      </w:r>
    </w:p>
    <w:p w14:paraId="15193F6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1.1.2.5</w:t>
      </w:r>
      <w:r>
        <w:rPr>
          <w:rFonts w:hint="eastAsia" w:ascii="宋体" w:hAnsi="宋体" w:eastAsia="宋体" w:cs="宋体"/>
          <w:color w:val="auto"/>
          <w:kern w:val="2"/>
          <w:sz w:val="24"/>
          <w:szCs w:val="24"/>
          <w:highlight w:val="none"/>
          <w:lang w:val="zh-CN" w:eastAsia="zh-CN" w:bidi="zh-CN"/>
        </w:rPr>
        <w:t>分包人：指专用合同条款中指明的，从承包人处分包合同中某一部分工程, 并与其签订分包合同的分包人。</w:t>
      </w:r>
    </w:p>
    <w:p w14:paraId="7EBE87AE">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1.1.2.6  </w:t>
      </w:r>
      <w:r>
        <w:rPr>
          <w:rFonts w:hint="eastAsia" w:ascii="宋体" w:hAnsi="宋体" w:eastAsia="宋体" w:cs="宋体"/>
          <w:color w:val="auto"/>
          <w:kern w:val="2"/>
          <w:sz w:val="24"/>
          <w:szCs w:val="24"/>
          <w:highlight w:val="none"/>
          <w:lang w:val="zh-CN" w:eastAsia="zh-CN" w:bidi="zh-CN"/>
        </w:rPr>
        <w:t>监理人：指在专用合同条款中指明的，受发包人委托对合同履行实施管理的 法人或其他组织。</w:t>
      </w:r>
    </w:p>
    <w:p w14:paraId="357FA09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7总监理工程师（总监）:指由监理人委派常驻施工场地对合同履行实施管理的全权负责人。</w:t>
      </w:r>
    </w:p>
    <w:p w14:paraId="2C43F623">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eastAsia="宋体" w:cs="宋体"/>
          <w:color w:val="auto"/>
          <w:kern w:val="0"/>
          <w:sz w:val="24"/>
          <w:szCs w:val="24"/>
          <w:highlight w:val="none"/>
          <w:lang w:val="zh-CN" w:eastAsia="zh-CN" w:bidi="zh-CN"/>
        </w:rPr>
        <w:t>3工程和设备</w:t>
      </w:r>
    </w:p>
    <w:p w14:paraId="5635446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1工程：指永久工程和（或）临时工程。</w:t>
      </w:r>
    </w:p>
    <w:p w14:paraId="3CB8E49F">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2永久工程：指按合同约定建造并移交给发包人的工程，包括工程设备。</w:t>
      </w:r>
    </w:p>
    <w:p w14:paraId="3EA1F123">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3临时工程：指为完成合同约定的永久工程所修建的各类临时性工程，不包括施工设备。</w:t>
      </w:r>
    </w:p>
    <w:p w14:paraId="65C5176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4单位工程：指专用合同条款中指明特定范围的永久工程。</w:t>
      </w:r>
    </w:p>
    <w:p w14:paraId="0537D1A9">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5工程设备：指构成或计划构成永久工程一部分的机电设备、金属结构设备、仪器装置及其他类似的设备和装置。</w:t>
      </w:r>
    </w:p>
    <w:p w14:paraId="7A460FA1">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6施工设备：指为完成合同约定的各项工作所需的设备、器具和其他物品，不包括临时工程和材料。</w:t>
      </w:r>
    </w:p>
    <w:p w14:paraId="70C4E26A">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1.1.3.7</w:t>
      </w:r>
      <w:r>
        <w:rPr>
          <w:rFonts w:hint="eastAsia" w:ascii="宋体" w:hAnsi="宋体" w:eastAsia="宋体" w:cs="宋体"/>
          <w:color w:val="auto"/>
          <w:kern w:val="2"/>
          <w:sz w:val="24"/>
          <w:szCs w:val="24"/>
          <w:highlight w:val="none"/>
          <w:lang w:val="zh-CN" w:eastAsia="zh-CN" w:bidi="zh-CN"/>
        </w:rPr>
        <w:t>临时设施：指为完成合同约定的各项工作所服务的临时性生产和生活设施。</w:t>
      </w:r>
    </w:p>
    <w:p w14:paraId="4AC5FF48">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1.1.3.8</w:t>
      </w:r>
      <w:r>
        <w:rPr>
          <w:rFonts w:hint="eastAsia" w:ascii="宋体" w:hAnsi="宋体" w:eastAsia="宋体" w:cs="宋体"/>
          <w:color w:val="auto"/>
          <w:kern w:val="2"/>
          <w:sz w:val="24"/>
          <w:szCs w:val="24"/>
          <w:highlight w:val="none"/>
          <w:lang w:val="zh-CN" w:eastAsia="zh-CN" w:bidi="zh-CN"/>
        </w:rPr>
        <w:t>承包人设备：指承包人自带的施工设备。</w:t>
      </w:r>
    </w:p>
    <w:p w14:paraId="2237792E">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1.1.3.9</w:t>
      </w:r>
      <w:r>
        <w:rPr>
          <w:rFonts w:hint="eastAsia" w:ascii="宋体" w:hAnsi="宋体" w:eastAsia="宋体" w:cs="宋体"/>
          <w:color w:val="auto"/>
          <w:kern w:val="2"/>
          <w:sz w:val="24"/>
          <w:szCs w:val="24"/>
          <w:highlight w:val="none"/>
          <w:lang w:val="zh-CN" w:eastAsia="zh-CN" w:bidi="zh-CN"/>
        </w:rPr>
        <w:t>施工场地（或称工地、现场）：指用于合同工程施工的场所，以及在合同中指定作为施工场地组成部分的其他场所，包括永久占地和临时占地。</w:t>
      </w:r>
    </w:p>
    <w:p w14:paraId="2543AE50">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1.1.3.10</w:t>
      </w:r>
      <w:r>
        <w:rPr>
          <w:rFonts w:hint="eastAsia" w:ascii="宋体" w:hAnsi="宋体" w:eastAsia="宋体" w:cs="宋体"/>
          <w:color w:val="auto"/>
          <w:kern w:val="2"/>
          <w:sz w:val="24"/>
          <w:szCs w:val="24"/>
          <w:highlight w:val="none"/>
          <w:lang w:val="zh-CN" w:eastAsia="zh-CN" w:bidi="zh-CN"/>
        </w:rPr>
        <w:t>永久占地：指发包人为建设本合同工程永久征用的场地。</w:t>
      </w:r>
    </w:p>
    <w:p w14:paraId="76BA0E4D">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1.1.3.11</w:t>
      </w:r>
      <w:r>
        <w:rPr>
          <w:rFonts w:hint="eastAsia" w:ascii="宋体" w:hAnsi="宋体" w:eastAsia="宋体" w:cs="宋体"/>
          <w:color w:val="auto"/>
          <w:kern w:val="2"/>
          <w:sz w:val="24"/>
          <w:szCs w:val="24"/>
          <w:highlight w:val="none"/>
          <w:lang w:val="zh-CN" w:eastAsia="zh-CN" w:bidi="zh-CN"/>
        </w:rPr>
        <w:t>临时占地：指发包人为建设本合同工程临时征用，并应在完工后须按合同 要求退还的场地。</w:t>
      </w:r>
    </w:p>
    <w:p w14:paraId="0A5C476E">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1.1.4</w:t>
      </w:r>
      <w:r>
        <w:rPr>
          <w:rFonts w:hint="eastAsia" w:ascii="宋体" w:hAnsi="宋体" w:eastAsia="宋体" w:cs="宋体"/>
          <w:color w:val="auto"/>
          <w:kern w:val="0"/>
          <w:sz w:val="24"/>
          <w:szCs w:val="24"/>
          <w:highlight w:val="none"/>
          <w:lang w:val="zh-CN" w:eastAsia="zh-CN" w:bidi="zh-CN"/>
        </w:rPr>
        <w:t>日期</w:t>
      </w:r>
    </w:p>
    <w:p w14:paraId="551D86B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1.1.4. </w:t>
      </w:r>
      <w:r>
        <w:rPr>
          <w:rFonts w:hint="eastAsia" w:ascii="宋体" w:hAnsi="宋体" w:eastAsia="宋体" w:cs="宋体"/>
          <w:color w:val="auto"/>
          <w:kern w:val="2"/>
          <w:sz w:val="24"/>
          <w:szCs w:val="24"/>
          <w:highlight w:val="none"/>
          <w:lang w:val="zh-CN" w:eastAsia="zh-CN" w:bidi="zh-CN"/>
        </w:rPr>
        <w:t>1开工通知：指监理人按第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1款通知承包人开工的函件。</w:t>
      </w:r>
    </w:p>
    <w:p w14:paraId="28B6C2C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1.1.4.2</w:t>
      </w:r>
      <w:r>
        <w:rPr>
          <w:rFonts w:hint="eastAsia" w:ascii="宋体" w:hAnsi="宋体" w:eastAsia="宋体" w:cs="宋体"/>
          <w:color w:val="auto"/>
          <w:kern w:val="2"/>
          <w:sz w:val="24"/>
          <w:szCs w:val="24"/>
          <w:highlight w:val="none"/>
          <w:lang w:val="zh-CN" w:eastAsia="zh-CN" w:bidi="zh-CN"/>
        </w:rPr>
        <w:t>开工日期：指监理人按第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1款发出的开工通知中写明的开工日期。</w:t>
      </w:r>
    </w:p>
    <w:p w14:paraId="11B5B60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1.1.4.3</w:t>
      </w:r>
      <w:r>
        <w:rPr>
          <w:rFonts w:hint="eastAsia" w:ascii="宋体" w:hAnsi="宋体" w:eastAsia="宋体" w:cs="宋体"/>
          <w:color w:val="auto"/>
          <w:kern w:val="2"/>
          <w:sz w:val="24"/>
          <w:szCs w:val="24"/>
          <w:highlight w:val="none"/>
          <w:lang w:val="zh-CN" w:eastAsia="zh-CN" w:bidi="zh-CN"/>
        </w:rPr>
        <w:t>工期：指承包人在投标函中承诺的完成合同工程所需的期限，包括按第</w:t>
      </w:r>
      <w:r>
        <w:rPr>
          <w:rFonts w:hint="eastAsia" w:ascii="宋体" w:hAnsi="宋体" w:eastAsia="宋体" w:cs="宋体"/>
          <w:color w:val="auto"/>
          <w:kern w:val="2"/>
          <w:sz w:val="24"/>
          <w:szCs w:val="24"/>
          <w:highlight w:val="none"/>
          <w:lang w:val="en-US" w:eastAsia="zh-CN" w:bidi="en-US"/>
        </w:rPr>
        <w:t xml:space="preserve">11.3 </w:t>
      </w:r>
      <w:r>
        <w:rPr>
          <w:rFonts w:hint="eastAsia" w:ascii="宋体" w:hAnsi="宋体" w:eastAsia="宋体" w:cs="宋体"/>
          <w:color w:val="auto"/>
          <w:kern w:val="2"/>
          <w:sz w:val="24"/>
          <w:szCs w:val="24"/>
          <w:highlight w:val="none"/>
          <w:lang w:val="zh-CN" w:eastAsia="zh-CN" w:bidi="zh-CN"/>
        </w:rPr>
        <w:t>款、第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4款和第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6款约定所作的变更。</w:t>
      </w:r>
    </w:p>
    <w:p w14:paraId="12CAAAD4">
      <w:pPr>
        <w:pageBreakBefore w:val="0"/>
        <w:widowControl w:val="0"/>
        <w:tabs>
          <w:tab w:val="left" w:pos="9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1.1.4.4  </w:t>
      </w:r>
      <w:r>
        <w:rPr>
          <w:rFonts w:hint="eastAsia" w:ascii="宋体" w:hAnsi="宋体" w:eastAsia="宋体" w:cs="宋体"/>
          <w:color w:val="auto"/>
          <w:kern w:val="2"/>
          <w:sz w:val="24"/>
          <w:szCs w:val="24"/>
          <w:highlight w:val="none"/>
          <w:lang w:val="zh-CN" w:eastAsia="zh-CN" w:bidi="zh-CN"/>
        </w:rPr>
        <w:t>竣工日期：即合同工程完工日期，指第</w:t>
      </w:r>
      <w:r>
        <w:rPr>
          <w:rFonts w:hint="eastAsia" w:ascii="宋体" w:hAnsi="宋体" w:eastAsia="宋体" w:cs="宋体"/>
          <w:color w:val="auto"/>
          <w:kern w:val="2"/>
          <w:sz w:val="24"/>
          <w:szCs w:val="24"/>
          <w:highlight w:val="none"/>
          <w:lang w:val="en-US" w:eastAsia="zh-CN" w:bidi="en-US"/>
        </w:rPr>
        <w:t xml:space="preserve">1.1. 4. </w:t>
      </w:r>
      <w:r>
        <w:rPr>
          <w:rFonts w:hint="eastAsia" w:ascii="宋体" w:hAnsi="宋体" w:eastAsia="宋体" w:cs="宋体"/>
          <w:color w:val="auto"/>
          <w:kern w:val="2"/>
          <w:sz w:val="24"/>
          <w:szCs w:val="24"/>
          <w:highlight w:val="none"/>
          <w:lang w:val="zh-CN" w:eastAsia="zh-CN" w:bidi="zh-CN"/>
        </w:rPr>
        <w:t>3目约定工期届满时的日期。 实际完工时间以合同工程完工证书中写明的日期为准。</w:t>
      </w:r>
    </w:p>
    <w:p w14:paraId="4893F6A7">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1.1.4.5  </w:t>
      </w:r>
      <w:r>
        <w:rPr>
          <w:rFonts w:hint="eastAsia" w:ascii="宋体" w:hAnsi="宋体" w:eastAsia="宋体" w:cs="宋体"/>
          <w:color w:val="auto"/>
          <w:kern w:val="2"/>
          <w:sz w:val="24"/>
          <w:szCs w:val="24"/>
          <w:highlight w:val="none"/>
          <w:lang w:val="zh-CN" w:eastAsia="zh-CN" w:bidi="zh-CN"/>
        </w:rPr>
        <w:t>缺陷责任期：即工程质量保修期，指履行第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2款约定的缺陷责任的期限, 包括根据第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3款约定所作的延长，具体期限由专用合同条款约定。</w:t>
      </w:r>
    </w:p>
    <w:p w14:paraId="00B34B7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1.1.4.6</w:t>
      </w:r>
      <w:r>
        <w:rPr>
          <w:rFonts w:hint="eastAsia" w:ascii="宋体" w:hAnsi="宋体" w:eastAsia="宋体" w:cs="宋体"/>
          <w:color w:val="auto"/>
          <w:kern w:val="2"/>
          <w:sz w:val="24"/>
          <w:szCs w:val="24"/>
          <w:highlight w:val="none"/>
          <w:lang w:val="zh-CN" w:eastAsia="zh-CN" w:bidi="zh-CN"/>
        </w:rPr>
        <w:t>基准日期：指投标截止时间前28天的日期。</w:t>
      </w:r>
    </w:p>
    <w:p w14:paraId="2FB1ABC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1.1.4.7</w:t>
      </w:r>
      <w:r>
        <w:rPr>
          <w:rFonts w:hint="eastAsia" w:ascii="宋体" w:hAnsi="宋体" w:eastAsia="宋体" w:cs="宋体"/>
          <w:color w:val="auto"/>
          <w:kern w:val="2"/>
          <w:sz w:val="24"/>
          <w:szCs w:val="24"/>
          <w:highlight w:val="none"/>
          <w:lang w:val="zh-CN" w:eastAsia="zh-CN" w:bidi="zh-CN"/>
        </w:rPr>
        <w:t>天：除特别指明外，指日历天。合同中按天计算时间的，开始当天不计入, 从次日开始计算。期限最后一天的截止时间为当天24：</w:t>
      </w:r>
      <w:r>
        <w:rPr>
          <w:rFonts w:hint="eastAsia" w:ascii="宋体" w:hAnsi="宋体" w:eastAsia="宋体" w:cs="宋体"/>
          <w:color w:val="auto"/>
          <w:kern w:val="2"/>
          <w:sz w:val="24"/>
          <w:szCs w:val="24"/>
          <w:highlight w:val="none"/>
          <w:lang w:val="en-US" w:eastAsia="zh-CN" w:bidi="en-US"/>
        </w:rPr>
        <w:t>00</w:t>
      </w:r>
      <w:r>
        <w:rPr>
          <w:rFonts w:hint="eastAsia" w:ascii="宋体" w:hAnsi="宋体" w:eastAsia="宋体" w:cs="宋体"/>
          <w:color w:val="auto"/>
          <w:kern w:val="2"/>
          <w:sz w:val="24"/>
          <w:szCs w:val="24"/>
          <w:highlight w:val="none"/>
          <w:vertAlign w:val="subscript"/>
          <w:lang w:val="en-US" w:eastAsia="zh-CN" w:bidi="en-US"/>
        </w:rPr>
        <w:t>o</w:t>
      </w:r>
    </w:p>
    <w:p w14:paraId="0BBB707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w:t>
      </w:r>
      <w:r>
        <w:rPr>
          <w:rFonts w:hint="eastAsia" w:ascii="宋体" w:hAnsi="宋体" w:eastAsia="宋体" w:cs="宋体"/>
          <w:color w:val="auto"/>
          <w:kern w:val="2"/>
          <w:sz w:val="24"/>
          <w:szCs w:val="24"/>
          <w:highlight w:val="none"/>
          <w:lang w:val="zh-CN" w:eastAsia="zh-CN" w:bidi="zh-CN"/>
        </w:rPr>
        <w:t>合同价格和费用</w:t>
      </w:r>
    </w:p>
    <w:p w14:paraId="31C078D3">
      <w:pPr>
        <w:pageBreakBefore w:val="0"/>
        <w:widowControl w:val="0"/>
        <w:tabs>
          <w:tab w:val="left" w:pos="93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1.1.5.1</w:t>
      </w:r>
      <w:r>
        <w:rPr>
          <w:rFonts w:hint="eastAsia" w:ascii="宋体" w:hAnsi="宋体" w:eastAsia="宋体" w:cs="宋体"/>
          <w:color w:val="auto"/>
          <w:kern w:val="2"/>
          <w:sz w:val="24"/>
          <w:szCs w:val="24"/>
          <w:highlight w:val="none"/>
          <w:lang w:val="zh-CN" w:eastAsia="zh-CN" w:bidi="zh-CN"/>
        </w:rPr>
        <w:t>签约合同价：指签定合同时合同协议书中写明的，包括了暂列金额、暂估价的合同总金额。</w:t>
      </w:r>
    </w:p>
    <w:p w14:paraId="52AE1A03">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1.1.5.2合同价格：指承包人按合同约定完成了包括缺陷责任期内的全部承包工作后，发包人应付给承包人的金额，包括在履行合同过程中按合同约定进行的变更和调整。</w:t>
      </w:r>
    </w:p>
    <w:p w14:paraId="0DBF2816">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1.1.5.3费用：指为履行合同所发生的或将要发生的所有合理开支，包括管理费和应分摊的其他费用，但不包括利润。</w:t>
      </w:r>
    </w:p>
    <w:p w14:paraId="5EE0770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1.1.5.4</w:t>
      </w:r>
      <w:r>
        <w:rPr>
          <w:rFonts w:hint="eastAsia" w:ascii="宋体" w:hAnsi="宋体" w:eastAsia="宋体" w:cs="宋体"/>
          <w:color w:val="auto"/>
          <w:kern w:val="2"/>
          <w:sz w:val="24"/>
          <w:szCs w:val="24"/>
          <w:highlight w:val="none"/>
          <w:lang w:val="zh-CN" w:eastAsia="zh-CN" w:bidi="zh-CN"/>
        </w:rPr>
        <w:t>暂列金额：指已标价工程量清单中所列的暂列金额，用于在签订协议书时尚 未确定或不可预见变更的施工及其所需材料、工程设备、服务等的金额，包括以计日工方式支付的金额。</w:t>
      </w:r>
    </w:p>
    <w:p w14:paraId="47E5813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1. 1.5.5</w:t>
      </w:r>
      <w:r>
        <w:rPr>
          <w:rFonts w:hint="eastAsia" w:ascii="宋体" w:hAnsi="宋体" w:eastAsia="宋体" w:cs="宋体"/>
          <w:color w:val="auto"/>
          <w:kern w:val="2"/>
          <w:sz w:val="24"/>
          <w:szCs w:val="24"/>
          <w:highlight w:val="none"/>
          <w:lang w:val="zh-CN" w:eastAsia="zh-CN" w:bidi="zh-CN"/>
        </w:rPr>
        <w:t>暂估价：指发包人在工程量清单中给定的用于支付必然发生但暂时不能确定价格的材料、设备以及专业工程的金额。</w:t>
      </w:r>
    </w:p>
    <w:p w14:paraId="58C1996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1.1.5. 6</w:t>
      </w:r>
      <w:r>
        <w:rPr>
          <w:rFonts w:hint="eastAsia" w:ascii="宋体" w:hAnsi="宋体" w:eastAsia="宋体" w:cs="宋体"/>
          <w:color w:val="auto"/>
          <w:kern w:val="2"/>
          <w:sz w:val="24"/>
          <w:szCs w:val="24"/>
          <w:highlight w:val="none"/>
          <w:lang w:val="zh-CN" w:eastAsia="zh-CN" w:bidi="zh-CN"/>
        </w:rPr>
        <w:t>计日工：指对零星工作采取的一种计价方式，按合同中的计日工子目及其单 价计价付款。</w:t>
      </w:r>
    </w:p>
    <w:p w14:paraId="712AC3F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1.1.5.7</w:t>
      </w:r>
      <w:r>
        <w:rPr>
          <w:rFonts w:hint="eastAsia" w:ascii="宋体" w:hAnsi="宋体" w:eastAsia="宋体" w:cs="宋体"/>
          <w:color w:val="auto"/>
          <w:kern w:val="2"/>
          <w:sz w:val="24"/>
          <w:szCs w:val="24"/>
          <w:highlight w:val="none"/>
          <w:lang w:val="zh-CN" w:eastAsia="zh-CN" w:bidi="zh-CN"/>
        </w:rPr>
        <w:t>质量保证金(或称保留金)：指按第</w:t>
      </w:r>
      <w:r>
        <w:rPr>
          <w:rFonts w:hint="eastAsia" w:ascii="宋体" w:hAnsi="宋体" w:eastAsia="宋体" w:cs="宋体"/>
          <w:color w:val="auto"/>
          <w:kern w:val="2"/>
          <w:sz w:val="24"/>
          <w:szCs w:val="24"/>
          <w:highlight w:val="none"/>
          <w:lang w:val="en-US" w:eastAsia="zh-CN" w:bidi="en-US"/>
        </w:rPr>
        <w:t>17.4.1</w:t>
      </w:r>
      <w:r>
        <w:rPr>
          <w:rFonts w:hint="eastAsia" w:ascii="宋体" w:hAnsi="宋体" w:eastAsia="宋体" w:cs="宋体"/>
          <w:color w:val="auto"/>
          <w:kern w:val="2"/>
          <w:sz w:val="24"/>
          <w:szCs w:val="24"/>
          <w:highlight w:val="none"/>
          <w:lang w:val="zh-CN" w:eastAsia="zh-CN" w:bidi="zh-CN"/>
        </w:rPr>
        <w:t>项约定用于保证在缺陷责任期内履行缺陷修复义务的金额。</w:t>
      </w:r>
    </w:p>
    <w:p w14:paraId="06C150F9">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1.1.6</w:t>
      </w:r>
      <w:r>
        <w:rPr>
          <w:rFonts w:hint="eastAsia" w:ascii="宋体" w:hAnsi="宋体" w:eastAsia="宋体" w:cs="宋体"/>
          <w:color w:val="auto"/>
          <w:kern w:val="0"/>
          <w:sz w:val="24"/>
          <w:szCs w:val="24"/>
          <w:highlight w:val="none"/>
          <w:lang w:val="zh-CN" w:eastAsia="zh-CN" w:bidi="zh-CN"/>
        </w:rPr>
        <w:t>其他</w:t>
      </w:r>
    </w:p>
    <w:p w14:paraId="35CA365F">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1.1.6.1</w:t>
      </w:r>
      <w:r>
        <w:rPr>
          <w:rFonts w:hint="eastAsia" w:ascii="宋体" w:hAnsi="宋体" w:eastAsia="宋体" w:cs="宋体"/>
          <w:color w:val="auto"/>
          <w:kern w:val="2"/>
          <w:sz w:val="24"/>
          <w:szCs w:val="24"/>
          <w:highlight w:val="none"/>
          <w:lang w:val="zh-CN" w:eastAsia="zh-CN" w:bidi="zh-CN"/>
        </w:rPr>
        <w:t>书面形式：指合同文件、信函、电报、传真等可以有形地表现所载内容的形式。</w:t>
      </w:r>
    </w:p>
    <w:p w14:paraId="191D9FF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1.2语言文字</w:t>
      </w:r>
    </w:p>
    <w:p w14:paraId="5F845A9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除专用术语外，合同使用的语言文字为中文。必要时专用术语应附有中文注释。</w:t>
      </w:r>
    </w:p>
    <w:p w14:paraId="5C68723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1.3法律</w:t>
      </w:r>
    </w:p>
    <w:p w14:paraId="75DB314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适用于合同的法律包括中华人民共和国法律、行政法规、部门规章，以及工程所在地的地方法规、自治条例、单行条例和地方政府规章。</w:t>
      </w:r>
    </w:p>
    <w:p w14:paraId="6A96101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1.4合同文件的优先顺序</w:t>
      </w:r>
    </w:p>
    <w:p w14:paraId="096C05D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组成合同的各项文件应互相解释，互为说明。除专用合同条款另有约定外，解释合同文件的优先顺序如下：</w:t>
      </w:r>
    </w:p>
    <w:p w14:paraId="1BFF90B5">
      <w:pPr>
        <w:pageBreakBefore w:val="0"/>
        <w:widowControl w:val="0"/>
        <w:numPr>
          <w:ilvl w:val="0"/>
          <w:numId w:val="5"/>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合同协议书；</w:t>
      </w:r>
    </w:p>
    <w:p w14:paraId="2F6710A8">
      <w:pPr>
        <w:pageBreakBefore w:val="0"/>
        <w:widowControl w:val="0"/>
        <w:numPr>
          <w:ilvl w:val="0"/>
          <w:numId w:val="5"/>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中标通知书；</w:t>
      </w:r>
    </w:p>
    <w:p w14:paraId="5951FB45">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投标函及投标函附录；</w:t>
      </w:r>
    </w:p>
    <w:p w14:paraId="52DAD15A">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w:t>
      </w:r>
    </w:p>
    <w:p w14:paraId="73515342">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通用合同条款；</w:t>
      </w:r>
    </w:p>
    <w:p w14:paraId="352DA713">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技术标准和要求；</w:t>
      </w:r>
    </w:p>
    <w:p w14:paraId="24965EB8">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图纸；</w:t>
      </w:r>
    </w:p>
    <w:p w14:paraId="75ED308A">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已标价工程量清单；</w:t>
      </w:r>
    </w:p>
    <w:p w14:paraId="6565E46E">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其他合同文件。</w:t>
      </w:r>
    </w:p>
    <w:p w14:paraId="7ECFB61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1.5合同协议书</w:t>
      </w:r>
    </w:p>
    <w:p w14:paraId="6AC9B8D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承包人按中标通知书规定的时间与发包人签订合同协议书。除法律另有规定或合同另有约定外，发包人和承包人的法定代表人或其委托代理人在合同协议书上签字并盖单位电子公章后，合同生效。</w:t>
      </w:r>
    </w:p>
    <w:p w14:paraId="5FDFB68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1.6图纸和承包人文件</w:t>
      </w:r>
    </w:p>
    <w:p w14:paraId="45F3CB1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w:t>
      </w:r>
      <w:r>
        <w:rPr>
          <w:rFonts w:hint="eastAsia" w:ascii="宋体" w:hAnsi="宋体" w:eastAsia="宋体" w:cs="宋体"/>
          <w:color w:val="auto"/>
          <w:kern w:val="2"/>
          <w:sz w:val="24"/>
          <w:szCs w:val="24"/>
          <w:highlight w:val="none"/>
          <w:lang w:val="zh-CN" w:eastAsia="zh-CN" w:bidi="zh-CN"/>
        </w:rPr>
        <w:t>图纸的提供</w:t>
      </w:r>
    </w:p>
    <w:p w14:paraId="3F50D3B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发包人应按技术标准和要求(合同技术条款)约定的期限和数量将施工图纸以及其它图纸（包括配套说明和有关资料）提供给承包人。由于发包人未按时提供图纸造成工期延误的，按第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3款的约定办理。</w:t>
      </w:r>
    </w:p>
    <w:p w14:paraId="21BB0C7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w:t>
      </w:r>
      <w:r>
        <w:rPr>
          <w:rFonts w:hint="eastAsia" w:ascii="宋体" w:hAnsi="宋体" w:eastAsia="宋体" w:cs="宋体"/>
          <w:color w:val="auto"/>
          <w:kern w:val="2"/>
          <w:sz w:val="24"/>
          <w:szCs w:val="24"/>
          <w:highlight w:val="none"/>
          <w:lang w:val="zh-CN" w:eastAsia="zh-CN" w:bidi="zh-CN"/>
        </w:rPr>
        <w:t>2承包人提供的文件</w:t>
      </w:r>
    </w:p>
    <w:p w14:paraId="332E445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承包人提供的文件应按技术标准和要求（合同技术条款）约定的期限和数量提供给监理人。监理人应按技术标准和要求（合同技术条款）约定的期限批复承包人。</w:t>
      </w:r>
    </w:p>
    <w:p w14:paraId="4469D68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1.6.3</w:t>
      </w:r>
      <w:r>
        <w:rPr>
          <w:rFonts w:hint="eastAsia" w:ascii="宋体" w:hAnsi="宋体" w:eastAsia="宋体" w:cs="宋体"/>
          <w:color w:val="auto"/>
          <w:kern w:val="2"/>
          <w:sz w:val="24"/>
          <w:szCs w:val="24"/>
          <w:highlight w:val="none"/>
          <w:lang w:val="zh-CN" w:eastAsia="zh-CN" w:bidi="zh-CN"/>
        </w:rPr>
        <w:t>图纸的修改</w:t>
      </w:r>
    </w:p>
    <w:p w14:paraId="00D256D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5F2858F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1.6.4</w:t>
      </w:r>
      <w:r>
        <w:rPr>
          <w:rFonts w:hint="eastAsia" w:ascii="宋体" w:hAnsi="宋体" w:eastAsia="宋体" w:cs="宋体"/>
          <w:color w:val="auto"/>
          <w:kern w:val="2"/>
          <w:sz w:val="24"/>
          <w:szCs w:val="24"/>
          <w:highlight w:val="none"/>
          <w:lang w:val="zh-CN" w:eastAsia="zh-CN" w:bidi="zh-CN"/>
        </w:rPr>
        <w:t>图纸的错误</w:t>
      </w:r>
    </w:p>
    <w:p w14:paraId="549F2A5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承包人发现发包人提供的图纸存在明显错误或疏忽，应及时通知监理人。</w:t>
      </w:r>
    </w:p>
    <w:p w14:paraId="2359E3A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1.6.5</w:t>
      </w:r>
      <w:r>
        <w:rPr>
          <w:rFonts w:hint="eastAsia" w:ascii="宋体" w:hAnsi="宋体" w:eastAsia="宋体" w:cs="宋体"/>
          <w:color w:val="auto"/>
          <w:kern w:val="2"/>
          <w:sz w:val="24"/>
          <w:szCs w:val="24"/>
          <w:highlight w:val="none"/>
          <w:lang w:val="zh-CN" w:eastAsia="zh-CN" w:bidi="zh-CN"/>
        </w:rPr>
        <w:t>图纸和承包人文件的保管</w:t>
      </w:r>
    </w:p>
    <w:p w14:paraId="6BC0F51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监理人和承包人均应在施工场地各保存一套完整的包含第</w:t>
      </w:r>
      <w:r>
        <w:rPr>
          <w:rFonts w:hint="eastAsia" w:ascii="宋体" w:hAnsi="宋体" w:eastAsia="宋体" w:cs="宋体"/>
          <w:color w:val="auto"/>
          <w:kern w:val="2"/>
          <w:sz w:val="24"/>
          <w:szCs w:val="24"/>
          <w:highlight w:val="none"/>
          <w:lang w:val="en-US" w:eastAsia="zh-CN" w:bidi="en-US"/>
        </w:rPr>
        <w:t xml:space="preserve">1. 6. </w:t>
      </w:r>
      <w:r>
        <w:rPr>
          <w:rFonts w:hint="eastAsia" w:ascii="宋体" w:hAnsi="宋体" w:eastAsia="宋体" w:cs="宋体"/>
          <w:color w:val="auto"/>
          <w:kern w:val="2"/>
          <w:sz w:val="24"/>
          <w:szCs w:val="24"/>
          <w:highlight w:val="none"/>
          <w:lang w:val="zh-CN" w:eastAsia="zh-CN" w:bidi="zh-CN"/>
        </w:rPr>
        <w:t>1项、第</w:t>
      </w:r>
      <w:r>
        <w:rPr>
          <w:rFonts w:hint="eastAsia" w:ascii="宋体" w:hAnsi="宋体" w:eastAsia="宋体" w:cs="宋体"/>
          <w:color w:val="auto"/>
          <w:kern w:val="2"/>
          <w:sz w:val="24"/>
          <w:szCs w:val="24"/>
          <w:highlight w:val="none"/>
          <w:lang w:val="en-US" w:eastAsia="zh-CN" w:bidi="en-US"/>
        </w:rPr>
        <w:t>1.6.2</w:t>
      </w:r>
      <w:r>
        <w:rPr>
          <w:rFonts w:hint="eastAsia" w:ascii="宋体" w:hAnsi="宋体" w:eastAsia="宋体" w:cs="宋体"/>
          <w:color w:val="auto"/>
          <w:kern w:val="2"/>
          <w:sz w:val="24"/>
          <w:szCs w:val="24"/>
          <w:highlight w:val="none"/>
          <w:lang w:val="zh-CN" w:eastAsia="zh-CN" w:bidi="zh-CN"/>
        </w:rPr>
        <w:t xml:space="preserve">项、第 </w:t>
      </w:r>
      <w:r>
        <w:rPr>
          <w:rFonts w:hint="eastAsia" w:ascii="宋体" w:hAnsi="宋体" w:eastAsia="宋体" w:cs="宋体"/>
          <w:color w:val="auto"/>
          <w:kern w:val="2"/>
          <w:sz w:val="24"/>
          <w:szCs w:val="24"/>
          <w:highlight w:val="none"/>
          <w:lang w:val="en-US" w:eastAsia="zh-CN" w:bidi="en-US"/>
        </w:rPr>
        <w:t xml:space="preserve">1.6. </w:t>
      </w:r>
      <w:r>
        <w:rPr>
          <w:rFonts w:hint="eastAsia" w:ascii="宋体" w:hAnsi="宋体" w:eastAsia="宋体" w:cs="宋体"/>
          <w:color w:val="auto"/>
          <w:kern w:val="2"/>
          <w:sz w:val="24"/>
          <w:szCs w:val="24"/>
          <w:highlight w:val="none"/>
          <w:lang w:val="zh-CN" w:eastAsia="zh-CN" w:bidi="zh-CN"/>
        </w:rPr>
        <w:t>3项约定内容的图纸和承包人文件。</w:t>
      </w:r>
    </w:p>
    <w:p w14:paraId="2F8414F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1.7联络</w:t>
      </w:r>
    </w:p>
    <w:p w14:paraId="6391A4C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1.7.1</w:t>
      </w:r>
      <w:r>
        <w:rPr>
          <w:rFonts w:hint="eastAsia" w:ascii="宋体" w:hAnsi="宋体" w:eastAsia="宋体" w:cs="宋体"/>
          <w:color w:val="auto"/>
          <w:kern w:val="2"/>
          <w:sz w:val="24"/>
          <w:szCs w:val="24"/>
          <w:highlight w:val="none"/>
          <w:lang w:val="zh-CN" w:eastAsia="zh-CN" w:bidi="zh-CN"/>
        </w:rPr>
        <w:t>与合同有关的通知、批准、证明、证书、指示、要求、请求、同意、意见、确 定和决定等，均应采用书面形式。</w:t>
      </w:r>
    </w:p>
    <w:p w14:paraId="752EE30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w:t>
      </w:r>
      <w:r>
        <w:rPr>
          <w:rFonts w:hint="eastAsia" w:ascii="宋体" w:hAnsi="宋体" w:eastAsia="宋体" w:cs="宋体"/>
          <w:color w:val="auto"/>
          <w:kern w:val="2"/>
          <w:sz w:val="24"/>
          <w:szCs w:val="24"/>
          <w:highlight w:val="none"/>
          <w:lang w:val="zh-CN" w:eastAsia="zh-CN" w:bidi="zh-CN"/>
        </w:rPr>
        <w:t>第</w:t>
      </w:r>
      <w:r>
        <w:rPr>
          <w:rFonts w:hint="eastAsia" w:ascii="宋体" w:hAnsi="宋体" w:eastAsia="宋体" w:cs="宋体"/>
          <w:color w:val="auto"/>
          <w:kern w:val="2"/>
          <w:sz w:val="24"/>
          <w:szCs w:val="24"/>
          <w:highlight w:val="none"/>
          <w:lang w:val="en-US" w:eastAsia="zh-CN" w:bidi="en-US"/>
        </w:rPr>
        <w:t>1.7.1</w:t>
      </w:r>
      <w:r>
        <w:rPr>
          <w:rFonts w:hint="eastAsia" w:ascii="宋体" w:hAnsi="宋体" w:eastAsia="宋体" w:cs="宋体"/>
          <w:color w:val="auto"/>
          <w:kern w:val="2"/>
          <w:sz w:val="24"/>
          <w:szCs w:val="24"/>
          <w:highlight w:val="none"/>
          <w:lang w:val="zh-CN" w:eastAsia="zh-CN" w:bidi="zh-CN"/>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568207E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w:t>
      </w:r>
      <w:r>
        <w:rPr>
          <w:rFonts w:hint="eastAsia" w:ascii="宋体" w:hAnsi="宋体" w:eastAsia="宋体" w:cs="宋体"/>
          <w:color w:val="auto"/>
          <w:kern w:val="2"/>
          <w:sz w:val="24"/>
          <w:szCs w:val="24"/>
          <w:highlight w:val="none"/>
          <w:lang w:val="zh-CN" w:eastAsia="zh-CN" w:bidi="zh-CN"/>
        </w:rPr>
        <w:t>来往函件均应按合同约定的期限及时发出和答复，不得无故扣压和拖延，亦不得拒收。否则，由此造成的后果由责任方负责。</w:t>
      </w:r>
    </w:p>
    <w:p w14:paraId="50EF70A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1.8转让</w:t>
      </w:r>
    </w:p>
    <w:p w14:paraId="1EF6110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除合同另有约定外，未经对方当事人同意，一方当事人不得将合同权利全部或部分转让给第三人，也不得全部或部分转移合同义务。</w:t>
      </w:r>
    </w:p>
    <w:p w14:paraId="22FAC2C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1.9严禁贿赂</w:t>
      </w:r>
    </w:p>
    <w:p w14:paraId="3D04CAD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合同双方当事人不得以贿赂或变相贿赂的方式，谋取不当利益或损害对方权益。因贿赂造成对方损失的，行为人应赔偿损失，并承担相应的法律责任。</w:t>
      </w:r>
    </w:p>
    <w:p w14:paraId="54807FA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1.10化石、文物</w:t>
      </w:r>
    </w:p>
    <w:p w14:paraId="2EE78F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1.10. </w:t>
      </w:r>
      <w:r>
        <w:rPr>
          <w:rFonts w:hint="eastAsia" w:ascii="宋体" w:hAnsi="宋体" w:eastAsia="宋体" w:cs="宋体"/>
          <w:color w:val="auto"/>
          <w:kern w:val="2"/>
          <w:sz w:val="24"/>
          <w:szCs w:val="24"/>
          <w:highlight w:val="none"/>
          <w:lang w:val="zh-CN" w:eastAsia="zh-CN" w:bidi="zh-CN"/>
        </w:rPr>
        <w:t>1在施工场地发掘的所有文物、古迹以及具有地质研究或考古价值的其他遗迹、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18B6CEE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1.10.</w:t>
      </w:r>
      <w:r>
        <w:rPr>
          <w:rFonts w:hint="eastAsia" w:ascii="宋体" w:hAnsi="宋体" w:eastAsia="宋体" w:cs="宋体"/>
          <w:color w:val="auto"/>
          <w:kern w:val="2"/>
          <w:sz w:val="24"/>
          <w:szCs w:val="24"/>
          <w:highlight w:val="none"/>
          <w:lang w:val="zh-CN" w:eastAsia="zh-CN" w:bidi="zh-CN"/>
        </w:rPr>
        <w:t>2承包人发现文物后不及时报告或隐瞒不报，致使文物丢失或损坏的，应赔偿损失，并承担相应的法律责任。</w:t>
      </w:r>
    </w:p>
    <w:p w14:paraId="1A7F3FD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1.11专利技术</w:t>
      </w:r>
    </w:p>
    <w:p w14:paraId="0F0F836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1.11.1</w:t>
      </w:r>
      <w:r>
        <w:rPr>
          <w:rFonts w:hint="eastAsia" w:ascii="宋体" w:hAnsi="宋体" w:eastAsia="宋体" w:cs="宋体"/>
          <w:color w:val="auto"/>
          <w:kern w:val="2"/>
          <w:sz w:val="24"/>
          <w:szCs w:val="24"/>
          <w:highlight w:val="none"/>
          <w:lang w:val="zh-CN" w:eastAsia="zh-CN" w:bidi="zh-CN"/>
        </w:rPr>
        <w:t>承包人在使用任何材料、承包人设备、工程设备或采用施工工艺时，因侵犯专利权或其他知识产权所引起的责任，由承包人承担，但由于遵照发包人提供的设计或技术标准和要求引起的除外。</w:t>
      </w:r>
    </w:p>
    <w:p w14:paraId="3108894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1.11.2</w:t>
      </w:r>
      <w:r>
        <w:rPr>
          <w:rFonts w:hint="eastAsia" w:ascii="宋体" w:hAnsi="宋体" w:eastAsia="宋体" w:cs="宋体"/>
          <w:color w:val="auto"/>
          <w:kern w:val="2"/>
          <w:sz w:val="24"/>
          <w:szCs w:val="24"/>
          <w:highlight w:val="none"/>
          <w:lang w:val="zh-CN" w:eastAsia="zh-CN" w:bidi="zh-CN"/>
        </w:rPr>
        <w:t>承包人在投标文件中采用专利技术的，专利技术的使用费包含在投标报价内。</w:t>
      </w:r>
    </w:p>
    <w:p w14:paraId="2D27AAB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1.11.3</w:t>
      </w:r>
      <w:r>
        <w:rPr>
          <w:rFonts w:hint="eastAsia" w:ascii="宋体" w:hAnsi="宋体" w:eastAsia="宋体" w:cs="宋体"/>
          <w:color w:val="auto"/>
          <w:kern w:val="2"/>
          <w:sz w:val="24"/>
          <w:szCs w:val="24"/>
          <w:highlight w:val="none"/>
          <w:lang w:val="zh-CN" w:eastAsia="zh-CN" w:bidi="zh-CN"/>
        </w:rPr>
        <w:t>承包人的技术秘密和声明需要保密的资料和信息，发包人和监理人不得为合同以外的目的泄露给他人。</w:t>
      </w:r>
    </w:p>
    <w:p w14:paraId="4533712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1.11.4</w:t>
      </w:r>
      <w:r>
        <w:rPr>
          <w:rFonts w:hint="eastAsia" w:ascii="宋体" w:hAnsi="宋体" w:eastAsia="宋体" w:cs="宋体"/>
          <w:color w:val="auto"/>
          <w:kern w:val="2"/>
          <w:sz w:val="24"/>
          <w:szCs w:val="24"/>
          <w:highlight w:val="none"/>
          <w:lang w:val="zh-CN" w:eastAsia="zh-CN" w:bidi="zh-CN"/>
        </w:rPr>
        <w:t>合同实施过程中，发包人要求承包人采用专利技术的，发包人应办理相应的使用手续，承包人应按发包人约定的条件使用，并承担使用专利技术的相关试验工作。所需的费用由发包人承担。</w:t>
      </w:r>
    </w:p>
    <w:p w14:paraId="409ECF7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1.12图纸和文件的保密</w:t>
      </w:r>
    </w:p>
    <w:p w14:paraId="27FCD0D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1.12.1</w:t>
      </w:r>
      <w:r>
        <w:rPr>
          <w:rFonts w:hint="eastAsia" w:ascii="宋体" w:hAnsi="宋体" w:eastAsia="宋体" w:cs="宋体"/>
          <w:color w:val="auto"/>
          <w:kern w:val="2"/>
          <w:sz w:val="24"/>
          <w:szCs w:val="24"/>
          <w:highlight w:val="none"/>
          <w:lang w:val="zh-CN" w:eastAsia="zh-CN" w:bidi="zh-CN"/>
        </w:rPr>
        <w:t>发包人提供的图纸和文件，未经发包人书面同意，承包人不得为合同以外的目的泄露给他人或公开发表与引用。</w:t>
      </w:r>
    </w:p>
    <w:p w14:paraId="6A8F043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1.12.2</w:t>
      </w:r>
      <w:r>
        <w:rPr>
          <w:rFonts w:hint="eastAsia" w:ascii="宋体" w:hAnsi="宋体" w:eastAsia="宋体" w:cs="宋体"/>
          <w:color w:val="auto"/>
          <w:kern w:val="2"/>
          <w:sz w:val="24"/>
          <w:szCs w:val="24"/>
          <w:highlight w:val="none"/>
          <w:lang w:val="zh-CN" w:eastAsia="zh-CN" w:bidi="zh-CN"/>
        </w:rPr>
        <w:t>承包人提供的文件，未经承包人同意，发包人和监理人不得为合同以外的目的泄露给他人或公开发表与引用。</w:t>
      </w:r>
    </w:p>
    <w:p w14:paraId="25F79F18">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3" w:name="_Toc13777"/>
      <w:r>
        <w:rPr>
          <w:rFonts w:hint="eastAsia" w:ascii="宋体" w:hAnsi="宋体" w:eastAsia="宋体" w:cs="宋体"/>
          <w:color w:val="auto"/>
          <w:kern w:val="2"/>
          <w:sz w:val="24"/>
          <w:szCs w:val="24"/>
          <w:highlight w:val="none"/>
          <w:lang w:val="en-US" w:eastAsia="zh-CN" w:bidi="ar-SA"/>
        </w:rPr>
        <w:t>2.发包人义务</w:t>
      </w:r>
      <w:bookmarkEnd w:id="203"/>
    </w:p>
    <w:p w14:paraId="1D742F5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2.1遵守法律</w:t>
      </w:r>
    </w:p>
    <w:p w14:paraId="4C2B571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发包人在履行合同过程中应遵守法律，并保证承包人免于承担因发包人违反法律而引 起的任何责任。</w:t>
      </w:r>
    </w:p>
    <w:p w14:paraId="61ABF79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2.2发出开工通知</w:t>
      </w:r>
    </w:p>
    <w:p w14:paraId="4F1F4D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发包人应委托监理人按第</w:t>
      </w:r>
      <w:r>
        <w:rPr>
          <w:rFonts w:hint="eastAsia" w:ascii="宋体" w:hAnsi="宋体" w:eastAsia="宋体" w:cs="宋体"/>
          <w:color w:val="auto"/>
          <w:kern w:val="2"/>
          <w:sz w:val="24"/>
          <w:szCs w:val="24"/>
          <w:highlight w:val="none"/>
          <w:lang w:val="en-US" w:eastAsia="zh-CN" w:bidi="en-US"/>
        </w:rPr>
        <w:t xml:space="preserve">H. </w:t>
      </w:r>
      <w:r>
        <w:rPr>
          <w:rFonts w:hint="eastAsia" w:ascii="宋体" w:hAnsi="宋体" w:eastAsia="宋体" w:cs="宋体"/>
          <w:color w:val="auto"/>
          <w:kern w:val="2"/>
          <w:sz w:val="24"/>
          <w:szCs w:val="24"/>
          <w:highlight w:val="none"/>
          <w:lang w:val="zh-CN" w:eastAsia="zh-CN" w:bidi="zh-CN"/>
        </w:rPr>
        <w:t>1款的约定向承包人发出开工通知。</w:t>
      </w:r>
    </w:p>
    <w:p w14:paraId="070A7DF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2.3提供施工场地</w:t>
      </w:r>
    </w:p>
    <w:p w14:paraId="70C5A01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2.3.1</w:t>
      </w:r>
      <w:r>
        <w:rPr>
          <w:rFonts w:hint="eastAsia" w:ascii="宋体" w:hAnsi="宋体" w:eastAsia="宋体" w:cs="宋体"/>
          <w:color w:val="auto"/>
          <w:kern w:val="2"/>
          <w:sz w:val="24"/>
          <w:szCs w:val="24"/>
          <w:highlight w:val="none"/>
          <w:lang w:val="zh-CN" w:eastAsia="zh-CN" w:bidi="zh-CN"/>
        </w:rPr>
        <w:t>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42AEE88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2.3.2</w:t>
      </w:r>
      <w:r>
        <w:rPr>
          <w:rFonts w:hint="eastAsia" w:ascii="宋体" w:hAnsi="宋体" w:eastAsia="宋体" w:cs="宋体"/>
          <w:color w:val="auto"/>
          <w:kern w:val="2"/>
          <w:sz w:val="24"/>
          <w:szCs w:val="24"/>
          <w:highlight w:val="none"/>
          <w:lang w:val="zh-CN" w:eastAsia="zh-CN" w:bidi="zh-CN"/>
        </w:rPr>
        <w:t>发包人提供的施工用地范围在专用合同条款中约定。</w:t>
      </w:r>
    </w:p>
    <w:p w14:paraId="6368E73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2.3.3</w:t>
      </w:r>
      <w:r>
        <w:rPr>
          <w:rFonts w:hint="eastAsia" w:ascii="宋体" w:hAnsi="宋体" w:eastAsia="宋体" w:cs="宋体"/>
          <w:color w:val="auto"/>
          <w:kern w:val="2"/>
          <w:sz w:val="24"/>
          <w:szCs w:val="24"/>
          <w:highlight w:val="none"/>
          <w:lang w:val="zh-CN" w:eastAsia="zh-CN" w:bidi="zh-CN"/>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41D849D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2.4协助承包人办理证件和批件</w:t>
      </w:r>
    </w:p>
    <w:p w14:paraId="537984E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发包人应协助承包人办理法律规定的有关施工证件和批件。</w:t>
      </w:r>
    </w:p>
    <w:p w14:paraId="60825B6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2.5组织设计交底</w:t>
      </w:r>
    </w:p>
    <w:p w14:paraId="708D829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发包人应根据合同进度计划，组织设计单位向承包人进行设计交底。</w:t>
      </w:r>
    </w:p>
    <w:p w14:paraId="5366D0B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2.6支付合同价款</w:t>
      </w:r>
    </w:p>
    <w:p w14:paraId="671BB35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发包人应按合同约定向承包人及时支付合同价款。</w:t>
      </w:r>
    </w:p>
    <w:p w14:paraId="643B1B1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2.7组织竣工验收（组织法人验收）</w:t>
      </w:r>
    </w:p>
    <w:p w14:paraId="4D65D38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发包人应按合同约定及时组织法人验收。</w:t>
      </w:r>
    </w:p>
    <w:p w14:paraId="000ED3A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2.8其它义务</w:t>
      </w:r>
    </w:p>
    <w:p w14:paraId="5393EC7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其它义务在专用合同条款中补充约定。</w:t>
      </w:r>
    </w:p>
    <w:p w14:paraId="51774CA7">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4" w:name="_Toc14575"/>
      <w:r>
        <w:rPr>
          <w:rFonts w:hint="eastAsia" w:ascii="宋体" w:hAnsi="宋体" w:eastAsia="宋体" w:cs="宋体"/>
          <w:color w:val="auto"/>
          <w:kern w:val="2"/>
          <w:sz w:val="24"/>
          <w:szCs w:val="24"/>
          <w:highlight w:val="none"/>
          <w:lang w:val="en-US" w:eastAsia="zh-CN" w:bidi="ar-SA"/>
        </w:rPr>
        <w:t>3.监理人</w:t>
      </w:r>
      <w:bookmarkEnd w:id="204"/>
    </w:p>
    <w:p w14:paraId="6B38437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3.1监理人的职责和权利</w:t>
      </w:r>
    </w:p>
    <w:p w14:paraId="162411B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3.1.1</w:t>
      </w:r>
      <w:r>
        <w:rPr>
          <w:rFonts w:hint="eastAsia" w:ascii="宋体" w:hAnsi="宋体" w:eastAsia="宋体" w:cs="宋体"/>
          <w:color w:val="auto"/>
          <w:kern w:val="2"/>
          <w:sz w:val="24"/>
          <w:szCs w:val="24"/>
          <w:highlight w:val="none"/>
          <w:lang w:val="zh-CN" w:eastAsia="zh-CN" w:bidi="zh-CN"/>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第15条的约定增加相应的费用，并通知承包人。</w:t>
      </w:r>
    </w:p>
    <w:p w14:paraId="6369587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3.1.2</w:t>
      </w:r>
      <w:r>
        <w:rPr>
          <w:rFonts w:hint="eastAsia" w:ascii="宋体" w:hAnsi="宋体" w:eastAsia="宋体" w:cs="宋体"/>
          <w:color w:val="auto"/>
          <w:kern w:val="2"/>
          <w:sz w:val="24"/>
          <w:szCs w:val="24"/>
          <w:highlight w:val="none"/>
          <w:lang w:val="zh-CN" w:eastAsia="zh-CN" w:bidi="zh-CN"/>
        </w:rPr>
        <w:t>监理人发出的任何指示应视为已得到发包人的批准，但监理人无权免除或变更合同约定的发包人和承包人的权利、义务和责任。</w:t>
      </w:r>
    </w:p>
    <w:p w14:paraId="3F8437D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3.1.3</w:t>
      </w:r>
      <w:r>
        <w:rPr>
          <w:rFonts w:hint="eastAsia" w:ascii="宋体" w:hAnsi="宋体" w:eastAsia="宋体" w:cs="宋体"/>
          <w:color w:val="auto"/>
          <w:kern w:val="2"/>
          <w:sz w:val="24"/>
          <w:szCs w:val="24"/>
          <w:highlight w:val="none"/>
          <w:lang w:val="zh-CN" w:eastAsia="zh-CN" w:bidi="zh-CN"/>
        </w:rPr>
        <w:t>合同约定应由承包人承担的义务和责任，不因监理人对承包人提交文件的审查或批准，对工程、材料和设备的检查和检验，以及为实施监理作出的指示等职务行为而减轻或解除。</w:t>
      </w:r>
    </w:p>
    <w:p w14:paraId="1E38675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3.2总监理工程师</w:t>
      </w:r>
    </w:p>
    <w:p w14:paraId="4514767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发包人应在发出开工通知前将总监理工程师的任命通知承包人。总监理工程师更换时, 应在调离14天前通知承包人。总监理工程师短期离开施工场地的，应委派代表代行其职 责，并通知承包人。</w:t>
      </w:r>
    </w:p>
    <w:p w14:paraId="7B5B59A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3.3监理人员</w:t>
      </w:r>
    </w:p>
    <w:p w14:paraId="1340CA3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74310E5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3.3.2</w:t>
      </w:r>
      <w:r>
        <w:rPr>
          <w:rFonts w:hint="eastAsia" w:ascii="宋体" w:hAnsi="宋体" w:eastAsia="宋体" w:cs="宋体"/>
          <w:color w:val="auto"/>
          <w:kern w:val="2"/>
          <w:sz w:val="24"/>
          <w:szCs w:val="24"/>
          <w:highlight w:val="none"/>
          <w:lang w:val="zh-CN" w:eastAsia="zh-CN" w:bidi="zh-CN"/>
        </w:rPr>
        <w:t>监理人员对承包人的任何工作、工程或其采用的材料和工程设备未在约定的或合理的期限内提出否定意见的，视为已获批准，但不影响监理人在以后拒绝该项工作、工程、材料或工程设备的权利。</w:t>
      </w:r>
    </w:p>
    <w:p w14:paraId="47B8C61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3.3.3</w:t>
      </w:r>
      <w:r>
        <w:rPr>
          <w:rFonts w:hint="eastAsia" w:ascii="宋体" w:hAnsi="宋体" w:eastAsia="宋体" w:cs="宋体"/>
          <w:color w:val="auto"/>
          <w:kern w:val="2"/>
          <w:sz w:val="24"/>
          <w:szCs w:val="24"/>
          <w:highlight w:val="none"/>
          <w:lang w:val="zh-CN" w:eastAsia="zh-CN" w:bidi="zh-CN"/>
        </w:rPr>
        <w:t>承包人对总监理工程师授权的监理人员发出的指示有疑问的，可向总监理工程师提出书面异议，总监理工程师应在48小时内对该指示予以确认、更改或撤销。</w:t>
      </w:r>
    </w:p>
    <w:p w14:paraId="5F68AD6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3.3.4除专用合同条款另有约定外，总监理工程师不应将第3. 5款约定应由总监理工程师作出确定的权力授权或委托给其他监理人员。</w:t>
      </w:r>
    </w:p>
    <w:p w14:paraId="24F8A4B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3.4监理人的指示</w:t>
      </w:r>
    </w:p>
    <w:p w14:paraId="49E71C9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w:t>
      </w:r>
      <w:r>
        <w:rPr>
          <w:rFonts w:hint="eastAsia" w:ascii="宋体" w:hAnsi="宋体" w:eastAsia="宋体" w:cs="宋体"/>
          <w:color w:val="auto"/>
          <w:kern w:val="2"/>
          <w:sz w:val="24"/>
          <w:szCs w:val="24"/>
          <w:highlight w:val="none"/>
          <w:lang w:val="zh-CN" w:eastAsia="zh-CN" w:bidi="zh-CN"/>
        </w:rPr>
        <w:t>1监理人应按第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1款的约定向承包人发出指示，监理人的指示应盖有监理人授权的施工场地机构章，并由总监理工程师或总监理工程师按第</w:t>
      </w:r>
      <w:r>
        <w:rPr>
          <w:rFonts w:hint="eastAsia" w:ascii="宋体" w:hAnsi="宋体" w:eastAsia="宋体" w:cs="宋体"/>
          <w:color w:val="auto"/>
          <w:kern w:val="2"/>
          <w:sz w:val="24"/>
          <w:szCs w:val="24"/>
          <w:highlight w:val="none"/>
          <w:lang w:val="en-US" w:eastAsia="zh-CN" w:bidi="en-US"/>
        </w:rPr>
        <w:t xml:space="preserve">3. 3. </w:t>
      </w:r>
      <w:r>
        <w:rPr>
          <w:rFonts w:hint="eastAsia" w:ascii="宋体" w:hAnsi="宋体" w:eastAsia="宋体" w:cs="宋体"/>
          <w:color w:val="auto"/>
          <w:kern w:val="2"/>
          <w:sz w:val="24"/>
          <w:szCs w:val="24"/>
          <w:highlight w:val="none"/>
          <w:lang w:val="zh-CN" w:eastAsia="zh-CN" w:bidi="zh-CN"/>
        </w:rPr>
        <w:t>1项约定授权的监理人员签字</w:t>
      </w:r>
      <w:r>
        <w:rPr>
          <w:rFonts w:hint="eastAsia" w:ascii="宋体" w:hAnsi="宋体" w:eastAsia="宋体" w:cs="宋体"/>
          <w:color w:val="auto"/>
          <w:kern w:val="2"/>
          <w:sz w:val="24"/>
          <w:szCs w:val="24"/>
          <w:highlight w:val="none"/>
          <w:lang w:val="en-US" w:eastAsia="zh-CN" w:bidi="en-US"/>
        </w:rPr>
        <w:t>。</w:t>
      </w:r>
    </w:p>
    <w:p w14:paraId="4984CD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3.4.2</w:t>
      </w:r>
      <w:r>
        <w:rPr>
          <w:rFonts w:hint="eastAsia" w:ascii="宋体" w:hAnsi="宋体" w:eastAsia="宋体" w:cs="宋体"/>
          <w:color w:val="auto"/>
          <w:kern w:val="2"/>
          <w:sz w:val="24"/>
          <w:szCs w:val="24"/>
          <w:highlight w:val="none"/>
          <w:lang w:val="zh-CN" w:eastAsia="zh-CN" w:bidi="zh-CN"/>
        </w:rPr>
        <w:t>承包人收到监理人按第</w:t>
      </w:r>
      <w:r>
        <w:rPr>
          <w:rFonts w:hint="eastAsia" w:ascii="宋体" w:hAnsi="宋体" w:eastAsia="宋体" w:cs="宋体"/>
          <w:color w:val="auto"/>
          <w:kern w:val="2"/>
          <w:sz w:val="24"/>
          <w:szCs w:val="24"/>
          <w:highlight w:val="none"/>
          <w:lang w:val="en-US" w:eastAsia="zh-CN" w:bidi="en-US"/>
        </w:rPr>
        <w:t>3. 4.1</w:t>
      </w:r>
      <w:r>
        <w:rPr>
          <w:rFonts w:hint="eastAsia" w:ascii="宋体" w:hAnsi="宋体" w:eastAsia="宋体" w:cs="宋体"/>
          <w:color w:val="auto"/>
          <w:kern w:val="2"/>
          <w:sz w:val="24"/>
          <w:szCs w:val="24"/>
          <w:highlight w:val="none"/>
          <w:lang w:val="zh-CN" w:eastAsia="zh-CN" w:bidi="zh-CN"/>
        </w:rPr>
        <w:t>项作出的指示后应遵照执行。指示构成变更的，应按第15条处理。</w:t>
      </w:r>
    </w:p>
    <w:p w14:paraId="37D78EA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3.4.3</w:t>
      </w:r>
      <w:r>
        <w:rPr>
          <w:rFonts w:hint="eastAsia" w:ascii="宋体" w:hAnsi="宋体" w:eastAsia="宋体" w:cs="宋体"/>
          <w:color w:val="auto"/>
          <w:kern w:val="2"/>
          <w:sz w:val="24"/>
          <w:szCs w:val="24"/>
          <w:highlight w:val="none"/>
          <w:lang w:val="zh-CN" w:eastAsia="zh-CN" w:bidi="zh-CN"/>
        </w:rPr>
        <w:t>在紧急情况下，总监理工程师或被授权的监理人员可以当场签发临时书面指示，承包人应遵照执行。承包人应在收到上述临时书面指示后24小时内，向监理人发出书 面确认函。监理人在收到书面确认函后24小时内未予答复的，该书面确认函应被视为监理人的正式指示。</w:t>
      </w:r>
    </w:p>
    <w:p w14:paraId="78EC3FE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3.4.4</w:t>
      </w:r>
      <w:r>
        <w:rPr>
          <w:rFonts w:hint="eastAsia" w:ascii="宋体" w:hAnsi="宋体" w:eastAsia="宋体" w:cs="宋体"/>
          <w:color w:val="auto"/>
          <w:kern w:val="2"/>
          <w:sz w:val="24"/>
          <w:szCs w:val="24"/>
          <w:highlight w:val="none"/>
          <w:lang w:val="zh-CN" w:eastAsia="zh-CN" w:bidi="zh-CN"/>
        </w:rPr>
        <w:t>除合同另有约定外，承包人只从总监理工程师或按第</w:t>
      </w:r>
      <w:r>
        <w:rPr>
          <w:rFonts w:hint="eastAsia" w:ascii="宋体" w:hAnsi="宋体" w:eastAsia="宋体" w:cs="宋体"/>
          <w:color w:val="auto"/>
          <w:kern w:val="2"/>
          <w:sz w:val="24"/>
          <w:szCs w:val="24"/>
          <w:highlight w:val="none"/>
          <w:lang w:val="en-US" w:eastAsia="zh-CN" w:bidi="en-US"/>
        </w:rPr>
        <w:t xml:space="preserve">3. 3. </w:t>
      </w:r>
      <w:r>
        <w:rPr>
          <w:rFonts w:hint="eastAsia" w:ascii="宋体" w:hAnsi="宋体" w:eastAsia="宋体" w:cs="宋体"/>
          <w:color w:val="auto"/>
          <w:kern w:val="2"/>
          <w:sz w:val="24"/>
          <w:szCs w:val="24"/>
          <w:highlight w:val="none"/>
          <w:lang w:val="zh-CN" w:eastAsia="zh-CN" w:bidi="zh-CN"/>
        </w:rPr>
        <w:t>1项被授权的监理人员处取得指示。</w:t>
      </w:r>
    </w:p>
    <w:p w14:paraId="7B9F27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3.4.5</w:t>
      </w:r>
      <w:r>
        <w:rPr>
          <w:rFonts w:hint="eastAsia" w:ascii="宋体" w:hAnsi="宋体" w:eastAsia="宋体" w:cs="宋体"/>
          <w:color w:val="auto"/>
          <w:kern w:val="2"/>
          <w:sz w:val="24"/>
          <w:szCs w:val="24"/>
          <w:highlight w:val="none"/>
          <w:lang w:val="zh-CN" w:eastAsia="zh-CN" w:bidi="zh-CN"/>
        </w:rPr>
        <w:t>由于监理人未能按合同约定发出指示、指示延误或指示错误而导致承包人费用增加和（或）工期延误的，由发包人承担赔偿责任。</w:t>
      </w:r>
    </w:p>
    <w:p w14:paraId="4A03DBF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3.5商定或确定</w:t>
      </w:r>
    </w:p>
    <w:p w14:paraId="390DABE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3.5.1</w:t>
      </w:r>
      <w:r>
        <w:rPr>
          <w:rFonts w:hint="eastAsia" w:ascii="宋体" w:hAnsi="宋体" w:eastAsia="宋体" w:cs="宋体"/>
          <w:color w:val="auto"/>
          <w:kern w:val="2"/>
          <w:sz w:val="24"/>
          <w:szCs w:val="24"/>
          <w:highlight w:val="none"/>
          <w:lang w:val="zh-CN" w:eastAsia="zh-CN" w:bidi="zh-CN"/>
        </w:rPr>
        <w:t>合同约定总监理工程师应按照本款对任何事项进行商定或确定时，总监理工程师应与合同当事人协商，尽量达成一致。不能达成一致的，总监理工程师应认真研究后审慎确定。</w:t>
      </w:r>
    </w:p>
    <w:p w14:paraId="2F157D9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3.5.2</w:t>
      </w:r>
      <w:r>
        <w:rPr>
          <w:rFonts w:hint="eastAsia" w:ascii="宋体" w:hAnsi="宋体" w:eastAsia="宋体" w:cs="宋体"/>
          <w:color w:val="auto"/>
          <w:kern w:val="2"/>
          <w:sz w:val="24"/>
          <w:szCs w:val="24"/>
          <w:highlight w:val="none"/>
          <w:lang w:val="zh-CN" w:eastAsia="zh-CN" w:bidi="zh-CN"/>
        </w:rPr>
        <w:t>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 改后的结果执行</w:t>
      </w:r>
      <w:r>
        <w:rPr>
          <w:rFonts w:hint="eastAsia" w:ascii="宋体" w:hAnsi="宋体" w:eastAsia="宋体" w:cs="宋体"/>
          <w:color w:val="auto"/>
          <w:kern w:val="2"/>
          <w:sz w:val="24"/>
          <w:szCs w:val="24"/>
          <w:highlight w:val="none"/>
          <w:lang w:val="en-US" w:eastAsia="zh-CN" w:bidi="en-US"/>
        </w:rPr>
        <w:t>。</w:t>
      </w:r>
    </w:p>
    <w:p w14:paraId="3B1CF5F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5" w:name="_Toc5091"/>
      <w:r>
        <w:rPr>
          <w:rFonts w:hint="eastAsia" w:ascii="宋体" w:hAnsi="宋体" w:eastAsia="宋体" w:cs="宋体"/>
          <w:color w:val="auto"/>
          <w:kern w:val="2"/>
          <w:sz w:val="24"/>
          <w:szCs w:val="24"/>
          <w:highlight w:val="none"/>
          <w:lang w:val="en-US" w:eastAsia="zh-CN" w:bidi="ar-SA"/>
        </w:rPr>
        <w:t>4.承包人</w:t>
      </w:r>
      <w:bookmarkEnd w:id="205"/>
    </w:p>
    <w:p w14:paraId="763B6DB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4.1承包人的一般义务</w:t>
      </w:r>
    </w:p>
    <w:p w14:paraId="4505C43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w:t>
      </w:r>
      <w:r>
        <w:rPr>
          <w:rFonts w:hint="eastAsia" w:ascii="宋体" w:hAnsi="宋体" w:eastAsia="宋体" w:cs="宋体"/>
          <w:color w:val="auto"/>
          <w:kern w:val="2"/>
          <w:sz w:val="24"/>
          <w:szCs w:val="24"/>
          <w:highlight w:val="none"/>
          <w:lang w:val="zh-CN" w:eastAsia="zh-CN" w:bidi="zh-CN"/>
        </w:rPr>
        <w:t>遵守法律</w:t>
      </w:r>
    </w:p>
    <w:p w14:paraId="22EA182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承包人在履行合同过程中应遵守法律，并保证发包人免于承担因承包人违反法律而引起的任何责任。</w:t>
      </w:r>
    </w:p>
    <w:p w14:paraId="35E9CAA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4.1.2</w:t>
      </w:r>
      <w:r>
        <w:rPr>
          <w:rFonts w:hint="eastAsia" w:ascii="宋体" w:hAnsi="宋体" w:eastAsia="宋体" w:cs="宋体"/>
          <w:color w:val="auto"/>
          <w:kern w:val="2"/>
          <w:sz w:val="24"/>
          <w:szCs w:val="24"/>
          <w:highlight w:val="none"/>
          <w:lang w:val="zh-CN" w:eastAsia="zh-CN" w:bidi="zh-CN"/>
        </w:rPr>
        <w:t>依法纳税</w:t>
      </w:r>
    </w:p>
    <w:p w14:paraId="78077CA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承包人应按有关法律规定纳税，应缴纳的税金包括在合同价格内。</w:t>
      </w:r>
    </w:p>
    <w:p w14:paraId="050C66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4.1.3</w:t>
      </w:r>
      <w:r>
        <w:rPr>
          <w:rFonts w:hint="eastAsia" w:ascii="宋体" w:hAnsi="宋体" w:eastAsia="宋体" w:cs="宋体"/>
          <w:color w:val="auto"/>
          <w:kern w:val="2"/>
          <w:sz w:val="24"/>
          <w:szCs w:val="24"/>
          <w:highlight w:val="none"/>
          <w:lang w:val="zh-CN" w:eastAsia="zh-CN" w:bidi="zh-CN"/>
        </w:rPr>
        <w:t>完成各项承包工作</w:t>
      </w:r>
    </w:p>
    <w:p w14:paraId="21E06F3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承包人应按合同约定以及监理人根据第</w:t>
      </w:r>
      <w:r>
        <w:rPr>
          <w:rFonts w:hint="eastAsia" w:ascii="宋体" w:hAnsi="宋体" w:eastAsia="宋体" w:cs="宋体"/>
          <w:color w:val="auto"/>
          <w:kern w:val="2"/>
          <w:sz w:val="24"/>
          <w:szCs w:val="24"/>
          <w:highlight w:val="none"/>
          <w:lang w:val="en-US" w:eastAsia="zh-CN" w:bidi="en-US"/>
        </w:rPr>
        <w:t>3.4</w:t>
      </w:r>
      <w:r>
        <w:rPr>
          <w:rFonts w:hint="eastAsia" w:ascii="宋体" w:hAnsi="宋体" w:eastAsia="宋体" w:cs="宋体"/>
          <w:color w:val="auto"/>
          <w:kern w:val="2"/>
          <w:sz w:val="24"/>
          <w:szCs w:val="24"/>
          <w:highlight w:val="none"/>
          <w:lang w:val="zh-CN" w:eastAsia="zh-CN" w:bidi="zh-CN"/>
        </w:rPr>
        <w:t>款作出的指示，实施、完成全部工程，并修补工程中的任何缺陷。除第</w:t>
      </w:r>
      <w:r>
        <w:rPr>
          <w:rFonts w:hint="eastAsia" w:ascii="宋体" w:hAnsi="宋体" w:eastAsia="宋体" w:cs="宋体"/>
          <w:color w:val="auto"/>
          <w:kern w:val="2"/>
          <w:sz w:val="24"/>
          <w:szCs w:val="24"/>
          <w:highlight w:val="none"/>
          <w:lang w:val="en-US" w:eastAsia="zh-CN" w:bidi="en-US"/>
        </w:rPr>
        <w:t xml:space="preserve">5. </w:t>
      </w:r>
      <w:r>
        <w:rPr>
          <w:rFonts w:hint="eastAsia" w:ascii="宋体" w:hAnsi="宋体" w:eastAsia="宋体" w:cs="宋体"/>
          <w:color w:val="auto"/>
          <w:kern w:val="2"/>
          <w:sz w:val="24"/>
          <w:szCs w:val="24"/>
          <w:highlight w:val="none"/>
          <w:lang w:val="zh-CN" w:eastAsia="zh-CN" w:bidi="zh-CN"/>
        </w:rPr>
        <w:t>2款、第</w:t>
      </w:r>
      <w:r>
        <w:rPr>
          <w:rFonts w:hint="eastAsia" w:ascii="宋体" w:hAnsi="宋体" w:eastAsia="宋体" w:cs="宋体"/>
          <w:color w:val="auto"/>
          <w:kern w:val="2"/>
          <w:sz w:val="24"/>
          <w:szCs w:val="24"/>
          <w:highlight w:val="none"/>
          <w:lang w:val="en-US" w:eastAsia="zh-CN" w:bidi="en-US"/>
        </w:rPr>
        <w:t xml:space="preserve">6. </w:t>
      </w:r>
      <w:r>
        <w:rPr>
          <w:rFonts w:hint="eastAsia" w:ascii="宋体" w:hAnsi="宋体" w:eastAsia="宋体" w:cs="宋体"/>
          <w:color w:val="auto"/>
          <w:kern w:val="2"/>
          <w:sz w:val="24"/>
          <w:szCs w:val="24"/>
          <w:highlight w:val="none"/>
          <w:lang w:val="zh-CN" w:eastAsia="zh-CN" w:bidi="zh-CN"/>
        </w:rPr>
        <w:t>2款另有约定外，承包人应提供为完成合同工作所需的劳务、材料、施工设备、工程设备和其它物品，并按合同约定负责临时设施的设计、建造、运行、维护、管理和拆除。</w:t>
      </w:r>
    </w:p>
    <w:p w14:paraId="7D54C28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4.1.4</w:t>
      </w:r>
      <w:r>
        <w:rPr>
          <w:rFonts w:hint="eastAsia" w:ascii="宋体" w:hAnsi="宋体" w:eastAsia="宋体" w:cs="宋体"/>
          <w:color w:val="auto"/>
          <w:kern w:val="2"/>
          <w:sz w:val="24"/>
          <w:szCs w:val="24"/>
          <w:highlight w:val="none"/>
          <w:lang w:val="zh-CN" w:eastAsia="zh-CN" w:bidi="zh-CN"/>
        </w:rPr>
        <w:t>对施工作业和施工方法的完备性负责</w:t>
      </w:r>
    </w:p>
    <w:p w14:paraId="039E61C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承包人应按合同约定的工作内容和施工进度要求，编制施工组织设计和施工措施计划，并对所有施工作业和施工方法的完备性和安全可靠性负责。</w:t>
      </w:r>
    </w:p>
    <w:p w14:paraId="11F2C09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4.1.5</w:t>
      </w:r>
      <w:r>
        <w:rPr>
          <w:rFonts w:hint="eastAsia" w:ascii="宋体" w:hAnsi="宋体" w:eastAsia="宋体" w:cs="宋体"/>
          <w:color w:val="auto"/>
          <w:kern w:val="2"/>
          <w:sz w:val="24"/>
          <w:szCs w:val="24"/>
          <w:highlight w:val="none"/>
          <w:lang w:val="zh-CN" w:eastAsia="zh-CN" w:bidi="zh-CN"/>
        </w:rPr>
        <w:t>保证工程施工和人员的安全</w:t>
      </w:r>
    </w:p>
    <w:p w14:paraId="1C8A7D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承包人应按第</w:t>
      </w:r>
      <w:r>
        <w:rPr>
          <w:rFonts w:hint="eastAsia" w:ascii="宋体" w:hAnsi="宋体" w:eastAsia="宋体" w:cs="宋体"/>
          <w:color w:val="auto"/>
          <w:kern w:val="2"/>
          <w:sz w:val="24"/>
          <w:szCs w:val="24"/>
          <w:highlight w:val="none"/>
          <w:lang w:val="en-US" w:eastAsia="zh-CN" w:bidi="en-US"/>
        </w:rPr>
        <w:t xml:space="preserve">9. </w:t>
      </w:r>
      <w:r>
        <w:rPr>
          <w:rFonts w:hint="eastAsia" w:ascii="宋体" w:hAnsi="宋体" w:eastAsia="宋体" w:cs="宋体"/>
          <w:color w:val="auto"/>
          <w:kern w:val="2"/>
          <w:sz w:val="24"/>
          <w:szCs w:val="24"/>
          <w:highlight w:val="none"/>
          <w:lang w:val="zh-CN" w:eastAsia="zh-CN" w:bidi="zh-CN"/>
        </w:rPr>
        <w:t>2款约定采取施工安全措施，确保工程及其人员、材料、设备和设施的安全，防止因工程施工造成的人身伤害和财产损失。</w:t>
      </w:r>
    </w:p>
    <w:p w14:paraId="0F692F0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4.1.6</w:t>
      </w:r>
      <w:r>
        <w:rPr>
          <w:rFonts w:hint="eastAsia" w:ascii="宋体" w:hAnsi="宋体" w:eastAsia="宋体" w:cs="宋体"/>
          <w:color w:val="auto"/>
          <w:kern w:val="2"/>
          <w:sz w:val="24"/>
          <w:szCs w:val="24"/>
          <w:highlight w:val="none"/>
          <w:lang w:val="zh-CN" w:eastAsia="zh-CN" w:bidi="zh-CN"/>
        </w:rPr>
        <w:t>负责施工场地及其周边环境与生态的保护工作</w:t>
      </w:r>
    </w:p>
    <w:p w14:paraId="4C4845E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承包人应按照第</w:t>
      </w:r>
      <w:r>
        <w:rPr>
          <w:rFonts w:hint="eastAsia" w:ascii="宋体" w:hAnsi="宋体" w:eastAsia="宋体" w:cs="宋体"/>
          <w:color w:val="auto"/>
          <w:kern w:val="2"/>
          <w:sz w:val="24"/>
          <w:szCs w:val="24"/>
          <w:highlight w:val="none"/>
          <w:lang w:val="en-US" w:eastAsia="zh-CN" w:bidi="en-US"/>
        </w:rPr>
        <w:t>9.4</w:t>
      </w:r>
      <w:r>
        <w:rPr>
          <w:rFonts w:hint="eastAsia" w:ascii="宋体" w:hAnsi="宋体" w:eastAsia="宋体" w:cs="宋体"/>
          <w:color w:val="auto"/>
          <w:kern w:val="2"/>
          <w:sz w:val="24"/>
          <w:szCs w:val="24"/>
          <w:highlight w:val="none"/>
          <w:lang w:val="zh-CN" w:eastAsia="zh-CN" w:bidi="zh-CN"/>
        </w:rPr>
        <w:t>款约定负责施工场地及其周边环境与生态的保护工作。</w:t>
      </w:r>
    </w:p>
    <w:p w14:paraId="3A0BE7E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w:t>
      </w:r>
      <w:r>
        <w:rPr>
          <w:rFonts w:hint="eastAsia" w:ascii="宋体" w:hAnsi="宋体" w:eastAsia="宋体" w:cs="宋体"/>
          <w:color w:val="auto"/>
          <w:kern w:val="2"/>
          <w:sz w:val="24"/>
          <w:szCs w:val="24"/>
          <w:highlight w:val="none"/>
          <w:lang w:val="zh-CN" w:eastAsia="zh-CN" w:bidi="zh-CN"/>
        </w:rPr>
        <w:t>7避免施工对公众与他人的利益造成损害</w:t>
      </w:r>
    </w:p>
    <w:p w14:paraId="05D1626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64463D9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4. 1.8</w:t>
      </w:r>
      <w:r>
        <w:rPr>
          <w:rFonts w:hint="eastAsia" w:ascii="宋体" w:hAnsi="宋体" w:eastAsia="宋体" w:cs="宋体"/>
          <w:color w:val="auto"/>
          <w:kern w:val="2"/>
          <w:sz w:val="24"/>
          <w:szCs w:val="24"/>
          <w:highlight w:val="none"/>
          <w:lang w:val="zh-CN" w:eastAsia="zh-CN" w:bidi="zh-CN"/>
        </w:rPr>
        <w:t>为他人提供方便</w:t>
      </w:r>
    </w:p>
    <w:p w14:paraId="581E423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承包人应按监理人的指示为他人在施工场地或附近实施与工程有关的其他各项工作提供可能的条件。除合同另有约定外，提供有关条件的内容和可能发生的费用，由监理人按 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w:t>
      </w:r>
    </w:p>
    <w:p w14:paraId="54342F4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4.1.9</w:t>
      </w:r>
      <w:r>
        <w:rPr>
          <w:rFonts w:hint="eastAsia" w:ascii="宋体" w:hAnsi="宋体" w:eastAsia="宋体" w:cs="宋体"/>
          <w:color w:val="auto"/>
          <w:kern w:val="2"/>
          <w:sz w:val="24"/>
          <w:szCs w:val="24"/>
          <w:highlight w:val="none"/>
          <w:lang w:val="zh-CN" w:eastAsia="zh-CN" w:bidi="zh-CN"/>
        </w:rPr>
        <w:t>工程的维护和照管</w:t>
      </w:r>
    </w:p>
    <w:p w14:paraId="05CAADD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除合同另有约定外，竣工验收鉴定书颁发前，承包人应负责照管和维护工程。竣工验收鉴定书颁发时尚有部分未完工程的，承包人还应负责该未完工程的照管和维护工作，直至完工后移交给发包人为止。</w:t>
      </w:r>
    </w:p>
    <w:p w14:paraId="4C7064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4.1.10其它义务</w:t>
      </w:r>
    </w:p>
    <w:p w14:paraId="1E0FDD1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其它义务在专用合同条款中补充约定。</w:t>
      </w:r>
    </w:p>
    <w:p w14:paraId="693625E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4.2履约担保</w:t>
      </w:r>
    </w:p>
    <w:p w14:paraId="0E55E8C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承包人应保证其履约担保在发包人颁发竣工验收鉴定书前一直有效。发包人应在合同工程完工证书颁发后，</w:t>
      </w:r>
      <w:r>
        <w:rPr>
          <w:rFonts w:hint="eastAsia" w:ascii="宋体" w:hAnsi="宋体" w:eastAsia="宋体" w:cs="宋体"/>
          <w:color w:val="auto"/>
          <w:kern w:val="2"/>
          <w:sz w:val="24"/>
          <w:szCs w:val="24"/>
          <w:highlight w:val="none"/>
          <w:lang w:val="en-US" w:eastAsia="zh-CN" w:bidi="zh-CN"/>
        </w:rPr>
        <w:t>经承包人申请</w:t>
      </w:r>
      <w:r>
        <w:rPr>
          <w:rFonts w:hint="eastAsia" w:ascii="宋体" w:hAnsi="宋体" w:eastAsia="宋体" w:cs="宋体"/>
          <w:color w:val="auto"/>
          <w:kern w:val="2"/>
          <w:sz w:val="24"/>
          <w:szCs w:val="24"/>
          <w:highlight w:val="none"/>
          <w:lang w:val="zh-CN" w:eastAsia="zh-CN" w:bidi="zh-CN"/>
        </w:rPr>
        <w:t>将履约担保退还给承包人。</w:t>
      </w:r>
    </w:p>
    <w:p w14:paraId="6886925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4.3分包</w:t>
      </w:r>
    </w:p>
    <w:p w14:paraId="2DAEE4D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4.3.1</w:t>
      </w:r>
      <w:r>
        <w:rPr>
          <w:rFonts w:hint="eastAsia" w:ascii="宋体" w:hAnsi="宋体" w:eastAsia="宋体" w:cs="宋体"/>
          <w:color w:val="auto"/>
          <w:kern w:val="2"/>
          <w:sz w:val="24"/>
          <w:szCs w:val="24"/>
          <w:highlight w:val="none"/>
          <w:lang w:val="zh-CN" w:eastAsia="zh-CN" w:bidi="zh-CN"/>
        </w:rPr>
        <w:t>承包人不得将其承包的全部工程转包给第三人，或将其承包的全部工程肢解后以分包的名义转包给第三人。</w:t>
      </w:r>
    </w:p>
    <w:p w14:paraId="57C47F4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4.3.2</w:t>
      </w:r>
      <w:r>
        <w:rPr>
          <w:rFonts w:hint="eastAsia" w:ascii="宋体" w:hAnsi="宋体" w:eastAsia="宋体" w:cs="宋体"/>
          <w:color w:val="auto"/>
          <w:kern w:val="2"/>
          <w:sz w:val="24"/>
          <w:szCs w:val="24"/>
          <w:highlight w:val="none"/>
          <w:lang w:val="zh-CN" w:eastAsia="zh-CN" w:bidi="zh-CN"/>
        </w:rPr>
        <w:t>承包人不得将工程主体、关键性工作分包给第三人。除专用合同条款另有约定外，未经发包人书面同意，承包人不得将工程的其他部分或工作分包给第三人。</w:t>
      </w:r>
    </w:p>
    <w:p w14:paraId="5F76E94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w:t>
      </w:r>
      <w:r>
        <w:rPr>
          <w:rFonts w:hint="eastAsia" w:ascii="宋体" w:hAnsi="宋体" w:eastAsia="宋体" w:cs="宋体"/>
          <w:color w:val="auto"/>
          <w:kern w:val="2"/>
          <w:sz w:val="24"/>
          <w:szCs w:val="24"/>
          <w:highlight w:val="none"/>
          <w:lang w:val="zh-CN" w:eastAsia="zh-CN" w:bidi="zh-CN"/>
        </w:rPr>
        <w:t>3分包人的资格能力应与其分包工程的标准和规模相适应。</w:t>
      </w:r>
    </w:p>
    <w:p w14:paraId="283AC6D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4.3.4</w:t>
      </w:r>
      <w:r>
        <w:rPr>
          <w:rFonts w:hint="eastAsia" w:ascii="宋体" w:hAnsi="宋体" w:eastAsia="宋体" w:cs="宋体"/>
          <w:color w:val="auto"/>
          <w:kern w:val="2"/>
          <w:sz w:val="24"/>
          <w:szCs w:val="24"/>
          <w:highlight w:val="none"/>
          <w:lang w:val="zh-CN" w:eastAsia="zh-CN" w:bidi="zh-CN"/>
        </w:rPr>
        <w:t>按投标函附录约定分包工程的，承包人应向发包人和监理人提交分包合同副本。</w:t>
      </w:r>
    </w:p>
    <w:p w14:paraId="671D88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4.3.5</w:t>
      </w:r>
      <w:r>
        <w:rPr>
          <w:rFonts w:hint="eastAsia" w:ascii="宋体" w:hAnsi="宋体" w:eastAsia="宋体" w:cs="宋体"/>
          <w:color w:val="auto"/>
          <w:kern w:val="2"/>
          <w:sz w:val="24"/>
          <w:szCs w:val="24"/>
          <w:highlight w:val="none"/>
          <w:lang w:val="zh-CN" w:eastAsia="zh-CN" w:bidi="zh-CN"/>
        </w:rPr>
        <w:t>承包人应与分包人就分包工程向发包人承担连带责任。</w:t>
      </w:r>
    </w:p>
    <w:p w14:paraId="57B89D8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4.3.6</w:t>
      </w:r>
      <w:r>
        <w:rPr>
          <w:rFonts w:hint="eastAsia" w:ascii="宋体" w:hAnsi="宋体" w:eastAsia="宋体" w:cs="宋体"/>
          <w:color w:val="auto"/>
          <w:kern w:val="2"/>
          <w:sz w:val="24"/>
          <w:szCs w:val="24"/>
          <w:highlight w:val="none"/>
          <w:lang w:val="zh-CN" w:eastAsia="zh-CN" w:bidi="zh-CN"/>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2AE58A2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4.3.7</w:t>
      </w:r>
      <w:r>
        <w:rPr>
          <w:rFonts w:hint="eastAsia" w:ascii="宋体" w:hAnsi="宋体" w:eastAsia="宋体" w:cs="宋体"/>
          <w:color w:val="auto"/>
          <w:kern w:val="2"/>
          <w:sz w:val="24"/>
          <w:szCs w:val="24"/>
          <w:highlight w:val="none"/>
          <w:lang w:val="zh-CN" w:eastAsia="zh-CN" w:bidi="zh-CN"/>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164EDF7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4.3.8</w:t>
      </w:r>
      <w:r>
        <w:rPr>
          <w:rFonts w:hint="eastAsia" w:ascii="宋体" w:hAnsi="宋体" w:eastAsia="宋体" w:cs="宋体"/>
          <w:color w:val="auto"/>
          <w:kern w:val="2"/>
          <w:sz w:val="24"/>
          <w:szCs w:val="24"/>
          <w:highlight w:val="none"/>
          <w:lang w:val="zh-CN" w:eastAsia="zh-CN" w:bidi="zh-CN"/>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7B2C166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4.3.9</w:t>
      </w:r>
      <w:r>
        <w:rPr>
          <w:rFonts w:hint="eastAsia" w:ascii="宋体" w:hAnsi="宋体" w:eastAsia="宋体" w:cs="宋体"/>
          <w:color w:val="auto"/>
          <w:kern w:val="2"/>
          <w:sz w:val="24"/>
          <w:szCs w:val="24"/>
          <w:highlight w:val="none"/>
          <w:lang w:val="zh-CN" w:eastAsia="zh-CN" w:bidi="zh-CN"/>
        </w:rPr>
        <w:t>除第</w:t>
      </w:r>
      <w:r>
        <w:rPr>
          <w:rFonts w:hint="eastAsia" w:ascii="宋体" w:hAnsi="宋体" w:eastAsia="宋体" w:cs="宋体"/>
          <w:color w:val="auto"/>
          <w:kern w:val="2"/>
          <w:sz w:val="24"/>
          <w:szCs w:val="24"/>
          <w:highlight w:val="none"/>
          <w:lang w:val="en-US" w:eastAsia="zh-CN" w:bidi="en-US"/>
        </w:rPr>
        <w:t xml:space="preserve">4. 3. </w:t>
      </w:r>
      <w:r>
        <w:rPr>
          <w:rFonts w:hint="eastAsia" w:ascii="宋体" w:hAnsi="宋体" w:eastAsia="宋体" w:cs="宋体"/>
          <w:color w:val="auto"/>
          <w:kern w:val="2"/>
          <w:sz w:val="24"/>
          <w:szCs w:val="24"/>
          <w:highlight w:val="none"/>
          <w:lang w:val="zh-CN" w:eastAsia="zh-CN" w:bidi="zh-CN"/>
        </w:rPr>
        <w:t>7项规定的指定分包外，承包人对其分包项目的实施以及分包人的行为向发包人负全部责任。承包人应对分包项目的工程进度、质量、安全、计量和验收等实施监督和管理。</w:t>
      </w:r>
    </w:p>
    <w:p w14:paraId="6A9E8C74">
      <w:pPr>
        <w:pageBreakBefore w:val="0"/>
        <w:widowControl w:val="0"/>
        <w:tabs>
          <w:tab w:val="left" w:pos="73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4.3.10分包人应按专用合同条款的约定设立项目管理机构组织管理分包工程的施工活动。</w:t>
      </w:r>
    </w:p>
    <w:p w14:paraId="1F8A854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4.4联合体</w:t>
      </w:r>
    </w:p>
    <w:p w14:paraId="35BECEA4">
      <w:pPr>
        <w:pageBreakBefore w:val="0"/>
        <w:widowControl w:val="0"/>
        <w:tabs>
          <w:tab w:val="left" w:pos="73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4.4.1</w:t>
      </w:r>
      <w:r>
        <w:rPr>
          <w:rFonts w:hint="eastAsia" w:ascii="宋体" w:hAnsi="宋体" w:eastAsia="宋体" w:cs="宋体"/>
          <w:color w:val="auto"/>
          <w:kern w:val="2"/>
          <w:sz w:val="24"/>
          <w:szCs w:val="24"/>
          <w:highlight w:val="none"/>
          <w:lang w:val="zh-CN" w:eastAsia="zh-CN" w:bidi="zh-CN"/>
        </w:rPr>
        <w:t>联合体各方应共同与发包人签订合同协议书。联合体各方应为履行合同承担连带责任。</w:t>
      </w:r>
    </w:p>
    <w:p w14:paraId="032D439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4.4.2</w:t>
      </w:r>
      <w:r>
        <w:rPr>
          <w:rFonts w:hint="eastAsia" w:ascii="宋体" w:hAnsi="宋体" w:eastAsia="宋体" w:cs="宋体"/>
          <w:color w:val="auto"/>
          <w:kern w:val="2"/>
          <w:sz w:val="24"/>
          <w:szCs w:val="24"/>
          <w:highlight w:val="none"/>
          <w:lang w:val="zh-CN" w:eastAsia="zh-CN" w:bidi="zh-CN"/>
        </w:rPr>
        <w:t>联合体协议经发包人确认后作为合同附件。在履行合同过程中，未经发包人书面同意，不得修改联合体协议。</w:t>
      </w:r>
    </w:p>
    <w:p w14:paraId="3462501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4.4.3</w:t>
      </w:r>
      <w:r>
        <w:rPr>
          <w:rFonts w:hint="eastAsia" w:ascii="宋体" w:hAnsi="宋体" w:eastAsia="宋体" w:cs="宋体"/>
          <w:color w:val="auto"/>
          <w:kern w:val="2"/>
          <w:sz w:val="24"/>
          <w:szCs w:val="24"/>
          <w:highlight w:val="none"/>
          <w:lang w:val="zh-CN" w:eastAsia="zh-CN" w:bidi="zh-CN"/>
        </w:rPr>
        <w:t>联合体牵头人负责与发包人和监理人联系，并接受指示，负责组织联合体各成员全面履行合同。</w:t>
      </w:r>
    </w:p>
    <w:p w14:paraId="7E61653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4.5承包人项目经理</w:t>
      </w:r>
    </w:p>
    <w:p w14:paraId="57EC98C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4.5.1</w:t>
      </w:r>
      <w:r>
        <w:rPr>
          <w:rFonts w:hint="eastAsia" w:ascii="宋体" w:hAnsi="宋体" w:eastAsia="宋体" w:cs="宋体"/>
          <w:color w:val="auto"/>
          <w:kern w:val="2"/>
          <w:sz w:val="24"/>
          <w:szCs w:val="24"/>
          <w:highlight w:val="none"/>
          <w:lang w:val="zh-CN" w:eastAsia="zh-CN" w:bidi="zh-CN"/>
        </w:rPr>
        <w:t>承包人应按合同约定指派项目经理，并在约定的期限内到职。承包人更换项目经理应事先征得发包人书面同意，并应在更换14天前通知发包人和监理人。承包人项目经理短 期离开施工场地，应事先征得监理人同意，并委派代表代行其职责。</w:t>
      </w:r>
    </w:p>
    <w:p w14:paraId="1C01F90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4.5.2</w:t>
      </w:r>
      <w:r>
        <w:rPr>
          <w:rFonts w:hint="eastAsia" w:ascii="宋体" w:hAnsi="宋体" w:eastAsia="宋体" w:cs="宋体"/>
          <w:color w:val="auto"/>
          <w:kern w:val="2"/>
          <w:sz w:val="24"/>
          <w:szCs w:val="24"/>
          <w:highlight w:val="none"/>
          <w:lang w:val="zh-CN" w:eastAsia="zh-CN" w:bidi="zh-CN"/>
        </w:rPr>
        <w:t>承包人项目经理应按合同约定以及监理人按第</w:t>
      </w:r>
      <w:r>
        <w:rPr>
          <w:rFonts w:hint="eastAsia" w:ascii="宋体" w:hAnsi="宋体" w:eastAsia="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zh-CN" w:eastAsia="zh-CN" w:bidi="zh-CN"/>
        </w:rPr>
        <w:t>4款作出的指示，负责组织合同工程的实施。在情况紧急且无法与监理人取得联系时，可采取保证工程和人员生命财产安全的紧急措施，并在采取措施后24小时内向监理人提交书面报告。</w:t>
      </w:r>
    </w:p>
    <w:p w14:paraId="7D8BC96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w:t>
      </w:r>
      <w:r>
        <w:rPr>
          <w:rFonts w:hint="eastAsia" w:ascii="宋体" w:hAnsi="宋体" w:eastAsia="宋体" w:cs="宋体"/>
          <w:color w:val="auto"/>
          <w:kern w:val="2"/>
          <w:sz w:val="24"/>
          <w:szCs w:val="24"/>
          <w:highlight w:val="none"/>
          <w:lang w:val="zh-CN" w:eastAsia="zh-CN" w:bidi="zh-CN"/>
        </w:rPr>
        <w:t>3承包人为履行合同发出的一切函件均应盖有承包人授权的施工场地管理机构章，并由承包人项目经理或其授权代表签字。</w:t>
      </w:r>
    </w:p>
    <w:p w14:paraId="68C364F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4.5.4</w:t>
      </w:r>
      <w:r>
        <w:rPr>
          <w:rFonts w:hint="eastAsia" w:ascii="宋体" w:hAnsi="宋体" w:eastAsia="宋体" w:cs="宋体"/>
          <w:color w:val="auto"/>
          <w:kern w:val="2"/>
          <w:sz w:val="24"/>
          <w:szCs w:val="24"/>
          <w:highlight w:val="none"/>
          <w:lang w:val="zh-CN" w:eastAsia="zh-CN" w:bidi="zh-CN"/>
        </w:rPr>
        <w:t>承包人项目经理可以授权其下属人员履行其某项职责，但事先应将这些人员的姓名和授权范围通知监理人。</w:t>
      </w:r>
    </w:p>
    <w:p w14:paraId="7A58383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4.6承包人人员的管理</w:t>
      </w:r>
    </w:p>
    <w:p w14:paraId="22CFD8B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4.6.1</w:t>
      </w:r>
      <w:r>
        <w:rPr>
          <w:rFonts w:hint="eastAsia" w:ascii="宋体" w:hAnsi="宋体" w:eastAsia="宋体" w:cs="宋体"/>
          <w:color w:val="auto"/>
          <w:kern w:val="2"/>
          <w:sz w:val="24"/>
          <w:szCs w:val="24"/>
          <w:highlight w:val="none"/>
          <w:lang w:val="zh-CN" w:eastAsia="zh-CN" w:bidi="zh-CN"/>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629DBC6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4.6.2</w:t>
      </w:r>
      <w:r>
        <w:rPr>
          <w:rFonts w:hint="eastAsia" w:ascii="宋体" w:hAnsi="宋体" w:eastAsia="宋体" w:cs="宋体"/>
          <w:color w:val="auto"/>
          <w:kern w:val="2"/>
          <w:sz w:val="24"/>
          <w:szCs w:val="24"/>
          <w:highlight w:val="none"/>
          <w:lang w:val="zh-CN" w:eastAsia="zh-CN" w:bidi="zh-CN"/>
        </w:rPr>
        <w:t>为完成合同约定的各项工作，承包人应向施工场地派遣或雇佣足够数量的下列 人员：</w:t>
      </w:r>
    </w:p>
    <w:p w14:paraId="7D9F718B">
      <w:pPr>
        <w:pageBreakBefore w:val="0"/>
        <w:widowControl w:val="0"/>
        <w:numPr>
          <w:ilvl w:val="0"/>
          <w:numId w:val="6"/>
        </w:numPr>
        <w:tabs>
          <w:tab w:val="left" w:pos="899"/>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具有相应资格的专业技工和合格的普工；</w:t>
      </w:r>
    </w:p>
    <w:p w14:paraId="32A3C1B7">
      <w:pPr>
        <w:pageBreakBefore w:val="0"/>
        <w:widowControl w:val="0"/>
        <w:numPr>
          <w:ilvl w:val="0"/>
          <w:numId w:val="6"/>
        </w:numPr>
        <w:tabs>
          <w:tab w:val="left" w:pos="899"/>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具有相应施工经验的技术人员；</w:t>
      </w:r>
    </w:p>
    <w:p w14:paraId="3689FCE2">
      <w:pPr>
        <w:pageBreakBefore w:val="0"/>
        <w:widowControl w:val="0"/>
        <w:numPr>
          <w:ilvl w:val="0"/>
          <w:numId w:val="6"/>
        </w:numPr>
        <w:tabs>
          <w:tab w:val="left" w:pos="899"/>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具有相应岗位资格的各级管理人员。</w:t>
      </w:r>
    </w:p>
    <w:p w14:paraId="680F4D9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4.6.3</w:t>
      </w:r>
      <w:r>
        <w:rPr>
          <w:rFonts w:hint="eastAsia" w:ascii="宋体" w:hAnsi="宋体" w:eastAsia="宋体" w:cs="宋体"/>
          <w:color w:val="auto"/>
          <w:kern w:val="2"/>
          <w:sz w:val="24"/>
          <w:szCs w:val="24"/>
          <w:highlight w:val="none"/>
          <w:lang w:val="zh-CN" w:eastAsia="zh-CN" w:bidi="zh-CN"/>
        </w:rPr>
        <w:t>承包人安排在施工场地的主要管理人员和技术骨干应相对稳定。承包人更换主要管理人员和技术骨干时，应取得监理人的同意。</w:t>
      </w:r>
    </w:p>
    <w:p w14:paraId="7EAA007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4. 6.4</w:t>
      </w:r>
      <w:r>
        <w:rPr>
          <w:rFonts w:hint="eastAsia" w:ascii="宋体" w:hAnsi="宋体" w:eastAsia="宋体" w:cs="宋体"/>
          <w:color w:val="auto"/>
          <w:kern w:val="2"/>
          <w:sz w:val="24"/>
          <w:szCs w:val="24"/>
          <w:highlight w:val="none"/>
          <w:lang w:val="zh-CN" w:eastAsia="zh-CN" w:bidi="zh-CN"/>
        </w:rPr>
        <w:t>特殊岗位的工作人员均应持有相应的资格证明，监理人有权随时检查。监理人认为有必要时，可进行现场考核。</w:t>
      </w:r>
    </w:p>
    <w:p w14:paraId="4BE400D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4.7撤换承包人项目经理和其他人员</w:t>
      </w:r>
    </w:p>
    <w:p w14:paraId="5AE26C0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承包人应对其项目经理和其他人员进行有效管理。监理人要求撤换不能胜任本职工作、 行为不端或玩忽职守的承包人项目经理和其他人员的，承包人应予以撤换。</w:t>
      </w:r>
    </w:p>
    <w:p w14:paraId="66FA0FB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4.8保障承包人人员的合法权益</w:t>
      </w:r>
    </w:p>
    <w:p w14:paraId="5E4B673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w:t>
      </w:r>
      <w:r>
        <w:rPr>
          <w:rFonts w:hint="eastAsia" w:ascii="宋体" w:hAnsi="宋体" w:eastAsia="宋体" w:cs="宋体"/>
          <w:color w:val="auto"/>
          <w:kern w:val="2"/>
          <w:sz w:val="24"/>
          <w:szCs w:val="24"/>
          <w:highlight w:val="none"/>
          <w:lang w:val="zh-CN" w:eastAsia="zh-CN" w:bidi="zh-CN"/>
        </w:rPr>
        <w:t>1承包人应与其雇佣的人员签订劳动合同，并按时发放工资。</w:t>
      </w:r>
    </w:p>
    <w:p w14:paraId="42D1AE7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w:t>
      </w:r>
      <w:r>
        <w:rPr>
          <w:rFonts w:hint="eastAsia" w:ascii="宋体" w:hAnsi="宋体" w:eastAsia="宋体" w:cs="宋体"/>
          <w:color w:val="auto"/>
          <w:kern w:val="2"/>
          <w:sz w:val="24"/>
          <w:szCs w:val="24"/>
          <w:highlight w:val="none"/>
          <w:lang w:val="zh-CN" w:eastAsia="zh-CN" w:bidi="zh-CN"/>
        </w:rPr>
        <w:t>2承包人应按劳动法的规定安排工作时间，保证其雇佣人员享有休息和休假的权利。因工程施工的特殊需要占用休假日或延长工作时间的，应不超过法律规定的限度，并按法律规定给予补休或付酬。</w:t>
      </w:r>
    </w:p>
    <w:p w14:paraId="37E9F34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4.8.3</w:t>
      </w:r>
      <w:r>
        <w:rPr>
          <w:rFonts w:hint="eastAsia" w:ascii="宋体" w:hAnsi="宋体" w:eastAsia="宋体" w:cs="宋体"/>
          <w:color w:val="auto"/>
          <w:kern w:val="2"/>
          <w:sz w:val="24"/>
          <w:szCs w:val="24"/>
          <w:highlight w:val="none"/>
          <w:lang w:val="zh-CN" w:eastAsia="zh-CN" w:bidi="zh-CN"/>
        </w:rPr>
        <w:t>承包人应为其雇佣人员提供必要的食宿条件，以及符合环境保护和卫生要求的生活环境，在远离城镇的施工场地，还应配备必要的伤病防治和急救的医务人员与医疗设施。</w:t>
      </w:r>
    </w:p>
    <w:p w14:paraId="65AA652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4.8.4</w:t>
      </w:r>
      <w:r>
        <w:rPr>
          <w:rFonts w:hint="eastAsia" w:ascii="宋体" w:hAnsi="宋体" w:eastAsia="宋体" w:cs="宋体"/>
          <w:color w:val="auto"/>
          <w:kern w:val="2"/>
          <w:sz w:val="24"/>
          <w:szCs w:val="24"/>
          <w:highlight w:val="none"/>
          <w:lang w:val="zh-CN" w:eastAsia="zh-CN" w:bidi="zh-CN"/>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50AD083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4.8.5</w:t>
      </w:r>
      <w:r>
        <w:rPr>
          <w:rFonts w:hint="eastAsia" w:ascii="宋体" w:hAnsi="宋体" w:eastAsia="宋体" w:cs="宋体"/>
          <w:color w:val="auto"/>
          <w:kern w:val="2"/>
          <w:sz w:val="24"/>
          <w:szCs w:val="24"/>
          <w:highlight w:val="none"/>
          <w:lang w:val="zh-CN" w:eastAsia="zh-CN" w:bidi="zh-CN"/>
        </w:rPr>
        <w:t>承包人应按有关法律规定和合同约定，为其雇佣人员办理保险。</w:t>
      </w:r>
    </w:p>
    <w:p w14:paraId="26AB26E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4.8.6</w:t>
      </w:r>
      <w:r>
        <w:rPr>
          <w:rFonts w:hint="eastAsia" w:ascii="宋体" w:hAnsi="宋体" w:eastAsia="宋体" w:cs="宋体"/>
          <w:color w:val="auto"/>
          <w:kern w:val="2"/>
          <w:sz w:val="24"/>
          <w:szCs w:val="24"/>
          <w:highlight w:val="none"/>
          <w:lang w:val="zh-CN" w:eastAsia="zh-CN" w:bidi="zh-CN"/>
        </w:rPr>
        <w:t>承包人应负责处理其雇佣人员因工伤亡事故的善后事宜。</w:t>
      </w:r>
    </w:p>
    <w:p w14:paraId="3448747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4.9工程价款应专款专用</w:t>
      </w:r>
    </w:p>
    <w:p w14:paraId="7669209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发包人按合同约定支付给承包人的各项价款应专用于合同工程。</w:t>
      </w:r>
    </w:p>
    <w:p w14:paraId="51E3E7B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4.10承包人现场查勘</w:t>
      </w:r>
    </w:p>
    <w:p w14:paraId="4059CB2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4.10.</w:t>
      </w:r>
      <w:r>
        <w:rPr>
          <w:rFonts w:hint="eastAsia" w:ascii="宋体" w:hAnsi="宋体" w:eastAsia="宋体" w:cs="宋体"/>
          <w:color w:val="auto"/>
          <w:kern w:val="2"/>
          <w:sz w:val="24"/>
          <w:szCs w:val="24"/>
          <w:highlight w:val="none"/>
          <w:lang w:val="zh-CN" w:eastAsia="zh-CN" w:bidi="zh-CN"/>
        </w:rPr>
        <w:t>1发包人应将其持有的现场地质勘探资料、水文气象资料提供给承包人，并对其准确性负责。但承包人应对其阅读上述有关资料后所作出的解释和推断负责。</w:t>
      </w:r>
    </w:p>
    <w:p w14:paraId="0DA99B1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08F5FC5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4.11不利物质条件</w:t>
      </w:r>
    </w:p>
    <w:p w14:paraId="2ED01E8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4.11.1</w:t>
      </w:r>
      <w:r>
        <w:rPr>
          <w:rFonts w:hint="eastAsia" w:ascii="宋体" w:hAnsi="宋体" w:eastAsia="宋体" w:cs="宋体"/>
          <w:color w:val="auto"/>
          <w:kern w:val="2"/>
          <w:sz w:val="24"/>
          <w:szCs w:val="24"/>
          <w:highlight w:val="none"/>
          <w:lang w:val="zh-CN" w:eastAsia="zh-CN" w:bidi="zh-CN"/>
        </w:rPr>
        <w:t>除专用合同条款另有约定外，不利的物质条件是指在施工中遭遇不可预见的外界障碍或自然条件造成施工受阻。</w:t>
      </w:r>
    </w:p>
    <w:p w14:paraId="18FABA0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4.11.2</w:t>
      </w:r>
      <w:r>
        <w:rPr>
          <w:rFonts w:hint="eastAsia" w:ascii="宋体" w:hAnsi="宋体" w:eastAsia="宋体" w:cs="宋体"/>
          <w:color w:val="auto"/>
          <w:kern w:val="2"/>
          <w:sz w:val="24"/>
          <w:szCs w:val="24"/>
          <w:highlight w:val="none"/>
          <w:lang w:val="zh-CN" w:eastAsia="zh-CN" w:bidi="zh-CN"/>
        </w:rPr>
        <w:t>承包人遇到不利物质条件时，应采取适应不利物质条件的合理措施继续施工, 并及时通知监理人。承包人应有权根据第</w:t>
      </w:r>
      <w:r>
        <w:rPr>
          <w:rFonts w:hint="eastAsia" w:ascii="宋体" w:hAnsi="宋体" w:eastAsia="宋体" w:cs="宋体"/>
          <w:color w:val="auto"/>
          <w:kern w:val="2"/>
          <w:sz w:val="24"/>
          <w:szCs w:val="24"/>
          <w:highlight w:val="none"/>
          <w:lang w:val="en-US" w:eastAsia="zh-CN" w:bidi="en-US"/>
        </w:rPr>
        <w:t>23.1</w:t>
      </w:r>
      <w:r>
        <w:rPr>
          <w:rFonts w:hint="eastAsia" w:ascii="宋体" w:hAnsi="宋体" w:eastAsia="宋体" w:cs="宋体"/>
          <w:color w:val="auto"/>
          <w:kern w:val="2"/>
          <w:sz w:val="24"/>
          <w:szCs w:val="24"/>
          <w:highlight w:val="none"/>
          <w:lang w:val="zh-CN" w:eastAsia="zh-CN" w:bidi="zh-CN"/>
        </w:rPr>
        <w:t>款的约定，要求延长工期及增加费用。监理人收到此类要求后，应在分析上述外界障碍或自然条件是否不可预见及不可预见程度的基础上，按照通用合同条款第15条的约定办理。</w:t>
      </w:r>
    </w:p>
    <w:p w14:paraId="00B2F5D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6" w:name="_Toc17675"/>
      <w:r>
        <w:rPr>
          <w:rFonts w:hint="eastAsia" w:ascii="宋体" w:hAnsi="宋体" w:eastAsia="宋体" w:cs="宋体"/>
          <w:color w:val="auto"/>
          <w:kern w:val="2"/>
          <w:sz w:val="24"/>
          <w:szCs w:val="24"/>
          <w:highlight w:val="none"/>
          <w:lang w:val="en-US" w:eastAsia="zh-CN" w:bidi="ar-SA"/>
        </w:rPr>
        <w:t>5.材料和工程设备</w:t>
      </w:r>
      <w:bookmarkEnd w:id="206"/>
    </w:p>
    <w:p w14:paraId="3FB50FD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5.1承包人提供的材料和工程设备</w:t>
      </w:r>
    </w:p>
    <w:p w14:paraId="3DBA641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5.1.1除第5.2款约定由发包人提供的材料和工程设备外，承包人负责采购、运输和保管完成本合同工作所需的材料和工程设备。承包人应对其采购的材料和工程设备负责。</w:t>
      </w:r>
    </w:p>
    <w:p w14:paraId="120248A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5.1.2承包人应按专用合同条款的约定，将各项材料和工程设备的供货人及品种、规格、数量和供货时间等报送监理人审批。承包人应向监理人提交其负责提供的材料和工程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3C196B6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2DDA48B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5.2发包人提供的材料和工程设备</w:t>
      </w:r>
    </w:p>
    <w:p w14:paraId="39B6CAB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5.2.1发包人提供的材料和工程设备，应在专用合同条款中写明材料和工程设备的名称、规格、数量、价格、交货方式、交货地点和计划交货日期等。</w:t>
      </w:r>
    </w:p>
    <w:p w14:paraId="19DE174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5.2.2</w:t>
      </w:r>
      <w:r>
        <w:rPr>
          <w:rFonts w:hint="eastAsia" w:ascii="宋体" w:hAnsi="宋体" w:eastAsia="宋体" w:cs="宋体"/>
          <w:color w:val="auto"/>
          <w:kern w:val="2"/>
          <w:sz w:val="24"/>
          <w:szCs w:val="24"/>
          <w:highlight w:val="none"/>
          <w:lang w:val="zh-CN" w:eastAsia="zh-CN" w:bidi="zh-CN"/>
        </w:rPr>
        <w:t>承包人应根据合同进度计划的安排，向监理人报送要求发包人交货的日期计划。发包人应按照监理人与合同双方当事人商定的交货日期，向承包人提交材料和工程设备。</w:t>
      </w:r>
    </w:p>
    <w:p w14:paraId="2C31611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5.2.3</w:t>
      </w:r>
      <w:r>
        <w:rPr>
          <w:rFonts w:hint="eastAsia" w:ascii="宋体" w:hAnsi="宋体" w:eastAsia="宋体" w:cs="宋体"/>
          <w:color w:val="auto"/>
          <w:kern w:val="2"/>
          <w:sz w:val="24"/>
          <w:szCs w:val="24"/>
          <w:highlight w:val="none"/>
          <w:lang w:val="zh-CN" w:eastAsia="zh-CN" w:bidi="zh-CN"/>
        </w:rPr>
        <w:t>发包人应在材料和工程设备到货7天前通知承包人，承包人应会同监理人在约定的时间内，赴交货地点共同进行验收。发包人提供的材料和工程设备运至交货地点验收后，由承包人负责接收、卸货、运输和保管。</w:t>
      </w:r>
    </w:p>
    <w:p w14:paraId="430BB55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5. 2.4</w:t>
      </w:r>
      <w:r>
        <w:rPr>
          <w:rFonts w:hint="eastAsia" w:ascii="宋体" w:hAnsi="宋体" w:eastAsia="宋体" w:cs="宋体"/>
          <w:color w:val="auto"/>
          <w:kern w:val="2"/>
          <w:sz w:val="24"/>
          <w:szCs w:val="24"/>
          <w:highlight w:val="none"/>
          <w:lang w:val="zh-CN" w:eastAsia="zh-CN" w:bidi="zh-CN"/>
        </w:rPr>
        <w:t>发包人要求向承包人提前交货的，承包人不得拒绝，但发包人应承担承包人由此增加的费用。</w:t>
      </w:r>
    </w:p>
    <w:p w14:paraId="4A35466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5.2.5</w:t>
      </w:r>
      <w:r>
        <w:rPr>
          <w:rFonts w:hint="eastAsia" w:ascii="宋体" w:hAnsi="宋体" w:eastAsia="宋体" w:cs="宋体"/>
          <w:color w:val="auto"/>
          <w:kern w:val="2"/>
          <w:sz w:val="24"/>
          <w:szCs w:val="24"/>
          <w:highlight w:val="none"/>
          <w:lang w:val="zh-CN" w:eastAsia="zh-CN" w:bidi="zh-CN"/>
        </w:rPr>
        <w:t>承包人要求更改交货日期或地点的，应事先报请监理人批准。由于承包人要求更改交货时间或地点所增加的费用和（或）工期延误由承包人承担。</w:t>
      </w:r>
    </w:p>
    <w:p w14:paraId="7FFF863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5.2.6</w:t>
      </w:r>
      <w:r>
        <w:rPr>
          <w:rFonts w:hint="eastAsia" w:ascii="宋体" w:hAnsi="宋体" w:eastAsia="宋体" w:cs="宋体"/>
          <w:color w:val="auto"/>
          <w:kern w:val="2"/>
          <w:sz w:val="24"/>
          <w:szCs w:val="24"/>
          <w:highlight w:val="none"/>
          <w:lang w:val="zh-CN" w:eastAsia="zh-CN" w:bidi="zh-CN"/>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248860C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5.3材料和工程设备专用于合同工程</w:t>
      </w:r>
    </w:p>
    <w:p w14:paraId="42988CD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5.3.1</w:t>
      </w:r>
      <w:r>
        <w:rPr>
          <w:rFonts w:hint="eastAsia" w:ascii="宋体" w:hAnsi="宋体" w:eastAsia="宋体" w:cs="宋体"/>
          <w:color w:val="auto"/>
          <w:kern w:val="2"/>
          <w:sz w:val="24"/>
          <w:szCs w:val="24"/>
          <w:highlight w:val="none"/>
          <w:lang w:val="zh-CN" w:eastAsia="zh-CN" w:bidi="zh-CN"/>
        </w:rPr>
        <w:t>运入施工场地的材料、工程设备，包括备品备件、安装专用工器具与随机资料，必须专用于合同工程，未经监理人同意，承包人不得运出施工场地或挪作他用。</w:t>
      </w:r>
    </w:p>
    <w:p w14:paraId="28B3299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5.3.2</w:t>
      </w:r>
      <w:r>
        <w:rPr>
          <w:rFonts w:hint="eastAsia" w:ascii="宋体" w:hAnsi="宋体" w:eastAsia="宋体" w:cs="宋体"/>
          <w:color w:val="auto"/>
          <w:kern w:val="2"/>
          <w:sz w:val="24"/>
          <w:szCs w:val="24"/>
          <w:highlight w:val="none"/>
          <w:lang w:val="zh-CN" w:eastAsia="zh-CN" w:bidi="zh-CN"/>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40B8F14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5.4禁止使用不合格的材料和工程设备</w:t>
      </w:r>
    </w:p>
    <w:p w14:paraId="293DB78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5.4.1监理人有权拒绝承包人提供的不合格材料或工程设备，并要求承包人立即进行更换。监理人应在更换后再次进行检查和检验，由此增加的费用和（或）工期延误由承包 人承担。</w:t>
      </w:r>
    </w:p>
    <w:p w14:paraId="28056B1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5.4.2监理人发现承包人使用了不合格的材料和工程设备，应即时发出指示要求承包人立即改正，并禁止在工程中继续使用不合格的材料和工程设备。</w:t>
      </w:r>
    </w:p>
    <w:p w14:paraId="6186748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5.4.3</w:t>
      </w:r>
      <w:r>
        <w:rPr>
          <w:rFonts w:hint="eastAsia" w:ascii="宋体" w:hAnsi="宋体" w:eastAsia="宋体" w:cs="宋体"/>
          <w:color w:val="auto"/>
          <w:kern w:val="2"/>
          <w:sz w:val="24"/>
          <w:szCs w:val="24"/>
          <w:highlight w:val="none"/>
          <w:lang w:val="zh-CN" w:eastAsia="zh-CN" w:bidi="zh-CN"/>
        </w:rPr>
        <w:t>发包人提供的材料或工程设备不符合合同要求的，承包人有权拒绝，并可要求发包人更换，由此增加的费用和（或）工期延误由发包人承担。</w:t>
      </w:r>
    </w:p>
    <w:p w14:paraId="36B4CA0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7" w:name="_Toc24250"/>
      <w:r>
        <w:rPr>
          <w:rFonts w:hint="eastAsia" w:ascii="宋体" w:hAnsi="宋体" w:eastAsia="宋体" w:cs="宋体"/>
          <w:color w:val="auto"/>
          <w:kern w:val="2"/>
          <w:sz w:val="24"/>
          <w:szCs w:val="24"/>
          <w:highlight w:val="none"/>
          <w:lang w:val="en-US" w:eastAsia="zh-CN" w:bidi="ar-SA"/>
        </w:rPr>
        <w:t>6.施工设备和临时设施</w:t>
      </w:r>
      <w:bookmarkEnd w:id="207"/>
    </w:p>
    <w:p w14:paraId="21C4FC3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6.1承包人提供的施工设备和临时设施</w:t>
      </w:r>
    </w:p>
    <w:p w14:paraId="13D2A08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6.1.1</w:t>
      </w:r>
      <w:r>
        <w:rPr>
          <w:rFonts w:hint="eastAsia" w:ascii="宋体" w:hAnsi="宋体" w:eastAsia="宋体" w:cs="宋体"/>
          <w:color w:val="auto"/>
          <w:kern w:val="2"/>
          <w:sz w:val="24"/>
          <w:szCs w:val="24"/>
          <w:highlight w:val="none"/>
          <w:lang w:val="zh-CN" w:eastAsia="zh-CN" w:bidi="zh-CN"/>
        </w:rPr>
        <w:t>承包人应按合同进度计划的要求，及时配置施工设备和修建临时设施。进入施工场地的承包人设备需经监理人核查后才能投入使用。承包人更换合同约定的承包人设备的，应报监理人批准。</w:t>
      </w:r>
    </w:p>
    <w:p w14:paraId="7B5CF3E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6.1.2</w:t>
      </w:r>
      <w:r>
        <w:rPr>
          <w:rFonts w:hint="eastAsia" w:ascii="宋体" w:hAnsi="宋体" w:eastAsia="宋体" w:cs="宋体"/>
          <w:color w:val="auto"/>
          <w:kern w:val="2"/>
          <w:sz w:val="24"/>
          <w:szCs w:val="24"/>
          <w:highlight w:val="none"/>
          <w:lang w:val="zh-CN" w:eastAsia="zh-CN" w:bidi="zh-CN"/>
        </w:rPr>
        <w:t>除专用合同条款另有约定外，承包人应自行承担修建临时设施的费用，需要临时占地的，应由发包人办理申请手续并承担相应费用。</w:t>
      </w:r>
    </w:p>
    <w:p w14:paraId="2FEEAEC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6.2发包人提供的施工设备和临时设施</w:t>
      </w:r>
    </w:p>
    <w:p w14:paraId="066CD06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发包人提供的施工设备或临时设施在专用合同条款中约定。</w:t>
      </w:r>
    </w:p>
    <w:p w14:paraId="0A52845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6.3要求承包人增加或更换施工设备</w:t>
      </w:r>
    </w:p>
    <w:p w14:paraId="03C9720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承包人使用的施工设备不能满足合同进度计划和（或）质量要求时，监理人有权要求承包人增加或更换施工设备，承包人应及时增加或更换，由此增加的费用和（或）工期延误由承包人承担。</w:t>
      </w:r>
    </w:p>
    <w:p w14:paraId="0D49C75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6.4施工设备和临时设施专用于合同工程</w:t>
      </w:r>
    </w:p>
    <w:p w14:paraId="6640B64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6.4.1除合同另有约定外，运入施工场地的所有施工设备以及在施工场地建设的临时设施应专用于合同工程。未经监理人同意，不得将上述施工设备和临时设施中的任何部分运出施工场地或挪作他用。</w:t>
      </w:r>
    </w:p>
    <w:p w14:paraId="57E6DFB0">
      <w:pPr>
        <w:pageBreakBefore w:val="0"/>
        <w:widowControl w:val="0"/>
        <w:tabs>
          <w:tab w:val="left" w:pos="7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6.4.2</w:t>
      </w:r>
      <w:r>
        <w:rPr>
          <w:rFonts w:hint="eastAsia" w:ascii="宋体" w:hAnsi="宋体" w:eastAsia="宋体" w:cs="宋体"/>
          <w:color w:val="auto"/>
          <w:kern w:val="2"/>
          <w:sz w:val="24"/>
          <w:szCs w:val="24"/>
          <w:highlight w:val="none"/>
          <w:lang w:val="zh-CN" w:eastAsia="zh-CN" w:bidi="zh-CN"/>
        </w:rPr>
        <w:t>经监理人同意，承包人可根据合同进度计划撤走闲置的施工设备。</w:t>
      </w:r>
    </w:p>
    <w:p w14:paraId="0C3A30CA">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8" w:name="_Toc28841"/>
      <w:r>
        <w:rPr>
          <w:rFonts w:hint="eastAsia" w:ascii="宋体" w:hAnsi="宋体" w:eastAsia="宋体" w:cs="宋体"/>
          <w:color w:val="auto"/>
          <w:kern w:val="2"/>
          <w:sz w:val="24"/>
          <w:szCs w:val="24"/>
          <w:highlight w:val="none"/>
          <w:lang w:val="en-US" w:eastAsia="zh-CN" w:bidi="ar-SA"/>
        </w:rPr>
        <w:t>7.交通运输</w:t>
      </w:r>
      <w:bookmarkEnd w:id="208"/>
    </w:p>
    <w:p w14:paraId="0514B97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7.1道路通行权和场外设施</w:t>
      </w:r>
    </w:p>
    <w:p w14:paraId="1496162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6910215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7.2场内施工道路</w:t>
      </w:r>
    </w:p>
    <w:p w14:paraId="07D9E38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7.2.1</w:t>
      </w:r>
      <w:r>
        <w:rPr>
          <w:rFonts w:hint="eastAsia" w:ascii="宋体" w:hAnsi="宋体" w:eastAsia="宋体" w:cs="宋体"/>
          <w:color w:val="auto"/>
          <w:kern w:val="2"/>
          <w:sz w:val="24"/>
          <w:szCs w:val="24"/>
          <w:highlight w:val="none"/>
          <w:lang w:val="zh-CN" w:eastAsia="zh-CN" w:bidi="zh-CN"/>
        </w:rPr>
        <w:t>除本合同约定由发包人提供的部分道路和交通设施外，承包人应负责修建、维修、养护和管理其施工所需的全部临时道路和交通设施（包括合同约定由发包人提供的部 分道路和交通设施维修、养护和管理），并承担相应费用。</w:t>
      </w:r>
    </w:p>
    <w:p w14:paraId="5B327CE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7.2.2</w:t>
      </w:r>
      <w:r>
        <w:rPr>
          <w:rFonts w:hint="eastAsia" w:ascii="宋体" w:hAnsi="宋体" w:eastAsia="宋体" w:cs="宋体"/>
          <w:color w:val="auto"/>
          <w:kern w:val="2"/>
          <w:sz w:val="24"/>
          <w:szCs w:val="24"/>
          <w:highlight w:val="none"/>
          <w:lang w:val="zh-CN" w:eastAsia="zh-CN" w:bidi="zh-CN"/>
        </w:rPr>
        <w:t>承包人修建的临时道路和交通设施，应免费提供发包人、监理人，以及与本合 同有关的其他承包人使用。</w:t>
      </w:r>
    </w:p>
    <w:p w14:paraId="52B1B6B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7.3场外交通</w:t>
      </w:r>
    </w:p>
    <w:p w14:paraId="148D360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7.3.1</w:t>
      </w:r>
      <w:r>
        <w:rPr>
          <w:rFonts w:hint="eastAsia" w:ascii="宋体" w:hAnsi="宋体" w:eastAsia="宋体" w:cs="宋体"/>
          <w:color w:val="auto"/>
          <w:kern w:val="2"/>
          <w:sz w:val="24"/>
          <w:szCs w:val="24"/>
          <w:highlight w:val="none"/>
          <w:lang w:val="zh-CN" w:eastAsia="zh-CN" w:bidi="zh-CN"/>
        </w:rPr>
        <w:t>承包人车辆外出行驶所需的场外公共道路的通行费、养路费和税款等由承包人承担。</w:t>
      </w:r>
    </w:p>
    <w:p w14:paraId="1B55ABF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7.3.2</w:t>
      </w:r>
      <w:r>
        <w:rPr>
          <w:rFonts w:hint="eastAsia" w:ascii="宋体" w:hAnsi="宋体" w:eastAsia="宋体" w:cs="宋体"/>
          <w:color w:val="auto"/>
          <w:kern w:val="2"/>
          <w:sz w:val="24"/>
          <w:szCs w:val="24"/>
          <w:highlight w:val="none"/>
          <w:lang w:val="zh-CN" w:eastAsia="zh-CN" w:bidi="zh-CN"/>
        </w:rPr>
        <w:t>承包人应遵守有关交通法规，严格按照道路和桥梁的限制荷重安全行驶，并服从交通管理部门的检查和监督</w:t>
      </w:r>
      <w:r>
        <w:rPr>
          <w:rFonts w:hint="eastAsia" w:ascii="宋体" w:hAnsi="宋体" w:eastAsia="宋体" w:cs="宋体"/>
          <w:color w:val="auto"/>
          <w:kern w:val="2"/>
          <w:sz w:val="24"/>
          <w:szCs w:val="24"/>
          <w:highlight w:val="none"/>
          <w:lang w:val="en-US" w:eastAsia="zh-CN" w:bidi="zh-CN"/>
        </w:rPr>
        <w:t>。</w:t>
      </w:r>
    </w:p>
    <w:p w14:paraId="78A5571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7.4超大件和超重件的运输</w:t>
      </w:r>
    </w:p>
    <w:p w14:paraId="7F6300A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53BBDDD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7.5道路和桥梁的损坏责任</w:t>
      </w:r>
    </w:p>
    <w:p w14:paraId="0DDC855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因承包人运输造成施工场地内外公共道路和桥梁损坏的，由承包人承担修复损坏的全部费用和可能引起的赔偿。</w:t>
      </w:r>
    </w:p>
    <w:p w14:paraId="7667743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7.6水路和航空运输</w:t>
      </w:r>
    </w:p>
    <w:p w14:paraId="7DBBA30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本条上述各款的内容适用于水路运输和航空运输，其中“道路” 一词的涵义包括河道、航线、船闸、机场、码头、堤防以及水路或航空运输中其他相似结构物；“车辆” 一词的涵义包括船舶和飞机等。</w:t>
      </w:r>
    </w:p>
    <w:p w14:paraId="2A985E99">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9" w:name="_Toc10906"/>
      <w:r>
        <w:rPr>
          <w:rFonts w:hint="eastAsia" w:ascii="宋体" w:hAnsi="宋体" w:eastAsia="宋体" w:cs="宋体"/>
          <w:color w:val="auto"/>
          <w:kern w:val="2"/>
          <w:sz w:val="24"/>
          <w:szCs w:val="24"/>
          <w:highlight w:val="none"/>
          <w:lang w:val="en-US" w:eastAsia="zh-CN" w:bidi="ar-SA"/>
        </w:rPr>
        <w:t>8.测量放线</w:t>
      </w:r>
      <w:bookmarkEnd w:id="209"/>
    </w:p>
    <w:p w14:paraId="002D386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8.1施工控制网</w:t>
      </w:r>
    </w:p>
    <w:p w14:paraId="4320D0B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8.1.1</w:t>
      </w:r>
      <w:r>
        <w:rPr>
          <w:rFonts w:hint="eastAsia" w:ascii="宋体" w:hAnsi="宋体" w:eastAsia="宋体" w:cs="宋体"/>
          <w:color w:val="auto"/>
          <w:kern w:val="2"/>
          <w:sz w:val="24"/>
          <w:szCs w:val="24"/>
          <w:highlight w:val="none"/>
          <w:lang w:val="zh-CN" w:eastAsia="zh-CN" w:bidi="zh-CN"/>
        </w:rPr>
        <w:t>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62AB18E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8.1.2</w:t>
      </w:r>
      <w:r>
        <w:rPr>
          <w:rFonts w:hint="eastAsia" w:ascii="宋体" w:hAnsi="宋体" w:eastAsia="宋体" w:cs="宋体"/>
          <w:color w:val="auto"/>
          <w:kern w:val="2"/>
          <w:sz w:val="24"/>
          <w:szCs w:val="24"/>
          <w:highlight w:val="none"/>
          <w:lang w:val="zh-CN" w:eastAsia="zh-CN" w:bidi="zh-CN"/>
        </w:rPr>
        <w:t>承包人应负责管理施工控制网点。施工控制网点丢失或损坏的，承包人应及时修复。承包人应承担施工控制网点的管理与修复费用，并在工程竣工后将施工控制网点移交发包人。</w:t>
      </w:r>
    </w:p>
    <w:p w14:paraId="5AA655E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8.2施工测量</w:t>
      </w:r>
    </w:p>
    <w:p w14:paraId="49C323F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8.2.1</w:t>
      </w:r>
      <w:r>
        <w:rPr>
          <w:rFonts w:hint="eastAsia" w:ascii="宋体" w:hAnsi="宋体" w:eastAsia="宋体" w:cs="宋体"/>
          <w:color w:val="auto"/>
          <w:kern w:val="2"/>
          <w:sz w:val="24"/>
          <w:szCs w:val="24"/>
          <w:highlight w:val="none"/>
          <w:lang w:val="zh-CN" w:eastAsia="zh-CN" w:bidi="zh-CN"/>
        </w:rPr>
        <w:t>承包人应负责施工过程中的全部施工测量放线工作，并配置合格的人员、仪 器、设备和其他物品。</w:t>
      </w:r>
    </w:p>
    <w:p w14:paraId="28D4B84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8.2.2</w:t>
      </w:r>
      <w:r>
        <w:rPr>
          <w:rFonts w:hint="eastAsia" w:ascii="宋体" w:hAnsi="宋体" w:eastAsia="宋体" w:cs="宋体"/>
          <w:color w:val="auto"/>
          <w:kern w:val="2"/>
          <w:sz w:val="24"/>
          <w:szCs w:val="24"/>
          <w:highlight w:val="none"/>
          <w:lang w:val="zh-CN" w:eastAsia="zh-CN" w:bidi="zh-CN"/>
        </w:rPr>
        <w:t>监理人可以指示承包人进行抽样复测，当复测中发现错误或出现超过合同约定的误差时，承包人应按监理人指示进行修正或补测，并承担相应的复测费用。</w:t>
      </w:r>
    </w:p>
    <w:p w14:paraId="1A76C0E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8.3基准资料错误的责任</w:t>
      </w:r>
    </w:p>
    <w:p w14:paraId="5E0611D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21180B2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8.4监理人使用施工控制网</w:t>
      </w:r>
    </w:p>
    <w:p w14:paraId="2CA5A66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监理人需要使用施工控制网的，承包人应提供必要的协助，发包人不再为此支付费用。</w:t>
      </w:r>
    </w:p>
    <w:p w14:paraId="646B79F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8.5补充地质勘探</w:t>
      </w:r>
    </w:p>
    <w:p w14:paraId="792A5CF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合同实施期间，监理人可以指示承包人进行必要的补充地质勘探和提供有关资料；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20A8DA1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0" w:name="_Toc18302"/>
      <w:r>
        <w:rPr>
          <w:rFonts w:hint="eastAsia" w:ascii="宋体" w:hAnsi="宋体" w:eastAsia="宋体" w:cs="宋体"/>
          <w:color w:val="auto"/>
          <w:kern w:val="2"/>
          <w:sz w:val="24"/>
          <w:szCs w:val="24"/>
          <w:highlight w:val="none"/>
          <w:lang w:val="en-US" w:eastAsia="zh-CN" w:bidi="ar-SA"/>
        </w:rPr>
        <w:t>9.施工安全、治安保卫和环境保护</w:t>
      </w:r>
      <w:bookmarkEnd w:id="210"/>
    </w:p>
    <w:p w14:paraId="62B7010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9.1发包人的施工安全责任</w:t>
      </w:r>
    </w:p>
    <w:p w14:paraId="01AD2FC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9.1.1</w:t>
      </w:r>
      <w:r>
        <w:rPr>
          <w:rFonts w:hint="eastAsia" w:ascii="宋体" w:hAnsi="宋体" w:eastAsia="宋体" w:cs="宋体"/>
          <w:color w:val="auto"/>
          <w:kern w:val="2"/>
          <w:sz w:val="24"/>
          <w:szCs w:val="24"/>
          <w:highlight w:val="none"/>
          <w:lang w:val="zh-CN" w:eastAsia="zh-CN" w:bidi="zh-CN"/>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7434F8C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9.1.2</w:t>
      </w:r>
      <w:r>
        <w:rPr>
          <w:rFonts w:hint="eastAsia" w:ascii="宋体" w:hAnsi="宋体" w:eastAsia="宋体" w:cs="宋体"/>
          <w:color w:val="auto"/>
          <w:kern w:val="2"/>
          <w:sz w:val="24"/>
          <w:szCs w:val="24"/>
          <w:highlight w:val="none"/>
          <w:lang w:val="zh-CN" w:eastAsia="zh-CN" w:bidi="zh-CN"/>
        </w:rPr>
        <w:t>发包人应对其现场机构雇佣的全部人员的工伤事故承担责任，但由于承包人原因造成发包人人员工伤的，应由承包人承担责任。</w:t>
      </w:r>
    </w:p>
    <w:p w14:paraId="56292A3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9. 1. </w:t>
      </w:r>
      <w:r>
        <w:rPr>
          <w:rFonts w:hint="eastAsia" w:ascii="宋体" w:hAnsi="宋体" w:eastAsia="宋体" w:cs="宋体"/>
          <w:color w:val="auto"/>
          <w:kern w:val="2"/>
          <w:sz w:val="24"/>
          <w:szCs w:val="24"/>
          <w:highlight w:val="none"/>
          <w:lang w:val="zh-CN" w:eastAsia="zh-CN" w:bidi="zh-CN"/>
        </w:rPr>
        <w:t>3发包人应负责赔偿以下各种情况造成的第三者人身伤亡和财产损失：</w:t>
      </w:r>
    </w:p>
    <w:p w14:paraId="43D7F6A6">
      <w:pPr>
        <w:pageBreakBefore w:val="0"/>
        <w:widowControl w:val="0"/>
        <w:numPr>
          <w:ilvl w:val="0"/>
          <w:numId w:val="7"/>
        </w:numPr>
        <w:tabs>
          <w:tab w:val="left" w:pos="8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工程或工程的任何部分对土地的占用所造成的第三者财产损失；</w:t>
      </w:r>
    </w:p>
    <w:p w14:paraId="7C405E2D">
      <w:pPr>
        <w:pageBreakBefore w:val="0"/>
        <w:widowControl w:val="0"/>
        <w:numPr>
          <w:ilvl w:val="0"/>
          <w:numId w:val="7"/>
        </w:numPr>
        <w:tabs>
          <w:tab w:val="left" w:pos="8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由于发包人原因在施工场地及其毗邻地带造成的第三者人身伤亡和财产损失。</w:t>
      </w:r>
    </w:p>
    <w:p w14:paraId="3C488FF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9.1.4</w:t>
      </w:r>
      <w:r>
        <w:rPr>
          <w:rFonts w:hint="eastAsia" w:ascii="宋体" w:hAnsi="宋体" w:eastAsia="宋体" w:cs="宋体"/>
          <w:color w:val="auto"/>
          <w:kern w:val="2"/>
          <w:sz w:val="24"/>
          <w:szCs w:val="24"/>
          <w:highlight w:val="none"/>
          <w:lang w:val="zh-CN" w:eastAsia="zh-CN" w:bidi="zh-CN"/>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7F9AC7A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9.1.5</w:t>
      </w:r>
      <w:r>
        <w:rPr>
          <w:rFonts w:hint="eastAsia" w:ascii="宋体" w:hAnsi="宋体" w:eastAsia="宋体" w:cs="宋体"/>
          <w:color w:val="auto"/>
          <w:kern w:val="2"/>
          <w:sz w:val="24"/>
          <w:szCs w:val="24"/>
          <w:highlight w:val="none"/>
          <w:lang w:val="zh-CN" w:eastAsia="zh-CN" w:bidi="zh-CN"/>
        </w:rPr>
        <w:t>发包人按照已标价工程量清单所列金额和合同约定的计量支付规定，支付安全作业环境及安全施工措施所需费用。</w:t>
      </w:r>
    </w:p>
    <w:p w14:paraId="0252B09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9.1.6</w:t>
      </w:r>
      <w:r>
        <w:rPr>
          <w:rFonts w:hint="eastAsia" w:ascii="宋体" w:hAnsi="宋体" w:eastAsia="宋体" w:cs="宋体"/>
          <w:color w:val="auto"/>
          <w:kern w:val="2"/>
          <w:sz w:val="24"/>
          <w:szCs w:val="24"/>
          <w:highlight w:val="none"/>
          <w:lang w:val="zh-CN" w:eastAsia="zh-CN" w:bidi="zh-CN"/>
        </w:rPr>
        <w:t>发包人负责组织工程参建单位编制保证安全生产的措施方案。工程开工前，就 落实安全生产的措施进行全面系统的布置，进一步明确承包人的安全生产责任。</w:t>
      </w:r>
    </w:p>
    <w:p w14:paraId="78A0FDF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9.1.7</w:t>
      </w:r>
      <w:r>
        <w:rPr>
          <w:rFonts w:hint="eastAsia" w:ascii="宋体" w:hAnsi="宋体" w:eastAsia="宋体" w:cs="宋体"/>
          <w:color w:val="auto"/>
          <w:kern w:val="2"/>
          <w:sz w:val="24"/>
          <w:szCs w:val="24"/>
          <w:highlight w:val="none"/>
          <w:lang w:val="zh-CN" w:eastAsia="zh-CN" w:bidi="zh-CN"/>
        </w:rPr>
        <w:t>发包人负责在拆除工程和爆破工程施工14天前向有关部门或机构报送相关备案资料。</w:t>
      </w:r>
    </w:p>
    <w:p w14:paraId="7E7D8D2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9.2承包人的施工安全责任</w:t>
      </w:r>
    </w:p>
    <w:p w14:paraId="7A83A39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9.2.1</w:t>
      </w:r>
      <w:r>
        <w:rPr>
          <w:rFonts w:hint="eastAsia" w:ascii="宋体" w:hAnsi="宋体" w:eastAsia="宋体" w:cs="宋体"/>
          <w:color w:val="auto"/>
          <w:kern w:val="2"/>
          <w:sz w:val="24"/>
          <w:szCs w:val="24"/>
          <w:highlight w:val="none"/>
          <w:lang w:val="zh-CN" w:eastAsia="zh-CN" w:bidi="zh-CN"/>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5B67B84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9.2.2</w:t>
      </w:r>
      <w:r>
        <w:rPr>
          <w:rFonts w:hint="eastAsia" w:ascii="宋体" w:hAnsi="宋体" w:eastAsia="宋体" w:cs="宋体"/>
          <w:color w:val="auto"/>
          <w:kern w:val="2"/>
          <w:sz w:val="24"/>
          <w:szCs w:val="24"/>
          <w:highlight w:val="none"/>
          <w:lang w:val="zh-CN" w:eastAsia="zh-CN" w:bidi="zh-CN"/>
        </w:rPr>
        <w:t>承包人应加强施工作业安全管理，特别应加强易燃、易爆材料、火工器材、有毒与腐蚀性材料和其他危险品的管理，以及对爆破作业和地下工程施工等危险作业的管理。</w:t>
      </w:r>
    </w:p>
    <w:p w14:paraId="0010DAC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9.2.3</w:t>
      </w:r>
      <w:r>
        <w:rPr>
          <w:rFonts w:hint="eastAsia" w:ascii="宋体" w:hAnsi="宋体" w:eastAsia="宋体" w:cs="宋体"/>
          <w:color w:val="auto"/>
          <w:kern w:val="2"/>
          <w:sz w:val="24"/>
          <w:szCs w:val="24"/>
          <w:highlight w:val="none"/>
          <w:lang w:val="zh-CN" w:eastAsia="zh-CN" w:bidi="zh-CN"/>
        </w:rPr>
        <w:t>承包人应严格按照国家安全标准制定施工安全操作规程，配备必要的安全生产 和劳动保护设施，加强对承包人人员的安全教育，并发放安全工作手册和劳动保护用具。</w:t>
      </w:r>
    </w:p>
    <w:p w14:paraId="6B531E2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9. 2.4</w:t>
      </w:r>
      <w:r>
        <w:rPr>
          <w:rFonts w:hint="eastAsia" w:ascii="宋体" w:hAnsi="宋体" w:eastAsia="宋体" w:cs="宋体"/>
          <w:color w:val="auto"/>
          <w:kern w:val="2"/>
          <w:sz w:val="24"/>
          <w:szCs w:val="24"/>
          <w:highlight w:val="none"/>
          <w:lang w:val="zh-CN" w:eastAsia="zh-CN" w:bidi="zh-CN"/>
        </w:rPr>
        <w:t>承包人应按监理人的指示制定应对灾害的紧急预案，报送监理人审批。承包人还应按预案做好安全检查，配置必要的救助物资和器材，切实保护好有关人员的人身和财产安全。</w:t>
      </w:r>
    </w:p>
    <w:p w14:paraId="07C0DEB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9.2.5</w:t>
      </w:r>
      <w:r>
        <w:rPr>
          <w:rFonts w:hint="eastAsia" w:ascii="宋体" w:hAnsi="宋体" w:eastAsia="宋体" w:cs="宋体"/>
          <w:color w:val="auto"/>
          <w:kern w:val="2"/>
          <w:sz w:val="24"/>
          <w:szCs w:val="24"/>
          <w:highlight w:val="none"/>
          <w:lang w:val="zh-CN" w:eastAsia="zh-CN" w:bidi="zh-CN"/>
        </w:rPr>
        <w:t>合同约定的安全作业环境及安全施工措施所需费用应遵守有关规定，并包括在相关工作的合同价格中。因采取合同未约定的安全作业环境及安全施工措施增加的费用，由监理人按第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w:t>
      </w:r>
    </w:p>
    <w:p w14:paraId="2127ECA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9.2.6</w:t>
      </w:r>
      <w:r>
        <w:rPr>
          <w:rFonts w:hint="eastAsia" w:ascii="宋体" w:hAnsi="宋体" w:eastAsia="宋体" w:cs="宋体"/>
          <w:color w:val="auto"/>
          <w:kern w:val="2"/>
          <w:sz w:val="24"/>
          <w:szCs w:val="24"/>
          <w:highlight w:val="none"/>
          <w:lang w:val="zh-CN" w:eastAsia="zh-CN" w:bidi="zh-CN"/>
        </w:rPr>
        <w:t>承包人应对其履行合同所雇佣的全部人员，包括分包人人员的工伤事故承担责任，但由于发包人原因造成承包人人员工伤事故的，应由发包人承担责任。</w:t>
      </w:r>
    </w:p>
    <w:p w14:paraId="4E0C793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7由于承包人原因在施工场地内及其毗邻地带造成的第三者人员伤亡和财产损失，由承包人负责赔偿。</w:t>
      </w:r>
    </w:p>
    <w:p w14:paraId="4E71238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8承包人已标价工程量清单应包含工程安全作业环境及安全施工措施所需费用。</w:t>
      </w:r>
    </w:p>
    <w:p w14:paraId="2FAC888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9.2.9</w:t>
      </w:r>
      <w:r>
        <w:rPr>
          <w:rFonts w:hint="eastAsia" w:ascii="宋体" w:hAnsi="宋体" w:eastAsia="宋体" w:cs="宋体"/>
          <w:color w:val="auto"/>
          <w:kern w:val="2"/>
          <w:sz w:val="24"/>
          <w:szCs w:val="24"/>
          <w:highlight w:val="none"/>
          <w:lang w:val="zh-CN" w:eastAsia="zh-CN" w:bidi="zh-CN"/>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0AD486F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10承包人应设立安全生产管理机构，施工现场应有专职安全生产管理人员。</w:t>
      </w:r>
    </w:p>
    <w:p w14:paraId="0326FE7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9.2.11</w:t>
      </w:r>
      <w:r>
        <w:rPr>
          <w:rFonts w:hint="eastAsia" w:ascii="宋体" w:hAnsi="宋体" w:eastAsia="宋体" w:cs="宋体"/>
          <w:color w:val="auto"/>
          <w:kern w:val="2"/>
          <w:sz w:val="24"/>
          <w:szCs w:val="24"/>
          <w:highlight w:val="none"/>
          <w:lang w:val="zh-CN" w:eastAsia="zh-CN" w:bidi="zh-CN"/>
        </w:rPr>
        <w:t>承包人应负责对特种作业人员进行专门的安全作业培训，并保证特种作业人员持证上岗。</w:t>
      </w:r>
    </w:p>
    <w:p w14:paraId="71591C4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书面同意。</w:t>
      </w:r>
    </w:p>
    <w:p w14:paraId="380E3E3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13承包人在使用施工起重机构和整体提升脚手架、模板等自升式架设设施前,应组织有关单位进行验收。</w:t>
      </w:r>
    </w:p>
    <w:p w14:paraId="2487E47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9.3治安保卫</w:t>
      </w:r>
    </w:p>
    <w:p w14:paraId="5CA1E40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9.3.1</w:t>
      </w:r>
      <w:r>
        <w:rPr>
          <w:rFonts w:hint="eastAsia" w:ascii="宋体" w:hAnsi="宋体" w:eastAsia="宋体" w:cs="宋体"/>
          <w:color w:val="auto"/>
          <w:kern w:val="2"/>
          <w:sz w:val="24"/>
          <w:szCs w:val="24"/>
          <w:highlight w:val="none"/>
          <w:lang w:val="zh-CN" w:eastAsia="zh-CN" w:bidi="zh-CN"/>
        </w:rPr>
        <w:t>除合同另有约定外，发包人应与当地公安部门协商，在现场建立治安管理机构或联防组织，统一管理施工场地的治安保卫事项，履行合同工程的治安保卫职责。</w:t>
      </w:r>
    </w:p>
    <w:p w14:paraId="0C6123A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9.3.</w:t>
      </w:r>
      <w:r>
        <w:rPr>
          <w:rFonts w:hint="eastAsia" w:ascii="宋体" w:hAnsi="宋体" w:eastAsia="宋体" w:cs="宋体"/>
          <w:color w:val="auto"/>
          <w:kern w:val="2"/>
          <w:sz w:val="24"/>
          <w:szCs w:val="24"/>
          <w:highlight w:val="none"/>
          <w:lang w:val="zh-CN" w:eastAsia="zh-CN" w:bidi="zh-CN"/>
        </w:rPr>
        <w:t>2发包人和承包人除应协助现场治安管理机构或联防组织维护施工场地的社会治安外，还应做好包括生活区在内的各自管辖区的治安保卫工作。</w:t>
      </w:r>
    </w:p>
    <w:p w14:paraId="0E2A037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9.3.3</w:t>
      </w:r>
      <w:r>
        <w:rPr>
          <w:rFonts w:hint="eastAsia" w:ascii="宋体" w:hAnsi="宋体" w:eastAsia="宋体" w:cs="宋体"/>
          <w:color w:val="auto"/>
          <w:kern w:val="2"/>
          <w:sz w:val="24"/>
          <w:szCs w:val="24"/>
          <w:highlight w:val="none"/>
          <w:lang w:val="zh-CN" w:eastAsia="zh-CN" w:bidi="zh-CN"/>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32FB5D8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9.4环境保护</w:t>
      </w:r>
    </w:p>
    <w:p w14:paraId="3179A37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9.4.1</w:t>
      </w:r>
      <w:r>
        <w:rPr>
          <w:rFonts w:hint="eastAsia" w:ascii="宋体" w:hAnsi="宋体" w:eastAsia="宋体" w:cs="宋体"/>
          <w:color w:val="auto"/>
          <w:kern w:val="2"/>
          <w:sz w:val="24"/>
          <w:szCs w:val="24"/>
          <w:highlight w:val="none"/>
          <w:lang w:val="zh-CN" w:eastAsia="zh-CN" w:bidi="zh-CN"/>
        </w:rPr>
        <w:t>承包人在施工过程中，应遵守有关环境保护的法律，履行合同约定的环境保护义务，并对违反法律和合同约定义务所造成的环境破坏、人身伤害和财产损失负责。</w:t>
      </w:r>
    </w:p>
    <w:p w14:paraId="64506E3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9.4.2</w:t>
      </w:r>
      <w:r>
        <w:rPr>
          <w:rFonts w:hint="eastAsia" w:ascii="宋体" w:hAnsi="宋体" w:eastAsia="宋体" w:cs="宋体"/>
          <w:color w:val="auto"/>
          <w:kern w:val="2"/>
          <w:sz w:val="24"/>
          <w:szCs w:val="24"/>
          <w:highlight w:val="none"/>
          <w:lang w:val="zh-CN" w:eastAsia="zh-CN" w:bidi="zh-CN"/>
        </w:rPr>
        <w:t>承包人应按合同约定的环保工作内容，编制施工环保措施计划，报送监理人审批。</w:t>
      </w:r>
    </w:p>
    <w:p w14:paraId="2E5AC0D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9.4.3</w:t>
      </w:r>
      <w:r>
        <w:rPr>
          <w:rFonts w:hint="eastAsia" w:ascii="宋体" w:hAnsi="宋体" w:eastAsia="宋体" w:cs="宋体"/>
          <w:color w:val="auto"/>
          <w:kern w:val="2"/>
          <w:sz w:val="24"/>
          <w:szCs w:val="24"/>
          <w:highlight w:val="none"/>
          <w:lang w:val="zh-CN" w:eastAsia="zh-CN" w:bidi="zh-CN"/>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00229C5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9.4.4</w:t>
      </w:r>
      <w:r>
        <w:rPr>
          <w:rFonts w:hint="eastAsia" w:ascii="宋体" w:hAnsi="宋体" w:eastAsia="宋体" w:cs="宋体"/>
          <w:color w:val="auto"/>
          <w:kern w:val="2"/>
          <w:sz w:val="24"/>
          <w:szCs w:val="24"/>
          <w:highlight w:val="none"/>
          <w:lang w:val="zh-CN" w:eastAsia="zh-CN" w:bidi="zh-CN"/>
        </w:rPr>
        <w:t>承包人应按合同约定采取有效措施，对施工开挖的边坡及时进行支护，维护排 水设施，并进行水土保护，避免因施工造成的地质灾害。</w:t>
      </w:r>
    </w:p>
    <w:p w14:paraId="5B4EC08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9.4.5</w:t>
      </w:r>
      <w:r>
        <w:rPr>
          <w:rFonts w:hint="eastAsia" w:ascii="宋体" w:hAnsi="宋体" w:eastAsia="宋体" w:cs="宋体"/>
          <w:color w:val="auto"/>
          <w:kern w:val="2"/>
          <w:sz w:val="24"/>
          <w:szCs w:val="24"/>
          <w:highlight w:val="none"/>
          <w:lang w:val="zh-CN" w:eastAsia="zh-CN" w:bidi="zh-CN"/>
        </w:rPr>
        <w:t>承包人应按国家饮用水管理标准定期对饮用水源进行监测，防止施工活动污染饮用水源。</w:t>
      </w:r>
    </w:p>
    <w:p w14:paraId="2BBDBD0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9.4.6</w:t>
      </w:r>
      <w:r>
        <w:rPr>
          <w:rFonts w:hint="eastAsia" w:ascii="宋体" w:hAnsi="宋体" w:eastAsia="宋体" w:cs="宋体"/>
          <w:color w:val="auto"/>
          <w:kern w:val="2"/>
          <w:sz w:val="24"/>
          <w:szCs w:val="24"/>
          <w:highlight w:val="none"/>
          <w:lang w:val="zh-CN" w:eastAsia="zh-CN" w:bidi="zh-CN"/>
        </w:rPr>
        <w:t>承包人应按合同约定，加强对噪声、粉尘、废气、废水和废油的控制，努力降低噪声，控制粉尘和废气浓度，做好废水和废油的治理和排放。</w:t>
      </w:r>
    </w:p>
    <w:p w14:paraId="44CF3C3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bookmarkStart w:id="211" w:name="_Toc1363"/>
      <w:r>
        <w:rPr>
          <w:rFonts w:hint="eastAsia" w:ascii="宋体" w:hAnsi="宋体" w:eastAsia="宋体" w:cs="宋体"/>
          <w:color w:val="auto"/>
          <w:kern w:val="0"/>
          <w:sz w:val="24"/>
          <w:szCs w:val="24"/>
          <w:highlight w:val="none"/>
          <w:lang w:val="en-US" w:eastAsia="zh-CN" w:bidi="ar-SA"/>
        </w:rPr>
        <w:t>9.5事故处理</w:t>
      </w:r>
      <w:bookmarkEnd w:id="211"/>
    </w:p>
    <w:p w14:paraId="47956CA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9.5.1</w:t>
      </w:r>
      <w:r>
        <w:rPr>
          <w:rFonts w:hint="eastAsia" w:ascii="宋体" w:hAnsi="宋体" w:eastAsia="宋体" w:cs="宋体"/>
          <w:color w:val="auto"/>
          <w:kern w:val="2"/>
          <w:sz w:val="24"/>
          <w:szCs w:val="24"/>
          <w:highlight w:val="none"/>
          <w:lang w:val="zh-CN" w:eastAsia="zh-CN" w:bidi="zh-CN"/>
        </w:rPr>
        <w:t>发包人负责组织参建单位制定本工程的质量与安全事故应急预案，建立质量与安全事故应急处置指挥部。</w:t>
      </w:r>
    </w:p>
    <w:p w14:paraId="25CA070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9.5.2</w:t>
      </w:r>
      <w:r>
        <w:rPr>
          <w:rFonts w:hint="eastAsia" w:ascii="宋体" w:hAnsi="宋体" w:eastAsia="宋体" w:cs="宋体"/>
          <w:color w:val="auto"/>
          <w:kern w:val="2"/>
          <w:sz w:val="24"/>
          <w:szCs w:val="24"/>
          <w:highlight w:val="none"/>
          <w:lang w:val="zh-CN" w:eastAsia="zh-CN" w:bidi="zh-CN"/>
        </w:rPr>
        <w:t>承包人应对施工现场易发生重大事故的部位、环节的进行监控，配备救援器材、设备，并定期组织演练。</w:t>
      </w:r>
    </w:p>
    <w:p w14:paraId="37781AE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9.5.3</w:t>
      </w:r>
      <w:r>
        <w:rPr>
          <w:rFonts w:hint="eastAsia" w:ascii="宋体" w:hAnsi="宋体" w:eastAsia="宋体" w:cs="宋体"/>
          <w:color w:val="auto"/>
          <w:kern w:val="2"/>
          <w:sz w:val="24"/>
          <w:szCs w:val="24"/>
          <w:highlight w:val="none"/>
          <w:lang w:val="zh-CN" w:eastAsia="zh-CN" w:bidi="zh-CN"/>
        </w:rPr>
        <w:t>工程开工前，承包人应根据本工程特点制定施工现场施工质量与安全事故应急预案，并报发包人备案。</w:t>
      </w:r>
    </w:p>
    <w:p w14:paraId="41732E8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9.5.4</w:t>
      </w:r>
      <w:r>
        <w:rPr>
          <w:rFonts w:hint="eastAsia" w:ascii="宋体" w:hAnsi="宋体" w:eastAsia="宋体" w:cs="宋体"/>
          <w:color w:val="auto"/>
          <w:kern w:val="2"/>
          <w:sz w:val="24"/>
          <w:szCs w:val="24"/>
          <w:highlight w:val="none"/>
          <w:lang w:val="zh-CN" w:eastAsia="zh-CN" w:bidi="zh-CN"/>
        </w:rPr>
        <w:t>施工过程中发生事故时，发包人、承包人应立即启动应急预案。</w:t>
      </w:r>
    </w:p>
    <w:p w14:paraId="717947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9.5.5</w:t>
      </w:r>
      <w:r>
        <w:rPr>
          <w:rFonts w:hint="eastAsia" w:ascii="宋体" w:hAnsi="宋体" w:eastAsia="宋体" w:cs="宋体"/>
          <w:color w:val="auto"/>
          <w:kern w:val="2"/>
          <w:sz w:val="24"/>
          <w:szCs w:val="24"/>
          <w:highlight w:val="none"/>
          <w:lang w:val="zh-CN" w:eastAsia="zh-CN" w:bidi="zh-CN"/>
        </w:rPr>
        <w:t>事故调查处理由发包人按相关规定履行手续，承包人应配合。</w:t>
      </w:r>
    </w:p>
    <w:p w14:paraId="3B3C31C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9.6水土保持</w:t>
      </w:r>
    </w:p>
    <w:p w14:paraId="501C46A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9.6.</w:t>
      </w:r>
      <w:r>
        <w:rPr>
          <w:rFonts w:hint="eastAsia" w:ascii="宋体" w:hAnsi="宋体" w:eastAsia="宋体" w:cs="宋体"/>
          <w:color w:val="auto"/>
          <w:kern w:val="2"/>
          <w:sz w:val="24"/>
          <w:szCs w:val="24"/>
          <w:highlight w:val="none"/>
          <w:lang w:val="zh-CN" w:eastAsia="zh-CN" w:bidi="zh-CN"/>
        </w:rPr>
        <w:t>1发包人应及时向承包人提供水土保持方案。</w:t>
      </w:r>
    </w:p>
    <w:p w14:paraId="36388B6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9.6.2</w:t>
      </w:r>
      <w:r>
        <w:rPr>
          <w:rFonts w:hint="eastAsia" w:ascii="宋体" w:hAnsi="宋体" w:eastAsia="宋体" w:cs="宋体"/>
          <w:color w:val="auto"/>
          <w:kern w:val="2"/>
          <w:sz w:val="24"/>
          <w:szCs w:val="24"/>
          <w:highlight w:val="none"/>
          <w:lang w:val="zh-CN" w:eastAsia="zh-CN" w:bidi="zh-CN"/>
        </w:rPr>
        <w:t>承包人在施工过程中，应遵守有关水土保持的法律法规和规章，履行合同约定的水土保持义务，并对其违反法律和合同约定义务所造成的水土流失灾害、人身伤害和财 产损失负责。</w:t>
      </w:r>
    </w:p>
    <w:p w14:paraId="7985155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9.6.3</w:t>
      </w:r>
      <w:r>
        <w:rPr>
          <w:rFonts w:hint="eastAsia" w:ascii="宋体" w:hAnsi="宋体" w:eastAsia="宋体" w:cs="宋体"/>
          <w:color w:val="auto"/>
          <w:kern w:val="2"/>
          <w:sz w:val="24"/>
          <w:szCs w:val="24"/>
          <w:highlight w:val="none"/>
          <w:lang w:val="zh-CN" w:eastAsia="zh-CN" w:bidi="zh-CN"/>
        </w:rPr>
        <w:t>承包人的水土保持措施计划，应满足技术标准和要求（合同技术条款）约定的要求。</w:t>
      </w:r>
    </w:p>
    <w:p w14:paraId="07E7813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9.7文明工地</w:t>
      </w:r>
    </w:p>
    <w:p w14:paraId="50D9509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9.7.1</w:t>
      </w:r>
      <w:r>
        <w:rPr>
          <w:rFonts w:hint="eastAsia" w:ascii="宋体" w:hAnsi="宋体" w:eastAsia="宋体" w:cs="宋体"/>
          <w:color w:val="auto"/>
          <w:kern w:val="2"/>
          <w:sz w:val="24"/>
          <w:szCs w:val="24"/>
          <w:highlight w:val="none"/>
          <w:lang w:val="zh-CN" w:eastAsia="zh-CN" w:bidi="zh-CN"/>
        </w:rPr>
        <w:t>发包人应按专用合同条款的约定，负责建立创建文明建设工地的组织机构，制定创建文明建设工地的规划和办法。</w:t>
      </w:r>
    </w:p>
    <w:p w14:paraId="09AA114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9.7.2</w:t>
      </w:r>
      <w:r>
        <w:rPr>
          <w:rFonts w:hint="eastAsia" w:ascii="宋体" w:hAnsi="宋体" w:eastAsia="宋体" w:cs="宋体"/>
          <w:color w:val="auto"/>
          <w:kern w:val="2"/>
          <w:sz w:val="24"/>
          <w:szCs w:val="24"/>
          <w:highlight w:val="none"/>
          <w:lang w:val="zh-CN" w:eastAsia="zh-CN" w:bidi="zh-CN"/>
        </w:rPr>
        <w:t>承包人应按创建文明建设工地的规划和办法，履行职责，承担相应责任。所需费用应含在已标价工程量清单中。</w:t>
      </w:r>
    </w:p>
    <w:p w14:paraId="7F4BA33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9.8防汛度汛</w:t>
      </w:r>
    </w:p>
    <w:p w14:paraId="1B396D7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9.8.</w:t>
      </w:r>
      <w:r>
        <w:rPr>
          <w:rFonts w:hint="eastAsia" w:ascii="宋体" w:hAnsi="宋体" w:eastAsia="宋体" w:cs="宋体"/>
          <w:color w:val="auto"/>
          <w:kern w:val="2"/>
          <w:sz w:val="24"/>
          <w:szCs w:val="24"/>
          <w:highlight w:val="none"/>
          <w:lang w:val="zh-CN" w:eastAsia="zh-CN" w:bidi="zh-CN"/>
        </w:rPr>
        <w:t>1发包人负责组织工程参建单位编制本工程的度汛方案和措施。</w:t>
      </w:r>
    </w:p>
    <w:p w14:paraId="35FF8CC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9.8.2</w:t>
      </w:r>
      <w:r>
        <w:rPr>
          <w:rFonts w:hint="eastAsia" w:ascii="宋体" w:hAnsi="宋体" w:eastAsia="宋体" w:cs="宋体"/>
          <w:color w:val="auto"/>
          <w:kern w:val="2"/>
          <w:sz w:val="24"/>
          <w:szCs w:val="24"/>
          <w:highlight w:val="none"/>
          <w:lang w:val="zh-CN" w:eastAsia="zh-CN" w:bidi="zh-CN"/>
        </w:rPr>
        <w:t>承包人应根据发包人编制的本工程度汛方案和措施，制定相应的度汛方案，报发包人批准后实施。</w:t>
      </w:r>
    </w:p>
    <w:p w14:paraId="08DFA353">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2" w:name="_Toc732"/>
      <w:r>
        <w:rPr>
          <w:rFonts w:hint="eastAsia" w:ascii="宋体" w:hAnsi="宋体" w:eastAsia="宋体" w:cs="宋体"/>
          <w:color w:val="auto"/>
          <w:kern w:val="2"/>
          <w:sz w:val="24"/>
          <w:szCs w:val="24"/>
          <w:highlight w:val="none"/>
          <w:lang w:val="en-US" w:eastAsia="zh-CN" w:bidi="ar-SA"/>
        </w:rPr>
        <w:t>10.进度计划</w:t>
      </w:r>
      <w:bookmarkEnd w:id="212"/>
    </w:p>
    <w:p w14:paraId="4397017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10.1合同进度计划</w:t>
      </w:r>
    </w:p>
    <w:p w14:paraId="3FA835E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 计划，编制更为详细的分阶段或单位工程或分部工程进度计划，报监理人审批。</w:t>
      </w:r>
    </w:p>
    <w:p w14:paraId="3980C6C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10.2合同进度计划的修订</w:t>
      </w:r>
    </w:p>
    <w:p w14:paraId="50F5BCF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不论何种原因造成工程的实际进度与第</w:t>
      </w:r>
      <w:r>
        <w:rPr>
          <w:rFonts w:hint="eastAsia" w:ascii="宋体" w:hAnsi="宋体" w:eastAsia="宋体" w:cs="宋体"/>
          <w:color w:val="auto"/>
          <w:kern w:val="2"/>
          <w:sz w:val="24"/>
          <w:szCs w:val="24"/>
          <w:highlight w:val="none"/>
          <w:lang w:val="en-US" w:eastAsia="zh-CN" w:bidi="en-US"/>
        </w:rPr>
        <w:t xml:space="preserve">10. </w:t>
      </w:r>
      <w:r>
        <w:rPr>
          <w:rFonts w:hint="eastAsia" w:ascii="宋体" w:hAnsi="宋体" w:eastAsia="宋体" w:cs="宋体"/>
          <w:color w:val="auto"/>
          <w:kern w:val="2"/>
          <w:sz w:val="24"/>
          <w:szCs w:val="24"/>
          <w:highlight w:val="none"/>
          <w:lang w:val="zh-CN" w:eastAsia="zh-CN" w:bidi="zh-CN"/>
        </w:rPr>
        <w:t>1款的合同进度计划不符时，承包人均应在 14天内向监理人提交修订合同进度计划的申请报告，并附有关措施和相关资料，报监理人审批；监理人应在收到申请报告后的14天内批复。当监理人认为需要修订合同进度计划 时，承包人应按监理人的指示，在14天内向监理人提交修订的合同进度计划，并附调整计 划的相关资料，提交监理人审批。监理人应在收到进度计划后的14天内批复。</w:t>
      </w:r>
    </w:p>
    <w:p w14:paraId="4ABA860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3款的约定办理；由于承包人原因造成施工进度延迟，应按第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5款的约定办理。</w:t>
      </w:r>
    </w:p>
    <w:p w14:paraId="0E82265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10.3单位工程进度计划</w:t>
      </w:r>
    </w:p>
    <w:p w14:paraId="38C36E1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监理人认为有必要时，承包人应按监理人指示的内容和期限，并根据合同进度计划的进度控制要求，编制单位工程进度计划，提交监理人审批。</w:t>
      </w:r>
    </w:p>
    <w:p w14:paraId="7B9519B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10.4提交资金流估算表</w:t>
      </w:r>
    </w:p>
    <w:p w14:paraId="3E279BE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承包人应在按第</w:t>
      </w:r>
      <w:r>
        <w:rPr>
          <w:rFonts w:hint="eastAsia" w:ascii="宋体" w:hAnsi="宋体" w:eastAsia="宋体" w:cs="宋体"/>
          <w:color w:val="auto"/>
          <w:kern w:val="2"/>
          <w:sz w:val="24"/>
          <w:szCs w:val="24"/>
          <w:highlight w:val="none"/>
          <w:lang w:val="en-US" w:eastAsia="zh-CN" w:bidi="en-US"/>
        </w:rPr>
        <w:t xml:space="preserve">10. </w:t>
      </w:r>
      <w:r>
        <w:rPr>
          <w:rFonts w:hint="eastAsia" w:ascii="宋体" w:hAnsi="宋体" w:eastAsia="宋体" w:cs="宋体"/>
          <w:color w:val="auto"/>
          <w:kern w:val="2"/>
          <w:sz w:val="24"/>
          <w:szCs w:val="24"/>
          <w:highlight w:val="none"/>
          <w:lang w:val="zh-CN" w:eastAsia="zh-CN" w:bidi="zh-CN"/>
        </w:rPr>
        <w:t>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62D8749C">
      <w:pPr>
        <w:pageBreakBefore w:val="0"/>
        <w:widowControl w:val="0"/>
        <w:tabs>
          <w:tab w:val="left" w:pos="3329"/>
        </w:tabs>
        <w:kinsoku/>
        <w:wordWrap/>
        <w:overflowPunct/>
        <w:topLinePunct w:val="0"/>
        <w:bidi w:val="0"/>
        <w:spacing w:line="360" w:lineRule="auto"/>
        <w:ind w:left="0" w:leftChars="0" w:firstLine="480" w:firstLineChars="200"/>
        <w:jc w:val="center"/>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资金流估算表（参考格式）</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lang w:val="zh-CN" w:eastAsia="zh-CN" w:bidi="zh-CN"/>
        </w:rPr>
        <w:t>金额单位：</w:t>
      </w:r>
    </w:p>
    <w:tbl>
      <w:tblPr>
        <w:tblStyle w:val="28"/>
        <w:tblW w:w="0" w:type="auto"/>
        <w:jc w:val="center"/>
        <w:tblLayout w:type="autofit"/>
        <w:tblCellMar>
          <w:top w:w="0" w:type="dxa"/>
          <w:left w:w="10" w:type="dxa"/>
          <w:bottom w:w="0" w:type="dxa"/>
          <w:right w:w="10" w:type="dxa"/>
        </w:tblCellMar>
      </w:tblPr>
      <w:tblGrid>
        <w:gridCol w:w="370"/>
        <w:gridCol w:w="384"/>
        <w:gridCol w:w="928"/>
        <w:gridCol w:w="1825"/>
        <w:gridCol w:w="1340"/>
        <w:gridCol w:w="1005"/>
        <w:gridCol w:w="1120"/>
        <w:gridCol w:w="492"/>
        <w:gridCol w:w="714"/>
        <w:gridCol w:w="1156"/>
      </w:tblGrid>
      <w:tr w14:paraId="7108F729">
        <w:tblPrEx>
          <w:tblCellMar>
            <w:top w:w="0" w:type="dxa"/>
            <w:left w:w="10" w:type="dxa"/>
            <w:bottom w:w="0" w:type="dxa"/>
            <w:right w:w="10" w:type="dxa"/>
          </w:tblCellMar>
        </w:tblPrEx>
        <w:trPr>
          <w:trHeight w:val="903" w:hRule="exact"/>
          <w:jc w:val="center"/>
        </w:trPr>
        <w:tc>
          <w:tcPr>
            <w:tcW w:w="370" w:type="dxa"/>
            <w:tcBorders>
              <w:top w:val="single" w:color="auto" w:sz="4" w:space="0"/>
              <w:left w:val="single" w:color="auto" w:sz="4" w:space="0"/>
            </w:tcBorders>
            <w:shd w:val="clear" w:color="auto" w:fill="FFFFFF"/>
            <w:noWrap w:val="0"/>
            <w:vAlign w:val="center"/>
          </w:tcPr>
          <w:p w14:paraId="10C01729">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p>
        </w:tc>
        <w:tc>
          <w:tcPr>
            <w:tcW w:w="384" w:type="dxa"/>
            <w:tcBorders>
              <w:top w:val="single" w:color="auto" w:sz="4" w:space="0"/>
              <w:left w:val="single" w:color="auto" w:sz="4" w:space="0"/>
            </w:tcBorders>
            <w:shd w:val="clear" w:color="auto" w:fill="FFFFFF"/>
            <w:noWrap w:val="0"/>
            <w:vAlign w:val="center"/>
          </w:tcPr>
          <w:p w14:paraId="3EC22F6C">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月</w:t>
            </w:r>
          </w:p>
        </w:tc>
        <w:tc>
          <w:tcPr>
            <w:tcW w:w="928" w:type="dxa"/>
            <w:tcBorders>
              <w:top w:val="single" w:color="auto" w:sz="4" w:space="0"/>
              <w:left w:val="single" w:color="auto" w:sz="4" w:space="0"/>
            </w:tcBorders>
            <w:shd w:val="clear" w:color="auto" w:fill="FFFFFF"/>
            <w:noWrap w:val="0"/>
            <w:vAlign w:val="center"/>
          </w:tcPr>
          <w:p w14:paraId="7F1A9FB5">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工程预付款</w:t>
            </w:r>
          </w:p>
        </w:tc>
        <w:tc>
          <w:tcPr>
            <w:tcW w:w="1825" w:type="dxa"/>
            <w:tcBorders>
              <w:top w:val="single" w:color="auto" w:sz="4" w:space="0"/>
              <w:left w:val="single" w:color="auto" w:sz="4" w:space="0"/>
            </w:tcBorders>
            <w:shd w:val="clear" w:color="auto" w:fill="FFFFFF"/>
            <w:noWrap w:val="0"/>
            <w:vAlign w:val="center"/>
          </w:tcPr>
          <w:p w14:paraId="327DE2EE">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完成工作量付款</w:t>
            </w:r>
          </w:p>
        </w:tc>
        <w:tc>
          <w:tcPr>
            <w:tcW w:w="1340" w:type="dxa"/>
            <w:tcBorders>
              <w:top w:val="single" w:color="auto" w:sz="4" w:space="0"/>
              <w:left w:val="single" w:color="auto" w:sz="4" w:space="0"/>
            </w:tcBorders>
            <w:shd w:val="clear" w:color="auto" w:fill="FFFFFF"/>
            <w:noWrap w:val="0"/>
            <w:vAlign w:val="center"/>
          </w:tcPr>
          <w:p w14:paraId="0309F9F1">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保留金扣留</w:t>
            </w:r>
          </w:p>
        </w:tc>
        <w:tc>
          <w:tcPr>
            <w:tcW w:w="1005" w:type="dxa"/>
            <w:tcBorders>
              <w:top w:val="single" w:color="auto" w:sz="4" w:space="0"/>
              <w:left w:val="single" w:color="auto" w:sz="4" w:space="0"/>
            </w:tcBorders>
            <w:shd w:val="clear" w:color="auto" w:fill="FFFFFF"/>
            <w:noWrap w:val="0"/>
            <w:vAlign w:val="center"/>
          </w:tcPr>
          <w:p w14:paraId="14EE888F">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材料款扣除</w:t>
            </w:r>
          </w:p>
        </w:tc>
        <w:tc>
          <w:tcPr>
            <w:tcW w:w="1120" w:type="dxa"/>
            <w:tcBorders>
              <w:top w:val="single" w:color="auto" w:sz="4" w:space="0"/>
              <w:left w:val="single" w:color="auto" w:sz="4" w:space="0"/>
            </w:tcBorders>
            <w:shd w:val="clear" w:color="auto" w:fill="FFFFFF"/>
            <w:noWrap w:val="0"/>
            <w:vAlign w:val="center"/>
          </w:tcPr>
          <w:p w14:paraId="5B2E9F21">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预付款扣还</w:t>
            </w:r>
          </w:p>
        </w:tc>
        <w:tc>
          <w:tcPr>
            <w:tcW w:w="492" w:type="dxa"/>
            <w:tcBorders>
              <w:top w:val="single" w:color="auto" w:sz="4" w:space="0"/>
              <w:left w:val="single" w:color="auto" w:sz="4" w:space="0"/>
            </w:tcBorders>
            <w:shd w:val="clear" w:color="auto" w:fill="FFFFFF"/>
            <w:noWrap w:val="0"/>
            <w:vAlign w:val="center"/>
          </w:tcPr>
          <w:p w14:paraId="4EE06942">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14" w:type="dxa"/>
            <w:tcBorders>
              <w:top w:val="single" w:color="auto" w:sz="4" w:space="0"/>
              <w:left w:val="single" w:color="auto" w:sz="4" w:space="0"/>
            </w:tcBorders>
            <w:shd w:val="clear" w:color="auto" w:fill="FFFFFF"/>
            <w:noWrap w:val="0"/>
            <w:vAlign w:val="center"/>
          </w:tcPr>
          <w:p w14:paraId="0F362D27">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应收款</w:t>
            </w:r>
          </w:p>
        </w:tc>
        <w:tc>
          <w:tcPr>
            <w:tcW w:w="1156" w:type="dxa"/>
            <w:tcBorders>
              <w:top w:val="single" w:color="auto" w:sz="4" w:space="0"/>
              <w:left w:val="single" w:color="auto" w:sz="4" w:space="0"/>
              <w:right w:val="single" w:color="auto" w:sz="4" w:space="0"/>
            </w:tcBorders>
            <w:shd w:val="clear" w:color="auto" w:fill="FFFFFF"/>
            <w:noWrap w:val="0"/>
            <w:vAlign w:val="center"/>
          </w:tcPr>
          <w:p w14:paraId="39EF2CC3">
            <w:pPr>
              <w:pStyle w:val="6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累计应收款</w:t>
            </w:r>
          </w:p>
        </w:tc>
      </w:tr>
      <w:tr w14:paraId="10AD67C9">
        <w:tblPrEx>
          <w:tblCellMar>
            <w:top w:w="0" w:type="dxa"/>
            <w:left w:w="10" w:type="dxa"/>
            <w:bottom w:w="0" w:type="dxa"/>
            <w:right w:w="10" w:type="dxa"/>
          </w:tblCellMar>
        </w:tblPrEx>
        <w:trPr>
          <w:trHeight w:val="417" w:hRule="exact"/>
          <w:jc w:val="center"/>
        </w:trPr>
        <w:tc>
          <w:tcPr>
            <w:tcW w:w="370" w:type="dxa"/>
            <w:tcBorders>
              <w:top w:val="single" w:color="auto" w:sz="4" w:space="0"/>
              <w:left w:val="single" w:color="auto" w:sz="4" w:space="0"/>
            </w:tcBorders>
            <w:shd w:val="clear" w:color="auto" w:fill="FFFFFF"/>
            <w:noWrap w:val="0"/>
            <w:vAlign w:val="top"/>
          </w:tcPr>
          <w:p w14:paraId="36F18CC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384" w:type="dxa"/>
            <w:tcBorders>
              <w:top w:val="single" w:color="auto" w:sz="4" w:space="0"/>
              <w:left w:val="single" w:color="auto" w:sz="4" w:space="0"/>
            </w:tcBorders>
            <w:shd w:val="clear" w:color="auto" w:fill="FFFFFF"/>
            <w:noWrap w:val="0"/>
            <w:vAlign w:val="top"/>
          </w:tcPr>
          <w:p w14:paraId="68672E1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928" w:type="dxa"/>
            <w:tcBorders>
              <w:top w:val="single" w:color="auto" w:sz="4" w:space="0"/>
              <w:left w:val="single" w:color="auto" w:sz="4" w:space="0"/>
            </w:tcBorders>
            <w:shd w:val="clear" w:color="auto" w:fill="FFFFFF"/>
            <w:noWrap w:val="0"/>
            <w:vAlign w:val="top"/>
          </w:tcPr>
          <w:p w14:paraId="11DAF6F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825" w:type="dxa"/>
            <w:tcBorders>
              <w:top w:val="single" w:color="auto" w:sz="4" w:space="0"/>
              <w:left w:val="single" w:color="auto" w:sz="4" w:space="0"/>
            </w:tcBorders>
            <w:shd w:val="clear" w:color="auto" w:fill="FFFFFF"/>
            <w:noWrap w:val="0"/>
            <w:vAlign w:val="top"/>
          </w:tcPr>
          <w:p w14:paraId="662D94D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340" w:type="dxa"/>
            <w:tcBorders>
              <w:top w:val="single" w:color="auto" w:sz="4" w:space="0"/>
              <w:left w:val="single" w:color="auto" w:sz="4" w:space="0"/>
            </w:tcBorders>
            <w:shd w:val="clear" w:color="auto" w:fill="FFFFFF"/>
            <w:noWrap w:val="0"/>
            <w:vAlign w:val="top"/>
          </w:tcPr>
          <w:p w14:paraId="0667D7E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005" w:type="dxa"/>
            <w:tcBorders>
              <w:top w:val="single" w:color="auto" w:sz="4" w:space="0"/>
              <w:left w:val="single" w:color="auto" w:sz="4" w:space="0"/>
            </w:tcBorders>
            <w:shd w:val="clear" w:color="auto" w:fill="FFFFFF"/>
            <w:noWrap w:val="0"/>
            <w:vAlign w:val="top"/>
          </w:tcPr>
          <w:p w14:paraId="755837F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20" w:type="dxa"/>
            <w:tcBorders>
              <w:top w:val="single" w:color="auto" w:sz="4" w:space="0"/>
              <w:left w:val="single" w:color="auto" w:sz="4" w:space="0"/>
            </w:tcBorders>
            <w:shd w:val="clear" w:color="auto" w:fill="FFFFFF"/>
            <w:noWrap w:val="0"/>
            <w:vAlign w:val="top"/>
          </w:tcPr>
          <w:p w14:paraId="7C090C4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492" w:type="dxa"/>
            <w:tcBorders>
              <w:top w:val="single" w:color="auto" w:sz="4" w:space="0"/>
              <w:left w:val="single" w:color="auto" w:sz="4" w:space="0"/>
            </w:tcBorders>
            <w:shd w:val="clear" w:color="auto" w:fill="FFFFFF"/>
            <w:noWrap w:val="0"/>
            <w:vAlign w:val="top"/>
          </w:tcPr>
          <w:p w14:paraId="5F22ECA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714" w:type="dxa"/>
            <w:tcBorders>
              <w:top w:val="single" w:color="auto" w:sz="4" w:space="0"/>
              <w:left w:val="single" w:color="auto" w:sz="4" w:space="0"/>
            </w:tcBorders>
            <w:shd w:val="clear" w:color="auto" w:fill="FFFFFF"/>
            <w:noWrap w:val="0"/>
            <w:vAlign w:val="top"/>
          </w:tcPr>
          <w:p w14:paraId="3DF726D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56" w:type="dxa"/>
            <w:tcBorders>
              <w:top w:val="single" w:color="auto" w:sz="4" w:space="0"/>
              <w:left w:val="single" w:color="auto" w:sz="4" w:space="0"/>
              <w:right w:val="single" w:color="auto" w:sz="4" w:space="0"/>
            </w:tcBorders>
            <w:shd w:val="clear" w:color="auto" w:fill="FFFFFF"/>
            <w:noWrap w:val="0"/>
            <w:vAlign w:val="top"/>
          </w:tcPr>
          <w:p w14:paraId="1A9EFA3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r>
      <w:tr w14:paraId="3F752CB1">
        <w:tblPrEx>
          <w:tblCellMar>
            <w:top w:w="0" w:type="dxa"/>
            <w:left w:w="10" w:type="dxa"/>
            <w:bottom w:w="0" w:type="dxa"/>
            <w:right w:w="10" w:type="dxa"/>
          </w:tblCellMar>
        </w:tblPrEx>
        <w:trPr>
          <w:trHeight w:val="417" w:hRule="exact"/>
          <w:jc w:val="center"/>
        </w:trPr>
        <w:tc>
          <w:tcPr>
            <w:tcW w:w="370" w:type="dxa"/>
            <w:tcBorders>
              <w:top w:val="single" w:color="auto" w:sz="4" w:space="0"/>
              <w:left w:val="single" w:color="auto" w:sz="4" w:space="0"/>
            </w:tcBorders>
            <w:shd w:val="clear" w:color="auto" w:fill="FFFFFF"/>
            <w:noWrap w:val="0"/>
            <w:vAlign w:val="top"/>
          </w:tcPr>
          <w:p w14:paraId="4C80EC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384" w:type="dxa"/>
            <w:tcBorders>
              <w:top w:val="single" w:color="auto" w:sz="4" w:space="0"/>
              <w:left w:val="single" w:color="auto" w:sz="4" w:space="0"/>
            </w:tcBorders>
            <w:shd w:val="clear" w:color="auto" w:fill="FFFFFF"/>
            <w:noWrap w:val="0"/>
            <w:vAlign w:val="top"/>
          </w:tcPr>
          <w:p w14:paraId="13DCAA1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928" w:type="dxa"/>
            <w:tcBorders>
              <w:top w:val="single" w:color="auto" w:sz="4" w:space="0"/>
              <w:left w:val="single" w:color="auto" w:sz="4" w:space="0"/>
            </w:tcBorders>
            <w:shd w:val="clear" w:color="auto" w:fill="FFFFFF"/>
            <w:noWrap w:val="0"/>
            <w:vAlign w:val="top"/>
          </w:tcPr>
          <w:p w14:paraId="68F18BF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825" w:type="dxa"/>
            <w:tcBorders>
              <w:top w:val="single" w:color="auto" w:sz="4" w:space="0"/>
              <w:left w:val="single" w:color="auto" w:sz="4" w:space="0"/>
            </w:tcBorders>
            <w:shd w:val="clear" w:color="auto" w:fill="FFFFFF"/>
            <w:noWrap w:val="0"/>
            <w:vAlign w:val="top"/>
          </w:tcPr>
          <w:p w14:paraId="44AC938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340" w:type="dxa"/>
            <w:tcBorders>
              <w:top w:val="single" w:color="auto" w:sz="4" w:space="0"/>
              <w:left w:val="single" w:color="auto" w:sz="4" w:space="0"/>
            </w:tcBorders>
            <w:shd w:val="clear" w:color="auto" w:fill="FFFFFF"/>
            <w:noWrap w:val="0"/>
            <w:vAlign w:val="top"/>
          </w:tcPr>
          <w:p w14:paraId="7AD8C9F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005" w:type="dxa"/>
            <w:tcBorders>
              <w:top w:val="single" w:color="auto" w:sz="4" w:space="0"/>
              <w:left w:val="single" w:color="auto" w:sz="4" w:space="0"/>
            </w:tcBorders>
            <w:shd w:val="clear" w:color="auto" w:fill="FFFFFF"/>
            <w:noWrap w:val="0"/>
            <w:vAlign w:val="top"/>
          </w:tcPr>
          <w:p w14:paraId="373A05A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20" w:type="dxa"/>
            <w:tcBorders>
              <w:top w:val="single" w:color="auto" w:sz="4" w:space="0"/>
              <w:left w:val="single" w:color="auto" w:sz="4" w:space="0"/>
            </w:tcBorders>
            <w:shd w:val="clear" w:color="auto" w:fill="FFFFFF"/>
            <w:noWrap w:val="0"/>
            <w:vAlign w:val="top"/>
          </w:tcPr>
          <w:p w14:paraId="3DDE138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492" w:type="dxa"/>
            <w:tcBorders>
              <w:top w:val="single" w:color="auto" w:sz="4" w:space="0"/>
              <w:left w:val="single" w:color="auto" w:sz="4" w:space="0"/>
            </w:tcBorders>
            <w:shd w:val="clear" w:color="auto" w:fill="FFFFFF"/>
            <w:noWrap w:val="0"/>
            <w:vAlign w:val="top"/>
          </w:tcPr>
          <w:p w14:paraId="088A3D0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714" w:type="dxa"/>
            <w:tcBorders>
              <w:top w:val="single" w:color="auto" w:sz="4" w:space="0"/>
              <w:left w:val="single" w:color="auto" w:sz="4" w:space="0"/>
            </w:tcBorders>
            <w:shd w:val="clear" w:color="auto" w:fill="FFFFFF"/>
            <w:noWrap w:val="0"/>
            <w:vAlign w:val="top"/>
          </w:tcPr>
          <w:p w14:paraId="1C210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56" w:type="dxa"/>
            <w:tcBorders>
              <w:top w:val="single" w:color="auto" w:sz="4" w:space="0"/>
              <w:left w:val="single" w:color="auto" w:sz="4" w:space="0"/>
              <w:right w:val="single" w:color="auto" w:sz="4" w:space="0"/>
            </w:tcBorders>
            <w:shd w:val="clear" w:color="auto" w:fill="FFFFFF"/>
            <w:noWrap w:val="0"/>
            <w:vAlign w:val="top"/>
          </w:tcPr>
          <w:p w14:paraId="59D73A9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r>
      <w:tr w14:paraId="618CAF67">
        <w:tblPrEx>
          <w:tblCellMar>
            <w:top w:w="0" w:type="dxa"/>
            <w:left w:w="10" w:type="dxa"/>
            <w:bottom w:w="0" w:type="dxa"/>
            <w:right w:w="10" w:type="dxa"/>
          </w:tblCellMar>
        </w:tblPrEx>
        <w:trPr>
          <w:trHeight w:val="431" w:hRule="exact"/>
          <w:jc w:val="center"/>
        </w:trPr>
        <w:tc>
          <w:tcPr>
            <w:tcW w:w="370" w:type="dxa"/>
            <w:tcBorders>
              <w:top w:val="single" w:color="auto" w:sz="4" w:space="0"/>
              <w:left w:val="single" w:color="auto" w:sz="4" w:space="0"/>
              <w:bottom w:val="single" w:color="auto" w:sz="4" w:space="0"/>
            </w:tcBorders>
            <w:shd w:val="clear" w:color="auto" w:fill="FFFFFF"/>
            <w:noWrap w:val="0"/>
            <w:vAlign w:val="top"/>
          </w:tcPr>
          <w:p w14:paraId="435C26A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384" w:type="dxa"/>
            <w:tcBorders>
              <w:top w:val="single" w:color="auto" w:sz="4" w:space="0"/>
              <w:left w:val="single" w:color="auto" w:sz="4" w:space="0"/>
              <w:bottom w:val="single" w:color="auto" w:sz="4" w:space="0"/>
            </w:tcBorders>
            <w:shd w:val="clear" w:color="auto" w:fill="FFFFFF"/>
            <w:noWrap w:val="0"/>
            <w:vAlign w:val="top"/>
          </w:tcPr>
          <w:p w14:paraId="65BB114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928" w:type="dxa"/>
            <w:tcBorders>
              <w:top w:val="single" w:color="auto" w:sz="4" w:space="0"/>
              <w:left w:val="single" w:color="auto" w:sz="4" w:space="0"/>
              <w:bottom w:val="single" w:color="auto" w:sz="4" w:space="0"/>
            </w:tcBorders>
            <w:shd w:val="clear" w:color="auto" w:fill="FFFFFF"/>
            <w:noWrap w:val="0"/>
            <w:vAlign w:val="top"/>
          </w:tcPr>
          <w:p w14:paraId="3C21A47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825" w:type="dxa"/>
            <w:tcBorders>
              <w:top w:val="single" w:color="auto" w:sz="4" w:space="0"/>
              <w:left w:val="single" w:color="auto" w:sz="4" w:space="0"/>
              <w:bottom w:val="single" w:color="auto" w:sz="4" w:space="0"/>
            </w:tcBorders>
            <w:shd w:val="clear" w:color="auto" w:fill="FFFFFF"/>
            <w:noWrap w:val="0"/>
            <w:vAlign w:val="top"/>
          </w:tcPr>
          <w:p w14:paraId="787C3A6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340" w:type="dxa"/>
            <w:tcBorders>
              <w:top w:val="single" w:color="auto" w:sz="4" w:space="0"/>
              <w:left w:val="single" w:color="auto" w:sz="4" w:space="0"/>
              <w:bottom w:val="single" w:color="auto" w:sz="4" w:space="0"/>
            </w:tcBorders>
            <w:shd w:val="clear" w:color="auto" w:fill="FFFFFF"/>
            <w:noWrap w:val="0"/>
            <w:vAlign w:val="top"/>
          </w:tcPr>
          <w:p w14:paraId="3BC1E0A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005" w:type="dxa"/>
            <w:tcBorders>
              <w:top w:val="single" w:color="auto" w:sz="4" w:space="0"/>
              <w:left w:val="single" w:color="auto" w:sz="4" w:space="0"/>
              <w:bottom w:val="single" w:color="auto" w:sz="4" w:space="0"/>
            </w:tcBorders>
            <w:shd w:val="clear" w:color="auto" w:fill="FFFFFF"/>
            <w:noWrap w:val="0"/>
            <w:vAlign w:val="top"/>
          </w:tcPr>
          <w:p w14:paraId="5E7330D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20" w:type="dxa"/>
            <w:tcBorders>
              <w:top w:val="single" w:color="auto" w:sz="4" w:space="0"/>
              <w:left w:val="single" w:color="auto" w:sz="4" w:space="0"/>
              <w:bottom w:val="single" w:color="auto" w:sz="4" w:space="0"/>
            </w:tcBorders>
            <w:shd w:val="clear" w:color="auto" w:fill="FFFFFF"/>
            <w:noWrap w:val="0"/>
            <w:vAlign w:val="top"/>
          </w:tcPr>
          <w:p w14:paraId="4FCD2D3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492" w:type="dxa"/>
            <w:tcBorders>
              <w:top w:val="single" w:color="auto" w:sz="4" w:space="0"/>
              <w:left w:val="single" w:color="auto" w:sz="4" w:space="0"/>
              <w:bottom w:val="single" w:color="auto" w:sz="4" w:space="0"/>
            </w:tcBorders>
            <w:shd w:val="clear" w:color="auto" w:fill="FFFFFF"/>
            <w:noWrap w:val="0"/>
            <w:vAlign w:val="top"/>
          </w:tcPr>
          <w:p w14:paraId="58C3573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714" w:type="dxa"/>
            <w:tcBorders>
              <w:top w:val="single" w:color="auto" w:sz="4" w:space="0"/>
              <w:left w:val="single" w:color="auto" w:sz="4" w:space="0"/>
              <w:bottom w:val="single" w:color="auto" w:sz="4" w:space="0"/>
            </w:tcBorders>
            <w:shd w:val="clear" w:color="auto" w:fill="FFFFFF"/>
            <w:noWrap w:val="0"/>
            <w:vAlign w:val="top"/>
          </w:tcPr>
          <w:p w14:paraId="03089E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56"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3EBE5D3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r>
    </w:tbl>
    <w:p w14:paraId="70790F12">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rPr>
      </w:pPr>
    </w:p>
    <w:p w14:paraId="73D1BF7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3" w:name="_Toc1039"/>
      <w:r>
        <w:rPr>
          <w:rFonts w:hint="eastAsia" w:ascii="宋体" w:hAnsi="宋体" w:eastAsia="宋体" w:cs="宋体"/>
          <w:color w:val="auto"/>
          <w:kern w:val="2"/>
          <w:sz w:val="24"/>
          <w:szCs w:val="24"/>
          <w:highlight w:val="none"/>
          <w:lang w:val="en-US" w:eastAsia="zh-CN" w:bidi="ar-SA"/>
        </w:rPr>
        <w:t>11.开工和竣工（完工）</w:t>
      </w:r>
      <w:bookmarkEnd w:id="213"/>
    </w:p>
    <w:p w14:paraId="6E81F7E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11.1开工</w:t>
      </w:r>
    </w:p>
    <w:p w14:paraId="4FDB867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11.1.1</w:t>
      </w:r>
      <w:r>
        <w:rPr>
          <w:rFonts w:hint="eastAsia" w:ascii="宋体" w:hAnsi="宋体" w:eastAsia="宋体" w:cs="宋体"/>
          <w:color w:val="auto"/>
          <w:kern w:val="2"/>
          <w:sz w:val="24"/>
          <w:szCs w:val="24"/>
          <w:highlight w:val="none"/>
          <w:lang w:val="zh-CN" w:eastAsia="zh-CN" w:bidi="zh-CN"/>
        </w:rPr>
        <w:t>监理人应在开工日期7天前向承包人发出开工通知。监理人在发出开工通知前应获得发包人书面同意。工期自监理人发出的开工通知中载明的开工日期起计算。承包人应 在开工日期后尽快施工。</w:t>
      </w:r>
    </w:p>
    <w:p w14:paraId="40031D7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2承包人应按第</w:t>
      </w:r>
      <w:r>
        <w:rPr>
          <w:rFonts w:hint="eastAsia" w:ascii="宋体" w:hAnsi="宋体" w:eastAsia="宋体" w:cs="宋体"/>
          <w:color w:val="auto"/>
          <w:kern w:val="2"/>
          <w:sz w:val="24"/>
          <w:szCs w:val="24"/>
          <w:highlight w:val="none"/>
          <w:lang w:val="en-US" w:eastAsia="zh-CN" w:bidi="en-US"/>
        </w:rPr>
        <w:t>10.</w:t>
      </w:r>
      <w:r>
        <w:rPr>
          <w:rFonts w:hint="eastAsia" w:ascii="宋体" w:hAnsi="宋体" w:eastAsia="宋体" w:cs="宋体"/>
          <w:color w:val="auto"/>
          <w:kern w:val="2"/>
          <w:sz w:val="24"/>
          <w:szCs w:val="24"/>
          <w:highlight w:val="none"/>
          <w:lang w:val="zh-CN" w:eastAsia="zh-CN" w:bidi="zh-CN"/>
        </w:rPr>
        <w:t>1款约定的合同进度计划，向监理人提交工程开工报审表,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361169A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11.1.3</w:t>
      </w:r>
      <w:r>
        <w:rPr>
          <w:rFonts w:hint="eastAsia" w:ascii="宋体" w:hAnsi="宋体" w:eastAsia="宋体" w:cs="宋体"/>
          <w:color w:val="auto"/>
          <w:kern w:val="2"/>
          <w:sz w:val="24"/>
          <w:szCs w:val="24"/>
          <w:highlight w:val="none"/>
          <w:lang w:val="zh-CN" w:eastAsia="zh-CN" w:bidi="zh-CN"/>
        </w:rPr>
        <w:t>若发包人未能按合同约定向承包人提供开工的必要条件，承包人有权要求延 长工期。监理人应在收到承包人的书面要求后，按第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5款的约定，与合同双方商定或确定增加的费用和延长的工期。</w:t>
      </w:r>
    </w:p>
    <w:p w14:paraId="76C65C2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11.1.4</w:t>
      </w:r>
      <w:r>
        <w:rPr>
          <w:rFonts w:hint="eastAsia" w:ascii="宋体" w:hAnsi="宋体" w:eastAsia="宋体" w:cs="宋体"/>
          <w:color w:val="auto"/>
          <w:kern w:val="2"/>
          <w:sz w:val="24"/>
          <w:szCs w:val="24"/>
          <w:highlight w:val="none"/>
          <w:lang w:val="zh-CN" w:eastAsia="zh-CN" w:bidi="zh-CN"/>
        </w:rPr>
        <w:t>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1699EBD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11.2竣工(完工)</w:t>
      </w:r>
    </w:p>
    <w:p w14:paraId="0A08DEB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承包人应在第</w:t>
      </w:r>
      <w:r>
        <w:rPr>
          <w:rFonts w:hint="eastAsia" w:ascii="宋体" w:hAnsi="宋体" w:eastAsia="宋体" w:cs="宋体"/>
          <w:color w:val="auto"/>
          <w:kern w:val="2"/>
          <w:sz w:val="24"/>
          <w:szCs w:val="24"/>
          <w:highlight w:val="none"/>
          <w:lang w:val="en-US" w:eastAsia="zh-CN" w:bidi="en-US"/>
        </w:rPr>
        <w:t xml:space="preserve">1.1. 4. </w:t>
      </w:r>
      <w:r>
        <w:rPr>
          <w:rFonts w:hint="eastAsia" w:ascii="宋体" w:hAnsi="宋体" w:eastAsia="宋体" w:cs="宋体"/>
          <w:color w:val="auto"/>
          <w:kern w:val="2"/>
          <w:sz w:val="24"/>
          <w:szCs w:val="24"/>
          <w:highlight w:val="none"/>
          <w:lang w:val="zh-CN" w:eastAsia="zh-CN" w:bidi="zh-CN"/>
        </w:rPr>
        <w:t>3目约定的期限内完成合同工程。合同工程实际完工时间在竣工验收鉴定书中明确（以合同工程验收鉴定书或竣工验收鉴定书标明的验收日期为准，没有标明验收日期的则以印发鉴定书的日期为准）</w:t>
      </w:r>
      <w:r>
        <w:rPr>
          <w:rFonts w:hint="eastAsia" w:ascii="宋体" w:hAnsi="宋体" w:eastAsia="宋体" w:cs="宋体"/>
          <w:color w:val="auto"/>
          <w:kern w:val="2"/>
          <w:sz w:val="24"/>
          <w:szCs w:val="24"/>
          <w:highlight w:val="none"/>
          <w:lang w:val="en-US" w:eastAsia="zh-CN" w:bidi="en-US"/>
        </w:rPr>
        <w:t>。</w:t>
      </w:r>
    </w:p>
    <w:p w14:paraId="45EE2D9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11.3发包人的工期延误</w:t>
      </w:r>
    </w:p>
    <w:p w14:paraId="6E7F261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在履行合同过程中，由于发包人的下列原因造成工期延误的，承包人有权要求发包人延长工期和(或)增加费用，并支付合理利润。需要修订合同进度计划的，按照第</w:t>
      </w:r>
      <w:r>
        <w:rPr>
          <w:rFonts w:hint="eastAsia" w:ascii="宋体" w:hAnsi="宋体" w:eastAsia="宋体" w:cs="宋体"/>
          <w:color w:val="auto"/>
          <w:kern w:val="2"/>
          <w:sz w:val="24"/>
          <w:szCs w:val="24"/>
          <w:highlight w:val="none"/>
          <w:lang w:val="en-US" w:eastAsia="zh-CN" w:bidi="en-US"/>
        </w:rPr>
        <w:t xml:space="preserve">10. </w:t>
      </w:r>
      <w:r>
        <w:rPr>
          <w:rFonts w:hint="eastAsia" w:ascii="宋体" w:hAnsi="宋体" w:eastAsia="宋体" w:cs="宋体"/>
          <w:color w:val="auto"/>
          <w:kern w:val="2"/>
          <w:sz w:val="24"/>
          <w:szCs w:val="24"/>
          <w:highlight w:val="none"/>
          <w:lang w:val="zh-CN" w:eastAsia="zh-CN" w:bidi="zh-CN"/>
        </w:rPr>
        <w:t>2款的约定办理。</w:t>
      </w:r>
    </w:p>
    <w:p w14:paraId="299B06A7">
      <w:pPr>
        <w:pageBreakBefore w:val="0"/>
        <w:widowControl w:val="0"/>
        <w:numPr>
          <w:ilvl w:val="0"/>
          <w:numId w:val="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增加合同工作内容；</w:t>
      </w:r>
    </w:p>
    <w:p w14:paraId="586B33DA">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改变合同中任何一项工作的质量要求或其他特性；</w:t>
      </w:r>
    </w:p>
    <w:p w14:paraId="12E5EA65">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发包人迟延提供材料、工程设备或变更交货地点的；</w:t>
      </w:r>
    </w:p>
    <w:p w14:paraId="275C1523">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因发包人原因导致的暂停施工；</w:t>
      </w:r>
    </w:p>
    <w:p w14:paraId="6192018D">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提供图纸延误；</w:t>
      </w:r>
    </w:p>
    <w:p w14:paraId="5AE06134">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发包人造成工期延误的其他原因。</w:t>
      </w:r>
    </w:p>
    <w:p w14:paraId="74D70DA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11.4异常恶劣的气候条件</w:t>
      </w:r>
    </w:p>
    <w:p w14:paraId="0D7E107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11.4.1</w:t>
      </w:r>
      <w:r>
        <w:rPr>
          <w:rFonts w:hint="eastAsia" w:ascii="宋体" w:hAnsi="宋体" w:eastAsia="宋体" w:cs="宋体"/>
          <w:color w:val="auto"/>
          <w:kern w:val="2"/>
          <w:sz w:val="24"/>
          <w:szCs w:val="24"/>
          <w:highlight w:val="none"/>
          <w:lang w:val="zh-CN" w:eastAsia="zh-CN" w:bidi="zh-CN"/>
        </w:rPr>
        <w:t>当工程所在地发生危及施工安全的异常恶劣气候时，发包人和承包人应按本合同通用合同条款第12条的约定，及时采取暂停施工或部分暂停施工措施。异常恶劣气候条件解除后，承包人应及时安排复工。</w:t>
      </w:r>
    </w:p>
    <w:p w14:paraId="68B3C0A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11.4.2</w:t>
      </w:r>
      <w:r>
        <w:rPr>
          <w:rFonts w:hint="eastAsia" w:ascii="宋体" w:hAnsi="宋体" w:eastAsia="宋体" w:cs="宋体"/>
          <w:color w:val="auto"/>
          <w:kern w:val="2"/>
          <w:sz w:val="24"/>
          <w:szCs w:val="24"/>
          <w:highlight w:val="none"/>
          <w:lang w:val="zh-CN" w:eastAsia="zh-CN" w:bidi="zh-CN"/>
        </w:rPr>
        <w:t>异常恶劣气候条件造成的工期延误和工程损坏，应由发包人与承包人参照本合同通用合同条款第</w:t>
      </w:r>
      <w:r>
        <w:rPr>
          <w:rFonts w:hint="eastAsia" w:ascii="宋体" w:hAnsi="宋体" w:eastAsia="宋体" w:cs="宋体"/>
          <w:color w:val="auto"/>
          <w:kern w:val="2"/>
          <w:sz w:val="24"/>
          <w:szCs w:val="24"/>
          <w:highlight w:val="none"/>
          <w:lang w:val="en-US" w:eastAsia="zh-CN" w:bidi="en-US"/>
        </w:rPr>
        <w:t xml:space="preserve">21. </w:t>
      </w:r>
      <w:r>
        <w:rPr>
          <w:rFonts w:hint="eastAsia" w:ascii="宋体" w:hAnsi="宋体" w:eastAsia="宋体" w:cs="宋体"/>
          <w:color w:val="auto"/>
          <w:kern w:val="2"/>
          <w:sz w:val="24"/>
          <w:szCs w:val="24"/>
          <w:highlight w:val="none"/>
          <w:lang w:val="zh-CN" w:eastAsia="zh-CN" w:bidi="zh-CN"/>
        </w:rPr>
        <w:t>3款的约定共同协商处理。</w:t>
      </w:r>
    </w:p>
    <w:p w14:paraId="3BD45B5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w:t>
      </w:r>
      <w:r>
        <w:rPr>
          <w:rFonts w:hint="eastAsia" w:ascii="宋体" w:hAnsi="宋体" w:eastAsia="宋体" w:cs="宋体"/>
          <w:color w:val="auto"/>
          <w:kern w:val="2"/>
          <w:sz w:val="24"/>
          <w:szCs w:val="24"/>
          <w:highlight w:val="none"/>
          <w:lang w:val="zh-CN" w:eastAsia="zh-CN" w:bidi="zh-CN"/>
        </w:rPr>
        <w:t>3本合同工程界定异常恶劣气候条件的范围在专用合同条款中约定。</w:t>
      </w:r>
    </w:p>
    <w:p w14:paraId="4233AC8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11.5承包人工期延误</w:t>
      </w:r>
    </w:p>
    <w:p w14:paraId="33E5225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3E5261B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11.6工期提前</w:t>
      </w:r>
    </w:p>
    <w:p w14:paraId="5EBF24B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248D4A8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发包人要求提前完工的，双方协商一致后应签订提前完工协议，协议内容包括：</w:t>
      </w:r>
    </w:p>
    <w:p w14:paraId="35E8E6B4">
      <w:pPr>
        <w:pageBreakBefore w:val="0"/>
        <w:widowControl w:val="0"/>
        <w:numPr>
          <w:ilvl w:val="0"/>
          <w:numId w:val="9"/>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提前的时间和修订后的进度计划。</w:t>
      </w:r>
    </w:p>
    <w:p w14:paraId="4336B51F">
      <w:pPr>
        <w:pageBreakBefore w:val="0"/>
        <w:widowControl w:val="0"/>
        <w:numPr>
          <w:ilvl w:val="0"/>
          <w:numId w:val="9"/>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承包人的赶工措施。</w:t>
      </w:r>
    </w:p>
    <w:p w14:paraId="1D423B7A">
      <w:pPr>
        <w:pageBreakBefore w:val="0"/>
        <w:widowControl w:val="0"/>
        <w:numPr>
          <w:ilvl w:val="0"/>
          <w:numId w:val="9"/>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发包人为赶工提供的条件。</w:t>
      </w:r>
    </w:p>
    <w:p w14:paraId="636C6467">
      <w:pPr>
        <w:pageBreakBefore w:val="0"/>
        <w:widowControl w:val="0"/>
        <w:numPr>
          <w:ilvl w:val="0"/>
          <w:numId w:val="9"/>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赶工费用(包括利润和奖金)</w:t>
      </w:r>
    </w:p>
    <w:p w14:paraId="1FDFC3A1">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4" w:name="_Toc27200"/>
      <w:r>
        <w:rPr>
          <w:rFonts w:hint="eastAsia" w:ascii="宋体" w:hAnsi="宋体" w:eastAsia="宋体" w:cs="宋体"/>
          <w:color w:val="auto"/>
          <w:kern w:val="2"/>
          <w:sz w:val="24"/>
          <w:szCs w:val="24"/>
          <w:highlight w:val="none"/>
          <w:lang w:val="en-US" w:eastAsia="zh-CN" w:bidi="ar-SA"/>
        </w:rPr>
        <w:t>12.暂停施工</w:t>
      </w:r>
      <w:bookmarkEnd w:id="214"/>
    </w:p>
    <w:p w14:paraId="2D937B9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12.1承包人暂停施工的责任</w:t>
      </w:r>
    </w:p>
    <w:p w14:paraId="3B6B56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因下列暂停施工增加的费用和(或)工期延误由承包人承担：</w:t>
      </w:r>
    </w:p>
    <w:p w14:paraId="0BF2607E">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承包人违约引起的暂停施工；</w:t>
      </w:r>
    </w:p>
    <w:p w14:paraId="44070812">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由于承包人原因为工程合理施工和安全保障所必需的暂停施工；</w:t>
      </w:r>
    </w:p>
    <w:p w14:paraId="690BD810">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承包人擅自暂停施工；</w:t>
      </w:r>
    </w:p>
    <w:p w14:paraId="10BE7957">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承包人其他原因引起的暂停施工；</w:t>
      </w:r>
    </w:p>
    <w:p w14:paraId="5D8B866E">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专用合同条款约定由承包人承担的其他暂停施工。</w:t>
      </w:r>
    </w:p>
    <w:p w14:paraId="728CAC5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12.2发包人暂停施工的责任</w:t>
      </w:r>
    </w:p>
    <w:p w14:paraId="1046BAB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由于发包人原因引起的暂停施工造成工期延误的，承包人有权要求发包人延长工期和 (或)增加费用，并支付合理利润。属于下列任何一种情况引起的暂停施工，均为发包人的责任：</w:t>
      </w:r>
    </w:p>
    <w:p w14:paraId="7D351282">
      <w:pPr>
        <w:pageBreakBefore w:val="0"/>
        <w:widowControl w:val="0"/>
        <w:numPr>
          <w:ilvl w:val="0"/>
          <w:numId w:val="11"/>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由于发包人违约引起的暂停施工。</w:t>
      </w:r>
    </w:p>
    <w:p w14:paraId="7EDFCD09">
      <w:pPr>
        <w:pageBreakBefore w:val="0"/>
        <w:widowControl w:val="0"/>
        <w:numPr>
          <w:ilvl w:val="0"/>
          <w:numId w:val="11"/>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由于不可抗力的自然或社会因素引起的暂停施工。</w:t>
      </w:r>
    </w:p>
    <w:p w14:paraId="453FB11F">
      <w:pPr>
        <w:pageBreakBefore w:val="0"/>
        <w:widowControl w:val="0"/>
        <w:numPr>
          <w:ilvl w:val="0"/>
          <w:numId w:val="11"/>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专用合同条款中约定的其它由于发包人原因引起的暂停施工。</w:t>
      </w:r>
    </w:p>
    <w:p w14:paraId="2C8DB78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12.3监理人暂停施工指示</w:t>
      </w:r>
    </w:p>
    <w:p w14:paraId="2D57922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12.3.1</w:t>
      </w:r>
      <w:r>
        <w:rPr>
          <w:rFonts w:hint="eastAsia" w:ascii="宋体" w:hAnsi="宋体" w:eastAsia="宋体" w:cs="宋体"/>
          <w:color w:val="auto"/>
          <w:kern w:val="2"/>
          <w:sz w:val="24"/>
          <w:szCs w:val="24"/>
          <w:highlight w:val="none"/>
          <w:lang w:val="zh-CN" w:eastAsia="zh-CN" w:bidi="zh-CN"/>
        </w:rPr>
        <w:t>监理人认为有必要时，可向承包人作出暂停施工的指示，承包人应按监理人指示暂停施工。不论由于何种原因引起的暂停施工，暂停施工期间承包人应负责妥善保护工程并提供安全保障。</w:t>
      </w:r>
    </w:p>
    <w:p w14:paraId="247F96E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12.3.2</w:t>
      </w:r>
      <w:r>
        <w:rPr>
          <w:rFonts w:hint="eastAsia" w:ascii="宋体" w:hAnsi="宋体" w:eastAsia="宋体" w:cs="宋体"/>
          <w:color w:val="auto"/>
          <w:kern w:val="2"/>
          <w:sz w:val="24"/>
          <w:szCs w:val="24"/>
          <w:highlight w:val="none"/>
          <w:lang w:val="zh-CN" w:eastAsia="zh-CN" w:bidi="zh-CN"/>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7289F1B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12.4暂停施工后的复工</w:t>
      </w:r>
    </w:p>
    <w:p w14:paraId="7EA54C1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7462973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12</w:t>
      </w:r>
      <w:r>
        <w:rPr>
          <w:rFonts w:hint="eastAsia" w:ascii="宋体" w:hAnsi="宋体" w:eastAsia="宋体" w:cs="宋体"/>
          <w:color w:val="auto"/>
          <w:kern w:val="2"/>
          <w:sz w:val="24"/>
          <w:szCs w:val="24"/>
          <w:highlight w:val="none"/>
          <w:lang w:val="en-US" w:eastAsia="zh-CN" w:bidi="zh-CN"/>
        </w:rPr>
        <w:t>.4.</w:t>
      </w:r>
      <w:r>
        <w:rPr>
          <w:rFonts w:hint="eastAsia" w:ascii="宋体" w:hAnsi="宋体" w:eastAsia="宋体" w:cs="宋体"/>
          <w:color w:val="auto"/>
          <w:kern w:val="2"/>
          <w:sz w:val="24"/>
          <w:szCs w:val="24"/>
          <w:highlight w:val="none"/>
          <w:lang w:val="zh-CN" w:eastAsia="zh-CN" w:bidi="zh-CN"/>
        </w:rPr>
        <w:t>2承包人无故拖延和拒绝复工的，由此增加的费用和工期延误由承包人承担；因发包人原因无法按时复工的，承包人有权要求发包人延长工期和(或)增加费用，并支付合理利润。</w:t>
      </w:r>
    </w:p>
    <w:p w14:paraId="3D65355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12.5暂停施工持续56天以上</w:t>
      </w:r>
    </w:p>
    <w:p w14:paraId="7780B59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12.5.1</w:t>
      </w:r>
      <w:r>
        <w:rPr>
          <w:rFonts w:hint="eastAsia" w:ascii="宋体" w:hAnsi="宋体" w:eastAsia="宋体" w:cs="宋体"/>
          <w:color w:val="auto"/>
          <w:kern w:val="2"/>
          <w:sz w:val="24"/>
          <w:szCs w:val="24"/>
          <w:highlight w:val="none"/>
          <w:lang w:val="zh-CN" w:eastAsia="zh-CN" w:bidi="zh-CN"/>
        </w:rPr>
        <w:t>监理人发出暂停施工指示后56天内未向承包人发出复工通知，除了该项停工属于第</w:t>
      </w:r>
      <w:r>
        <w:rPr>
          <w:rFonts w:hint="eastAsia" w:ascii="宋体" w:hAnsi="宋体" w:eastAsia="宋体" w:cs="宋体"/>
          <w:color w:val="auto"/>
          <w:kern w:val="2"/>
          <w:sz w:val="24"/>
          <w:szCs w:val="24"/>
          <w:highlight w:val="none"/>
          <w:lang w:val="en-US" w:eastAsia="zh-CN" w:bidi="en-US"/>
        </w:rPr>
        <w:t>12.1</w:t>
      </w:r>
      <w:r>
        <w:rPr>
          <w:rFonts w:hint="eastAsia" w:ascii="宋体" w:hAnsi="宋体" w:eastAsia="宋体" w:cs="宋体"/>
          <w:color w:val="auto"/>
          <w:kern w:val="2"/>
          <w:sz w:val="24"/>
          <w:szCs w:val="24"/>
          <w:highlight w:val="none"/>
          <w:lang w:val="zh-CN" w:eastAsia="zh-CN" w:bidi="zh-CN"/>
        </w:rPr>
        <w:t>款的情况外，承包人可向监理人提交书面通知，要求监理人在收到书面通知后 28天内准许已暂停施工的工程或其中一部分工程继续施工。如监理人逾期不予批准，则承包人可以通知监理人，将工程受影响的部分视为按第</w:t>
      </w:r>
      <w:r>
        <w:rPr>
          <w:rFonts w:hint="eastAsia" w:ascii="宋体" w:hAnsi="宋体" w:eastAsia="宋体" w:cs="宋体"/>
          <w:color w:val="auto"/>
          <w:kern w:val="2"/>
          <w:sz w:val="24"/>
          <w:szCs w:val="24"/>
          <w:highlight w:val="none"/>
          <w:lang w:val="en-US" w:eastAsia="zh-CN" w:bidi="en-US"/>
        </w:rPr>
        <w:t xml:space="preserve">15.1 </w:t>
      </w:r>
      <w:r>
        <w:rPr>
          <w:rFonts w:hint="eastAsia" w:ascii="宋体" w:hAnsi="宋体" w:eastAsia="宋体" w:cs="宋体"/>
          <w:color w:val="auto"/>
          <w:kern w:val="2"/>
          <w:sz w:val="24"/>
          <w:szCs w:val="24"/>
          <w:highlight w:val="none"/>
          <w:lang w:val="zh-CN" w:eastAsia="zh-CN" w:bidi="zh-CN"/>
        </w:rPr>
        <w:t>(1)项的可取消工作。如暂停 施工影响到整个工程，可视为发包人违约，应按第</w:t>
      </w:r>
      <w:r>
        <w:rPr>
          <w:rFonts w:hint="eastAsia" w:ascii="宋体" w:hAnsi="宋体" w:eastAsia="宋体" w:cs="宋体"/>
          <w:color w:val="auto"/>
          <w:kern w:val="2"/>
          <w:sz w:val="24"/>
          <w:szCs w:val="24"/>
          <w:highlight w:val="none"/>
          <w:lang w:val="en-US" w:eastAsia="zh-CN" w:bidi="en-US"/>
        </w:rPr>
        <w:t xml:space="preserve">22. </w:t>
      </w:r>
      <w:r>
        <w:rPr>
          <w:rFonts w:hint="eastAsia" w:ascii="宋体" w:hAnsi="宋体" w:eastAsia="宋体" w:cs="宋体"/>
          <w:color w:val="auto"/>
          <w:kern w:val="2"/>
          <w:sz w:val="24"/>
          <w:szCs w:val="24"/>
          <w:highlight w:val="none"/>
          <w:lang w:val="zh-CN" w:eastAsia="zh-CN" w:bidi="zh-CN"/>
        </w:rPr>
        <w:t>2款的约定办理。</w:t>
      </w:r>
    </w:p>
    <w:p w14:paraId="1EC79AD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12.5.2</w:t>
      </w:r>
      <w:r>
        <w:rPr>
          <w:rFonts w:hint="eastAsia" w:ascii="宋体" w:hAnsi="宋体" w:eastAsia="宋体" w:cs="宋体"/>
          <w:color w:val="auto"/>
          <w:kern w:val="2"/>
          <w:sz w:val="24"/>
          <w:szCs w:val="24"/>
          <w:highlight w:val="none"/>
          <w:lang w:val="zh-CN" w:eastAsia="zh-CN" w:bidi="zh-CN"/>
        </w:rPr>
        <w:t>由于承包人责任引起的暂停施工，如承包人在收到监理人暂停施工指示后56 天内不认真采取有效的复工措施，造成工期延误，可视为承包人违约，应按第</w:t>
      </w:r>
      <w:r>
        <w:rPr>
          <w:rFonts w:hint="eastAsia" w:ascii="宋体" w:hAnsi="宋体" w:eastAsia="宋体" w:cs="宋体"/>
          <w:color w:val="auto"/>
          <w:kern w:val="2"/>
          <w:sz w:val="24"/>
          <w:szCs w:val="24"/>
          <w:highlight w:val="none"/>
          <w:lang w:val="en-US" w:eastAsia="zh-CN" w:bidi="en-US"/>
        </w:rPr>
        <w:t>22.1</w:t>
      </w:r>
      <w:r>
        <w:rPr>
          <w:rFonts w:hint="eastAsia" w:ascii="宋体" w:hAnsi="宋体" w:eastAsia="宋体" w:cs="宋体"/>
          <w:color w:val="auto"/>
          <w:kern w:val="2"/>
          <w:sz w:val="24"/>
          <w:szCs w:val="24"/>
          <w:highlight w:val="none"/>
          <w:lang w:val="zh-CN" w:eastAsia="zh-CN" w:bidi="zh-CN"/>
        </w:rPr>
        <w:t>款的约定办理。</w:t>
      </w:r>
    </w:p>
    <w:p w14:paraId="0206072A">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5" w:name="_Toc12099"/>
      <w:r>
        <w:rPr>
          <w:rFonts w:hint="eastAsia" w:ascii="宋体" w:hAnsi="宋体" w:eastAsia="宋体" w:cs="宋体"/>
          <w:color w:val="auto"/>
          <w:kern w:val="2"/>
          <w:sz w:val="24"/>
          <w:szCs w:val="24"/>
          <w:highlight w:val="none"/>
          <w:lang w:val="en-US" w:eastAsia="zh-CN" w:bidi="ar-SA"/>
        </w:rPr>
        <w:t>13.工程质量</w:t>
      </w:r>
      <w:bookmarkEnd w:id="215"/>
    </w:p>
    <w:p w14:paraId="3F41E87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13.1工程质量要求</w:t>
      </w:r>
    </w:p>
    <w:p w14:paraId="55470822">
      <w:pPr>
        <w:pageBreakBefore w:val="0"/>
        <w:widowControl w:val="0"/>
        <w:tabs>
          <w:tab w:val="left" w:pos="8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13.1.</w:t>
      </w:r>
      <w:r>
        <w:rPr>
          <w:rFonts w:hint="eastAsia" w:ascii="宋体" w:hAnsi="宋体" w:eastAsia="宋体" w:cs="宋体"/>
          <w:color w:val="auto"/>
          <w:kern w:val="2"/>
          <w:sz w:val="24"/>
          <w:szCs w:val="24"/>
          <w:highlight w:val="none"/>
          <w:lang w:val="zh-CN" w:eastAsia="zh-CN" w:bidi="zh-CN"/>
        </w:rPr>
        <w:t>1工程质量验收按合同约定验收标准执行。</w:t>
      </w:r>
    </w:p>
    <w:p w14:paraId="03230C7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13.1.2</w:t>
      </w:r>
      <w:r>
        <w:rPr>
          <w:rFonts w:hint="eastAsia" w:ascii="宋体" w:hAnsi="宋体" w:eastAsia="宋体" w:cs="宋体"/>
          <w:color w:val="auto"/>
          <w:kern w:val="2"/>
          <w:sz w:val="24"/>
          <w:szCs w:val="24"/>
          <w:highlight w:val="none"/>
          <w:lang w:val="zh-CN" w:eastAsia="zh-CN" w:bidi="zh-CN"/>
        </w:rPr>
        <w:t>因承包人原因造成工程质量达不到合同约定验收标准的，监理人有权要求承包人返工直至符合合同要求为止，由此造成的费用增加和（或）工期延误由承包人承担。</w:t>
      </w:r>
    </w:p>
    <w:p w14:paraId="2117747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13.1.3</w:t>
      </w:r>
      <w:r>
        <w:rPr>
          <w:rFonts w:hint="eastAsia" w:ascii="宋体" w:hAnsi="宋体" w:eastAsia="宋体" w:cs="宋体"/>
          <w:color w:val="auto"/>
          <w:kern w:val="2"/>
          <w:sz w:val="24"/>
          <w:szCs w:val="24"/>
          <w:highlight w:val="none"/>
          <w:lang w:val="zh-CN" w:eastAsia="zh-CN" w:bidi="zh-CN"/>
        </w:rPr>
        <w:t>因发包人原因造成工程质量达不到合同约定验收标准的，发包人应承担由于承包人返工造成的费用增加和（或）工期延误，并支付承包人合理利润。</w:t>
      </w:r>
    </w:p>
    <w:p w14:paraId="01C5A22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13.2承包人的质量管理</w:t>
      </w:r>
    </w:p>
    <w:p w14:paraId="6B64B49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13.2.1</w:t>
      </w:r>
      <w:r>
        <w:rPr>
          <w:rFonts w:hint="eastAsia" w:ascii="宋体" w:hAnsi="宋体" w:eastAsia="宋体" w:cs="宋体"/>
          <w:color w:val="auto"/>
          <w:kern w:val="2"/>
          <w:sz w:val="24"/>
          <w:szCs w:val="24"/>
          <w:highlight w:val="none"/>
          <w:lang w:val="zh-CN" w:eastAsia="zh-CN" w:bidi="zh-CN"/>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7F013EE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13.2. 2承包人应加强对施工人员的质量教育和技术培训，定期考核施工人员的劳动 技能，严格执行规范和操作规程。</w:t>
      </w:r>
    </w:p>
    <w:p w14:paraId="42384FC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13.3承包人的质量检查</w:t>
      </w:r>
    </w:p>
    <w:p w14:paraId="7B043F0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承包人应按合同约定对材料、工程设备以及工程的所有部位及其施工工艺进行全过程的质量检查和检验，并作详细记录，编制工程质量报表，报送监理人审查。</w:t>
      </w:r>
    </w:p>
    <w:p w14:paraId="57B2BE8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13.4监理人的质量检查</w:t>
      </w:r>
    </w:p>
    <w:p w14:paraId="3A2C5CA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7D60C0C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13.5工程隐蔽部位覆盖前的检查</w:t>
      </w:r>
    </w:p>
    <w:p w14:paraId="5777F36B">
      <w:pPr>
        <w:pageBreakBefore w:val="0"/>
        <w:widowControl w:val="0"/>
        <w:tabs>
          <w:tab w:val="left" w:pos="8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13.5. </w:t>
      </w:r>
      <w:r>
        <w:rPr>
          <w:rFonts w:hint="eastAsia" w:ascii="宋体" w:hAnsi="宋体" w:eastAsia="宋体" w:cs="宋体"/>
          <w:color w:val="auto"/>
          <w:kern w:val="2"/>
          <w:sz w:val="24"/>
          <w:szCs w:val="24"/>
          <w:highlight w:val="none"/>
          <w:lang w:val="zh-CN" w:eastAsia="zh-CN" w:bidi="zh-CN"/>
        </w:rPr>
        <w:t>1通知监理人检查</w:t>
      </w:r>
    </w:p>
    <w:p w14:paraId="11E377F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7D84E97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13.5.2</w:t>
      </w:r>
      <w:r>
        <w:rPr>
          <w:rFonts w:hint="eastAsia" w:ascii="宋体" w:hAnsi="宋体" w:eastAsia="宋体" w:cs="宋体"/>
          <w:color w:val="auto"/>
          <w:kern w:val="2"/>
          <w:sz w:val="24"/>
          <w:szCs w:val="24"/>
          <w:highlight w:val="none"/>
          <w:lang w:val="zh-CN" w:eastAsia="zh-CN" w:bidi="zh-CN"/>
        </w:rPr>
        <w:t>监理人未到场检查</w:t>
      </w:r>
    </w:p>
    <w:p w14:paraId="675F702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监理人未按第</w:t>
      </w:r>
      <w:r>
        <w:rPr>
          <w:rFonts w:hint="eastAsia" w:ascii="宋体" w:hAnsi="宋体" w:eastAsia="宋体" w:cs="宋体"/>
          <w:color w:val="auto"/>
          <w:kern w:val="2"/>
          <w:sz w:val="24"/>
          <w:szCs w:val="24"/>
          <w:highlight w:val="none"/>
          <w:lang w:val="en-US" w:eastAsia="zh-CN" w:bidi="en-US"/>
        </w:rPr>
        <w:t>13.5.1</w:t>
      </w:r>
      <w:r>
        <w:rPr>
          <w:rFonts w:hint="eastAsia" w:ascii="宋体" w:hAnsi="宋体" w:eastAsia="宋体" w:cs="宋体"/>
          <w:color w:val="auto"/>
          <w:kern w:val="2"/>
          <w:sz w:val="24"/>
          <w:szCs w:val="24"/>
          <w:highlight w:val="none"/>
          <w:lang w:val="zh-CN" w:eastAsia="zh-CN" w:bidi="zh-CN"/>
        </w:rPr>
        <w:t>项约定的时间进行检查的，除监理人另有指示外，承包人可自行完成覆盖工作，并作相应记录报送监理人，监理人应签字确认。监理人事后对检查记录有疑问的，可按第</w:t>
      </w:r>
      <w:r>
        <w:rPr>
          <w:rFonts w:hint="eastAsia" w:ascii="宋体" w:hAnsi="宋体" w:eastAsia="宋体" w:cs="宋体"/>
          <w:color w:val="auto"/>
          <w:kern w:val="2"/>
          <w:sz w:val="24"/>
          <w:szCs w:val="24"/>
          <w:highlight w:val="none"/>
          <w:lang w:val="en-US" w:eastAsia="zh-CN" w:bidi="en-US"/>
        </w:rPr>
        <w:t>13.5.3</w:t>
      </w:r>
      <w:r>
        <w:rPr>
          <w:rFonts w:hint="eastAsia" w:ascii="宋体" w:hAnsi="宋体" w:eastAsia="宋体" w:cs="宋体"/>
          <w:color w:val="auto"/>
          <w:kern w:val="2"/>
          <w:sz w:val="24"/>
          <w:szCs w:val="24"/>
          <w:highlight w:val="none"/>
          <w:lang w:val="zh-CN" w:eastAsia="zh-CN" w:bidi="zh-CN"/>
        </w:rPr>
        <w:t>项的约定重新检查。</w:t>
      </w:r>
    </w:p>
    <w:p w14:paraId="71913A8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13.5.3</w:t>
      </w:r>
      <w:r>
        <w:rPr>
          <w:rFonts w:hint="eastAsia" w:ascii="宋体" w:hAnsi="宋体" w:eastAsia="宋体" w:cs="宋体"/>
          <w:color w:val="auto"/>
          <w:kern w:val="2"/>
          <w:sz w:val="24"/>
          <w:szCs w:val="24"/>
          <w:highlight w:val="none"/>
          <w:lang w:val="zh-CN" w:eastAsia="zh-CN" w:bidi="zh-CN"/>
        </w:rPr>
        <w:t>监理人重新检查</w:t>
      </w:r>
    </w:p>
    <w:p w14:paraId="7E0E768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承包人按第</w:t>
      </w:r>
      <w:r>
        <w:rPr>
          <w:rFonts w:hint="eastAsia" w:ascii="宋体" w:hAnsi="宋体" w:eastAsia="宋体" w:cs="宋体"/>
          <w:color w:val="auto"/>
          <w:kern w:val="2"/>
          <w:sz w:val="24"/>
          <w:szCs w:val="24"/>
          <w:highlight w:val="none"/>
          <w:lang w:val="en-US" w:eastAsia="zh-CN" w:bidi="en-US"/>
        </w:rPr>
        <w:t xml:space="preserve">13. 5. </w:t>
      </w:r>
      <w:r>
        <w:rPr>
          <w:rFonts w:hint="eastAsia" w:ascii="宋体" w:hAnsi="宋体" w:eastAsia="宋体" w:cs="宋体"/>
          <w:color w:val="auto"/>
          <w:kern w:val="2"/>
          <w:sz w:val="24"/>
          <w:szCs w:val="24"/>
          <w:highlight w:val="none"/>
          <w:lang w:val="zh-CN" w:eastAsia="zh-CN" w:bidi="zh-CN"/>
        </w:rPr>
        <w:t>1项或第</w:t>
      </w:r>
      <w:r>
        <w:rPr>
          <w:rFonts w:hint="eastAsia" w:ascii="宋体" w:hAnsi="宋体" w:eastAsia="宋体" w:cs="宋体"/>
          <w:color w:val="auto"/>
          <w:kern w:val="2"/>
          <w:sz w:val="24"/>
          <w:szCs w:val="24"/>
          <w:highlight w:val="none"/>
          <w:lang w:val="en-US" w:eastAsia="zh-CN" w:bidi="en-US"/>
        </w:rPr>
        <w:t xml:space="preserve">13. 5. </w:t>
      </w:r>
      <w:r>
        <w:rPr>
          <w:rFonts w:hint="eastAsia" w:ascii="宋体" w:hAnsi="宋体" w:eastAsia="宋体" w:cs="宋体"/>
          <w:color w:val="auto"/>
          <w:kern w:val="2"/>
          <w:sz w:val="24"/>
          <w:szCs w:val="24"/>
          <w:highlight w:val="none"/>
          <w:lang w:val="zh-CN" w:eastAsia="zh-CN" w:bidi="zh-CN"/>
        </w:rPr>
        <w:t>2项覆盖工程隐蔽部位后，监理人对质量有疑问的，可要求承包人对已覆盖的部位进行钻孔探测或揭开重新检验，承包人应遵照执行，并在检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436B7EA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13.5.4</w:t>
      </w:r>
      <w:r>
        <w:rPr>
          <w:rFonts w:hint="eastAsia" w:ascii="宋体" w:hAnsi="宋体" w:eastAsia="宋体" w:cs="宋体"/>
          <w:color w:val="auto"/>
          <w:kern w:val="2"/>
          <w:sz w:val="24"/>
          <w:szCs w:val="24"/>
          <w:highlight w:val="none"/>
          <w:lang w:val="zh-CN" w:eastAsia="zh-CN" w:bidi="zh-CN"/>
        </w:rPr>
        <w:t>承包人私自覆盖</w:t>
      </w:r>
    </w:p>
    <w:p w14:paraId="12DBA10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承包人未通知监理人到场检查，私自将工程隐蔽部位覆盖的，监理人有权指示承包人钻孔探测或揭开检查，由此增加的费用和（或）工期延误由承包人承担。</w:t>
      </w:r>
    </w:p>
    <w:p w14:paraId="66E8536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13.6清除不合格工程</w:t>
      </w:r>
    </w:p>
    <w:p w14:paraId="6F9CC6B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13.6.1</w:t>
      </w:r>
      <w:r>
        <w:rPr>
          <w:rFonts w:hint="eastAsia" w:ascii="宋体" w:hAnsi="宋体" w:eastAsia="宋体" w:cs="宋体"/>
          <w:color w:val="auto"/>
          <w:kern w:val="2"/>
          <w:sz w:val="24"/>
          <w:szCs w:val="24"/>
          <w:highlight w:val="none"/>
          <w:lang w:val="zh-CN" w:eastAsia="zh-CN" w:bidi="zh-CN"/>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5A4FF93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13.6.2</w:t>
      </w:r>
      <w:r>
        <w:rPr>
          <w:rFonts w:hint="eastAsia" w:ascii="宋体" w:hAnsi="宋体" w:eastAsia="宋体" w:cs="宋体"/>
          <w:color w:val="auto"/>
          <w:kern w:val="2"/>
          <w:sz w:val="24"/>
          <w:szCs w:val="24"/>
          <w:highlight w:val="none"/>
          <w:lang w:val="zh-CN" w:eastAsia="zh-CN" w:bidi="zh-CN"/>
        </w:rPr>
        <w:t>由于发包人提供的材料或工程设备不合格造成的工程不合格，需要承包人采取措施补救的，发包人应承担由此增加的费用和（或）工期延误，并支付承包人合理利润。</w:t>
      </w:r>
    </w:p>
    <w:p w14:paraId="37A31DC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13.7质量评定</w:t>
      </w:r>
    </w:p>
    <w:p w14:paraId="3BBD2C7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13.7.1</w:t>
      </w:r>
      <w:r>
        <w:rPr>
          <w:rFonts w:hint="eastAsia" w:ascii="宋体" w:hAnsi="宋体" w:eastAsia="宋体" w:cs="宋体"/>
          <w:color w:val="auto"/>
          <w:kern w:val="2"/>
          <w:sz w:val="24"/>
          <w:szCs w:val="24"/>
          <w:highlight w:val="none"/>
          <w:lang w:val="zh-CN" w:eastAsia="zh-CN" w:bidi="zh-CN"/>
        </w:rPr>
        <w:t>发包人应组织承包人进行工程项目划分，并确定单位工程、主要分部工程、重要隐蔽单元工程和关键部位单元工程。</w:t>
      </w:r>
    </w:p>
    <w:p w14:paraId="4BD15B5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13.7.2</w:t>
      </w:r>
      <w:r>
        <w:rPr>
          <w:rFonts w:hint="eastAsia" w:ascii="宋体" w:hAnsi="宋体" w:eastAsia="宋体" w:cs="宋体"/>
          <w:color w:val="auto"/>
          <w:kern w:val="2"/>
          <w:sz w:val="24"/>
          <w:szCs w:val="24"/>
          <w:highlight w:val="none"/>
          <w:lang w:val="zh-CN" w:eastAsia="zh-CN" w:bidi="zh-CN"/>
        </w:rPr>
        <w:t>工程实施过程中，单位工程、主要分部工程、重要隐蔽单元工程和关键部位单元工程的项目划分需要调整时，承包人应报发包人确认。</w:t>
      </w:r>
    </w:p>
    <w:p w14:paraId="228D87B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13.7.3</w:t>
      </w:r>
      <w:r>
        <w:rPr>
          <w:rFonts w:hint="eastAsia" w:ascii="宋体" w:hAnsi="宋体" w:eastAsia="宋体" w:cs="宋体"/>
          <w:color w:val="auto"/>
          <w:kern w:val="2"/>
          <w:sz w:val="24"/>
          <w:szCs w:val="24"/>
          <w:highlight w:val="none"/>
          <w:lang w:val="zh-CN" w:eastAsia="zh-CN" w:bidi="zh-CN"/>
        </w:rPr>
        <w:t>承包人应在单元（工序）工程质量自评合格后，报监理人核定质量等级并签证认可。</w:t>
      </w:r>
    </w:p>
    <w:p w14:paraId="17DB201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13.7.4</w:t>
      </w:r>
      <w:r>
        <w:rPr>
          <w:rFonts w:hint="eastAsia" w:ascii="宋体" w:hAnsi="宋体" w:eastAsia="宋体" w:cs="宋体"/>
          <w:color w:val="auto"/>
          <w:kern w:val="2"/>
          <w:sz w:val="24"/>
          <w:szCs w:val="24"/>
          <w:highlight w:val="none"/>
          <w:lang w:val="zh-CN" w:eastAsia="zh-CN" w:bidi="zh-CN"/>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799DB1F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13.7.5</w:t>
      </w:r>
      <w:r>
        <w:rPr>
          <w:rFonts w:hint="eastAsia" w:ascii="宋体" w:hAnsi="宋体" w:eastAsia="宋体" w:cs="宋体"/>
          <w:color w:val="auto"/>
          <w:kern w:val="2"/>
          <w:sz w:val="24"/>
          <w:szCs w:val="24"/>
          <w:highlight w:val="none"/>
          <w:lang w:val="zh-CN" w:eastAsia="zh-CN" w:bidi="zh-CN"/>
        </w:rPr>
        <w:t>承包人应在分部工程质量自评合格后，报监理人复核和发包人认定。发包人负责按有关规定完成分部工程质量结论报工程质量监督机构核备（核定）手续。</w:t>
      </w:r>
    </w:p>
    <w:p w14:paraId="76C1640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13.7.6</w:t>
      </w:r>
      <w:r>
        <w:rPr>
          <w:rFonts w:hint="eastAsia" w:ascii="宋体" w:hAnsi="宋体" w:eastAsia="宋体" w:cs="宋体"/>
          <w:color w:val="auto"/>
          <w:kern w:val="2"/>
          <w:sz w:val="24"/>
          <w:szCs w:val="24"/>
          <w:highlight w:val="none"/>
          <w:lang w:val="zh-CN" w:eastAsia="zh-CN" w:bidi="zh-CN"/>
        </w:rPr>
        <w:t>承包人应在单位工程质量自评合格后，报监理人复核和发包人认定。发包人负责按有关规定完成单位工程质量结论报工程质量监督机构核定手续。</w:t>
      </w:r>
    </w:p>
    <w:p w14:paraId="792DE8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13.7.7</w:t>
      </w:r>
      <w:r>
        <w:rPr>
          <w:rFonts w:hint="eastAsia" w:ascii="宋体" w:hAnsi="宋体" w:eastAsia="宋体" w:cs="宋体"/>
          <w:color w:val="auto"/>
          <w:kern w:val="2"/>
          <w:sz w:val="24"/>
          <w:szCs w:val="24"/>
          <w:highlight w:val="none"/>
          <w:lang w:val="zh-CN" w:eastAsia="zh-CN" w:bidi="zh-CN"/>
        </w:rPr>
        <w:t>除专用合同条款另有约定外，工程质量等级分为合格和优良，应分别达到约定的标准。</w:t>
      </w:r>
    </w:p>
    <w:p w14:paraId="4BDDFEE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13.8质量事故处理</w:t>
      </w:r>
    </w:p>
    <w:p w14:paraId="2D339DB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13.8.1</w:t>
      </w:r>
      <w:r>
        <w:rPr>
          <w:rFonts w:hint="eastAsia" w:ascii="宋体" w:hAnsi="宋体" w:eastAsia="宋体" w:cs="宋体"/>
          <w:color w:val="auto"/>
          <w:kern w:val="2"/>
          <w:sz w:val="24"/>
          <w:szCs w:val="24"/>
          <w:highlight w:val="none"/>
          <w:lang w:val="zh-CN" w:eastAsia="zh-CN" w:bidi="zh-CN"/>
        </w:rPr>
        <w:t>发生质量事故时，承包人应及时向发包人和监理人报告。</w:t>
      </w:r>
    </w:p>
    <w:p w14:paraId="0CC9917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13.8.2</w:t>
      </w:r>
      <w:r>
        <w:rPr>
          <w:rFonts w:hint="eastAsia" w:ascii="宋体" w:hAnsi="宋体" w:eastAsia="宋体" w:cs="宋体"/>
          <w:color w:val="auto"/>
          <w:kern w:val="2"/>
          <w:sz w:val="24"/>
          <w:szCs w:val="24"/>
          <w:highlight w:val="none"/>
          <w:lang w:val="zh-CN" w:eastAsia="zh-CN" w:bidi="zh-CN"/>
        </w:rPr>
        <w:t>质量事故调查处理由发包人按相关规定履行手续，承包人应配合。</w:t>
      </w:r>
    </w:p>
    <w:p w14:paraId="2366DD3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13.8.3</w:t>
      </w:r>
      <w:r>
        <w:rPr>
          <w:rFonts w:hint="eastAsia" w:ascii="宋体" w:hAnsi="宋体" w:eastAsia="宋体" w:cs="宋体"/>
          <w:color w:val="auto"/>
          <w:kern w:val="2"/>
          <w:sz w:val="24"/>
          <w:szCs w:val="24"/>
          <w:highlight w:val="none"/>
          <w:lang w:val="zh-CN" w:eastAsia="zh-CN" w:bidi="zh-CN"/>
        </w:rPr>
        <w:t>承包人应对质量缺陷进行备案。发包人委托监理人对质量缺陷备案情况进行监督检查并履行相关手续。</w:t>
      </w:r>
    </w:p>
    <w:p w14:paraId="6D5D650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13.8.4</w:t>
      </w:r>
      <w:r>
        <w:rPr>
          <w:rFonts w:hint="eastAsia" w:ascii="宋体" w:hAnsi="宋体" w:eastAsia="宋体" w:cs="宋体"/>
          <w:color w:val="auto"/>
          <w:kern w:val="2"/>
          <w:sz w:val="24"/>
          <w:szCs w:val="24"/>
          <w:highlight w:val="none"/>
          <w:lang w:val="zh-CN" w:eastAsia="zh-CN" w:bidi="zh-CN"/>
        </w:rPr>
        <w:t>除专用合同条款另有约定外，工程竣工验收时，发包人负责向竣工验收委员会汇报并提交历次质量缺陷处理的备案资料。</w:t>
      </w:r>
    </w:p>
    <w:p w14:paraId="6DC52B0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6" w:name="_Toc6821"/>
      <w:r>
        <w:rPr>
          <w:rFonts w:hint="eastAsia" w:ascii="宋体" w:hAnsi="宋体" w:eastAsia="宋体" w:cs="宋体"/>
          <w:color w:val="auto"/>
          <w:kern w:val="2"/>
          <w:sz w:val="24"/>
          <w:szCs w:val="24"/>
          <w:highlight w:val="none"/>
          <w:lang w:val="en-US" w:eastAsia="zh-CN" w:bidi="ar-SA"/>
        </w:rPr>
        <w:t>14 .试验和检验</w:t>
      </w:r>
      <w:bookmarkEnd w:id="216"/>
    </w:p>
    <w:p w14:paraId="2F1C34D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14.1材料、工程设备和工程的试验和检验</w:t>
      </w:r>
    </w:p>
    <w:p w14:paraId="6C22FE7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DF9680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14.1.2</w:t>
      </w:r>
      <w:r>
        <w:rPr>
          <w:rFonts w:hint="eastAsia" w:ascii="宋体" w:hAnsi="宋体" w:eastAsia="宋体" w:cs="宋体"/>
          <w:color w:val="auto"/>
          <w:kern w:val="2"/>
          <w:sz w:val="24"/>
          <w:szCs w:val="24"/>
          <w:highlight w:val="none"/>
          <w:lang w:val="zh-CN" w:eastAsia="zh-CN" w:bidi="zh-CN"/>
        </w:rPr>
        <w:t>监理人未按合同约定派员参加试验和检验的，除监理人另有指示外，承包人可自行试验和检验，并应立即将试验和检验结果报送监理人，监理人应签字确认。</w:t>
      </w:r>
    </w:p>
    <w:p w14:paraId="28F760A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14.1.3</w:t>
      </w:r>
      <w:r>
        <w:rPr>
          <w:rFonts w:hint="eastAsia" w:ascii="宋体" w:hAnsi="宋体" w:eastAsia="宋体" w:cs="宋体"/>
          <w:color w:val="auto"/>
          <w:kern w:val="2"/>
          <w:sz w:val="24"/>
          <w:szCs w:val="24"/>
          <w:highlight w:val="none"/>
          <w:lang w:val="zh-CN" w:eastAsia="zh-CN" w:bidi="zh-CN"/>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2D4447B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14.1.4</w:t>
      </w:r>
      <w:r>
        <w:rPr>
          <w:rFonts w:hint="eastAsia" w:ascii="宋体" w:hAnsi="宋体" w:eastAsia="宋体" w:cs="宋体"/>
          <w:color w:val="auto"/>
          <w:kern w:val="2"/>
          <w:sz w:val="24"/>
          <w:szCs w:val="24"/>
          <w:highlight w:val="none"/>
          <w:lang w:val="zh-CN" w:eastAsia="zh-CN" w:bidi="zh-CN"/>
        </w:rPr>
        <w:t>承包人应按相关规定和标准对水泥、钢材等原材料与中间产品质量进行检验, 并报监理人复核。</w:t>
      </w:r>
    </w:p>
    <w:p w14:paraId="4F4D369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14.1.5</w:t>
      </w:r>
      <w:r>
        <w:rPr>
          <w:rFonts w:hint="eastAsia" w:ascii="宋体" w:hAnsi="宋体" w:eastAsia="宋体" w:cs="宋体"/>
          <w:color w:val="auto"/>
          <w:kern w:val="2"/>
          <w:sz w:val="24"/>
          <w:szCs w:val="24"/>
          <w:highlight w:val="none"/>
          <w:lang w:val="zh-CN" w:eastAsia="zh-CN" w:bidi="zh-CN"/>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5BFD51A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14.1.6</w:t>
      </w:r>
      <w:r>
        <w:rPr>
          <w:rFonts w:hint="eastAsia" w:ascii="宋体" w:hAnsi="宋体" w:eastAsia="宋体" w:cs="宋体"/>
          <w:color w:val="auto"/>
          <w:kern w:val="2"/>
          <w:sz w:val="24"/>
          <w:szCs w:val="24"/>
          <w:highlight w:val="none"/>
          <w:lang w:val="zh-CN" w:eastAsia="zh-CN" w:bidi="zh-CN"/>
        </w:rPr>
        <w:t>对专用合同条款约定的试块、试件及有关材料，监理人实行见证取样。见证取样资料由承包人制备，记录应真实齐全，监理人、承包人等参与见证取样人员均应在相关文件上签字。</w:t>
      </w:r>
    </w:p>
    <w:p w14:paraId="6A1D4C5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14.2现场材料试验</w:t>
      </w:r>
    </w:p>
    <w:p w14:paraId="6E83CD4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14.2.</w:t>
      </w:r>
      <w:r>
        <w:rPr>
          <w:rFonts w:hint="eastAsia" w:ascii="宋体" w:hAnsi="宋体" w:eastAsia="宋体" w:cs="宋体"/>
          <w:color w:val="auto"/>
          <w:kern w:val="2"/>
          <w:sz w:val="24"/>
          <w:szCs w:val="24"/>
          <w:highlight w:val="none"/>
          <w:lang w:val="zh-CN" w:eastAsia="zh-CN" w:bidi="zh-CN"/>
        </w:rPr>
        <w:t>1承包人根据合同约定或监理人指示进行的现场材料试验，应由承包人提供试 验场所、试验人员、试验设备器材以及其他必要的试验条件。</w:t>
      </w:r>
    </w:p>
    <w:p w14:paraId="3133667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14.2.</w:t>
      </w:r>
      <w:r>
        <w:rPr>
          <w:rFonts w:hint="eastAsia" w:ascii="宋体" w:hAnsi="宋体" w:eastAsia="宋体" w:cs="宋体"/>
          <w:color w:val="auto"/>
          <w:kern w:val="2"/>
          <w:sz w:val="24"/>
          <w:szCs w:val="24"/>
          <w:highlight w:val="none"/>
          <w:lang w:val="zh-CN" w:eastAsia="zh-CN" w:bidi="zh-CN"/>
        </w:rPr>
        <w:t>2监理人在必要时可以使用承包人的试验场所、试验设备器材以及其他试验条件，进行以工程质量检查为目的的复核性材料试验，承包人应予以协助。</w:t>
      </w:r>
    </w:p>
    <w:p w14:paraId="56FCB1C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14.3现场工艺试验</w:t>
      </w:r>
    </w:p>
    <w:p w14:paraId="34CE005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承包人应按合同约定或监理人指示进行现场工艺试验。对大型的现场工艺试验，监理人认为必要时，应由承包人根据监理人提出的工艺试验要求，编制工艺试验措施计划，报送监理人审批。</w:t>
      </w:r>
    </w:p>
    <w:p w14:paraId="6CBA66C1">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7" w:name="_Toc1451"/>
      <w:r>
        <w:rPr>
          <w:rFonts w:hint="eastAsia" w:ascii="宋体" w:hAnsi="宋体" w:eastAsia="宋体" w:cs="宋体"/>
          <w:color w:val="auto"/>
          <w:kern w:val="2"/>
          <w:sz w:val="24"/>
          <w:szCs w:val="24"/>
          <w:highlight w:val="none"/>
          <w:lang w:val="en-US" w:eastAsia="zh-CN" w:bidi="ar-SA"/>
        </w:rPr>
        <w:t>15.变更</w:t>
      </w:r>
      <w:bookmarkEnd w:id="217"/>
    </w:p>
    <w:p w14:paraId="59AF13D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15.1变更的范围和内容</w:t>
      </w:r>
    </w:p>
    <w:p w14:paraId="6EF0AF9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在履行合同中发生以下情形之一，应按照本条规定进行变更。</w:t>
      </w:r>
    </w:p>
    <w:p w14:paraId="17754EF9">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取消合同中任何一项工作，但被取消的工作不能转由发包人或其它人实施；</w:t>
      </w:r>
    </w:p>
    <w:p w14:paraId="25910E55">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改变合同中任何一项工作的质量或其它特性；</w:t>
      </w:r>
    </w:p>
    <w:p w14:paraId="30D6B85F">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改变合同工程的基线、标高、位置或尺寸；</w:t>
      </w:r>
    </w:p>
    <w:p w14:paraId="026EAA6A">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改变合同中任何一项工作的施工时间或改变已批准的施工工艺或顺序；</w:t>
      </w:r>
    </w:p>
    <w:p w14:paraId="6E74A9DC">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为完成工程需要追加的额外工作；</w:t>
      </w:r>
    </w:p>
    <w:p w14:paraId="4380DCF5">
      <w:pPr>
        <w:pageBreakBefore w:val="0"/>
        <w:widowControl w:val="0"/>
        <w:numPr>
          <w:ilvl w:val="0"/>
          <w:numId w:val="12"/>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增加或减少专用合同条款中约定的关键项目工程量超过其工程总量的一定数量的百分比。</w:t>
      </w:r>
    </w:p>
    <w:p w14:paraId="320A865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上述第(1)~ (6)目的变更内容引起工程施工组织和进度计划发生实质性变动和影响其原定的价格时，才予调整该项目的单价。第(6)目情形下单价调整方式在专用合同条款中约定。</w:t>
      </w:r>
    </w:p>
    <w:p w14:paraId="0855238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15.2变更权</w:t>
      </w:r>
    </w:p>
    <w:p w14:paraId="7BFB8DD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在履行合同过程中，经发包人书面同意，监理人可按第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3款约定的变更程序向承包人作出变更指示，承包人应遵照执行。没有监理人的变更指示，承包人不得擅自变更。</w:t>
      </w:r>
    </w:p>
    <w:p w14:paraId="054D393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15.3变更程序</w:t>
      </w:r>
    </w:p>
    <w:p w14:paraId="634B9CC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15.3.1</w:t>
      </w:r>
      <w:r>
        <w:rPr>
          <w:rFonts w:hint="eastAsia" w:ascii="宋体" w:hAnsi="宋体" w:eastAsia="宋体" w:cs="宋体"/>
          <w:color w:val="auto"/>
          <w:kern w:val="2"/>
          <w:sz w:val="24"/>
          <w:szCs w:val="24"/>
          <w:highlight w:val="none"/>
          <w:lang w:val="zh-CN" w:eastAsia="zh-CN" w:bidi="zh-CN"/>
        </w:rPr>
        <w:t>变更的提出</w:t>
      </w:r>
    </w:p>
    <w:p w14:paraId="4CBE73AF">
      <w:pPr>
        <w:pageBreakBefore w:val="0"/>
        <w:widowControl w:val="0"/>
        <w:numPr>
          <w:ilvl w:val="0"/>
          <w:numId w:val="13"/>
        </w:numPr>
        <w:tabs>
          <w:tab w:val="left" w:pos="918"/>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在合同履行过程中，可能发生第</w:t>
      </w:r>
      <w:r>
        <w:rPr>
          <w:rFonts w:hint="eastAsia" w:ascii="宋体" w:hAnsi="宋体" w:eastAsia="宋体" w:cs="宋体"/>
          <w:color w:val="auto"/>
          <w:kern w:val="2"/>
          <w:sz w:val="24"/>
          <w:szCs w:val="24"/>
          <w:highlight w:val="none"/>
          <w:lang w:val="en-US" w:eastAsia="zh-CN" w:bidi="en-US"/>
        </w:rPr>
        <w:t>15.1</w:t>
      </w:r>
      <w:r>
        <w:rPr>
          <w:rFonts w:hint="eastAsia" w:ascii="宋体" w:hAnsi="宋体" w:eastAsia="宋体" w:cs="宋体"/>
          <w:color w:val="auto"/>
          <w:kern w:val="2"/>
          <w:sz w:val="24"/>
          <w:szCs w:val="24"/>
          <w:highlight w:val="none"/>
          <w:lang w:val="zh-CN" w:eastAsia="zh-CN" w:bidi="zh-CN"/>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书面同意承包人根据变更意向书要求提交的变更实施方案的，由监理人按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en-US" w:eastAsia="en-US" w:bidi="en-US"/>
        </w:rPr>
        <w:t xml:space="preserve">3. </w:t>
      </w:r>
      <w:r>
        <w:rPr>
          <w:rFonts w:hint="eastAsia" w:ascii="宋体" w:hAnsi="宋体" w:eastAsia="宋体" w:cs="宋体"/>
          <w:color w:val="auto"/>
          <w:kern w:val="2"/>
          <w:sz w:val="24"/>
          <w:szCs w:val="24"/>
          <w:highlight w:val="none"/>
          <w:lang w:val="zh-CN" w:eastAsia="zh-CN" w:bidi="zh-CN"/>
        </w:rPr>
        <w:t>3项约定发出变更指示。</w:t>
      </w:r>
    </w:p>
    <w:p w14:paraId="38151BC2">
      <w:pPr>
        <w:pageBreakBefore w:val="0"/>
        <w:widowControl w:val="0"/>
        <w:numPr>
          <w:ilvl w:val="0"/>
          <w:numId w:val="13"/>
        </w:numPr>
        <w:tabs>
          <w:tab w:val="left" w:pos="901"/>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在合同履行过程中，发生第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1款约定情形的，监理人应按照第</w:t>
      </w:r>
      <w:r>
        <w:rPr>
          <w:rFonts w:hint="eastAsia" w:ascii="宋体" w:hAnsi="宋体" w:eastAsia="宋体" w:cs="宋体"/>
          <w:color w:val="auto"/>
          <w:kern w:val="2"/>
          <w:sz w:val="24"/>
          <w:szCs w:val="24"/>
          <w:highlight w:val="none"/>
          <w:lang w:val="en-US" w:eastAsia="zh-CN" w:bidi="en-US"/>
        </w:rPr>
        <w:t xml:space="preserve">15. 3. </w:t>
      </w:r>
      <w:r>
        <w:rPr>
          <w:rFonts w:hint="eastAsia" w:ascii="宋体" w:hAnsi="宋体" w:eastAsia="宋体" w:cs="宋体"/>
          <w:color w:val="auto"/>
          <w:kern w:val="2"/>
          <w:sz w:val="24"/>
          <w:szCs w:val="24"/>
          <w:highlight w:val="none"/>
          <w:lang w:val="zh-CN" w:eastAsia="zh-CN" w:bidi="zh-CN"/>
        </w:rPr>
        <w:t>3项约定向承包人发出变更指示。</w:t>
      </w:r>
    </w:p>
    <w:p w14:paraId="2AADCB2B">
      <w:pPr>
        <w:pageBreakBefore w:val="0"/>
        <w:widowControl w:val="0"/>
        <w:numPr>
          <w:ilvl w:val="0"/>
          <w:numId w:val="13"/>
        </w:numPr>
        <w:tabs>
          <w:tab w:val="left" w:pos="922"/>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承包人收到监理人按合同约定发出的图纸和文件，经检查认为其中存在第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1款 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7AF8514C">
      <w:pPr>
        <w:pageBreakBefore w:val="0"/>
        <w:widowControl w:val="0"/>
        <w:numPr>
          <w:ilvl w:val="0"/>
          <w:numId w:val="13"/>
        </w:numPr>
        <w:tabs>
          <w:tab w:val="left" w:pos="922"/>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若承包人收到监理人的变更意向书后认为难以实施此项变更，应立即通知监理人, 说明原因并附详细依据。监理人与承包人和发包人协商后确定撤销、改变或不改变原变更 意向书。</w:t>
      </w:r>
    </w:p>
    <w:p w14:paraId="079BB71F">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15.3.2</w:t>
      </w:r>
      <w:r>
        <w:rPr>
          <w:rFonts w:hint="eastAsia" w:ascii="宋体" w:hAnsi="宋体" w:eastAsia="宋体" w:cs="宋体"/>
          <w:color w:val="auto"/>
          <w:kern w:val="0"/>
          <w:sz w:val="24"/>
          <w:szCs w:val="24"/>
          <w:highlight w:val="none"/>
          <w:lang w:val="zh-CN" w:eastAsia="zh-CN" w:bidi="zh-CN"/>
        </w:rPr>
        <w:t>变更估价</w:t>
      </w:r>
    </w:p>
    <w:p w14:paraId="7E15B989">
      <w:pPr>
        <w:pageBreakBefore w:val="0"/>
        <w:widowControl w:val="0"/>
        <w:numPr>
          <w:ilvl w:val="0"/>
          <w:numId w:val="14"/>
        </w:numPr>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除专用合同条款对期限另有约定外，承包人应在收到变更指示或变更意向书后的14天内，向监理人提交变更报价书，报价内容应根据第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4款约定的估价原则，详细开列变更工作的价格组成及其依据，并附必要的施工方法说明和有关图纸。</w:t>
      </w:r>
    </w:p>
    <w:p w14:paraId="48EFD4EE">
      <w:pPr>
        <w:pageBreakBefore w:val="0"/>
        <w:widowControl w:val="0"/>
        <w:numPr>
          <w:ilvl w:val="0"/>
          <w:numId w:val="14"/>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变更工作影响工期的，承包人应提出调整工期的具体细节。监理人认为有必要时,可要求承包人提交要求提前或延长工期的施工进度计划及相应施工措施等详细资料。</w:t>
      </w:r>
    </w:p>
    <w:p w14:paraId="28BD78E3">
      <w:pPr>
        <w:pageBreakBefore w:val="0"/>
        <w:widowControl w:val="0"/>
        <w:numPr>
          <w:ilvl w:val="0"/>
          <w:numId w:val="14"/>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除专用合同条款对期限另有约定外，监理人收到承包人变更报价书后的14天内，根据第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4款约定的估价原则，按照第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5款商定或确定变更价格。</w:t>
      </w:r>
    </w:p>
    <w:p w14:paraId="01157083">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15.3.3</w:t>
      </w:r>
      <w:r>
        <w:rPr>
          <w:rFonts w:hint="eastAsia" w:ascii="宋体" w:hAnsi="宋体" w:eastAsia="宋体" w:cs="宋体"/>
          <w:color w:val="auto"/>
          <w:kern w:val="0"/>
          <w:sz w:val="24"/>
          <w:szCs w:val="24"/>
          <w:highlight w:val="none"/>
          <w:lang w:val="zh-CN" w:eastAsia="zh-CN" w:bidi="zh-CN"/>
        </w:rPr>
        <w:t>变更指示</w:t>
      </w:r>
    </w:p>
    <w:p w14:paraId="0ACA53DC">
      <w:pPr>
        <w:pageBreakBefore w:val="0"/>
        <w:widowControl w:val="0"/>
        <w:numPr>
          <w:ilvl w:val="0"/>
          <w:numId w:val="15"/>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变更指示只能由监理人发出。</w:t>
      </w:r>
    </w:p>
    <w:p w14:paraId="39BCB712">
      <w:pPr>
        <w:pageBreakBefore w:val="0"/>
        <w:widowControl w:val="0"/>
        <w:numPr>
          <w:ilvl w:val="0"/>
          <w:numId w:val="1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变更指示应说明变更的目的、范围、变更内容以及变更的工程量及其进度和技术要求，并附有关图纸和文件。承包人收到变更指示后，应按变更指示进行变更工作。</w:t>
      </w:r>
    </w:p>
    <w:p w14:paraId="1781B3A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15.4变更的估价原则</w:t>
      </w:r>
    </w:p>
    <w:p w14:paraId="5091F77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除专用合同条款另有约定外，因变更引起的价格调整按照本款约定处理。</w:t>
      </w:r>
    </w:p>
    <w:p w14:paraId="4AFCADD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15.4.1</w:t>
      </w:r>
      <w:r>
        <w:rPr>
          <w:rFonts w:hint="eastAsia" w:ascii="宋体" w:hAnsi="宋体" w:eastAsia="宋体" w:cs="宋体"/>
          <w:color w:val="auto"/>
          <w:kern w:val="2"/>
          <w:sz w:val="24"/>
          <w:szCs w:val="24"/>
          <w:highlight w:val="none"/>
          <w:lang w:val="zh-CN" w:eastAsia="zh-CN" w:bidi="zh-CN"/>
        </w:rPr>
        <w:t>已标价工程量清单中有适用于变更工作的子目的，采用该子目的单价。</w:t>
      </w:r>
    </w:p>
    <w:p w14:paraId="15F3AD4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15.4.2</w:t>
      </w:r>
      <w:r>
        <w:rPr>
          <w:rFonts w:hint="eastAsia" w:ascii="宋体" w:hAnsi="宋体" w:eastAsia="宋体" w:cs="宋体"/>
          <w:color w:val="auto"/>
          <w:kern w:val="2"/>
          <w:sz w:val="24"/>
          <w:szCs w:val="24"/>
          <w:highlight w:val="none"/>
          <w:lang w:val="zh-CN" w:eastAsia="zh-CN" w:bidi="zh-CN"/>
        </w:rPr>
        <w:t>已标价工程量清单中无适用于变更工作的子目，但有类似子目的，可在合理范围内参照类似子目的单价，由监理人按第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5款商定或确定变更工作的单价。</w:t>
      </w:r>
    </w:p>
    <w:p w14:paraId="4B4711E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15.4.3</w:t>
      </w:r>
      <w:r>
        <w:rPr>
          <w:rFonts w:hint="eastAsia" w:ascii="宋体" w:hAnsi="宋体" w:eastAsia="宋体" w:cs="宋体"/>
          <w:color w:val="auto"/>
          <w:kern w:val="2"/>
          <w:sz w:val="24"/>
          <w:szCs w:val="24"/>
          <w:highlight w:val="none"/>
          <w:lang w:val="zh-CN" w:eastAsia="zh-CN" w:bidi="zh-CN"/>
        </w:rPr>
        <w:t>已标价工程量清单中无适用或类似子目的单价，可按照成本加利润的原则，由监理人按第</w:t>
      </w:r>
      <w:r>
        <w:rPr>
          <w:rFonts w:hint="eastAsia" w:ascii="宋体" w:hAnsi="宋体" w:eastAsia="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zh-CN" w:eastAsia="zh-CN" w:bidi="zh-CN"/>
        </w:rPr>
        <w:t>5款商定或确定变更工作的单价。</w:t>
      </w:r>
    </w:p>
    <w:p w14:paraId="6D9473E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15.5承包人的合理化建议</w:t>
      </w:r>
    </w:p>
    <w:p w14:paraId="7D8DA9A3">
      <w:pPr>
        <w:pageBreakBefore w:val="0"/>
        <w:widowControl w:val="0"/>
        <w:tabs>
          <w:tab w:val="left" w:pos="8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15.5. </w:t>
      </w:r>
      <w:r>
        <w:rPr>
          <w:rFonts w:hint="eastAsia" w:ascii="宋体" w:hAnsi="宋体" w:eastAsia="宋体" w:cs="宋体"/>
          <w:color w:val="auto"/>
          <w:kern w:val="2"/>
          <w:sz w:val="24"/>
          <w:szCs w:val="24"/>
          <w:highlight w:val="none"/>
          <w:lang w:val="zh-CN" w:eastAsia="zh-CN" w:bidi="zh-CN"/>
        </w:rPr>
        <w:t>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ascii="宋体" w:hAnsi="宋体" w:eastAsia="宋体" w:cs="宋体"/>
          <w:color w:val="auto"/>
          <w:kern w:val="2"/>
          <w:sz w:val="24"/>
          <w:szCs w:val="24"/>
          <w:highlight w:val="none"/>
          <w:lang w:val="en-US" w:eastAsia="zh-CN" w:bidi="en-US"/>
        </w:rPr>
        <w:t xml:space="preserve">15. 3. </w:t>
      </w:r>
      <w:r>
        <w:rPr>
          <w:rFonts w:hint="eastAsia" w:ascii="宋体" w:hAnsi="宋体" w:eastAsia="宋体" w:cs="宋体"/>
          <w:color w:val="auto"/>
          <w:kern w:val="2"/>
          <w:sz w:val="24"/>
          <w:szCs w:val="24"/>
          <w:highlight w:val="none"/>
          <w:lang w:val="zh-CN" w:eastAsia="zh-CN" w:bidi="zh-CN"/>
        </w:rPr>
        <w:t>3项约定向承包人发出变更指示。</w:t>
      </w:r>
    </w:p>
    <w:p w14:paraId="7E09488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15.5.2</w:t>
      </w:r>
      <w:r>
        <w:rPr>
          <w:rFonts w:hint="eastAsia" w:ascii="宋体" w:hAnsi="宋体" w:eastAsia="宋体" w:cs="宋体"/>
          <w:color w:val="auto"/>
          <w:kern w:val="2"/>
          <w:sz w:val="24"/>
          <w:szCs w:val="24"/>
          <w:highlight w:val="none"/>
          <w:lang w:val="zh-CN" w:eastAsia="zh-CN" w:bidi="zh-CN"/>
        </w:rPr>
        <w:t>承包人提出的合理化建议降低了合同价格、缩短了工期或者提高了工程经济效益的，发包人可按国家有关规定在专用合同条款中约定给予奖励。</w:t>
      </w:r>
    </w:p>
    <w:p w14:paraId="0A9DDC9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15.6暂列金额</w:t>
      </w:r>
    </w:p>
    <w:p w14:paraId="48E0AF3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暂列金额只能按照监理人的指示使用，并对合同价格进行相应调整。</w:t>
      </w:r>
    </w:p>
    <w:p w14:paraId="73FA155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8" w:name="_Toc26568"/>
      <w:r>
        <w:rPr>
          <w:rFonts w:hint="eastAsia" w:ascii="宋体" w:hAnsi="宋体" w:eastAsia="宋体" w:cs="宋体"/>
          <w:color w:val="auto"/>
          <w:kern w:val="2"/>
          <w:sz w:val="24"/>
          <w:szCs w:val="24"/>
          <w:highlight w:val="none"/>
          <w:lang w:val="en-US" w:eastAsia="zh-CN" w:bidi="ar-SA"/>
        </w:rPr>
        <w:t>15.7计日工</w:t>
      </w:r>
      <w:bookmarkEnd w:id="218"/>
    </w:p>
    <w:p w14:paraId="17FA673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15.7.1</w:t>
      </w:r>
      <w:r>
        <w:rPr>
          <w:rFonts w:hint="eastAsia" w:ascii="宋体" w:hAnsi="宋体" w:eastAsia="宋体" w:cs="宋体"/>
          <w:color w:val="auto"/>
          <w:kern w:val="2"/>
          <w:sz w:val="24"/>
          <w:szCs w:val="24"/>
          <w:highlight w:val="none"/>
          <w:lang w:val="zh-CN" w:eastAsia="zh-CN" w:bidi="zh-CN"/>
        </w:rPr>
        <w:t>发包人认为有必要时，由监理人通知承包人以计日工方式实施变更的零星工作。其价款按列入已标价工程量清单中的计日工计价子目及其单价进行计算。</w:t>
      </w:r>
    </w:p>
    <w:p w14:paraId="661B8F9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15.7.2</w:t>
      </w:r>
      <w:r>
        <w:rPr>
          <w:rFonts w:hint="eastAsia" w:ascii="宋体" w:hAnsi="宋体" w:eastAsia="宋体" w:cs="宋体"/>
          <w:color w:val="auto"/>
          <w:kern w:val="2"/>
          <w:sz w:val="24"/>
          <w:szCs w:val="24"/>
          <w:highlight w:val="none"/>
          <w:lang w:val="zh-CN" w:eastAsia="zh-CN" w:bidi="zh-CN"/>
        </w:rPr>
        <w:t>采用计日工计价的任何一项变更工作，应从暂列金额中支付，承包人应在该项变更的实施过程中，每天提交以下报表和有关凭证报送监理人审批：</w:t>
      </w:r>
    </w:p>
    <w:p w14:paraId="305C3300">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工作名称、内容和数量；</w:t>
      </w:r>
    </w:p>
    <w:p w14:paraId="66037F04">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投入该工作所有人员的姓名、工种、级别和耗用工时；</w:t>
      </w:r>
    </w:p>
    <w:p w14:paraId="753E2F9F">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投入该工作的材料类别和数量；</w:t>
      </w:r>
    </w:p>
    <w:p w14:paraId="54319B98">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投入该工作的施工设备型号、台数和耗用台时；</w:t>
      </w:r>
    </w:p>
    <w:p w14:paraId="064D3399">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监理人要求提交的其他资料和凭证。</w:t>
      </w:r>
    </w:p>
    <w:p w14:paraId="2EE0F7E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15.7.3</w:t>
      </w:r>
      <w:r>
        <w:rPr>
          <w:rFonts w:hint="eastAsia" w:ascii="宋体" w:hAnsi="宋体" w:eastAsia="宋体" w:cs="宋体"/>
          <w:color w:val="auto"/>
          <w:kern w:val="2"/>
          <w:sz w:val="24"/>
          <w:szCs w:val="24"/>
          <w:highlight w:val="none"/>
          <w:lang w:val="zh-CN" w:eastAsia="zh-CN" w:bidi="zh-CN"/>
        </w:rPr>
        <w:t>计日工由承包人汇总后，按第</w:t>
      </w:r>
      <w:r>
        <w:rPr>
          <w:rFonts w:hint="eastAsia" w:ascii="宋体" w:hAnsi="宋体" w:eastAsia="宋体" w:cs="宋体"/>
          <w:color w:val="auto"/>
          <w:kern w:val="2"/>
          <w:sz w:val="24"/>
          <w:szCs w:val="24"/>
          <w:highlight w:val="none"/>
          <w:lang w:val="en-US" w:eastAsia="zh-CN" w:bidi="en-US"/>
        </w:rPr>
        <w:t>17.3.2</w:t>
      </w:r>
      <w:r>
        <w:rPr>
          <w:rFonts w:hint="eastAsia" w:ascii="宋体" w:hAnsi="宋体" w:eastAsia="宋体" w:cs="宋体"/>
          <w:color w:val="auto"/>
          <w:kern w:val="2"/>
          <w:sz w:val="24"/>
          <w:szCs w:val="24"/>
          <w:highlight w:val="none"/>
          <w:lang w:val="zh-CN" w:eastAsia="zh-CN" w:bidi="zh-CN"/>
        </w:rPr>
        <w:t>项的约定列入进度付款申请单，由监理人复核并经发包人书面同意后列入进度付款。</w:t>
      </w:r>
    </w:p>
    <w:p w14:paraId="4D9A03C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15.8暂估价</w:t>
      </w:r>
    </w:p>
    <w:p w14:paraId="64B21B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1269F8E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66DFFF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191A95A4">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9" w:name="_Toc6100"/>
      <w:r>
        <w:rPr>
          <w:rFonts w:hint="eastAsia" w:ascii="宋体" w:hAnsi="宋体" w:eastAsia="宋体" w:cs="宋体"/>
          <w:color w:val="auto"/>
          <w:kern w:val="2"/>
          <w:sz w:val="24"/>
          <w:szCs w:val="24"/>
          <w:highlight w:val="none"/>
          <w:lang w:val="en-US" w:eastAsia="zh-CN" w:bidi="ar-SA"/>
        </w:rPr>
        <w:t>16 .价格调整</w:t>
      </w:r>
      <w:bookmarkEnd w:id="219"/>
    </w:p>
    <w:p w14:paraId="4C15A77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16.1物价波动引起的价格调整</w:t>
      </w:r>
    </w:p>
    <w:p w14:paraId="4F83337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由于物价波动原因引起合同价格需要调整的，其价格调整方式在专用合同条款中约定；除专用合同条款另有约定外，因物价波动引起的价格调整按照本款约定处理。</w:t>
      </w:r>
    </w:p>
    <w:p w14:paraId="3AAC9824">
      <w:pPr>
        <w:pageBreakBefore w:val="0"/>
        <w:widowControl w:val="0"/>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16.1. </w:t>
      </w:r>
      <w:r>
        <w:rPr>
          <w:rFonts w:hint="eastAsia" w:ascii="宋体" w:hAnsi="宋体" w:eastAsia="宋体" w:cs="宋体"/>
          <w:color w:val="auto"/>
          <w:kern w:val="2"/>
          <w:sz w:val="24"/>
          <w:szCs w:val="24"/>
          <w:highlight w:val="none"/>
          <w:lang w:val="zh-CN" w:eastAsia="zh-CN" w:bidi="zh-CN"/>
        </w:rPr>
        <w:t>1采用价格指数调整价格差额</w:t>
      </w:r>
    </w:p>
    <w:p w14:paraId="033A3596">
      <w:pPr>
        <w:pageBreakBefore w:val="0"/>
        <w:widowControl w:val="0"/>
        <w:tabs>
          <w:tab w:val="left" w:pos="839"/>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16. 1. 1. </w:t>
      </w:r>
      <w:r>
        <w:rPr>
          <w:rFonts w:hint="eastAsia" w:ascii="宋体" w:hAnsi="宋体" w:eastAsia="宋体" w:cs="宋体"/>
          <w:color w:val="auto"/>
          <w:kern w:val="0"/>
          <w:sz w:val="24"/>
          <w:szCs w:val="24"/>
          <w:highlight w:val="none"/>
          <w:lang w:val="zh-CN" w:eastAsia="zh-CN" w:bidi="zh-CN"/>
        </w:rPr>
        <w:t>1价格调整公式</w:t>
      </w:r>
    </w:p>
    <w:p w14:paraId="2134B07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因人工、材料和设备等价格波动影响合同价格时，根据投标函附录中的价格指数和权重表约定的数据，按以下公式计算差额并调整合同价格。</w:t>
      </w:r>
    </w:p>
    <w:p w14:paraId="0D0B209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position w:val="-34"/>
          <w:sz w:val="24"/>
          <w:szCs w:val="24"/>
          <w:highlight w:val="none"/>
          <w:lang w:val="zh-CN" w:eastAsia="zh-CN" w:bidi="zh-CN"/>
        </w:rPr>
        <w:object>
          <v:shape id="_x0000_i1025" o:spt="75" type="#_x0000_t75" style="height:49.5pt;width:324.05pt;" o:ole="t" filled="f" o:preferrelative="t" stroked="f" coordsize="21600,21600">
            <v:path/>
            <v:fill on="f" focussize="0,0"/>
            <v:stroke on="f"/>
            <v:imagedata r:id="rId23" embosscolor="#FFFFFF" o:title=""/>
            <o:lock v:ext="edit" grouping="f" rotation="f" text="f" aspectratio="t"/>
            <w10:wrap type="none"/>
            <w10:anchorlock/>
          </v:shape>
          <o:OLEObject Type="Embed" ProgID="Equation.3" ShapeID="_x0000_i1025" DrawAspect="Content" ObjectID="_1468075725" r:id="rId22">
            <o:LockedField>false</o:LockedField>
          </o:OLEObject>
        </w:object>
      </w:r>
    </w:p>
    <w:p w14:paraId="26E3D65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p>
    <w:p w14:paraId="585E6EB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式中： △P -- 需调整的价格差额；</w:t>
      </w:r>
    </w:p>
    <w:p w14:paraId="49878DF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1997F11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A -- 定值权重(即不调部分的权重)；</w:t>
      </w:r>
    </w:p>
    <w:p w14:paraId="2F0BE46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B1；B2；B3·····Bn -- 各可调因子的变值权重(即可调部分的权重)为各可调因子在投标函投标总报价中所占的比例；</w:t>
      </w:r>
    </w:p>
    <w:p w14:paraId="1643FE2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Ft1；Ft2；Ft3·····Ftn -- 各可调因子的现行价格指数，指第17.3.3项、第17.5.2项和第17.6.2项约定的付款证书相关周期最后一天的前42天的各可调因子的价格指数；</w:t>
      </w:r>
    </w:p>
    <w:p w14:paraId="074228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Fo1；Fo2; Fo3·····Fon -- 各可调因子的基本价格指数，指基准日期的各可调因子的价格指数。</w:t>
      </w:r>
    </w:p>
    <w:p w14:paraId="2DDA271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2B36755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16.1.1.2</w:t>
      </w:r>
      <w:r>
        <w:rPr>
          <w:rFonts w:hint="eastAsia" w:ascii="宋体" w:hAnsi="宋体" w:eastAsia="宋体" w:cs="宋体"/>
          <w:color w:val="auto"/>
          <w:kern w:val="2"/>
          <w:sz w:val="24"/>
          <w:szCs w:val="24"/>
          <w:highlight w:val="none"/>
          <w:lang w:val="zh-CN" w:eastAsia="zh-CN" w:bidi="zh-CN"/>
        </w:rPr>
        <w:t>暂时确定调整差额</w:t>
      </w:r>
    </w:p>
    <w:p w14:paraId="428D570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在计算调整差额时得不到现行价格指数的，可暂用上一次价格指数计算，并在以后的付款中再按实际价格指数进行调整。</w:t>
      </w:r>
    </w:p>
    <w:p w14:paraId="18673236">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16.1.1.3</w:t>
      </w:r>
      <w:r>
        <w:rPr>
          <w:rFonts w:hint="eastAsia" w:ascii="宋体" w:hAnsi="宋体" w:eastAsia="宋体" w:cs="宋体"/>
          <w:color w:val="auto"/>
          <w:kern w:val="0"/>
          <w:sz w:val="24"/>
          <w:szCs w:val="24"/>
          <w:highlight w:val="none"/>
          <w:lang w:val="zh-CN" w:eastAsia="zh-CN" w:bidi="zh-CN"/>
        </w:rPr>
        <w:t>权重的调整</w:t>
      </w:r>
    </w:p>
    <w:p w14:paraId="557F848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1款约定的变更导致原定合同中的权重不合理时，由监理人与承包人和发包人协商后进行调整。</w:t>
      </w:r>
    </w:p>
    <w:p w14:paraId="307F636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16.1.1.4</w:t>
      </w:r>
      <w:r>
        <w:rPr>
          <w:rFonts w:hint="eastAsia" w:ascii="宋体" w:hAnsi="宋体" w:eastAsia="宋体" w:cs="宋体"/>
          <w:color w:val="auto"/>
          <w:kern w:val="2"/>
          <w:sz w:val="24"/>
          <w:szCs w:val="24"/>
          <w:highlight w:val="none"/>
          <w:lang w:val="zh-CN" w:eastAsia="zh-CN" w:bidi="zh-CN"/>
        </w:rPr>
        <w:t>承包人工期延误后的价格调整</w:t>
      </w:r>
    </w:p>
    <w:p w14:paraId="76F693F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由于承包人原因未在约定的工期内竣工的，则对原约定竣工日期后继续施工的工程, 在使用第</w:t>
      </w:r>
      <w:r>
        <w:rPr>
          <w:rFonts w:hint="eastAsia" w:ascii="宋体" w:hAnsi="宋体" w:eastAsia="宋体" w:cs="宋体"/>
          <w:color w:val="auto"/>
          <w:kern w:val="2"/>
          <w:sz w:val="24"/>
          <w:szCs w:val="24"/>
          <w:highlight w:val="none"/>
          <w:lang w:val="en-US" w:eastAsia="zh-CN" w:bidi="en-US"/>
        </w:rPr>
        <w:t xml:space="preserve">16. 1. 1. </w:t>
      </w:r>
      <w:r>
        <w:rPr>
          <w:rFonts w:hint="eastAsia" w:ascii="宋体" w:hAnsi="宋体" w:eastAsia="宋体" w:cs="宋体"/>
          <w:color w:val="auto"/>
          <w:kern w:val="2"/>
          <w:sz w:val="24"/>
          <w:szCs w:val="24"/>
          <w:highlight w:val="none"/>
          <w:lang w:val="zh-CN" w:eastAsia="zh-CN" w:bidi="zh-CN"/>
        </w:rPr>
        <w:t>1目价格调整公式时，应采用原约定竣工日期与实际竣工日期的两个价格指数中较低的一个作为现行价格指数。</w:t>
      </w:r>
    </w:p>
    <w:p w14:paraId="18CA267D">
      <w:pPr>
        <w:pageBreakBefore w:val="0"/>
        <w:widowControl w:val="0"/>
        <w:tabs>
          <w:tab w:val="left" w:pos="86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16.1. </w:t>
      </w:r>
      <w:r>
        <w:rPr>
          <w:rFonts w:hint="eastAsia" w:ascii="宋体" w:hAnsi="宋体" w:eastAsia="宋体" w:cs="宋体"/>
          <w:color w:val="auto"/>
          <w:kern w:val="2"/>
          <w:sz w:val="24"/>
          <w:szCs w:val="24"/>
          <w:highlight w:val="none"/>
          <w:lang w:val="zh-CN" w:eastAsia="zh-CN" w:bidi="zh-CN"/>
        </w:rPr>
        <w:t>2采用造价信息调整价格差额</w:t>
      </w:r>
    </w:p>
    <w:p w14:paraId="5EF5734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6D9C9FA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工程造价信息的来源以及价格调整的项目和系数在专用合同条款中约定。</w:t>
      </w:r>
    </w:p>
    <w:p w14:paraId="4575C0F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16.2法律变化引起的价格调整</w:t>
      </w:r>
    </w:p>
    <w:p w14:paraId="3B0D89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在基准日后，因法律变化导致承包人在合同履行中所需要的工程费用发生除第</w:t>
      </w:r>
      <w:r>
        <w:rPr>
          <w:rFonts w:hint="eastAsia" w:ascii="宋体" w:hAnsi="宋体" w:eastAsia="宋体" w:cs="宋体"/>
          <w:color w:val="auto"/>
          <w:kern w:val="2"/>
          <w:sz w:val="24"/>
          <w:szCs w:val="24"/>
          <w:highlight w:val="none"/>
          <w:lang w:val="en-US" w:eastAsia="zh-CN" w:bidi="en-US"/>
        </w:rPr>
        <w:t>16.</w:t>
      </w:r>
      <w:r>
        <w:rPr>
          <w:rFonts w:hint="eastAsia" w:ascii="宋体" w:hAnsi="宋体" w:eastAsia="宋体" w:cs="宋体"/>
          <w:color w:val="auto"/>
          <w:kern w:val="2"/>
          <w:sz w:val="24"/>
          <w:szCs w:val="24"/>
          <w:highlight w:val="none"/>
          <w:lang w:val="zh-CN" w:eastAsia="zh-CN" w:bidi="zh-CN"/>
        </w:rPr>
        <w:t>1款约定以外的增减时，监理人应根据法律、国家或省、自治区、直辖市有关部门的规定，按第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5款商定或确定需调整的合同价款。</w:t>
      </w:r>
    </w:p>
    <w:p w14:paraId="5329C85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0" w:name="_Toc1209"/>
      <w:r>
        <w:rPr>
          <w:rFonts w:hint="eastAsia" w:ascii="宋体" w:hAnsi="宋体" w:eastAsia="宋体" w:cs="宋体"/>
          <w:color w:val="auto"/>
          <w:kern w:val="2"/>
          <w:sz w:val="24"/>
          <w:szCs w:val="24"/>
          <w:highlight w:val="none"/>
          <w:lang w:val="en-US" w:eastAsia="zh-CN" w:bidi="ar-SA"/>
        </w:rPr>
        <w:t>17.计量与支付</w:t>
      </w:r>
      <w:bookmarkEnd w:id="220"/>
    </w:p>
    <w:p w14:paraId="4DB5923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17.1计量</w:t>
      </w:r>
    </w:p>
    <w:p w14:paraId="61446297">
      <w:pPr>
        <w:pageBreakBefore w:val="0"/>
        <w:widowControl w:val="0"/>
        <w:tabs>
          <w:tab w:val="left" w:pos="841"/>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17.1.</w:t>
      </w:r>
      <w:r>
        <w:rPr>
          <w:rFonts w:hint="eastAsia" w:ascii="宋体" w:hAnsi="宋体" w:eastAsia="宋体" w:cs="宋体"/>
          <w:color w:val="auto"/>
          <w:kern w:val="0"/>
          <w:sz w:val="24"/>
          <w:szCs w:val="24"/>
          <w:highlight w:val="none"/>
          <w:lang w:val="zh-CN" w:eastAsia="zh-CN" w:bidi="zh-CN"/>
        </w:rPr>
        <w:t>1计量单位</w:t>
      </w:r>
    </w:p>
    <w:p w14:paraId="1C720AD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计量采用国家法定的计量单位。</w:t>
      </w:r>
    </w:p>
    <w:p w14:paraId="42015AAF">
      <w:pPr>
        <w:pageBreakBefore w:val="0"/>
        <w:widowControl w:val="0"/>
        <w:tabs>
          <w:tab w:val="left" w:pos="84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17.1.</w:t>
      </w:r>
      <w:r>
        <w:rPr>
          <w:rFonts w:hint="eastAsia" w:ascii="宋体" w:hAnsi="宋体" w:eastAsia="宋体" w:cs="宋体"/>
          <w:color w:val="auto"/>
          <w:kern w:val="2"/>
          <w:sz w:val="24"/>
          <w:szCs w:val="24"/>
          <w:highlight w:val="none"/>
          <w:lang w:val="zh-CN" w:eastAsia="zh-CN" w:bidi="zh-CN"/>
        </w:rPr>
        <w:t>2计量方法</w:t>
      </w:r>
    </w:p>
    <w:p w14:paraId="3BE40B5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结算工程量应按工程量清单中约定的方法计算。</w:t>
      </w:r>
    </w:p>
    <w:p w14:paraId="78975E0E">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17.1.</w:t>
      </w:r>
      <w:r>
        <w:rPr>
          <w:rFonts w:hint="eastAsia" w:ascii="宋体" w:hAnsi="宋体" w:eastAsia="宋体" w:cs="宋体"/>
          <w:color w:val="auto"/>
          <w:kern w:val="0"/>
          <w:sz w:val="24"/>
          <w:szCs w:val="24"/>
          <w:highlight w:val="none"/>
          <w:lang w:val="zh-CN" w:eastAsia="zh-CN" w:bidi="zh-CN"/>
        </w:rPr>
        <w:t>3计量周期</w:t>
      </w:r>
    </w:p>
    <w:p w14:paraId="40D73D5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除专用合同条款另有约定外，单价子目已完成工程量按月计量，总价子目的计量周期 按批准的支付分解报告确定。</w:t>
      </w:r>
    </w:p>
    <w:p w14:paraId="19E34C6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17.1.4</w:t>
      </w:r>
      <w:r>
        <w:rPr>
          <w:rFonts w:hint="eastAsia" w:ascii="宋体" w:hAnsi="宋体" w:eastAsia="宋体" w:cs="宋体"/>
          <w:color w:val="auto"/>
          <w:kern w:val="2"/>
          <w:sz w:val="24"/>
          <w:szCs w:val="24"/>
          <w:highlight w:val="none"/>
          <w:lang w:val="zh-CN" w:eastAsia="zh-CN" w:bidi="zh-CN"/>
        </w:rPr>
        <w:t>单价子目的计量</w:t>
      </w:r>
    </w:p>
    <w:p w14:paraId="2F9FCEC6">
      <w:pPr>
        <w:pageBreakBefore w:val="0"/>
        <w:widowControl w:val="0"/>
        <w:numPr>
          <w:ilvl w:val="0"/>
          <w:numId w:val="17"/>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已标价工程量清单中的单价子目工程量为估算工程量。结算工程量是承包人实际完成的，并按合同约定的计量方法进行计量的工程量。</w:t>
      </w:r>
    </w:p>
    <w:p w14:paraId="54D10392">
      <w:pPr>
        <w:pageBreakBefore w:val="0"/>
        <w:widowControl w:val="0"/>
        <w:numPr>
          <w:ilvl w:val="0"/>
          <w:numId w:val="17"/>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承包人对已完成的工程进行计量，向监理人提交进度付款申请单、已完成工程量报表和有关计量资料。</w:t>
      </w:r>
    </w:p>
    <w:p w14:paraId="762B699D">
      <w:pPr>
        <w:pageBreakBefore w:val="0"/>
        <w:widowControl w:val="0"/>
        <w:numPr>
          <w:ilvl w:val="0"/>
          <w:numId w:val="17"/>
        </w:numPr>
        <w:tabs>
          <w:tab w:val="left" w:pos="48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监理人对承包人提交的工程量报表进行复核，以确定实际完成的工程量。对数量有异议的，可要求承包人按第</w:t>
      </w:r>
      <w:r>
        <w:rPr>
          <w:rFonts w:hint="eastAsia" w:ascii="宋体" w:hAnsi="宋体" w:eastAsia="宋体" w:cs="宋体"/>
          <w:color w:val="auto"/>
          <w:kern w:val="2"/>
          <w:sz w:val="24"/>
          <w:szCs w:val="24"/>
          <w:highlight w:val="none"/>
          <w:lang w:val="en-US" w:eastAsia="zh-CN" w:bidi="en-US"/>
        </w:rPr>
        <w:t xml:space="preserve">8. </w:t>
      </w:r>
      <w:r>
        <w:rPr>
          <w:rFonts w:hint="eastAsia" w:ascii="宋体" w:hAnsi="宋体" w:eastAsia="宋体" w:cs="宋体"/>
          <w:color w:val="auto"/>
          <w:kern w:val="2"/>
          <w:sz w:val="24"/>
          <w:szCs w:val="24"/>
          <w:highlight w:val="none"/>
          <w:lang w:val="zh-CN" w:eastAsia="zh-CN" w:bidi="zh-CN"/>
        </w:rPr>
        <w:t>2款约定进行共同复核和抽样复测。承包人应协助监理人进行复核并按监理人要求提供补充计量资料。承包人未按监理人要求参加复核，监理人复核或修正的工程量视为承包人实际完成的工程量。</w:t>
      </w:r>
    </w:p>
    <w:p w14:paraId="2F604F16">
      <w:pPr>
        <w:pageBreakBefore w:val="0"/>
        <w:widowControl w:val="0"/>
        <w:numPr>
          <w:ilvl w:val="0"/>
          <w:numId w:val="17"/>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监理人认为有必要时，可通知承包人共同进行联合测量、计量，承包人应遵照执行。</w:t>
      </w:r>
    </w:p>
    <w:p w14:paraId="0599429B">
      <w:pPr>
        <w:pageBreakBefore w:val="0"/>
        <w:widowControl w:val="0"/>
        <w:numPr>
          <w:ilvl w:val="0"/>
          <w:numId w:val="17"/>
        </w:numPr>
        <w:tabs>
          <w:tab w:val="left" w:pos="90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79EF1293">
      <w:pPr>
        <w:pageBreakBefore w:val="0"/>
        <w:widowControl w:val="0"/>
        <w:numPr>
          <w:ilvl w:val="0"/>
          <w:numId w:val="17"/>
        </w:numPr>
        <w:tabs>
          <w:tab w:val="left" w:pos="90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监理人应在收到承包人提交的工程量报表后的7天内进行复核，监理人未在约定时间内复核的，承包人提交的工程量报表中的工程量视为承包人实际完成的工程量，据此计算工程价款。</w:t>
      </w:r>
    </w:p>
    <w:p w14:paraId="6272AA9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17.1.5</w:t>
      </w:r>
      <w:r>
        <w:rPr>
          <w:rFonts w:hint="eastAsia" w:ascii="宋体" w:hAnsi="宋体" w:eastAsia="宋体" w:cs="宋体"/>
          <w:color w:val="auto"/>
          <w:kern w:val="2"/>
          <w:sz w:val="24"/>
          <w:szCs w:val="24"/>
          <w:highlight w:val="none"/>
          <w:lang w:val="zh-CN" w:eastAsia="zh-CN" w:bidi="zh-CN"/>
        </w:rPr>
        <w:t>总价子目的计量</w:t>
      </w:r>
    </w:p>
    <w:p w14:paraId="47D1FDC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总价子目的分解和计量按照下述约定进行。</w:t>
      </w:r>
    </w:p>
    <w:p w14:paraId="0715F2D6">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总价子目的计量和支付应以总价为基础，不因第</w:t>
      </w:r>
      <w:r>
        <w:rPr>
          <w:rFonts w:hint="eastAsia" w:ascii="宋体" w:hAnsi="宋体" w:eastAsia="宋体" w:cs="宋体"/>
          <w:color w:val="auto"/>
          <w:kern w:val="2"/>
          <w:sz w:val="24"/>
          <w:szCs w:val="24"/>
          <w:highlight w:val="none"/>
          <w:lang w:val="en-US" w:eastAsia="zh-CN" w:bidi="en-US"/>
        </w:rPr>
        <w:t>16.1</w:t>
      </w:r>
      <w:r>
        <w:rPr>
          <w:rFonts w:hint="eastAsia" w:ascii="宋体" w:hAnsi="宋体" w:eastAsia="宋体" w:cs="宋体"/>
          <w:color w:val="auto"/>
          <w:kern w:val="2"/>
          <w:sz w:val="24"/>
          <w:szCs w:val="24"/>
          <w:highlight w:val="none"/>
          <w:lang w:val="zh-CN" w:eastAsia="zh-CN" w:bidi="zh-CN"/>
        </w:rPr>
        <w:t>款中的因素而进行调整。承包人实际完成的工程量，是进行工程目标管理和控制进度支付的依据。</w:t>
      </w:r>
    </w:p>
    <w:p w14:paraId="41A37578">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23A15919">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监理人对承包人提交的上述资料进行复核，以确定分阶段实际完成的工程量和工程形象目标。对其有异议的，可要求承包人按第</w:t>
      </w:r>
      <w:r>
        <w:rPr>
          <w:rFonts w:hint="eastAsia" w:ascii="宋体" w:hAnsi="宋体" w:eastAsia="宋体" w:cs="宋体"/>
          <w:color w:val="auto"/>
          <w:kern w:val="2"/>
          <w:sz w:val="24"/>
          <w:szCs w:val="24"/>
          <w:highlight w:val="none"/>
          <w:lang w:val="en-US" w:eastAsia="zh-CN" w:bidi="en-US"/>
        </w:rPr>
        <w:t xml:space="preserve">8. </w:t>
      </w:r>
      <w:r>
        <w:rPr>
          <w:rFonts w:hint="eastAsia" w:ascii="宋体" w:hAnsi="宋体" w:eastAsia="宋体" w:cs="宋体"/>
          <w:color w:val="auto"/>
          <w:kern w:val="2"/>
          <w:sz w:val="24"/>
          <w:szCs w:val="24"/>
          <w:highlight w:val="none"/>
          <w:lang w:val="zh-CN" w:eastAsia="zh-CN" w:bidi="zh-CN"/>
        </w:rPr>
        <w:t>2款约定进行共同复核和抽样复测。</w:t>
      </w:r>
    </w:p>
    <w:p w14:paraId="431C3227">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除按照第15条约定的变更外，总价子目的工程量是承包人用于结算的最终工程量。</w:t>
      </w:r>
    </w:p>
    <w:p w14:paraId="389C39E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17.2预付款</w:t>
      </w:r>
    </w:p>
    <w:p w14:paraId="752291B1">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17.2.1</w:t>
      </w:r>
      <w:r>
        <w:rPr>
          <w:rFonts w:hint="eastAsia" w:ascii="宋体" w:hAnsi="宋体" w:eastAsia="宋体" w:cs="宋体"/>
          <w:color w:val="auto"/>
          <w:kern w:val="0"/>
          <w:sz w:val="24"/>
          <w:szCs w:val="24"/>
          <w:highlight w:val="none"/>
          <w:lang w:val="zh-CN" w:eastAsia="zh-CN" w:bidi="zh-CN"/>
        </w:rPr>
        <w:t>预付款</w:t>
      </w:r>
    </w:p>
    <w:p w14:paraId="188C55D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48E26AE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17.2.2</w:t>
      </w:r>
      <w:r>
        <w:rPr>
          <w:rFonts w:hint="eastAsia" w:ascii="宋体" w:hAnsi="宋体" w:eastAsia="宋体" w:cs="宋体"/>
          <w:color w:val="auto"/>
          <w:kern w:val="2"/>
          <w:sz w:val="24"/>
          <w:szCs w:val="24"/>
          <w:highlight w:val="none"/>
          <w:lang w:val="zh-CN" w:eastAsia="zh-CN" w:bidi="zh-CN"/>
        </w:rPr>
        <w:t>预付款保函(担保)</w:t>
      </w:r>
    </w:p>
    <w:p w14:paraId="01740675">
      <w:pPr>
        <w:pageBreakBefore w:val="0"/>
        <w:widowControl w:val="0"/>
        <w:numPr>
          <w:ilvl w:val="0"/>
          <w:numId w:val="19"/>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承包人应在收到第一次工程预付款的同时向发包人提交工程预付款担保，担保金额应与第一次工程预付款金额相同，工程预付款担保在第一次工程预付款被发包人扣回前一直有效。</w:t>
      </w:r>
    </w:p>
    <w:p w14:paraId="59DD6363">
      <w:pPr>
        <w:pageBreakBefore w:val="0"/>
        <w:widowControl w:val="0"/>
        <w:numPr>
          <w:ilvl w:val="0"/>
          <w:numId w:val="19"/>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工程材料预付款的担保在专用合同条款中约定。</w:t>
      </w:r>
    </w:p>
    <w:p w14:paraId="52123B2B">
      <w:pPr>
        <w:pageBreakBefore w:val="0"/>
        <w:widowControl w:val="0"/>
        <w:numPr>
          <w:ilvl w:val="0"/>
          <w:numId w:val="19"/>
        </w:numPr>
        <w:tabs>
          <w:tab w:val="left" w:pos="88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预付款担保的担保金额可根据预付款扣回的金额相应递减。</w:t>
      </w:r>
    </w:p>
    <w:p w14:paraId="2B740E5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17.2.3</w:t>
      </w:r>
      <w:r>
        <w:rPr>
          <w:rFonts w:hint="eastAsia" w:ascii="宋体" w:hAnsi="宋体" w:eastAsia="宋体" w:cs="宋体"/>
          <w:color w:val="auto"/>
          <w:kern w:val="2"/>
          <w:sz w:val="24"/>
          <w:szCs w:val="24"/>
          <w:highlight w:val="none"/>
          <w:lang w:val="zh-CN" w:eastAsia="zh-CN" w:bidi="zh-CN"/>
        </w:rPr>
        <w:t>预付款的扣回与还清</w:t>
      </w:r>
    </w:p>
    <w:p w14:paraId="14BA4AA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预付款在进度付款中扣回，扣回与还清办法在专用合同条款中约定。在颁发竣工验收鉴定书前，由于不可抗力或其它原因解除合同时，预付款尚未扣清的，尚未扣清的预付款余额应作为承包人的到期应付款。</w:t>
      </w:r>
    </w:p>
    <w:p w14:paraId="4BF1427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17.3工程进度付款</w:t>
      </w:r>
    </w:p>
    <w:p w14:paraId="4CAE34C1">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17.3.1</w:t>
      </w:r>
      <w:r>
        <w:rPr>
          <w:rFonts w:hint="eastAsia" w:ascii="宋体" w:hAnsi="宋体" w:eastAsia="宋体" w:cs="宋体"/>
          <w:color w:val="auto"/>
          <w:kern w:val="0"/>
          <w:sz w:val="24"/>
          <w:szCs w:val="24"/>
          <w:highlight w:val="none"/>
          <w:lang w:val="zh-CN" w:eastAsia="zh-CN" w:bidi="zh-CN"/>
        </w:rPr>
        <w:t>付款周期</w:t>
      </w:r>
    </w:p>
    <w:p w14:paraId="1379E87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付款周期同计量周期。</w:t>
      </w:r>
    </w:p>
    <w:p w14:paraId="2144436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17.3.2</w:t>
      </w:r>
      <w:r>
        <w:rPr>
          <w:rFonts w:hint="eastAsia" w:ascii="宋体" w:hAnsi="宋体" w:eastAsia="宋体" w:cs="宋体"/>
          <w:color w:val="auto"/>
          <w:kern w:val="2"/>
          <w:sz w:val="24"/>
          <w:szCs w:val="24"/>
          <w:highlight w:val="none"/>
          <w:lang w:val="zh-CN" w:eastAsia="zh-CN" w:bidi="zh-CN"/>
        </w:rPr>
        <w:t>进度付款申请单</w:t>
      </w:r>
    </w:p>
    <w:p w14:paraId="6E19A6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32CDA4A8">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截至本次付款周期末已实施工程的价款；</w:t>
      </w:r>
    </w:p>
    <w:p w14:paraId="00301AE8">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根据第15条应增加和扣减的变更金额；</w:t>
      </w:r>
    </w:p>
    <w:p w14:paraId="489B7A67">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根据第23条应增加和扣减的索赔金额；</w:t>
      </w:r>
    </w:p>
    <w:p w14:paraId="40BC5D44">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w:t>
      </w:r>
      <w:r>
        <w:rPr>
          <w:rFonts w:hint="eastAsia" w:ascii="宋体" w:hAnsi="宋体" w:eastAsia="宋体" w:cs="宋体"/>
          <w:color w:val="auto"/>
          <w:kern w:val="2"/>
          <w:sz w:val="24"/>
          <w:szCs w:val="24"/>
          <w:highlight w:val="none"/>
          <w:lang w:val="en-US" w:eastAsia="zh-CN" w:bidi="en-US"/>
        </w:rPr>
        <w:t xml:space="preserve">17. </w:t>
      </w:r>
      <w:r>
        <w:rPr>
          <w:rFonts w:hint="eastAsia" w:ascii="宋体" w:hAnsi="宋体" w:eastAsia="宋体" w:cs="宋体"/>
          <w:color w:val="auto"/>
          <w:kern w:val="2"/>
          <w:sz w:val="24"/>
          <w:szCs w:val="24"/>
          <w:highlight w:val="none"/>
          <w:lang w:val="zh-CN" w:eastAsia="zh-CN" w:bidi="zh-CN"/>
        </w:rPr>
        <w:t>2款约定应支付的预付款和扣减的返还预付款；</w:t>
      </w:r>
    </w:p>
    <w:p w14:paraId="3B4934C2">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w:t>
      </w:r>
      <w:r>
        <w:rPr>
          <w:rFonts w:hint="eastAsia" w:ascii="宋体" w:hAnsi="宋体" w:eastAsia="宋体" w:cs="宋体"/>
          <w:color w:val="auto"/>
          <w:kern w:val="2"/>
          <w:sz w:val="24"/>
          <w:szCs w:val="24"/>
          <w:highlight w:val="none"/>
          <w:lang w:val="en-US" w:eastAsia="zh-CN" w:bidi="en-US"/>
        </w:rPr>
        <w:t xml:space="preserve">17.4. </w:t>
      </w:r>
      <w:r>
        <w:rPr>
          <w:rFonts w:hint="eastAsia" w:ascii="宋体" w:hAnsi="宋体" w:eastAsia="宋体" w:cs="宋体"/>
          <w:color w:val="auto"/>
          <w:kern w:val="2"/>
          <w:sz w:val="24"/>
          <w:szCs w:val="24"/>
          <w:highlight w:val="none"/>
          <w:lang w:val="zh-CN" w:eastAsia="zh-CN" w:bidi="zh-CN"/>
        </w:rPr>
        <w:t>1项约定应扣减的质量保证金；</w:t>
      </w:r>
    </w:p>
    <w:p w14:paraId="3FD3F151">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根据合同应增加和扣减的其他金额。</w:t>
      </w:r>
    </w:p>
    <w:p w14:paraId="547A943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17.3.3</w:t>
      </w:r>
      <w:r>
        <w:rPr>
          <w:rFonts w:hint="eastAsia" w:ascii="宋体" w:hAnsi="宋体" w:eastAsia="宋体" w:cs="宋体"/>
          <w:color w:val="auto"/>
          <w:kern w:val="2"/>
          <w:sz w:val="24"/>
          <w:szCs w:val="24"/>
          <w:highlight w:val="none"/>
          <w:lang w:val="zh-CN" w:eastAsia="zh-CN" w:bidi="zh-CN"/>
        </w:rPr>
        <w:t>进度付款证书和支付时间</w:t>
      </w:r>
    </w:p>
    <w:p w14:paraId="25D30C2B">
      <w:pPr>
        <w:pageBreakBefore w:val="0"/>
        <w:widowControl w:val="0"/>
        <w:numPr>
          <w:ilvl w:val="0"/>
          <w:numId w:val="21"/>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0C000FAE">
      <w:pPr>
        <w:pageBreakBefore w:val="0"/>
        <w:widowControl w:val="0"/>
        <w:numPr>
          <w:ilvl w:val="0"/>
          <w:numId w:val="21"/>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发包人应在监理人收到进度付款申请单后的28天内，将进度应付款支付给承包人。发包人不按期支付的，按专用合同条款的约定支付逾期付款违约金。</w:t>
      </w:r>
    </w:p>
    <w:p w14:paraId="5EB8B148">
      <w:pPr>
        <w:pageBreakBefore w:val="0"/>
        <w:widowControl w:val="0"/>
        <w:numPr>
          <w:ilvl w:val="0"/>
          <w:numId w:val="21"/>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监理人出具进度付款证书，不应视为监理人已同意、批准或接受了承包人完成的该部分工作。</w:t>
      </w:r>
    </w:p>
    <w:p w14:paraId="2279685C">
      <w:pPr>
        <w:pageBreakBefore w:val="0"/>
        <w:widowControl w:val="0"/>
        <w:numPr>
          <w:ilvl w:val="0"/>
          <w:numId w:val="21"/>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进度付款涉及政府投资资金的，按照国库集中支付等国家相关规定和专用合同条款的约定办理。</w:t>
      </w:r>
    </w:p>
    <w:p w14:paraId="79149F4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17.3.4</w:t>
      </w:r>
      <w:r>
        <w:rPr>
          <w:rFonts w:hint="eastAsia" w:ascii="宋体" w:hAnsi="宋体" w:eastAsia="宋体" w:cs="宋体"/>
          <w:color w:val="auto"/>
          <w:kern w:val="2"/>
          <w:sz w:val="24"/>
          <w:szCs w:val="24"/>
          <w:highlight w:val="none"/>
          <w:lang w:val="zh-CN" w:eastAsia="zh-CN" w:bidi="zh-CN"/>
        </w:rPr>
        <w:t>工程进度付款的修正</w:t>
      </w:r>
    </w:p>
    <w:p w14:paraId="32D1F0D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在对以往历次已签发的进度付款证书进行汇总和复核中发现错、漏或重复的，监理人有权予以修正，承包人也有权提出修正申请。经双方复核同意的修正，应在本次进度付款中支付或扣除。</w:t>
      </w:r>
    </w:p>
    <w:p w14:paraId="0A17E43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17.4质量保证金</w:t>
      </w:r>
    </w:p>
    <w:p w14:paraId="3957295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17.4.1</w:t>
      </w:r>
      <w:r>
        <w:rPr>
          <w:rFonts w:hint="eastAsia" w:ascii="宋体" w:hAnsi="宋体" w:eastAsia="宋体" w:cs="宋体"/>
          <w:color w:val="auto"/>
          <w:kern w:val="2"/>
          <w:sz w:val="24"/>
          <w:szCs w:val="24"/>
          <w:highlight w:val="none"/>
          <w:lang w:val="zh-CN" w:eastAsia="zh-CN" w:bidi="zh-CN"/>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7716BA8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17.4.2</w:t>
      </w:r>
      <w:r>
        <w:rPr>
          <w:rFonts w:hint="eastAsia" w:ascii="宋体" w:hAnsi="宋体" w:eastAsia="宋体" w:cs="宋体"/>
          <w:color w:val="auto"/>
          <w:kern w:val="2"/>
          <w:sz w:val="24"/>
          <w:szCs w:val="24"/>
          <w:highlight w:val="none"/>
          <w:lang w:val="zh-CN" w:eastAsia="zh-CN" w:bidi="zh-CN"/>
        </w:rPr>
        <w:t>在第</w:t>
      </w:r>
      <w:r>
        <w:rPr>
          <w:rFonts w:hint="eastAsia" w:ascii="宋体" w:hAnsi="宋体" w:eastAsia="宋体" w:cs="宋体"/>
          <w:color w:val="auto"/>
          <w:kern w:val="2"/>
          <w:sz w:val="24"/>
          <w:szCs w:val="24"/>
          <w:highlight w:val="none"/>
          <w:lang w:val="en-US" w:eastAsia="zh-CN" w:bidi="en-US"/>
        </w:rPr>
        <w:t xml:space="preserve">1.1. 4. </w:t>
      </w:r>
      <w:r>
        <w:rPr>
          <w:rFonts w:hint="eastAsia" w:ascii="宋体" w:hAnsi="宋体" w:eastAsia="宋体" w:cs="宋体"/>
          <w:color w:val="auto"/>
          <w:kern w:val="2"/>
          <w:sz w:val="24"/>
          <w:szCs w:val="24"/>
          <w:highlight w:val="none"/>
          <w:lang w:val="zh-CN" w:eastAsia="zh-CN" w:bidi="zh-CN"/>
        </w:rPr>
        <w:t>5目约定的缺陷责任期(工程质量保修期)满时，发包人将在30个工作日内会同承包人按照合同约定的内容核实承包人是否完成保修责任。如无异议，发包人应当在核实后将质量保证金支付给承包人。</w:t>
      </w:r>
    </w:p>
    <w:p w14:paraId="7701A8A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17.4.3</w:t>
      </w:r>
      <w:r>
        <w:rPr>
          <w:rFonts w:hint="eastAsia" w:ascii="宋体" w:hAnsi="宋体" w:eastAsia="宋体" w:cs="宋体"/>
          <w:color w:val="auto"/>
          <w:kern w:val="2"/>
          <w:sz w:val="24"/>
          <w:szCs w:val="24"/>
          <w:highlight w:val="none"/>
          <w:lang w:val="zh-CN" w:eastAsia="zh-CN" w:bidi="zh-CN"/>
        </w:rPr>
        <w:t>在第</w:t>
      </w:r>
      <w:r>
        <w:rPr>
          <w:rFonts w:hint="eastAsia" w:ascii="宋体" w:hAnsi="宋体" w:eastAsia="宋体" w:cs="宋体"/>
          <w:color w:val="auto"/>
          <w:kern w:val="2"/>
          <w:sz w:val="24"/>
          <w:szCs w:val="24"/>
          <w:highlight w:val="none"/>
          <w:lang w:val="en-US" w:eastAsia="zh-CN" w:bidi="en-US"/>
        </w:rPr>
        <w:t>1.1.4.</w:t>
      </w:r>
      <w:r>
        <w:rPr>
          <w:rFonts w:hint="eastAsia" w:ascii="宋体" w:hAnsi="宋体" w:eastAsia="宋体" w:cs="宋体"/>
          <w:color w:val="auto"/>
          <w:kern w:val="2"/>
          <w:sz w:val="24"/>
          <w:szCs w:val="24"/>
          <w:highlight w:val="none"/>
          <w:lang w:val="zh-CN" w:eastAsia="zh-CN" w:bidi="zh-CN"/>
        </w:rPr>
        <w:t>5目约定的缺陷责任期满时，承包人没有完成缺陷责任的，发包人有权扣留与未履行责任剩余工作所需金额相应的质量保证金余额，并有权根据第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3款约定要求延长缺陷责任期，直至完成剩余工作为止。</w:t>
      </w:r>
    </w:p>
    <w:p w14:paraId="3A8BC35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17.5竣工结算(完工结算)</w:t>
      </w:r>
    </w:p>
    <w:p w14:paraId="126F2FF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17.5.1</w:t>
      </w:r>
      <w:r>
        <w:rPr>
          <w:rFonts w:hint="eastAsia" w:ascii="宋体" w:hAnsi="宋体" w:eastAsia="宋体" w:cs="宋体"/>
          <w:color w:val="auto"/>
          <w:kern w:val="2"/>
          <w:sz w:val="24"/>
          <w:szCs w:val="24"/>
          <w:highlight w:val="none"/>
          <w:lang w:val="zh-CN" w:eastAsia="zh-CN" w:bidi="zh-CN"/>
        </w:rPr>
        <w:t>竣工(完工)付款申请单</w:t>
      </w:r>
    </w:p>
    <w:p w14:paraId="450E69FA">
      <w:pPr>
        <w:pageBreakBefore w:val="0"/>
        <w:widowControl w:val="0"/>
        <w:numPr>
          <w:ilvl w:val="0"/>
          <w:numId w:val="22"/>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合同工程完工证书颁发后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2CDCEADD">
      <w:pPr>
        <w:pageBreakBefore w:val="0"/>
        <w:widowControl w:val="0"/>
        <w:numPr>
          <w:ilvl w:val="0"/>
          <w:numId w:val="22"/>
        </w:numPr>
        <w:tabs>
          <w:tab w:val="left" w:pos="91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监理人对完工付款申请单有异议的，有权要求承包人进行修正和提供补充资料。经监理人和承包人协商后，由承包人向监理人提交修正后的完工付款申请单。</w:t>
      </w:r>
    </w:p>
    <w:p w14:paraId="719D163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17.5.2</w:t>
      </w:r>
      <w:r>
        <w:rPr>
          <w:rFonts w:hint="eastAsia" w:ascii="宋体" w:hAnsi="宋体" w:eastAsia="宋体" w:cs="宋体"/>
          <w:color w:val="auto"/>
          <w:kern w:val="2"/>
          <w:sz w:val="24"/>
          <w:szCs w:val="24"/>
          <w:highlight w:val="none"/>
          <w:lang w:val="zh-CN" w:eastAsia="zh-CN" w:bidi="zh-CN"/>
        </w:rPr>
        <w:t>竣工(完工)付款证书及支付时间</w:t>
      </w:r>
    </w:p>
    <w:p w14:paraId="3538A2FA">
      <w:pPr>
        <w:pageBreakBefore w:val="0"/>
        <w:widowControl w:val="0"/>
        <w:numPr>
          <w:ilvl w:val="0"/>
          <w:numId w:val="23"/>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为已经发包人书面同意。</w:t>
      </w:r>
    </w:p>
    <w:p w14:paraId="7249CBEB">
      <w:pPr>
        <w:pageBreakBefore w:val="0"/>
        <w:widowControl w:val="0"/>
        <w:numPr>
          <w:ilvl w:val="0"/>
          <w:numId w:val="23"/>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发包人应在监理人出具完工付款证书后的14天内，将应支付款支付给承包人。发包人不按期支付的，按第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(2)目的约定，将逾期付款违约金支付给承包人。</w:t>
      </w:r>
    </w:p>
    <w:p w14:paraId="5FF6FCF7">
      <w:pPr>
        <w:pageBreakBefore w:val="0"/>
        <w:widowControl w:val="0"/>
        <w:numPr>
          <w:ilvl w:val="0"/>
          <w:numId w:val="23"/>
        </w:numPr>
        <w:tabs>
          <w:tab w:val="left" w:pos="91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承包人对发包人签认的完工付款证书有异议的，发包人可出具完工付款申请单中承包人已同意部分的临时付款证书。存在争议的部分，按第24条的约定办理。</w:t>
      </w:r>
    </w:p>
    <w:p w14:paraId="522D8AAB">
      <w:pPr>
        <w:pageBreakBefore w:val="0"/>
        <w:widowControl w:val="0"/>
        <w:numPr>
          <w:ilvl w:val="0"/>
          <w:numId w:val="23"/>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完工付款涉及政府投资资金的，按第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(4)目的约定办理。</w:t>
      </w:r>
    </w:p>
    <w:p w14:paraId="7A5CD9E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17.6最终结清</w:t>
      </w:r>
    </w:p>
    <w:p w14:paraId="1B2C4D0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17.6.1</w:t>
      </w:r>
      <w:r>
        <w:rPr>
          <w:rFonts w:hint="eastAsia" w:ascii="宋体" w:hAnsi="宋体" w:eastAsia="宋体" w:cs="宋体"/>
          <w:color w:val="auto"/>
          <w:kern w:val="2"/>
          <w:sz w:val="24"/>
          <w:szCs w:val="24"/>
          <w:highlight w:val="none"/>
          <w:lang w:val="zh-CN" w:eastAsia="zh-CN" w:bidi="zh-CN"/>
        </w:rPr>
        <w:t>最终结清申请单</w:t>
      </w:r>
    </w:p>
    <w:p w14:paraId="6E970A21">
      <w:pPr>
        <w:pageBreakBefore w:val="0"/>
        <w:widowControl w:val="0"/>
        <w:numPr>
          <w:ilvl w:val="0"/>
          <w:numId w:val="24"/>
        </w:numPr>
        <w:tabs>
          <w:tab w:val="left" w:pos="89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工程质量保修责任终止证书签发后，承包人应按监理人批准的格式提交最终结清申请单。提交最终结清申请单的份数在专用合同条款中约定。</w:t>
      </w:r>
    </w:p>
    <w:p w14:paraId="364E5185">
      <w:pPr>
        <w:pageBreakBefore w:val="0"/>
        <w:widowControl w:val="0"/>
        <w:numPr>
          <w:ilvl w:val="0"/>
          <w:numId w:val="24"/>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发包人对最终结清申请单内容有异议的，有权要求承包人进行修正和提供补充资料，由承包人向监理人提交修正后的最终结清申请单。</w:t>
      </w:r>
    </w:p>
    <w:p w14:paraId="165A8AD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17.6.2</w:t>
      </w:r>
      <w:r>
        <w:rPr>
          <w:rFonts w:hint="eastAsia" w:ascii="宋体" w:hAnsi="宋体" w:eastAsia="宋体" w:cs="宋体"/>
          <w:color w:val="auto"/>
          <w:kern w:val="2"/>
          <w:sz w:val="24"/>
          <w:szCs w:val="24"/>
          <w:highlight w:val="none"/>
          <w:lang w:val="zh-CN" w:eastAsia="zh-CN" w:bidi="zh-CN"/>
        </w:rPr>
        <w:t>最终结清证书和支付时间</w:t>
      </w:r>
    </w:p>
    <w:p w14:paraId="7E09D1ED">
      <w:pPr>
        <w:pageBreakBefore w:val="0"/>
        <w:widowControl w:val="0"/>
        <w:numPr>
          <w:ilvl w:val="0"/>
          <w:numId w:val="25"/>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书面同意。</w:t>
      </w:r>
    </w:p>
    <w:p w14:paraId="16145408">
      <w:pPr>
        <w:pageBreakBefore w:val="0"/>
        <w:widowControl w:val="0"/>
        <w:numPr>
          <w:ilvl w:val="0"/>
          <w:numId w:val="25"/>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发包人应在监理人出具最终结清证书后的14天内，将应支付款支付给承包人。发包人不按期支付的，按第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(2)目的约定，将逾期付款违约金支付给承包人。</w:t>
      </w:r>
    </w:p>
    <w:p w14:paraId="65782909">
      <w:pPr>
        <w:pageBreakBefore w:val="0"/>
        <w:widowControl w:val="0"/>
        <w:numPr>
          <w:ilvl w:val="0"/>
          <w:numId w:val="2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承包人对发包人签认的最终结清证书有异议的，按第24条的约定办理。</w:t>
      </w:r>
    </w:p>
    <w:p w14:paraId="475B40E5">
      <w:pPr>
        <w:pageBreakBefore w:val="0"/>
        <w:widowControl w:val="0"/>
        <w:numPr>
          <w:ilvl w:val="0"/>
          <w:numId w:val="2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最终结清付款涉及政府投资资金的，按第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(4)目的约定办理。</w:t>
      </w:r>
    </w:p>
    <w:p w14:paraId="5446461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17.7竣工财务决算</w:t>
      </w:r>
    </w:p>
    <w:p w14:paraId="6826EDE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发包人负责编制本工程项目竣工财务决算，承包人应按专用合同条款的约定提供竣工财务决算编制所需的相关材料。</w:t>
      </w:r>
    </w:p>
    <w:p w14:paraId="415C7C5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17.8竣工审计</w:t>
      </w:r>
    </w:p>
    <w:p w14:paraId="6D3F1BF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发包人负责完成本工程竣工审计手续，承包人应完成相关配合工作。</w:t>
      </w:r>
    </w:p>
    <w:p w14:paraId="248DA079">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1" w:name="_Toc1631"/>
      <w:r>
        <w:rPr>
          <w:rFonts w:hint="eastAsia" w:ascii="宋体" w:hAnsi="宋体" w:eastAsia="宋体" w:cs="宋体"/>
          <w:color w:val="auto"/>
          <w:kern w:val="2"/>
          <w:sz w:val="24"/>
          <w:szCs w:val="24"/>
          <w:highlight w:val="none"/>
          <w:lang w:val="en-US" w:eastAsia="zh-CN" w:bidi="ar-SA"/>
        </w:rPr>
        <w:t>18.竣工验收（验收）</w:t>
      </w:r>
      <w:bookmarkEnd w:id="221"/>
    </w:p>
    <w:p w14:paraId="7B36FCC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18.1验收工作分类</w:t>
      </w:r>
    </w:p>
    <w:p w14:paraId="59CF5D7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1998B81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18.2分部工程验收</w:t>
      </w:r>
    </w:p>
    <w:p w14:paraId="43E7071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18.2.1</w:t>
      </w:r>
      <w:r>
        <w:rPr>
          <w:rFonts w:hint="eastAsia" w:ascii="宋体" w:hAnsi="宋体" w:eastAsia="宋体" w:cs="宋体"/>
          <w:color w:val="auto"/>
          <w:kern w:val="2"/>
          <w:sz w:val="24"/>
          <w:szCs w:val="24"/>
          <w:highlight w:val="none"/>
          <w:lang w:val="zh-CN" w:eastAsia="zh-CN" w:bidi="zh-CN"/>
        </w:rPr>
        <w:t>分部工程具备验收条件时，承包人应向发包人提交验收申请报告，发包人应在收到验收申请报告之日起10个工作日内决定是否同意进行验收。</w:t>
      </w:r>
    </w:p>
    <w:p w14:paraId="2FC173B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18.2.2</w:t>
      </w:r>
      <w:r>
        <w:rPr>
          <w:rFonts w:hint="eastAsia" w:ascii="宋体" w:hAnsi="宋体" w:eastAsia="宋体" w:cs="宋体"/>
          <w:color w:val="auto"/>
          <w:kern w:val="2"/>
          <w:sz w:val="24"/>
          <w:szCs w:val="24"/>
          <w:highlight w:val="none"/>
          <w:lang w:val="zh-CN" w:eastAsia="zh-CN" w:bidi="zh-CN"/>
        </w:rPr>
        <w:t>除专用合同条款另有约定外，监理人主持分部工程验收，承包人应派符合条件的代表参加验收工作组。</w:t>
      </w:r>
    </w:p>
    <w:p w14:paraId="16D14D4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18.2.3</w:t>
      </w:r>
      <w:r>
        <w:rPr>
          <w:rFonts w:hint="eastAsia" w:ascii="宋体" w:hAnsi="宋体" w:eastAsia="宋体" w:cs="宋体"/>
          <w:color w:val="auto"/>
          <w:kern w:val="2"/>
          <w:sz w:val="24"/>
          <w:szCs w:val="24"/>
          <w:highlight w:val="none"/>
          <w:lang w:val="zh-CN" w:eastAsia="zh-CN" w:bidi="zh-CN"/>
        </w:rPr>
        <w:t>分部工程验收通过后，发包人向承包人发送分部工程验收鉴定书。承包人应及时完成分部工程验收鉴定书载明应由承包人处理的遗留问题。</w:t>
      </w:r>
    </w:p>
    <w:p w14:paraId="2A1BD14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18.3单位工程验收</w:t>
      </w:r>
    </w:p>
    <w:p w14:paraId="26DA824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18.3.1</w:t>
      </w:r>
      <w:r>
        <w:rPr>
          <w:rFonts w:hint="eastAsia" w:ascii="宋体" w:hAnsi="宋体" w:eastAsia="宋体" w:cs="宋体"/>
          <w:color w:val="auto"/>
          <w:kern w:val="2"/>
          <w:sz w:val="24"/>
          <w:szCs w:val="24"/>
          <w:highlight w:val="none"/>
          <w:lang w:val="zh-CN" w:eastAsia="zh-CN" w:bidi="zh-CN"/>
        </w:rPr>
        <w:t>单位工程具备验收条件时，承包人应向发包人提交验收申请报告，发包人应在收到验收申请报告之日起10个工作日内决定是否同意进行验收。</w:t>
      </w:r>
    </w:p>
    <w:p w14:paraId="7E461B8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18.3.2</w:t>
      </w:r>
      <w:r>
        <w:rPr>
          <w:rFonts w:hint="eastAsia" w:ascii="宋体" w:hAnsi="宋体" w:eastAsia="宋体" w:cs="宋体"/>
          <w:color w:val="auto"/>
          <w:kern w:val="2"/>
          <w:sz w:val="24"/>
          <w:szCs w:val="24"/>
          <w:highlight w:val="none"/>
          <w:lang w:val="zh-CN" w:eastAsia="zh-CN" w:bidi="zh-CN"/>
        </w:rPr>
        <w:t>发包人主持单位工程验收，承包人应派符合条件的代表参加验收工作组。</w:t>
      </w:r>
    </w:p>
    <w:p w14:paraId="0F69D86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18.3.3</w:t>
      </w:r>
      <w:r>
        <w:rPr>
          <w:rFonts w:hint="eastAsia" w:ascii="宋体" w:hAnsi="宋体" w:eastAsia="宋体" w:cs="宋体"/>
          <w:color w:val="auto"/>
          <w:kern w:val="2"/>
          <w:sz w:val="24"/>
          <w:szCs w:val="24"/>
          <w:highlight w:val="none"/>
          <w:lang w:val="zh-CN" w:eastAsia="zh-CN" w:bidi="zh-CN"/>
        </w:rPr>
        <w:t>单位工程验收通过后，发包人向承包人发送单位工程验收鉴定书。承包人应及时完成单位工程验收鉴定书载明应由承包人处理的遗留问题。</w:t>
      </w:r>
    </w:p>
    <w:p w14:paraId="171BB9A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18.3.4</w:t>
      </w:r>
      <w:r>
        <w:rPr>
          <w:rFonts w:hint="eastAsia" w:ascii="宋体" w:hAnsi="宋体" w:eastAsia="宋体" w:cs="宋体"/>
          <w:color w:val="auto"/>
          <w:kern w:val="2"/>
          <w:sz w:val="24"/>
          <w:szCs w:val="24"/>
          <w:highlight w:val="none"/>
          <w:lang w:val="zh-CN" w:eastAsia="zh-CN" w:bidi="zh-CN"/>
        </w:rPr>
        <w:t>需提前投入使用的单位工程在专用合同条款中明确。</w:t>
      </w:r>
    </w:p>
    <w:p w14:paraId="0F7C0AB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18.4合同工程验收</w:t>
      </w:r>
    </w:p>
    <w:p w14:paraId="4E91A19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18.4.1</w:t>
      </w:r>
      <w:r>
        <w:rPr>
          <w:rFonts w:hint="eastAsia" w:ascii="宋体" w:hAnsi="宋体" w:eastAsia="宋体" w:cs="宋体"/>
          <w:color w:val="auto"/>
          <w:kern w:val="2"/>
          <w:sz w:val="24"/>
          <w:szCs w:val="24"/>
          <w:highlight w:val="none"/>
          <w:lang w:val="zh-CN" w:eastAsia="zh-CN" w:bidi="zh-CN"/>
        </w:rPr>
        <w:t>合同工程具备验收条件时，承包人应向发包人提交验收申请报告，发包人应在收到验收申请报告之日起20个工作日内决定是否同意进行验收。</w:t>
      </w:r>
    </w:p>
    <w:p w14:paraId="7DC72D6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18.4.2</w:t>
      </w:r>
      <w:r>
        <w:rPr>
          <w:rFonts w:hint="eastAsia" w:ascii="宋体" w:hAnsi="宋体" w:eastAsia="宋体" w:cs="宋体"/>
          <w:color w:val="auto"/>
          <w:kern w:val="2"/>
          <w:sz w:val="24"/>
          <w:szCs w:val="24"/>
          <w:highlight w:val="none"/>
          <w:lang w:val="zh-CN" w:eastAsia="zh-CN" w:bidi="zh-CN"/>
        </w:rPr>
        <w:t>发包人主持合同工程验收，承包人应派项目经理参加验收工作组。</w:t>
      </w:r>
    </w:p>
    <w:p w14:paraId="10871A8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18.4.3</w:t>
      </w:r>
      <w:r>
        <w:rPr>
          <w:rFonts w:hint="eastAsia" w:ascii="宋体" w:hAnsi="宋体" w:eastAsia="宋体" w:cs="宋体"/>
          <w:color w:val="auto"/>
          <w:kern w:val="2"/>
          <w:sz w:val="24"/>
          <w:szCs w:val="24"/>
          <w:highlight w:val="none"/>
          <w:lang w:val="zh-CN" w:eastAsia="zh-CN" w:bidi="zh-CN"/>
        </w:rPr>
        <w:t>合同工程验收通过后，发包人向承包人发送合同工程验收鉴定书。承包人应及时完成合同工程验收鉴定书载明应由承包人处理的遗留问题。</w:t>
      </w:r>
    </w:p>
    <w:p w14:paraId="690D62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18.4.4</w:t>
      </w:r>
      <w:r>
        <w:rPr>
          <w:rFonts w:hint="eastAsia" w:ascii="宋体" w:hAnsi="宋体" w:eastAsia="宋体" w:cs="宋体"/>
          <w:color w:val="auto"/>
          <w:kern w:val="2"/>
          <w:sz w:val="24"/>
          <w:szCs w:val="24"/>
          <w:highlight w:val="none"/>
          <w:lang w:val="zh-CN" w:eastAsia="zh-CN" w:bidi="zh-CN"/>
        </w:rPr>
        <w:t>合同工程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30个工作日内向承包人颁发竣工验收鉴定书。</w:t>
      </w:r>
    </w:p>
    <w:p w14:paraId="34B07F8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18.5阶段验收</w:t>
      </w:r>
    </w:p>
    <w:p w14:paraId="2ABF8FC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18.5.1</w:t>
      </w:r>
      <w:r>
        <w:rPr>
          <w:rFonts w:hint="eastAsia" w:ascii="宋体" w:hAnsi="宋体" w:eastAsia="宋体" w:cs="宋体"/>
          <w:color w:val="auto"/>
          <w:kern w:val="2"/>
          <w:sz w:val="24"/>
          <w:szCs w:val="24"/>
          <w:highlight w:val="none"/>
          <w:lang w:val="zh-CN" w:eastAsia="zh-CN" w:bidi="zh-CN"/>
        </w:rPr>
        <w:t>工程建设具备阶段验收条件时，发包人负责提出阶段验收申请报告。承包人应派代表参加阶段验收，并作为被验收单位在验收鉴定书上签字。阶段验收的具体类别在专用合同条款中约定。</w:t>
      </w:r>
    </w:p>
    <w:p w14:paraId="64B543EB">
      <w:pPr>
        <w:pageBreakBefore w:val="0"/>
        <w:widowControl w:val="0"/>
        <w:tabs>
          <w:tab w:val="left" w:pos="84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18.5.</w:t>
      </w:r>
      <w:r>
        <w:rPr>
          <w:rFonts w:hint="eastAsia" w:ascii="宋体" w:hAnsi="宋体" w:eastAsia="宋体" w:cs="宋体"/>
          <w:color w:val="auto"/>
          <w:kern w:val="2"/>
          <w:sz w:val="24"/>
          <w:szCs w:val="24"/>
          <w:highlight w:val="none"/>
          <w:lang w:val="zh-CN" w:eastAsia="zh-CN" w:bidi="zh-CN"/>
        </w:rPr>
        <w:t>2承包人应及时完成阶段验收鉴定书载明应由承包人处理的遗留问题。</w:t>
      </w:r>
    </w:p>
    <w:p w14:paraId="522004C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18.6专项验收</w:t>
      </w:r>
    </w:p>
    <w:p w14:paraId="56029DE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18.6.1</w:t>
      </w:r>
      <w:r>
        <w:rPr>
          <w:rFonts w:hint="eastAsia" w:ascii="宋体" w:hAnsi="宋体" w:eastAsia="宋体" w:cs="宋体"/>
          <w:color w:val="auto"/>
          <w:kern w:val="2"/>
          <w:sz w:val="24"/>
          <w:szCs w:val="24"/>
          <w:highlight w:val="none"/>
          <w:lang w:val="zh-CN" w:eastAsia="zh-CN" w:bidi="zh-CN"/>
        </w:rPr>
        <w:t>发包人负责提出专项验收申请报告。承包人应按专项验收的相关规定参加专项验收。专项验收的具体类别在专用合同条款中约定。</w:t>
      </w:r>
    </w:p>
    <w:p w14:paraId="577984B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18.6.</w:t>
      </w:r>
      <w:r>
        <w:rPr>
          <w:rFonts w:hint="eastAsia" w:ascii="宋体" w:hAnsi="宋体" w:eastAsia="宋体" w:cs="宋体"/>
          <w:color w:val="auto"/>
          <w:kern w:val="2"/>
          <w:sz w:val="24"/>
          <w:szCs w:val="24"/>
          <w:highlight w:val="none"/>
          <w:lang w:val="zh-CN" w:eastAsia="zh-CN" w:bidi="zh-CN"/>
        </w:rPr>
        <w:t>2承包应及时完成专项验收成果性文件载明应由承包人处理的遗留问题。</w:t>
      </w:r>
    </w:p>
    <w:p w14:paraId="71E71CC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18.7竣工验收</w:t>
      </w:r>
    </w:p>
    <w:p w14:paraId="36E912F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18.7.1</w:t>
      </w:r>
      <w:r>
        <w:rPr>
          <w:rFonts w:hint="eastAsia" w:ascii="宋体" w:hAnsi="宋体" w:eastAsia="宋体" w:cs="宋体"/>
          <w:color w:val="auto"/>
          <w:kern w:val="2"/>
          <w:sz w:val="24"/>
          <w:szCs w:val="24"/>
          <w:highlight w:val="none"/>
          <w:lang w:val="zh-CN" w:eastAsia="zh-CN" w:bidi="zh-CN"/>
        </w:rPr>
        <w:t>申请竣工验收前，发包人组织竣工验收自查，承包人应派项目经理或技术负责人参加。</w:t>
      </w:r>
    </w:p>
    <w:p w14:paraId="16106F5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18.7.2</w:t>
      </w:r>
      <w:r>
        <w:rPr>
          <w:rFonts w:hint="eastAsia" w:ascii="宋体" w:hAnsi="宋体" w:eastAsia="宋体" w:cs="宋体"/>
          <w:color w:val="auto"/>
          <w:kern w:val="2"/>
          <w:sz w:val="24"/>
          <w:szCs w:val="24"/>
          <w:highlight w:val="none"/>
          <w:lang w:val="zh-CN" w:eastAsia="zh-CN" w:bidi="zh-CN"/>
        </w:rPr>
        <w:t>竣工验收分为竣工技术预验收和竣工验收两个阶段，发包人应通知承包人派法定代表人或项目经理参加技术预验收和竣工验收。</w:t>
      </w:r>
    </w:p>
    <w:p w14:paraId="22A2A96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18.7.3</w:t>
      </w:r>
      <w:r>
        <w:rPr>
          <w:rFonts w:hint="eastAsia" w:ascii="宋体" w:hAnsi="宋体" w:eastAsia="宋体" w:cs="宋体"/>
          <w:color w:val="auto"/>
          <w:kern w:val="2"/>
          <w:sz w:val="24"/>
          <w:szCs w:val="24"/>
          <w:highlight w:val="none"/>
          <w:lang w:val="zh-CN" w:eastAsia="zh-CN" w:bidi="zh-CN"/>
        </w:rPr>
        <w:t>专用合同条款约定工程需要进行技术鉴定的，承包人应提交有关资料并完成配合工作。</w:t>
      </w:r>
    </w:p>
    <w:p w14:paraId="395E020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18.7.4</w:t>
      </w:r>
      <w:r>
        <w:rPr>
          <w:rFonts w:hint="eastAsia" w:ascii="宋体" w:hAnsi="宋体" w:eastAsia="宋体" w:cs="宋体"/>
          <w:color w:val="auto"/>
          <w:kern w:val="2"/>
          <w:sz w:val="24"/>
          <w:szCs w:val="24"/>
          <w:highlight w:val="none"/>
          <w:lang w:val="zh-CN" w:eastAsia="zh-CN" w:bidi="zh-CN"/>
        </w:rPr>
        <w:t>竣工验收需要进行质量检测的，所需费用由发包人承担，但因承包人原因造成质量不合格的除外。</w:t>
      </w:r>
    </w:p>
    <w:p w14:paraId="127C182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18.7.5</w:t>
      </w:r>
      <w:r>
        <w:rPr>
          <w:rFonts w:hint="eastAsia" w:ascii="宋体" w:hAnsi="宋体" w:eastAsia="宋体" w:cs="宋体"/>
          <w:color w:val="auto"/>
          <w:kern w:val="2"/>
          <w:sz w:val="24"/>
          <w:szCs w:val="24"/>
          <w:highlight w:val="none"/>
          <w:lang w:val="zh-CN" w:eastAsia="zh-CN" w:bidi="zh-CN"/>
        </w:rPr>
        <w:t>工程质量保修期满以及竣工验收遗留问题和尾工处理完成并通过验收后，发包人负责将处理情况和验收成果报送竣工验收主持单位，申请领取工程竣工证书，并发送承包人。</w:t>
      </w:r>
    </w:p>
    <w:p w14:paraId="2B2033D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18.8施工期运行</w:t>
      </w:r>
    </w:p>
    <w:p w14:paraId="4CA2FBD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18.8.1</w:t>
      </w:r>
      <w:r>
        <w:rPr>
          <w:rFonts w:hint="eastAsia" w:ascii="宋体" w:hAnsi="宋体" w:eastAsia="宋体" w:cs="宋体"/>
          <w:color w:val="auto"/>
          <w:kern w:val="2"/>
          <w:sz w:val="24"/>
          <w:szCs w:val="24"/>
          <w:highlight w:val="none"/>
          <w:lang w:val="zh-CN" w:eastAsia="zh-CN" w:bidi="zh-CN"/>
        </w:rPr>
        <w:t>施工期运行是指合同工程尚未全部完工，其中某单位工程或部分工程已完工, 需要投入施工期运行的，经发包人按第</w:t>
      </w:r>
      <w:r>
        <w:rPr>
          <w:rFonts w:hint="eastAsia" w:ascii="宋体" w:hAnsi="宋体" w:eastAsia="宋体" w:cs="宋体"/>
          <w:color w:val="auto"/>
          <w:kern w:val="2"/>
          <w:sz w:val="24"/>
          <w:szCs w:val="24"/>
          <w:highlight w:val="none"/>
          <w:lang w:val="en-US" w:eastAsia="zh-CN" w:bidi="en-US"/>
        </w:rPr>
        <w:t xml:space="preserve">18. </w:t>
      </w:r>
      <w:r>
        <w:rPr>
          <w:rFonts w:hint="eastAsia" w:ascii="宋体" w:hAnsi="宋体" w:eastAsia="宋体" w:cs="宋体"/>
          <w:color w:val="auto"/>
          <w:kern w:val="2"/>
          <w:sz w:val="24"/>
          <w:szCs w:val="24"/>
          <w:highlight w:val="none"/>
          <w:lang w:val="zh-CN" w:eastAsia="zh-CN" w:bidi="zh-CN"/>
        </w:rPr>
        <w:t>2款或第</w:t>
      </w:r>
      <w:r>
        <w:rPr>
          <w:rFonts w:hint="eastAsia" w:ascii="宋体" w:hAnsi="宋体" w:eastAsia="宋体" w:cs="宋体"/>
          <w:color w:val="auto"/>
          <w:kern w:val="2"/>
          <w:sz w:val="24"/>
          <w:szCs w:val="24"/>
          <w:highlight w:val="none"/>
          <w:lang w:val="en-US" w:eastAsia="zh-CN" w:bidi="en-US"/>
        </w:rPr>
        <w:t xml:space="preserve">18. </w:t>
      </w:r>
      <w:r>
        <w:rPr>
          <w:rFonts w:hint="eastAsia" w:ascii="宋体" w:hAnsi="宋体" w:eastAsia="宋体" w:cs="宋体"/>
          <w:color w:val="auto"/>
          <w:kern w:val="2"/>
          <w:sz w:val="24"/>
          <w:szCs w:val="24"/>
          <w:highlight w:val="none"/>
          <w:lang w:val="zh-CN" w:eastAsia="zh-CN" w:bidi="zh-CN"/>
        </w:rPr>
        <w:t>3款的约定验收合格，证明能确保安全后，才能在施工期投入运行。需要在施工期运行的单位工程或部分工程在专用合同条款中约定。</w:t>
      </w:r>
    </w:p>
    <w:p w14:paraId="442978D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18.8.2</w:t>
      </w:r>
      <w:r>
        <w:rPr>
          <w:rFonts w:hint="eastAsia" w:ascii="宋体" w:hAnsi="宋体" w:eastAsia="宋体" w:cs="宋体"/>
          <w:color w:val="auto"/>
          <w:kern w:val="2"/>
          <w:sz w:val="24"/>
          <w:szCs w:val="24"/>
          <w:highlight w:val="none"/>
          <w:lang w:val="zh-CN" w:eastAsia="zh-CN" w:bidi="zh-CN"/>
        </w:rPr>
        <w:t>在施工期运行中发现工程或工程设备损坏或存在缺陷的，由承包人按第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2 款约定进行修复。</w:t>
      </w:r>
    </w:p>
    <w:p w14:paraId="6956CE1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18.9试运行</w:t>
      </w:r>
    </w:p>
    <w:p w14:paraId="60D29F7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18.9.1</w:t>
      </w:r>
      <w:r>
        <w:rPr>
          <w:rFonts w:hint="eastAsia" w:ascii="宋体" w:hAnsi="宋体" w:eastAsia="宋体" w:cs="宋体"/>
          <w:color w:val="auto"/>
          <w:kern w:val="2"/>
          <w:sz w:val="24"/>
          <w:szCs w:val="24"/>
          <w:highlight w:val="none"/>
          <w:lang w:val="zh-CN" w:eastAsia="zh-CN" w:bidi="zh-CN"/>
        </w:rPr>
        <w:t>除专用合同条款另有约定外，承包人应按规定进行工程及工程设备试运行, 负责提供试运行所需的人员、器材和必要的条件，并承担全部试运行费用。</w:t>
      </w:r>
    </w:p>
    <w:p w14:paraId="67BE699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18.9.2</w:t>
      </w:r>
      <w:r>
        <w:rPr>
          <w:rFonts w:hint="eastAsia" w:ascii="宋体" w:hAnsi="宋体" w:eastAsia="宋体" w:cs="宋体"/>
          <w:color w:val="auto"/>
          <w:kern w:val="2"/>
          <w:sz w:val="24"/>
          <w:szCs w:val="24"/>
          <w:highlight w:val="none"/>
          <w:lang w:val="zh-CN" w:eastAsia="zh-CN" w:bidi="zh-CN"/>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p>
    <w:p w14:paraId="0D56032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18.10竣工（完工）清场</w:t>
      </w:r>
    </w:p>
    <w:p w14:paraId="6CA9382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18.10.1</w:t>
      </w:r>
      <w:r>
        <w:rPr>
          <w:rFonts w:hint="eastAsia" w:ascii="宋体" w:hAnsi="宋体" w:eastAsia="宋体" w:cs="宋体"/>
          <w:color w:val="auto"/>
          <w:kern w:val="2"/>
          <w:sz w:val="24"/>
          <w:szCs w:val="24"/>
          <w:highlight w:val="none"/>
          <w:lang w:val="zh-CN" w:eastAsia="zh-CN" w:bidi="zh-CN"/>
        </w:rPr>
        <w:t>工程项目竣工（完工）清场的工作范围和内容在技术标准和要求（合同技术条款）中约定。</w:t>
      </w:r>
    </w:p>
    <w:p w14:paraId="484F5B0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18.10.2</w:t>
      </w:r>
      <w:r>
        <w:rPr>
          <w:rFonts w:hint="eastAsia" w:ascii="宋体" w:hAnsi="宋体" w:eastAsia="宋体" w:cs="宋体"/>
          <w:color w:val="auto"/>
          <w:kern w:val="2"/>
          <w:sz w:val="24"/>
          <w:szCs w:val="24"/>
          <w:highlight w:val="none"/>
          <w:lang w:val="zh-CN" w:eastAsia="zh-CN" w:bidi="zh-CN"/>
        </w:rPr>
        <w:t>承包未按监理人的要求恢复临时占地，或者场地清理未达到合同约定的，发包人有权委托其它人恢复或清理，所发生的金额从拟支付给承包人的款项中扣除。</w:t>
      </w:r>
    </w:p>
    <w:p w14:paraId="1DCDD38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18.11施工队伍的撤离</w:t>
      </w:r>
    </w:p>
    <w:p w14:paraId="6BDEE5B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竣工验收鉴定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 承包人的人员和施工设备应全部撤离施工场地。</w:t>
      </w:r>
    </w:p>
    <w:p w14:paraId="7BDE5563">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2" w:name="_Toc10782"/>
      <w:r>
        <w:rPr>
          <w:rFonts w:hint="eastAsia" w:ascii="宋体" w:hAnsi="宋体" w:eastAsia="宋体" w:cs="宋体"/>
          <w:color w:val="auto"/>
          <w:kern w:val="2"/>
          <w:sz w:val="24"/>
          <w:szCs w:val="24"/>
          <w:highlight w:val="none"/>
          <w:lang w:val="en-US" w:eastAsia="zh-CN" w:bidi="ar-SA"/>
        </w:rPr>
        <w:t>19.缺陷责任与保修责任</w:t>
      </w:r>
      <w:bookmarkEnd w:id="222"/>
    </w:p>
    <w:p w14:paraId="1A34D49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19.1缺陷责任期（工程质量保修期）的起算时间</w:t>
      </w:r>
    </w:p>
    <w:p w14:paraId="64A0417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除专用合同条款另有约定外，缺陷责任期（工程质量保修期）从工程通过合同工程验收后开始计算。在合同工程验收前，已经发包人提前验收的单位工程或部分工程, 若未投入使用，其缺陷责任期（工程质量保修期）亦从工程通过合同工程验收后开始计算；若已投入使用，其缺陷责任期（工程质量保修期）从通过单位工程或部分工程投入使用验收后开始计算。缺陷责任期（工程质量保修期）的期限在专用合同条款中约定。</w:t>
      </w:r>
    </w:p>
    <w:p w14:paraId="41938B8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19.2缺陷责任</w:t>
      </w:r>
    </w:p>
    <w:p w14:paraId="3F1A3D89">
      <w:pPr>
        <w:pageBreakBefore w:val="0"/>
        <w:widowControl w:val="0"/>
        <w:tabs>
          <w:tab w:val="left" w:pos="85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19.2. </w:t>
      </w:r>
      <w:r>
        <w:rPr>
          <w:rFonts w:hint="eastAsia" w:ascii="宋体" w:hAnsi="宋体" w:eastAsia="宋体" w:cs="宋体"/>
          <w:color w:val="auto"/>
          <w:kern w:val="2"/>
          <w:sz w:val="24"/>
          <w:szCs w:val="24"/>
          <w:highlight w:val="none"/>
          <w:lang w:val="zh-CN" w:eastAsia="zh-CN" w:bidi="zh-CN"/>
        </w:rPr>
        <w:t>1承包人应在缺陷责任期内对已交付使用的工程承担缺陷责任。</w:t>
      </w:r>
    </w:p>
    <w:p w14:paraId="6841B77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19.2.2</w:t>
      </w:r>
      <w:r>
        <w:rPr>
          <w:rFonts w:hint="eastAsia" w:ascii="宋体" w:hAnsi="宋体" w:eastAsia="宋体" w:cs="宋体"/>
          <w:color w:val="auto"/>
          <w:kern w:val="2"/>
          <w:sz w:val="24"/>
          <w:szCs w:val="24"/>
          <w:highlight w:val="none"/>
          <w:lang w:val="zh-CN" w:eastAsia="zh-CN" w:bidi="zh-CN"/>
        </w:rPr>
        <w:t>缺陷责任期内，发包人对已接收使用的工程负责日常维护工作。发包人在使用过程中，发现已接收的工程存在新的缺陷或已修复的缺陷部位或部件又遭损坏的，承包人应负责修复，直至检验合格为止。</w:t>
      </w:r>
    </w:p>
    <w:p w14:paraId="34D885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19.2.3</w:t>
      </w:r>
      <w:r>
        <w:rPr>
          <w:rFonts w:hint="eastAsia" w:ascii="宋体" w:hAnsi="宋体" w:eastAsia="宋体" w:cs="宋体"/>
          <w:color w:val="auto"/>
          <w:kern w:val="2"/>
          <w:sz w:val="24"/>
          <w:szCs w:val="24"/>
          <w:highlight w:val="none"/>
          <w:lang w:val="zh-CN" w:eastAsia="zh-CN" w:bidi="zh-CN"/>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7945FF9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19.2.4</w:t>
      </w:r>
      <w:r>
        <w:rPr>
          <w:rFonts w:hint="eastAsia" w:ascii="宋体" w:hAnsi="宋体" w:eastAsia="宋体" w:cs="宋体"/>
          <w:color w:val="auto"/>
          <w:kern w:val="2"/>
          <w:sz w:val="24"/>
          <w:szCs w:val="24"/>
          <w:highlight w:val="none"/>
          <w:lang w:val="zh-CN" w:eastAsia="zh-CN" w:bidi="zh-CN"/>
        </w:rPr>
        <w:t>承包人不能在合理时间内修复缺陷的，发包人可自行修复或委托其他人修复, 所需费用和利润的承担，按第</w:t>
      </w:r>
      <w:r>
        <w:rPr>
          <w:rFonts w:hint="eastAsia" w:ascii="宋体" w:hAnsi="宋体" w:eastAsia="宋体" w:cs="宋体"/>
          <w:color w:val="auto"/>
          <w:kern w:val="2"/>
          <w:sz w:val="24"/>
          <w:szCs w:val="24"/>
          <w:highlight w:val="none"/>
          <w:lang w:val="en-US" w:eastAsia="zh-CN" w:bidi="en-US"/>
        </w:rPr>
        <w:t>19.2.</w:t>
      </w:r>
      <w:r>
        <w:rPr>
          <w:rFonts w:hint="eastAsia" w:ascii="宋体" w:hAnsi="宋体" w:eastAsia="宋体" w:cs="宋体"/>
          <w:color w:val="auto"/>
          <w:kern w:val="2"/>
          <w:sz w:val="24"/>
          <w:szCs w:val="24"/>
          <w:highlight w:val="none"/>
          <w:lang w:val="zh-CN" w:eastAsia="zh-CN" w:bidi="zh-CN"/>
        </w:rPr>
        <w:t>3项约定办理。</w:t>
      </w:r>
    </w:p>
    <w:p w14:paraId="060ABBD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19.4进一步试验和试运行</w:t>
      </w:r>
    </w:p>
    <w:p w14:paraId="679F49B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任何一项缺陷或损坏修复后，经检查证明其影响了工程或工程设备的使用性能，承包人应重新进行合同约定的试验和试运行，试验和试运行的全部费用应由责任方承担。</w:t>
      </w:r>
    </w:p>
    <w:p w14:paraId="70D30A5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19.3缺陷责任期的延长</w:t>
      </w:r>
    </w:p>
    <w:p w14:paraId="4100398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由于承包人原因造成某项缺陷或损坏使某项工程或工程设备不能按原定目标使用而需要再次检查、检验和修复的，发包人有权要求承包人相应延长缺陷责任期，但缺陷责任期最长不超过2年。</w:t>
      </w:r>
    </w:p>
    <w:p w14:paraId="2C1B86C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19.5承包人的进入权</w:t>
      </w:r>
    </w:p>
    <w:p w14:paraId="0117B57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缺陷责任期内承包人为缺陷修复工作需要，有权进入工程现场，但应遵守发包人的保安和保密规定。</w:t>
      </w:r>
    </w:p>
    <w:p w14:paraId="72D2175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19.6缺陷责任期终止证书（工程质量保修责任终止证书）</w:t>
      </w:r>
    </w:p>
    <w:p w14:paraId="7F0A189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合同工程验收后，发包人与承包人应办理工程交接手续，承包人应向发包人递交工程质量保修书。</w:t>
      </w:r>
    </w:p>
    <w:p w14:paraId="50AA5FC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缺陷责任期（工程质量保修期）满后30个工作日内，发包人应向承包人颁发工程质量保修责任终止证书，并退还剩余的质量保证金，但保修责任范围内的质量缺陷未处理完成的应除外。</w:t>
      </w:r>
    </w:p>
    <w:p w14:paraId="0741805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19.7保修责任</w:t>
      </w:r>
    </w:p>
    <w:p w14:paraId="17D3C50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当事人根据有关法律规定，在专用合同条款中约定工程质量保修范围、期限和责任。保修期自实际合同工程验收日期起计算。在全部工程竣工验收前，已经发包人提前验收的单位工程，其保修期的起算日期相应提前。</w:t>
      </w:r>
    </w:p>
    <w:p w14:paraId="62AC862F">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3" w:name="_Toc32698"/>
      <w:r>
        <w:rPr>
          <w:rFonts w:hint="eastAsia" w:ascii="宋体" w:hAnsi="宋体" w:eastAsia="宋体" w:cs="宋体"/>
          <w:color w:val="auto"/>
          <w:kern w:val="2"/>
          <w:sz w:val="24"/>
          <w:szCs w:val="24"/>
          <w:highlight w:val="none"/>
          <w:lang w:val="en-US" w:eastAsia="zh-CN" w:bidi="ar-SA"/>
        </w:rPr>
        <w:t>20.保险</w:t>
      </w:r>
      <w:bookmarkEnd w:id="223"/>
    </w:p>
    <w:p w14:paraId="091CF65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20.1工程保险</w:t>
      </w:r>
    </w:p>
    <w:p w14:paraId="0898CDC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1B6EDF5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20.2人员工伤事故的保险</w:t>
      </w:r>
    </w:p>
    <w:p w14:paraId="1280DA79">
      <w:pPr>
        <w:pageBreakBefore w:val="0"/>
        <w:widowControl w:val="0"/>
        <w:tabs>
          <w:tab w:val="left" w:pos="87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20.2.</w:t>
      </w:r>
      <w:r>
        <w:rPr>
          <w:rFonts w:hint="eastAsia" w:ascii="宋体" w:hAnsi="宋体" w:eastAsia="宋体" w:cs="宋体"/>
          <w:color w:val="auto"/>
          <w:kern w:val="2"/>
          <w:sz w:val="24"/>
          <w:szCs w:val="24"/>
          <w:highlight w:val="none"/>
          <w:lang w:val="zh-CN" w:eastAsia="zh-CN" w:bidi="zh-CN"/>
        </w:rPr>
        <w:t>1承包人员工伤事故的保险</w:t>
      </w:r>
    </w:p>
    <w:p w14:paraId="1F649FE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承包人应依照有关法律规定参加工伤保险，为其履行合同所雇佣的全部人员，缴纳工 伤保险费，并要求其分包人也进行此项保险。</w:t>
      </w:r>
    </w:p>
    <w:p w14:paraId="31C2704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20.2.</w:t>
      </w:r>
      <w:r>
        <w:rPr>
          <w:rFonts w:hint="eastAsia" w:ascii="宋体" w:hAnsi="宋体" w:eastAsia="宋体" w:cs="宋体"/>
          <w:color w:val="auto"/>
          <w:kern w:val="2"/>
          <w:sz w:val="24"/>
          <w:szCs w:val="24"/>
          <w:highlight w:val="none"/>
          <w:lang w:val="zh-CN" w:eastAsia="zh-CN" w:bidi="zh-CN"/>
        </w:rPr>
        <w:t>2发包人员工伤事故的保险</w:t>
      </w:r>
    </w:p>
    <w:p w14:paraId="0A19E3B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发包人应依照有关法律规定参加工伤保险，为其现场机构雇佣的全部人员，缴纳工伤保险费，并要求其监理人也进行此项保险。</w:t>
      </w:r>
    </w:p>
    <w:p w14:paraId="1B72C54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20.3人身意外伤害险</w:t>
      </w:r>
    </w:p>
    <w:p w14:paraId="6DB88A8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20.3.1</w:t>
      </w:r>
      <w:r>
        <w:rPr>
          <w:rFonts w:hint="eastAsia" w:ascii="宋体" w:hAnsi="宋体" w:eastAsia="宋体" w:cs="宋体"/>
          <w:color w:val="auto"/>
          <w:kern w:val="2"/>
          <w:sz w:val="24"/>
          <w:szCs w:val="24"/>
          <w:highlight w:val="none"/>
          <w:lang w:val="zh-CN" w:eastAsia="zh-CN" w:bidi="zh-CN"/>
        </w:rPr>
        <w:t>发包人应在整个施工期间为其现场机构雇用的全部人员，投保人身意外伤害险，缴纳保险费，并要求其监理人也进行此项保险。</w:t>
      </w:r>
    </w:p>
    <w:p w14:paraId="5BA8EE3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20.3.2</w:t>
      </w:r>
      <w:r>
        <w:rPr>
          <w:rFonts w:hint="eastAsia" w:ascii="宋体" w:hAnsi="宋体" w:eastAsia="宋体" w:cs="宋体"/>
          <w:color w:val="auto"/>
          <w:kern w:val="2"/>
          <w:sz w:val="24"/>
          <w:szCs w:val="24"/>
          <w:highlight w:val="none"/>
          <w:lang w:val="zh-CN" w:eastAsia="zh-CN" w:bidi="zh-CN"/>
        </w:rPr>
        <w:t>承包人应在整个施工期间为其现场机构雇用的全部人员，投保人身意外伤害险，缴纳保险费，并要求其分包人也进行此项保险。</w:t>
      </w:r>
    </w:p>
    <w:p w14:paraId="28EC5FD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20.4第三者责任险</w:t>
      </w:r>
    </w:p>
    <w:p w14:paraId="693E355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20.4.1</w:t>
      </w:r>
      <w:r>
        <w:rPr>
          <w:rFonts w:hint="eastAsia" w:ascii="宋体" w:hAnsi="宋体" w:eastAsia="宋体" w:cs="宋体"/>
          <w:color w:val="auto"/>
          <w:kern w:val="2"/>
          <w:sz w:val="24"/>
          <w:szCs w:val="24"/>
          <w:highlight w:val="none"/>
          <w:lang w:val="zh-CN" w:eastAsia="zh-CN" w:bidi="zh-CN"/>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65A317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20.4.2</w:t>
      </w:r>
      <w:r>
        <w:rPr>
          <w:rFonts w:hint="eastAsia" w:ascii="宋体" w:hAnsi="宋体" w:eastAsia="宋体" w:cs="宋体"/>
          <w:color w:val="auto"/>
          <w:kern w:val="2"/>
          <w:sz w:val="24"/>
          <w:szCs w:val="24"/>
          <w:highlight w:val="none"/>
          <w:lang w:val="zh-CN" w:eastAsia="zh-CN" w:bidi="zh-CN"/>
        </w:rPr>
        <w:t>在缺陷责任期终止证书颁发前，承包人应以承包人和发包人的共同名义，投保第</w:t>
      </w:r>
      <w:r>
        <w:rPr>
          <w:rFonts w:hint="eastAsia" w:ascii="宋体" w:hAnsi="宋体" w:eastAsia="宋体" w:cs="宋体"/>
          <w:color w:val="auto"/>
          <w:kern w:val="2"/>
          <w:sz w:val="24"/>
          <w:szCs w:val="24"/>
          <w:highlight w:val="none"/>
          <w:lang w:val="en-US" w:eastAsia="zh-CN" w:bidi="en-US"/>
        </w:rPr>
        <w:t>20. 4.1</w:t>
      </w:r>
      <w:r>
        <w:rPr>
          <w:rFonts w:hint="eastAsia" w:ascii="宋体" w:hAnsi="宋体" w:eastAsia="宋体" w:cs="宋体"/>
          <w:color w:val="auto"/>
          <w:kern w:val="2"/>
          <w:sz w:val="24"/>
          <w:szCs w:val="24"/>
          <w:highlight w:val="none"/>
          <w:lang w:val="zh-CN" w:eastAsia="zh-CN" w:bidi="zh-CN"/>
        </w:rPr>
        <w:t>项约定的第三者责任险，其保险费率、保险金额等有关内容在专用合同条款中约定。</w:t>
      </w:r>
    </w:p>
    <w:p w14:paraId="797E80A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20.5其他保险</w:t>
      </w:r>
    </w:p>
    <w:p w14:paraId="41CC7FC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除专用合同条款另有约定外，承包人应为其施工设备、进场的材料和工程设备等办理保险。</w:t>
      </w:r>
    </w:p>
    <w:p w14:paraId="53318EC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20.6对各项保险的一般要求</w:t>
      </w:r>
    </w:p>
    <w:p w14:paraId="3CD797B4">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w:t>
      </w:r>
      <w:r>
        <w:rPr>
          <w:rFonts w:hint="eastAsia" w:ascii="宋体" w:hAnsi="宋体" w:eastAsia="宋体" w:cs="宋体"/>
          <w:color w:val="auto"/>
          <w:kern w:val="0"/>
          <w:sz w:val="24"/>
          <w:szCs w:val="24"/>
          <w:highlight w:val="none"/>
          <w:lang w:val="zh-CN" w:eastAsia="zh-CN" w:bidi="zh-CN"/>
        </w:rPr>
        <w:t>1保险凭证</w:t>
      </w:r>
    </w:p>
    <w:p w14:paraId="22E5C4A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承包人应在专用合同条款约定的期限内向发包人提交各项保险生效的证据和保险单副本，保险单必须与专用合同条款约定的条件保持一致。</w:t>
      </w:r>
    </w:p>
    <w:p w14:paraId="779B6ED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20.6.2</w:t>
      </w:r>
      <w:r>
        <w:rPr>
          <w:rFonts w:hint="eastAsia" w:ascii="宋体" w:hAnsi="宋体" w:eastAsia="宋体" w:cs="宋体"/>
          <w:color w:val="auto"/>
          <w:kern w:val="2"/>
          <w:sz w:val="24"/>
          <w:szCs w:val="24"/>
          <w:highlight w:val="none"/>
          <w:lang w:val="zh-CN" w:eastAsia="zh-CN" w:bidi="zh-CN"/>
        </w:rPr>
        <w:t>保险合同条款的变动</w:t>
      </w:r>
    </w:p>
    <w:p w14:paraId="491AE76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承包人需要变动保险合同条款时，应事先征得发包人书面同意，并通知监理人。保险人作出变动的，承包人应在收到保险人通知后立即通知发包人和监理人。</w:t>
      </w:r>
    </w:p>
    <w:p w14:paraId="2744B38B">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w:t>
      </w:r>
      <w:r>
        <w:rPr>
          <w:rFonts w:hint="eastAsia" w:ascii="宋体" w:hAnsi="宋体" w:eastAsia="宋体" w:cs="宋体"/>
          <w:color w:val="auto"/>
          <w:kern w:val="0"/>
          <w:sz w:val="24"/>
          <w:szCs w:val="24"/>
          <w:highlight w:val="none"/>
          <w:lang w:val="zh-CN" w:eastAsia="zh-CN" w:bidi="zh-CN"/>
        </w:rPr>
        <w:t>3持续保险</w:t>
      </w:r>
    </w:p>
    <w:p w14:paraId="0D7FA5A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承包人应与保险人保持联系，使保险人能够随时了解工程实施中的变动，并确保按保险合同条款要求持续保险。</w:t>
      </w:r>
    </w:p>
    <w:p w14:paraId="3ED9B96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20.6.4</w:t>
      </w:r>
      <w:r>
        <w:rPr>
          <w:rFonts w:hint="eastAsia" w:ascii="宋体" w:hAnsi="宋体" w:eastAsia="宋体" w:cs="宋体"/>
          <w:color w:val="auto"/>
          <w:kern w:val="2"/>
          <w:sz w:val="24"/>
          <w:szCs w:val="24"/>
          <w:highlight w:val="none"/>
          <w:lang w:val="zh-CN" w:eastAsia="zh-CN" w:bidi="zh-CN"/>
        </w:rPr>
        <w:t>保险金不足的补偿</w:t>
      </w:r>
    </w:p>
    <w:p w14:paraId="058AECD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保险金不足以补偿损失时，应由承包人和发包人各自负责补偿的范围和金额在专用合 同条款中约定。</w:t>
      </w:r>
    </w:p>
    <w:p w14:paraId="041DC16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20. 6.</w:t>
      </w:r>
      <w:r>
        <w:rPr>
          <w:rFonts w:hint="eastAsia" w:ascii="宋体" w:hAnsi="宋体" w:eastAsia="宋体" w:cs="宋体"/>
          <w:color w:val="auto"/>
          <w:kern w:val="2"/>
          <w:sz w:val="24"/>
          <w:szCs w:val="24"/>
          <w:highlight w:val="none"/>
          <w:lang w:val="zh-CN" w:eastAsia="zh-CN" w:bidi="zh-CN"/>
        </w:rPr>
        <w:t>5未按约定投保的补救</w:t>
      </w:r>
    </w:p>
    <w:p w14:paraId="1CE1ACB9">
      <w:pPr>
        <w:pageBreakBefore w:val="0"/>
        <w:widowControl w:val="0"/>
        <w:numPr>
          <w:ilvl w:val="0"/>
          <w:numId w:val="2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由于负有投保义务的一方当事人未按合同约定办理保险，或未能使保险持续有效的，另一方当事人可代为办理，所需费用由对方当事人承担。</w:t>
      </w:r>
    </w:p>
    <w:p w14:paraId="050593D0">
      <w:pPr>
        <w:pageBreakBefore w:val="0"/>
        <w:widowControl w:val="0"/>
        <w:numPr>
          <w:ilvl w:val="0"/>
          <w:numId w:val="26"/>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由于负有投保义务的一方当事人未按合同约定办理某项保险，导致受益人未能得到保险人的赔偿，原应从该项保险得到的保险金应由负有投保义务的一方当事人支付。</w:t>
      </w:r>
    </w:p>
    <w:p w14:paraId="0ACE73E4">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20.6.6</w:t>
      </w:r>
      <w:r>
        <w:rPr>
          <w:rFonts w:hint="eastAsia" w:ascii="宋体" w:hAnsi="宋体" w:eastAsia="宋体" w:cs="宋体"/>
          <w:color w:val="auto"/>
          <w:kern w:val="0"/>
          <w:sz w:val="24"/>
          <w:szCs w:val="24"/>
          <w:highlight w:val="none"/>
          <w:lang w:val="zh-CN" w:eastAsia="zh-CN" w:bidi="zh-CN"/>
        </w:rPr>
        <w:t>报告义务</w:t>
      </w:r>
    </w:p>
    <w:p w14:paraId="097C1F4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当保险事故发生时，投保人应按照保险单规定的条件和期限及时向保险人报告。</w:t>
      </w:r>
    </w:p>
    <w:p w14:paraId="15ECAA7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20.7风险责任的转移</w:t>
      </w:r>
    </w:p>
    <w:p w14:paraId="2FCF9FF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工程通过合同工程验收并移交给发包人后，原由承包人应承担的风险责任，以及保险的责任、权利和义务同时转移给发包人，但承包人在缺陷责任期(工程质量保修期) 前造成损失和损坏情形除外</w:t>
      </w:r>
      <w:r>
        <w:rPr>
          <w:rFonts w:hint="eastAsia" w:ascii="宋体" w:hAnsi="宋体" w:eastAsia="宋体" w:cs="宋体"/>
          <w:color w:val="auto"/>
          <w:kern w:val="2"/>
          <w:sz w:val="24"/>
          <w:szCs w:val="24"/>
          <w:highlight w:val="none"/>
          <w:lang w:val="en-US" w:eastAsia="zh-CN" w:bidi="en-US"/>
        </w:rPr>
        <w:t>。</w:t>
      </w:r>
    </w:p>
    <w:p w14:paraId="69DE4DB1">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4" w:name="_Toc19337"/>
      <w:r>
        <w:rPr>
          <w:rFonts w:hint="eastAsia" w:ascii="宋体" w:hAnsi="宋体" w:eastAsia="宋体" w:cs="宋体"/>
          <w:color w:val="auto"/>
          <w:kern w:val="2"/>
          <w:sz w:val="24"/>
          <w:szCs w:val="24"/>
          <w:highlight w:val="none"/>
          <w:lang w:val="en-US" w:eastAsia="zh-CN" w:bidi="ar-SA"/>
        </w:rPr>
        <w:t>21.不可抗力</w:t>
      </w:r>
      <w:bookmarkEnd w:id="224"/>
    </w:p>
    <w:p w14:paraId="3D69EC0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21.1不可抗力的确认</w:t>
      </w:r>
    </w:p>
    <w:p w14:paraId="0B5CE8F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21.1.1</w:t>
      </w:r>
      <w:r>
        <w:rPr>
          <w:rFonts w:hint="eastAsia" w:ascii="宋体" w:hAnsi="宋体" w:eastAsia="宋体" w:cs="宋体"/>
          <w:color w:val="auto"/>
          <w:kern w:val="2"/>
          <w:sz w:val="24"/>
          <w:szCs w:val="24"/>
          <w:highlight w:val="none"/>
          <w:lang w:val="zh-CN" w:eastAsia="zh-CN" w:bidi="zh-CN"/>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2F6F58D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21.1.2</w:t>
      </w:r>
      <w:r>
        <w:rPr>
          <w:rFonts w:hint="eastAsia" w:ascii="宋体" w:hAnsi="宋体" w:eastAsia="宋体" w:cs="宋体"/>
          <w:color w:val="auto"/>
          <w:kern w:val="2"/>
          <w:sz w:val="24"/>
          <w:szCs w:val="24"/>
          <w:highlight w:val="none"/>
          <w:lang w:val="zh-CN" w:eastAsia="zh-CN" w:bidi="zh-CN"/>
        </w:rPr>
        <w:t>不可抗力发生后，发包人和承包人应及时认真统计所造成的损失，收集不可抗力造成损失的证据。合同双方对是否属于不可抗力或其损失的意见不一致的，由监理人按第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5款商定或确定。发生争议时，按第24条的约定办理。</w:t>
      </w:r>
    </w:p>
    <w:p w14:paraId="23F2B8F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21.2不可抗力的通知</w:t>
      </w:r>
    </w:p>
    <w:p w14:paraId="510775C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21.2.1</w:t>
      </w:r>
      <w:r>
        <w:rPr>
          <w:rFonts w:hint="eastAsia" w:ascii="宋体" w:hAnsi="宋体" w:eastAsia="宋体" w:cs="宋体"/>
          <w:color w:val="auto"/>
          <w:kern w:val="2"/>
          <w:sz w:val="24"/>
          <w:szCs w:val="24"/>
          <w:highlight w:val="none"/>
          <w:lang w:val="zh-CN" w:eastAsia="zh-CN" w:bidi="zh-CN"/>
        </w:rPr>
        <w:t>合同一方当事人遇到不可抗力事件，使其履行合同义务受到阻碍时，应立即通知合同另一方当事人和监理人，书面说明不可抗力和受阻碍的详细情况，并提供必要的证明。</w:t>
      </w:r>
    </w:p>
    <w:p w14:paraId="18AC90D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21.2.2</w:t>
      </w:r>
      <w:r>
        <w:rPr>
          <w:rFonts w:hint="eastAsia" w:ascii="宋体" w:hAnsi="宋体" w:eastAsia="宋体" w:cs="宋体"/>
          <w:color w:val="auto"/>
          <w:kern w:val="2"/>
          <w:sz w:val="24"/>
          <w:szCs w:val="24"/>
          <w:highlight w:val="none"/>
          <w:lang w:val="zh-CN" w:eastAsia="zh-CN" w:bidi="zh-CN"/>
        </w:rPr>
        <w:t>如不可抗力持续发生，合同一方当事人应及时向合同另一方当事人和监理人提交中间报告，说明不可抗力和履行合同受阻的情况，并于不可抗力事件结束后28天内提交最终报告及有关资料。</w:t>
      </w:r>
    </w:p>
    <w:p w14:paraId="3BE65F9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21.3不可抗力后果及其处理</w:t>
      </w:r>
    </w:p>
    <w:p w14:paraId="6F998CB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21.3.1</w:t>
      </w:r>
      <w:r>
        <w:rPr>
          <w:rFonts w:hint="eastAsia" w:ascii="宋体" w:hAnsi="宋体" w:eastAsia="宋体" w:cs="宋体"/>
          <w:color w:val="auto"/>
          <w:kern w:val="2"/>
          <w:sz w:val="24"/>
          <w:szCs w:val="24"/>
          <w:highlight w:val="none"/>
          <w:lang w:val="zh-CN" w:eastAsia="zh-CN" w:bidi="zh-CN"/>
        </w:rPr>
        <w:t>不可抗力造成损害的责任</w:t>
      </w:r>
    </w:p>
    <w:p w14:paraId="5C06D79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除专用合同条款另有约定外，不可抗力导致的人员伤亡、财产损失、费用增加和(或) 工期延误等后果，由合同双方按以下原则承担：</w:t>
      </w:r>
    </w:p>
    <w:p w14:paraId="0DB3392F">
      <w:pPr>
        <w:pageBreakBefore w:val="0"/>
        <w:widowControl w:val="0"/>
        <w:numPr>
          <w:ilvl w:val="0"/>
          <w:numId w:val="27"/>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永久工程，包括已运至施工场地的材料和工程设备的损害，以及因工程损害造成的第三者人员伤亡和财产损失由发包人承担；</w:t>
      </w:r>
    </w:p>
    <w:p w14:paraId="1EABE87F">
      <w:pPr>
        <w:pageBreakBefore w:val="0"/>
        <w:widowControl w:val="0"/>
        <w:numPr>
          <w:ilvl w:val="0"/>
          <w:numId w:val="27"/>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承包人设备的损坏由承包人承担；</w:t>
      </w:r>
    </w:p>
    <w:p w14:paraId="055C342E">
      <w:pPr>
        <w:pageBreakBefore w:val="0"/>
        <w:widowControl w:val="0"/>
        <w:numPr>
          <w:ilvl w:val="0"/>
          <w:numId w:val="27"/>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发包人和承包人各自承担其人员伤亡和其他财产损失及其相关费用；</w:t>
      </w:r>
    </w:p>
    <w:p w14:paraId="48B81B4F">
      <w:pPr>
        <w:pageBreakBefore w:val="0"/>
        <w:widowControl w:val="0"/>
        <w:numPr>
          <w:ilvl w:val="0"/>
          <w:numId w:val="27"/>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承包人的停工损失由承包人承担，但停工期间应监理人要求照管工程和清理、修复工程的金额由发包人承担；</w:t>
      </w:r>
    </w:p>
    <w:p w14:paraId="1D397111">
      <w:pPr>
        <w:pageBreakBefore w:val="0"/>
        <w:widowControl w:val="0"/>
        <w:numPr>
          <w:ilvl w:val="0"/>
          <w:numId w:val="27"/>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不能按期竣工的，应合理延长工期，承包人不需支付逾期竣工违约金。发包人要求赶工的，承包人应采取赶工措施，赶工费用由发包人承担。</w:t>
      </w:r>
    </w:p>
    <w:p w14:paraId="6E12AC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21.3.2</w:t>
      </w:r>
      <w:r>
        <w:rPr>
          <w:rFonts w:hint="eastAsia" w:ascii="宋体" w:hAnsi="宋体" w:eastAsia="宋体" w:cs="宋体"/>
          <w:color w:val="auto"/>
          <w:kern w:val="2"/>
          <w:sz w:val="24"/>
          <w:szCs w:val="24"/>
          <w:highlight w:val="none"/>
          <w:lang w:val="zh-CN" w:eastAsia="zh-CN" w:bidi="zh-CN"/>
        </w:rPr>
        <w:t>延迟履行期间发生的不可抗力</w:t>
      </w:r>
    </w:p>
    <w:p w14:paraId="5D4A709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合同一方当事人延迟履行，在延迟履行期间发生不可抗力的，不免除其责任。</w:t>
      </w:r>
    </w:p>
    <w:p w14:paraId="6D499FD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21.3.3</w:t>
      </w:r>
      <w:r>
        <w:rPr>
          <w:rFonts w:hint="eastAsia" w:ascii="宋体" w:hAnsi="宋体" w:eastAsia="宋体" w:cs="宋体"/>
          <w:color w:val="auto"/>
          <w:kern w:val="2"/>
          <w:sz w:val="24"/>
          <w:szCs w:val="24"/>
          <w:highlight w:val="none"/>
          <w:lang w:val="zh-CN" w:eastAsia="zh-CN" w:bidi="zh-CN"/>
        </w:rPr>
        <w:t>避免和减少不可抗力损失</w:t>
      </w:r>
    </w:p>
    <w:p w14:paraId="70D9A6B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不可抗力发生后，发包人和承包人均应采取措施尽量避免和减少损失的扩大，任何一 方没有采取有效措施导致损失扩大的，应对扩大的损失承担责任。</w:t>
      </w:r>
    </w:p>
    <w:p w14:paraId="39102E0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21.3.4因不可抗力解除合同</w:t>
      </w:r>
    </w:p>
    <w:p w14:paraId="00B0188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合同一方当事人因不可抗力不能履行合同的，应当及时通知对方解除合同。合同解除后，承包人应按照第</w:t>
      </w:r>
      <w:r>
        <w:rPr>
          <w:rFonts w:hint="eastAsia" w:ascii="宋体" w:hAnsi="宋体" w:eastAsia="宋体" w:cs="宋体"/>
          <w:color w:val="auto"/>
          <w:kern w:val="2"/>
          <w:sz w:val="24"/>
          <w:szCs w:val="24"/>
          <w:highlight w:val="none"/>
          <w:lang w:val="en-US" w:eastAsia="zh-CN" w:bidi="en-US"/>
        </w:rPr>
        <w:t>22.2.5</w:t>
      </w:r>
      <w:r>
        <w:rPr>
          <w:rFonts w:hint="eastAsia" w:ascii="宋体" w:hAnsi="宋体" w:eastAsia="宋体" w:cs="宋体"/>
          <w:color w:val="auto"/>
          <w:kern w:val="2"/>
          <w:sz w:val="24"/>
          <w:szCs w:val="24"/>
          <w:highlight w:val="none"/>
          <w:lang w:val="zh-CN" w:eastAsia="zh-CN" w:bidi="zh-CN"/>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Fonts w:hint="eastAsia" w:ascii="宋体" w:hAnsi="宋体" w:eastAsia="宋体" w:cs="宋体"/>
          <w:color w:val="auto"/>
          <w:kern w:val="2"/>
          <w:sz w:val="24"/>
          <w:szCs w:val="24"/>
          <w:highlight w:val="none"/>
          <w:lang w:val="en-US" w:eastAsia="zh-CN" w:bidi="en-US"/>
        </w:rPr>
        <w:t>22. 2.4</w:t>
      </w:r>
      <w:r>
        <w:rPr>
          <w:rFonts w:hint="eastAsia" w:ascii="宋体" w:hAnsi="宋体" w:eastAsia="宋体" w:cs="宋体"/>
          <w:color w:val="auto"/>
          <w:kern w:val="2"/>
          <w:sz w:val="24"/>
          <w:szCs w:val="24"/>
          <w:highlight w:val="none"/>
          <w:lang w:val="zh-CN" w:eastAsia="zh-CN" w:bidi="zh-CN"/>
        </w:rPr>
        <w:t>项约定，由监理人按第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w:t>
      </w:r>
    </w:p>
    <w:p w14:paraId="5357DE99">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5" w:name="_Toc5287"/>
      <w:r>
        <w:rPr>
          <w:rFonts w:hint="eastAsia" w:ascii="宋体" w:hAnsi="宋体" w:eastAsia="宋体" w:cs="宋体"/>
          <w:color w:val="auto"/>
          <w:kern w:val="2"/>
          <w:sz w:val="24"/>
          <w:szCs w:val="24"/>
          <w:highlight w:val="none"/>
          <w:lang w:val="en-US" w:eastAsia="zh-CN" w:bidi="ar-SA"/>
        </w:rPr>
        <w:t>22.违约</w:t>
      </w:r>
      <w:bookmarkEnd w:id="225"/>
    </w:p>
    <w:p w14:paraId="76C2949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22.1承包人违约</w:t>
      </w:r>
    </w:p>
    <w:p w14:paraId="6F2A511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22.1.1</w:t>
      </w:r>
      <w:r>
        <w:rPr>
          <w:rFonts w:hint="eastAsia" w:ascii="宋体" w:hAnsi="宋体" w:eastAsia="宋体" w:cs="宋体"/>
          <w:color w:val="auto"/>
          <w:kern w:val="2"/>
          <w:sz w:val="24"/>
          <w:szCs w:val="24"/>
          <w:highlight w:val="none"/>
          <w:lang w:val="zh-CN" w:eastAsia="zh-CN" w:bidi="zh-CN"/>
        </w:rPr>
        <w:t>承包人违约的情形</w:t>
      </w:r>
    </w:p>
    <w:p w14:paraId="1E28ACF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在履行合同过程中发生的下列情况属承包人违约：</w:t>
      </w:r>
    </w:p>
    <w:p w14:paraId="254413DC">
      <w:pPr>
        <w:pageBreakBefore w:val="0"/>
        <w:widowControl w:val="0"/>
        <w:numPr>
          <w:ilvl w:val="0"/>
          <w:numId w:val="28"/>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承包人违反第</w:t>
      </w:r>
      <w:r>
        <w:rPr>
          <w:rFonts w:hint="eastAsia" w:ascii="宋体" w:hAnsi="宋体" w:eastAsia="宋体" w:cs="宋体"/>
          <w:color w:val="auto"/>
          <w:kern w:val="2"/>
          <w:sz w:val="24"/>
          <w:szCs w:val="24"/>
          <w:highlight w:val="none"/>
          <w:lang w:val="en-US" w:eastAsia="zh-CN" w:bidi="en-US"/>
        </w:rPr>
        <w:t>1.8</w:t>
      </w:r>
      <w:r>
        <w:rPr>
          <w:rFonts w:hint="eastAsia" w:ascii="宋体" w:hAnsi="宋体" w:eastAsia="宋体" w:cs="宋体"/>
          <w:color w:val="auto"/>
          <w:kern w:val="2"/>
          <w:sz w:val="24"/>
          <w:szCs w:val="24"/>
          <w:highlight w:val="none"/>
          <w:lang w:val="zh-CN" w:eastAsia="zh-CN" w:bidi="zh-CN"/>
        </w:rPr>
        <w:t>款或第</w:t>
      </w:r>
      <w:r>
        <w:rPr>
          <w:rFonts w:hint="eastAsia" w:ascii="宋体" w:hAnsi="宋体" w:eastAsia="宋体" w:cs="宋体"/>
          <w:color w:val="auto"/>
          <w:kern w:val="2"/>
          <w:sz w:val="24"/>
          <w:szCs w:val="24"/>
          <w:highlight w:val="none"/>
          <w:lang w:val="en-US" w:eastAsia="zh-CN" w:bidi="en-US"/>
        </w:rPr>
        <w:t xml:space="preserve">4. </w:t>
      </w:r>
      <w:r>
        <w:rPr>
          <w:rFonts w:hint="eastAsia" w:ascii="宋体" w:hAnsi="宋体" w:eastAsia="宋体" w:cs="宋体"/>
          <w:color w:val="auto"/>
          <w:kern w:val="2"/>
          <w:sz w:val="24"/>
          <w:szCs w:val="24"/>
          <w:highlight w:val="none"/>
          <w:lang w:val="zh-CN" w:eastAsia="zh-CN" w:bidi="zh-CN"/>
        </w:rPr>
        <w:t>3款的约定，私自将合同的全部或部分权利转让给其他人，或私自将合同的全部或部分义务转移给其他人；</w:t>
      </w:r>
    </w:p>
    <w:p w14:paraId="39A7BCFE">
      <w:pPr>
        <w:pageBreakBefore w:val="0"/>
        <w:widowControl w:val="0"/>
        <w:numPr>
          <w:ilvl w:val="0"/>
          <w:numId w:val="28"/>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承包人违反第</w:t>
      </w:r>
      <w:r>
        <w:rPr>
          <w:rFonts w:hint="eastAsia" w:ascii="宋体" w:hAnsi="宋体" w:eastAsia="宋体" w:cs="宋体"/>
          <w:color w:val="auto"/>
          <w:kern w:val="2"/>
          <w:sz w:val="24"/>
          <w:szCs w:val="24"/>
          <w:highlight w:val="none"/>
          <w:lang w:val="en-US" w:eastAsia="zh-CN" w:bidi="en-US"/>
        </w:rPr>
        <w:t xml:space="preserve">5. </w:t>
      </w:r>
      <w:r>
        <w:rPr>
          <w:rFonts w:hint="eastAsia" w:ascii="宋体" w:hAnsi="宋体" w:eastAsia="宋体" w:cs="宋体"/>
          <w:color w:val="auto"/>
          <w:kern w:val="2"/>
          <w:sz w:val="24"/>
          <w:szCs w:val="24"/>
          <w:highlight w:val="none"/>
          <w:lang w:val="zh-CN" w:eastAsia="zh-CN" w:bidi="zh-CN"/>
        </w:rPr>
        <w:t>3款或第</w:t>
      </w:r>
      <w:r>
        <w:rPr>
          <w:rFonts w:hint="eastAsia" w:ascii="宋体" w:hAnsi="宋体" w:eastAsia="宋体" w:cs="宋体"/>
          <w:color w:val="auto"/>
          <w:kern w:val="2"/>
          <w:sz w:val="24"/>
          <w:szCs w:val="24"/>
          <w:highlight w:val="none"/>
          <w:lang w:val="en-US" w:eastAsia="zh-CN" w:bidi="en-US"/>
        </w:rPr>
        <w:t xml:space="preserve">6. </w:t>
      </w:r>
      <w:r>
        <w:rPr>
          <w:rFonts w:hint="eastAsia" w:ascii="宋体" w:hAnsi="宋体" w:eastAsia="宋体" w:cs="宋体"/>
          <w:color w:val="auto"/>
          <w:kern w:val="2"/>
          <w:sz w:val="24"/>
          <w:szCs w:val="24"/>
          <w:highlight w:val="none"/>
          <w:lang w:val="zh-CN" w:eastAsia="zh-CN" w:bidi="zh-CN"/>
        </w:rPr>
        <w:t>4款的约定，未经监理人批准，私自将已按合同约定进入施工场地的施工设备、临时设施或材料撤离施工场地；</w:t>
      </w:r>
    </w:p>
    <w:p w14:paraId="5B1DC802">
      <w:pPr>
        <w:pageBreakBefore w:val="0"/>
        <w:widowControl w:val="0"/>
        <w:numPr>
          <w:ilvl w:val="0"/>
          <w:numId w:val="28"/>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承包人违反第</w:t>
      </w:r>
      <w:r>
        <w:rPr>
          <w:rFonts w:hint="eastAsia" w:ascii="宋体" w:hAnsi="宋体" w:eastAsia="宋体" w:cs="宋体"/>
          <w:color w:val="auto"/>
          <w:kern w:val="2"/>
          <w:sz w:val="24"/>
          <w:szCs w:val="24"/>
          <w:highlight w:val="none"/>
          <w:lang w:val="en-US" w:eastAsia="zh-CN" w:bidi="en-US"/>
        </w:rPr>
        <w:t xml:space="preserve">5. </w:t>
      </w:r>
      <w:r>
        <w:rPr>
          <w:rFonts w:hint="eastAsia" w:ascii="宋体" w:hAnsi="宋体" w:eastAsia="宋体" w:cs="宋体"/>
          <w:color w:val="auto"/>
          <w:kern w:val="2"/>
          <w:sz w:val="24"/>
          <w:szCs w:val="24"/>
          <w:highlight w:val="none"/>
          <w:lang w:val="zh-CN" w:eastAsia="zh-CN" w:bidi="zh-CN"/>
        </w:rPr>
        <w:t>4款的约定使用了不合格材料或工程设备，工程质量达不到标准要求，又拒绝清除不合格工程；</w:t>
      </w:r>
    </w:p>
    <w:p w14:paraId="6640A9D2">
      <w:pPr>
        <w:pageBreakBefore w:val="0"/>
        <w:widowControl w:val="0"/>
        <w:numPr>
          <w:ilvl w:val="0"/>
          <w:numId w:val="28"/>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承包人未能按合同进度计划及时完成合同约定的工作，已造成或预期造成工期延误；</w:t>
      </w:r>
    </w:p>
    <w:p w14:paraId="33165A00">
      <w:pPr>
        <w:pageBreakBefore w:val="0"/>
        <w:widowControl w:val="0"/>
        <w:numPr>
          <w:ilvl w:val="0"/>
          <w:numId w:val="28"/>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承包人在缺陷责任期(工程质量保修期)内，未能对合同工程验收鉴定书中所列的缺陷清单的内容或缺陷责任期(工程质量保修期)内发生的缺陷进行修复，而又拒绝按监理人指示再进行修补；</w:t>
      </w:r>
    </w:p>
    <w:p w14:paraId="35B37121">
      <w:pPr>
        <w:pageBreakBefore w:val="0"/>
        <w:widowControl w:val="0"/>
        <w:numPr>
          <w:ilvl w:val="0"/>
          <w:numId w:val="2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承包人无法继续履行或明确表示不履行或实质上已停止履行合同；</w:t>
      </w:r>
    </w:p>
    <w:p w14:paraId="291F694E">
      <w:pPr>
        <w:pageBreakBefore w:val="0"/>
        <w:widowControl w:val="0"/>
        <w:numPr>
          <w:ilvl w:val="0"/>
          <w:numId w:val="2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承包人不按合同约定履行义务的其他情况。</w:t>
      </w:r>
    </w:p>
    <w:p w14:paraId="0F1274E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22.1.2</w:t>
      </w:r>
      <w:r>
        <w:rPr>
          <w:rFonts w:hint="eastAsia" w:ascii="宋体" w:hAnsi="宋体" w:eastAsia="宋体" w:cs="宋体"/>
          <w:color w:val="auto"/>
          <w:kern w:val="2"/>
          <w:sz w:val="24"/>
          <w:szCs w:val="24"/>
          <w:highlight w:val="none"/>
          <w:lang w:val="zh-CN" w:eastAsia="zh-CN" w:bidi="zh-CN"/>
        </w:rPr>
        <w:t>对承包人违约的处理</w:t>
      </w:r>
    </w:p>
    <w:p w14:paraId="64056619">
      <w:pPr>
        <w:pageBreakBefore w:val="0"/>
        <w:widowControl w:val="0"/>
        <w:numPr>
          <w:ilvl w:val="0"/>
          <w:numId w:val="2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承包人发生第</w:t>
      </w:r>
      <w:r>
        <w:rPr>
          <w:rFonts w:hint="eastAsia" w:ascii="宋体" w:hAnsi="宋体" w:eastAsia="宋体" w:cs="宋体"/>
          <w:color w:val="auto"/>
          <w:kern w:val="2"/>
          <w:sz w:val="24"/>
          <w:szCs w:val="24"/>
          <w:highlight w:val="none"/>
          <w:lang w:val="en-US" w:eastAsia="zh-CN" w:bidi="en-US"/>
        </w:rPr>
        <w:t>22.1.1</w:t>
      </w:r>
      <w:r>
        <w:rPr>
          <w:rFonts w:hint="eastAsia" w:ascii="宋体" w:hAnsi="宋体" w:eastAsia="宋体" w:cs="宋体"/>
          <w:color w:val="auto"/>
          <w:kern w:val="2"/>
          <w:sz w:val="24"/>
          <w:szCs w:val="24"/>
          <w:highlight w:val="none"/>
          <w:lang w:val="zh-CN" w:eastAsia="zh-CN" w:bidi="zh-CN"/>
        </w:rPr>
        <w:t>(6)目约定的违约情况时，发包人可通知承包人立即解除合同，并按有关法律处理。</w:t>
      </w:r>
    </w:p>
    <w:p w14:paraId="504A4410">
      <w:pPr>
        <w:pageBreakBefore w:val="0"/>
        <w:widowControl w:val="0"/>
        <w:numPr>
          <w:ilvl w:val="0"/>
          <w:numId w:val="2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承包人发生除第</w:t>
      </w:r>
      <w:r>
        <w:rPr>
          <w:rFonts w:hint="eastAsia" w:ascii="宋体" w:hAnsi="宋体" w:eastAsia="宋体" w:cs="宋体"/>
          <w:color w:val="auto"/>
          <w:kern w:val="2"/>
          <w:sz w:val="24"/>
          <w:szCs w:val="24"/>
          <w:highlight w:val="none"/>
          <w:lang w:val="en-US" w:eastAsia="zh-CN" w:bidi="en-US"/>
        </w:rPr>
        <w:t>22.1.</w:t>
      </w:r>
      <w:r>
        <w:rPr>
          <w:rFonts w:hint="eastAsia" w:ascii="宋体" w:hAnsi="宋体" w:eastAsia="宋体" w:cs="宋体"/>
          <w:color w:val="auto"/>
          <w:kern w:val="2"/>
          <w:sz w:val="24"/>
          <w:szCs w:val="24"/>
          <w:highlight w:val="none"/>
          <w:lang w:val="zh-CN" w:eastAsia="zh-CN" w:bidi="zh-CN"/>
        </w:rPr>
        <w:t>1(6)目约定以外的其他违约情况时，监理人可向承包人发出整改通知，要求其在指定的期限内改正。承包人应承担其违约所引起的费用增加和 (或)工期延误。</w:t>
      </w:r>
    </w:p>
    <w:p w14:paraId="42B6AB97">
      <w:pPr>
        <w:pageBreakBefore w:val="0"/>
        <w:widowControl w:val="0"/>
        <w:numPr>
          <w:ilvl w:val="0"/>
          <w:numId w:val="2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经检查证明承包人已采取了有效措施纠正违约行为，具备复工条件的，可由监理人签发复工通知复工。</w:t>
      </w:r>
    </w:p>
    <w:p w14:paraId="02F9037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22.1.3</w:t>
      </w:r>
      <w:r>
        <w:rPr>
          <w:rFonts w:hint="eastAsia" w:ascii="宋体" w:hAnsi="宋体" w:eastAsia="宋体" w:cs="宋体"/>
          <w:color w:val="auto"/>
          <w:kern w:val="2"/>
          <w:sz w:val="24"/>
          <w:szCs w:val="24"/>
          <w:highlight w:val="none"/>
          <w:lang w:val="zh-CN" w:eastAsia="zh-CN" w:bidi="zh-CN"/>
        </w:rPr>
        <w:t>承包人违约解除合同</w:t>
      </w:r>
    </w:p>
    <w:p w14:paraId="2FB34A4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213F126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22.1.4</w:t>
      </w:r>
      <w:r>
        <w:rPr>
          <w:rFonts w:hint="eastAsia" w:ascii="宋体" w:hAnsi="宋体" w:eastAsia="宋体" w:cs="宋体"/>
          <w:color w:val="auto"/>
          <w:kern w:val="2"/>
          <w:sz w:val="24"/>
          <w:szCs w:val="24"/>
          <w:highlight w:val="none"/>
          <w:lang w:val="zh-CN" w:eastAsia="zh-CN" w:bidi="zh-CN"/>
        </w:rPr>
        <w:t>合同解除后的估价、付款和结清</w:t>
      </w:r>
    </w:p>
    <w:p w14:paraId="403F9D22">
      <w:pPr>
        <w:pageBreakBefore w:val="0"/>
        <w:widowControl w:val="0"/>
        <w:numPr>
          <w:ilvl w:val="0"/>
          <w:numId w:val="30"/>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合同解除后，监理人按第</w:t>
      </w:r>
      <w:r>
        <w:rPr>
          <w:rFonts w:hint="eastAsia" w:ascii="宋体" w:hAnsi="宋体" w:eastAsia="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zh-CN" w:eastAsia="zh-CN" w:bidi="zh-CN"/>
        </w:rPr>
        <w:t>5款商定或确定承包人实际完成工作的价值，以及承包人已提供的材料、施工设备、工程设备和临时工程等的价值。</w:t>
      </w:r>
    </w:p>
    <w:p w14:paraId="1CF83A5C">
      <w:pPr>
        <w:pageBreakBefore w:val="0"/>
        <w:widowControl w:val="0"/>
        <w:numPr>
          <w:ilvl w:val="0"/>
          <w:numId w:val="30"/>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合同解除后，发包人应暂停对承包人的一切付款，查清各项付款和已扣款金额, 包括承包人应支付的违约金。</w:t>
      </w:r>
    </w:p>
    <w:p w14:paraId="7D26428B">
      <w:pPr>
        <w:pageBreakBefore w:val="0"/>
        <w:widowControl w:val="0"/>
        <w:numPr>
          <w:ilvl w:val="0"/>
          <w:numId w:val="30"/>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合同解除后，发包人应按第</w:t>
      </w:r>
      <w:r>
        <w:rPr>
          <w:rFonts w:hint="eastAsia" w:ascii="宋体" w:hAnsi="宋体" w:eastAsia="宋体" w:cs="宋体"/>
          <w:color w:val="auto"/>
          <w:kern w:val="2"/>
          <w:sz w:val="24"/>
          <w:szCs w:val="24"/>
          <w:highlight w:val="none"/>
          <w:lang w:val="en-US" w:eastAsia="zh-CN" w:bidi="en-US"/>
        </w:rPr>
        <w:t xml:space="preserve">23. </w:t>
      </w:r>
      <w:r>
        <w:rPr>
          <w:rFonts w:hint="eastAsia" w:ascii="宋体" w:hAnsi="宋体" w:eastAsia="宋体" w:cs="宋体"/>
          <w:color w:val="auto"/>
          <w:kern w:val="2"/>
          <w:sz w:val="24"/>
          <w:szCs w:val="24"/>
          <w:highlight w:val="none"/>
          <w:lang w:val="zh-CN" w:eastAsia="zh-CN" w:bidi="zh-CN"/>
        </w:rPr>
        <w:t>4款的约定向承包人索赔由于解除合同给发包人造成的损失。</w:t>
      </w:r>
    </w:p>
    <w:p w14:paraId="43E0F92E">
      <w:pPr>
        <w:pageBreakBefore w:val="0"/>
        <w:widowControl w:val="0"/>
        <w:numPr>
          <w:ilvl w:val="0"/>
          <w:numId w:val="3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合同双方确认上述往来款项后，出具最终结清付款证书，结清全部合同款项。</w:t>
      </w:r>
    </w:p>
    <w:p w14:paraId="21B906D9">
      <w:pPr>
        <w:pageBreakBefore w:val="0"/>
        <w:widowControl w:val="0"/>
        <w:numPr>
          <w:ilvl w:val="0"/>
          <w:numId w:val="30"/>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发包人和承包人未能就解除合同后的结清达成一致而形成争议的，按第24条的约定办理。</w:t>
      </w:r>
    </w:p>
    <w:p w14:paraId="45AD148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22.1.5</w:t>
      </w:r>
      <w:r>
        <w:rPr>
          <w:rFonts w:hint="eastAsia" w:ascii="宋体" w:hAnsi="宋体" w:eastAsia="宋体" w:cs="宋体"/>
          <w:color w:val="auto"/>
          <w:kern w:val="2"/>
          <w:sz w:val="24"/>
          <w:szCs w:val="24"/>
          <w:highlight w:val="none"/>
          <w:lang w:val="zh-CN" w:eastAsia="zh-CN" w:bidi="zh-CN"/>
        </w:rPr>
        <w:t>协议利益的转让</w:t>
      </w:r>
    </w:p>
    <w:p w14:paraId="22B5F9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因承包人违约解除合同的，发包人有权要求承包人将其为实施合同而签订的材料和设备的订货协议或任何服务协议利益转让给发包人，并在解除合同后的14天内，依法办理转让手续。</w:t>
      </w:r>
    </w:p>
    <w:p w14:paraId="77C32CC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22.1.6紧急情况下无能力或不愿进行抢救</w:t>
      </w:r>
    </w:p>
    <w:p w14:paraId="1F8E1EB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EECBA8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22.2发包人违约</w:t>
      </w:r>
    </w:p>
    <w:p w14:paraId="2ED3745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22.2.1</w:t>
      </w:r>
      <w:r>
        <w:rPr>
          <w:rFonts w:hint="eastAsia" w:ascii="宋体" w:hAnsi="宋体" w:eastAsia="宋体" w:cs="宋体"/>
          <w:color w:val="auto"/>
          <w:kern w:val="2"/>
          <w:sz w:val="24"/>
          <w:szCs w:val="24"/>
          <w:highlight w:val="none"/>
          <w:lang w:val="zh-CN" w:eastAsia="zh-CN" w:bidi="zh-CN"/>
        </w:rPr>
        <w:t>发包人违约的情形</w:t>
      </w:r>
    </w:p>
    <w:p w14:paraId="307CA1B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在履行合同过程中发生的下列情形，属发包人违约：</w:t>
      </w:r>
    </w:p>
    <w:p w14:paraId="33972676">
      <w:pPr>
        <w:pageBreakBefore w:val="0"/>
        <w:widowControl w:val="0"/>
        <w:numPr>
          <w:ilvl w:val="0"/>
          <w:numId w:val="31"/>
        </w:numPr>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发包人未能按合同约定支付预付款或合同价款，或拖延、拒绝批准付款申请和支付凭证，导致付款延误的；</w:t>
      </w:r>
    </w:p>
    <w:p w14:paraId="5B4789F8">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发包人原因造成停工的；</w:t>
      </w:r>
    </w:p>
    <w:p w14:paraId="379908AF">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监理人无正当理由没有在约定期限内发出复工指示，导致承包人无法复工的；</w:t>
      </w:r>
    </w:p>
    <w:p w14:paraId="0167D628">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发包人无法继续履行或明确表示不履行或实质上已停止履行合同的；</w:t>
      </w:r>
    </w:p>
    <w:p w14:paraId="60B70F1E">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发包人不履行合同约定其他义务的。</w:t>
      </w:r>
    </w:p>
    <w:p w14:paraId="42F358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22.2.2</w:t>
      </w:r>
      <w:r>
        <w:rPr>
          <w:rFonts w:hint="eastAsia" w:ascii="宋体" w:hAnsi="宋体" w:eastAsia="宋体" w:cs="宋体"/>
          <w:color w:val="auto"/>
          <w:kern w:val="2"/>
          <w:sz w:val="24"/>
          <w:szCs w:val="24"/>
          <w:highlight w:val="none"/>
          <w:lang w:val="zh-CN" w:eastAsia="zh-CN" w:bidi="zh-CN"/>
        </w:rPr>
        <w:t>承包人有权暂停施工</w:t>
      </w:r>
    </w:p>
    <w:p w14:paraId="4A964E4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发包人发生除第</w:t>
      </w:r>
      <w:r>
        <w:rPr>
          <w:rFonts w:hint="eastAsia" w:ascii="宋体" w:hAnsi="宋体" w:eastAsia="宋体" w:cs="宋体"/>
          <w:color w:val="auto"/>
          <w:kern w:val="2"/>
          <w:sz w:val="24"/>
          <w:szCs w:val="24"/>
          <w:highlight w:val="none"/>
          <w:lang w:val="en-US" w:eastAsia="zh-CN" w:bidi="en-US"/>
        </w:rPr>
        <w:t xml:space="preserve">22.2.1 </w:t>
      </w:r>
      <w:r>
        <w:rPr>
          <w:rFonts w:hint="eastAsia" w:ascii="宋体" w:hAnsi="宋体" w:eastAsia="宋体" w:cs="宋体"/>
          <w:color w:val="auto"/>
          <w:kern w:val="2"/>
          <w:sz w:val="24"/>
          <w:szCs w:val="24"/>
          <w:highlight w:val="none"/>
          <w:lang w:val="zh-CN" w:eastAsia="zh-CN" w:bidi="zh-CN"/>
        </w:rPr>
        <w:t>(4)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1ED0E3C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zh-CN"/>
        </w:rPr>
        <w:t>22.2.3</w:t>
      </w:r>
      <w:r>
        <w:rPr>
          <w:rFonts w:hint="eastAsia" w:ascii="宋体" w:hAnsi="宋体" w:eastAsia="宋体" w:cs="宋体"/>
          <w:color w:val="auto"/>
          <w:kern w:val="2"/>
          <w:sz w:val="24"/>
          <w:szCs w:val="24"/>
          <w:highlight w:val="none"/>
          <w:lang w:val="zh-CN" w:eastAsia="zh-CN" w:bidi="zh-CN"/>
        </w:rPr>
        <w:t>发包人违约解除合同</w:t>
      </w:r>
    </w:p>
    <w:p w14:paraId="24995D6B">
      <w:pPr>
        <w:pageBreakBefore w:val="0"/>
        <w:widowControl w:val="0"/>
        <w:numPr>
          <w:ilvl w:val="0"/>
          <w:numId w:val="3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发生第</w:t>
      </w:r>
      <w:r>
        <w:rPr>
          <w:rFonts w:hint="eastAsia" w:ascii="宋体" w:hAnsi="宋体" w:eastAsia="宋体" w:cs="宋体"/>
          <w:color w:val="auto"/>
          <w:kern w:val="2"/>
          <w:sz w:val="24"/>
          <w:szCs w:val="24"/>
          <w:highlight w:val="none"/>
          <w:lang w:val="en-US" w:eastAsia="zh-CN" w:bidi="en-US"/>
        </w:rPr>
        <w:t xml:space="preserve">22.2.1 </w:t>
      </w:r>
      <w:r>
        <w:rPr>
          <w:rFonts w:hint="eastAsia" w:ascii="宋体" w:hAnsi="宋体" w:eastAsia="宋体" w:cs="宋体"/>
          <w:color w:val="auto"/>
          <w:kern w:val="2"/>
          <w:sz w:val="24"/>
          <w:szCs w:val="24"/>
          <w:highlight w:val="none"/>
          <w:lang w:val="zh-CN" w:eastAsia="zh-CN" w:bidi="zh-CN"/>
        </w:rPr>
        <w:t>(4)目的违约情况时，承包人可书面通知发包人解除合同。</w:t>
      </w:r>
    </w:p>
    <w:p w14:paraId="1803B671">
      <w:pPr>
        <w:pageBreakBefore w:val="0"/>
        <w:widowControl w:val="0"/>
        <w:numPr>
          <w:ilvl w:val="0"/>
          <w:numId w:val="32"/>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承包人按</w:t>
      </w:r>
      <w:r>
        <w:rPr>
          <w:rFonts w:hint="eastAsia" w:ascii="宋体" w:hAnsi="宋体" w:eastAsia="宋体" w:cs="宋体"/>
          <w:color w:val="auto"/>
          <w:kern w:val="2"/>
          <w:sz w:val="24"/>
          <w:szCs w:val="24"/>
          <w:highlight w:val="none"/>
          <w:lang w:val="en-US" w:eastAsia="zh-CN" w:bidi="en-US"/>
        </w:rPr>
        <w:t xml:space="preserve">22. 2. </w:t>
      </w:r>
      <w:r>
        <w:rPr>
          <w:rFonts w:hint="eastAsia" w:ascii="宋体" w:hAnsi="宋体" w:eastAsia="宋体" w:cs="宋体"/>
          <w:color w:val="auto"/>
          <w:kern w:val="2"/>
          <w:sz w:val="24"/>
          <w:szCs w:val="24"/>
          <w:highlight w:val="none"/>
          <w:lang w:val="zh-CN" w:eastAsia="zh-CN" w:bidi="zh-CN"/>
        </w:rPr>
        <w:t>2项暂停施工28天后，发包人仍不纠正违约行为的，承包人可向发包人发出解除合同通知。但承包人的这一行动不免除发包人承担的违约责任，也不影响承包人根据合同约定享有的索赔权利。</w:t>
      </w:r>
    </w:p>
    <w:p w14:paraId="4A7805D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22.2.4</w:t>
      </w:r>
      <w:r>
        <w:rPr>
          <w:rFonts w:hint="eastAsia" w:ascii="宋体" w:hAnsi="宋体" w:eastAsia="宋体" w:cs="宋体"/>
          <w:color w:val="auto"/>
          <w:kern w:val="2"/>
          <w:sz w:val="24"/>
          <w:szCs w:val="24"/>
          <w:highlight w:val="none"/>
          <w:lang w:val="zh-CN" w:eastAsia="zh-CN" w:bidi="zh-CN"/>
        </w:rPr>
        <w:t>解除合同后的付款</w:t>
      </w:r>
    </w:p>
    <w:p w14:paraId="119FC77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因发包人违约解除合同的，发包人应在解除合同后28天内向承包人支付下列金额，承包人应在此期限内及时向发包人提交要求支付下列金额的有关资料和凭证：</w:t>
      </w:r>
    </w:p>
    <w:p w14:paraId="351E49E0">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合同解除日以前所完成工作的价款；</w:t>
      </w:r>
    </w:p>
    <w:p w14:paraId="20096E6E">
      <w:pPr>
        <w:pageBreakBefore w:val="0"/>
        <w:widowControl w:val="0"/>
        <w:numPr>
          <w:ilvl w:val="0"/>
          <w:numId w:val="33"/>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承包人为该工程施工订购并已付款的材料、工程设备和其他物品的金额。发包人付还后，该材料、工程设备和其他物品归发包人所有；</w:t>
      </w:r>
    </w:p>
    <w:p w14:paraId="115E2BE9">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承包人为完成工程所发生的，而发包人未支付的金额；</w:t>
      </w:r>
    </w:p>
    <w:p w14:paraId="691195AA">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承包人撤离施工场地以及遣散承包人人员的金额；</w:t>
      </w:r>
    </w:p>
    <w:p w14:paraId="79DCF670">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由于解除合同应赔偿的承包人损失；</w:t>
      </w:r>
    </w:p>
    <w:p w14:paraId="0C752C40">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按合同约定在合同解除日前应支付给承包人的其他金额。</w:t>
      </w:r>
    </w:p>
    <w:p w14:paraId="5E7BA2A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发包人应按本项约定支付上述金额并退还质量保证金和履约担保，但有权要求承包人支付应偿还给发包人的各项金额。</w:t>
      </w:r>
    </w:p>
    <w:p w14:paraId="1925638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22.2.5解除合同后的承包人撤离</w:t>
      </w:r>
    </w:p>
    <w:p w14:paraId="7D85C42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因发包人违约而解除合同后，承包人应妥善做好已竣工工程和已购材料、设备的保护和移交工作，按发包人要求将承包人设备和人员撤出施工场地。承包人撤出施工场地应遵 守第</w:t>
      </w:r>
      <w:r>
        <w:rPr>
          <w:rFonts w:hint="eastAsia" w:ascii="宋体" w:hAnsi="宋体" w:eastAsia="宋体" w:cs="宋体"/>
          <w:color w:val="auto"/>
          <w:kern w:val="2"/>
          <w:sz w:val="24"/>
          <w:szCs w:val="24"/>
          <w:highlight w:val="none"/>
          <w:lang w:val="en-US" w:eastAsia="zh-CN" w:bidi="en-US"/>
        </w:rPr>
        <w:t xml:space="preserve">18. 7. </w:t>
      </w:r>
      <w:r>
        <w:rPr>
          <w:rFonts w:hint="eastAsia" w:ascii="宋体" w:hAnsi="宋体" w:eastAsia="宋体" w:cs="宋体"/>
          <w:color w:val="auto"/>
          <w:kern w:val="2"/>
          <w:sz w:val="24"/>
          <w:szCs w:val="24"/>
          <w:highlight w:val="none"/>
          <w:lang w:val="zh-CN" w:eastAsia="zh-CN" w:bidi="zh-CN"/>
        </w:rPr>
        <w:t>1项的约定，发包人应为承包人撤出提供必要条件。</w:t>
      </w:r>
    </w:p>
    <w:p w14:paraId="069E121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22.3第三人造成的违约</w:t>
      </w:r>
    </w:p>
    <w:p w14:paraId="49B96C9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在履行合同过程中，一方当事人因第三人的原因造成违约的，应当向对方当事人承担违约责任。一方当事人和第三人之间的纠纷，依照法律规定或者按照约定解决。</w:t>
      </w:r>
    </w:p>
    <w:p w14:paraId="20087FC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6" w:name="_Toc15454"/>
      <w:r>
        <w:rPr>
          <w:rFonts w:hint="eastAsia" w:ascii="宋体" w:hAnsi="宋体" w:eastAsia="宋体" w:cs="宋体"/>
          <w:color w:val="auto"/>
          <w:kern w:val="2"/>
          <w:sz w:val="24"/>
          <w:szCs w:val="24"/>
          <w:highlight w:val="none"/>
          <w:lang w:val="en-US" w:eastAsia="zh-CN" w:bidi="ar-SA"/>
        </w:rPr>
        <w:t>23.索赔</w:t>
      </w:r>
      <w:bookmarkEnd w:id="226"/>
    </w:p>
    <w:p w14:paraId="2396407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23.1承包人索赔的提出</w:t>
      </w:r>
    </w:p>
    <w:p w14:paraId="04B142F2">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根据合同约定，承包人认为有权得到追加付款和(或)延长工期的，应按以下程序向发包人提出索赔：</w:t>
      </w:r>
    </w:p>
    <w:p w14:paraId="6BE035F2">
      <w:pPr>
        <w:pageBreakBefore w:val="0"/>
        <w:widowControl w:val="0"/>
        <w:numPr>
          <w:ilvl w:val="0"/>
          <w:numId w:val="34"/>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承包人应在知道或应当知道索赔事件发生后28天内，向监理人递交索赔意向通知书，并说明发生索赔事件的事由。承包人未在前述28天内发出索赔意向通知书的，丧失要求追加付款和(或)延长工期的权利；</w:t>
      </w:r>
    </w:p>
    <w:p w14:paraId="5E7BB3A3">
      <w:pPr>
        <w:pageBreakBefore w:val="0"/>
        <w:widowControl w:val="0"/>
        <w:numPr>
          <w:ilvl w:val="0"/>
          <w:numId w:val="34"/>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承包人应在发出索赔意向通知书后28天内，向监理人正式递交索赔通知书。索赔通知书应详细说明索赔理由以及要求追加的付款金额和(或)延长的工期，并附必要的记 录和证明材料；</w:t>
      </w:r>
    </w:p>
    <w:p w14:paraId="78144892">
      <w:pPr>
        <w:pageBreakBefore w:val="0"/>
        <w:widowControl w:val="0"/>
        <w:numPr>
          <w:ilvl w:val="0"/>
          <w:numId w:val="34"/>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索赔事件具有连续影响的，承包人应按合理时间间隔继续递交延续索赔通知，说明连续影响的实际情况和记录，列出累计的追加付款金额和(或)工期延长天数；</w:t>
      </w:r>
    </w:p>
    <w:p w14:paraId="22FD8934">
      <w:pPr>
        <w:pageBreakBefore w:val="0"/>
        <w:widowControl w:val="0"/>
        <w:numPr>
          <w:ilvl w:val="0"/>
          <w:numId w:val="34"/>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在索赔事件影响结束后的28天内，承包人应向监理人递交最终索赔通知书，说明最终要求索赔的追加付款金额和延长的工期，并附必要的记录和证明材料。</w:t>
      </w:r>
    </w:p>
    <w:p w14:paraId="7BE8164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23.2承包人索赔处理程序</w:t>
      </w:r>
    </w:p>
    <w:p w14:paraId="3FB1B00F">
      <w:pPr>
        <w:pageBreakBefore w:val="0"/>
        <w:widowControl w:val="0"/>
        <w:numPr>
          <w:ilvl w:val="0"/>
          <w:numId w:val="3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监理人收到承包人提交的索赔通知书后，应及时审查索赔通知书的内容、查验承包人的记录和证明材料，必要时监理人可要求承包人提交全部原始记录副本。</w:t>
      </w:r>
    </w:p>
    <w:p w14:paraId="13B8A851">
      <w:pPr>
        <w:pageBreakBefore w:val="0"/>
        <w:widowControl w:val="0"/>
        <w:numPr>
          <w:ilvl w:val="0"/>
          <w:numId w:val="35"/>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监理人应按第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5款商定或确定追加的付款和(或)延长的工期，并在收到上述索赔通知书或有关索赔的进一步证明材料后的42天内，将索赔处理结果答复承包人。</w:t>
      </w:r>
    </w:p>
    <w:p w14:paraId="0270CCB7">
      <w:pPr>
        <w:pageBreakBefore w:val="0"/>
        <w:widowControl w:val="0"/>
        <w:numPr>
          <w:ilvl w:val="0"/>
          <w:numId w:val="35"/>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承包人接受索赔处理结果的，发包人应在作出索赔处理结果答复后28天内完成赔付。承包人不接受索赔处理结果的，按第24条的约定办理。</w:t>
      </w:r>
    </w:p>
    <w:p w14:paraId="3846E0A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23.3承包人提出索赔的期限</w:t>
      </w:r>
    </w:p>
    <w:p w14:paraId="556B8B76">
      <w:pPr>
        <w:pageBreakBefore w:val="0"/>
        <w:widowControl w:val="0"/>
        <w:numPr>
          <w:ilvl w:val="0"/>
          <w:numId w:val="36"/>
        </w:numPr>
        <w:tabs>
          <w:tab w:val="left" w:pos="85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1承包人按第</w:t>
      </w:r>
      <w:r>
        <w:rPr>
          <w:rFonts w:hint="eastAsia" w:ascii="宋体" w:hAnsi="宋体" w:eastAsia="宋体" w:cs="宋体"/>
          <w:color w:val="auto"/>
          <w:kern w:val="2"/>
          <w:sz w:val="24"/>
          <w:szCs w:val="24"/>
          <w:highlight w:val="none"/>
          <w:lang w:val="en-US" w:eastAsia="zh-CN" w:bidi="en-US"/>
        </w:rPr>
        <w:t xml:space="preserve">17. </w:t>
      </w:r>
      <w:r>
        <w:rPr>
          <w:rFonts w:hint="eastAsia" w:ascii="宋体" w:hAnsi="宋体" w:eastAsia="宋体" w:cs="宋体"/>
          <w:color w:val="auto"/>
          <w:kern w:val="2"/>
          <w:sz w:val="24"/>
          <w:szCs w:val="24"/>
          <w:highlight w:val="none"/>
          <w:lang w:val="zh-CN" w:eastAsia="zh-CN" w:bidi="zh-CN"/>
        </w:rPr>
        <w:t>5款的约定接受了完工付款证书后，应被认为已无权再提出在竣工验收鉴定书颁发前所发生的任何索赔。</w:t>
      </w:r>
    </w:p>
    <w:p w14:paraId="6354069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23.3.2</w:t>
      </w:r>
      <w:r>
        <w:rPr>
          <w:rFonts w:hint="eastAsia" w:ascii="宋体" w:hAnsi="宋体" w:eastAsia="宋体" w:cs="宋体"/>
          <w:color w:val="auto"/>
          <w:kern w:val="2"/>
          <w:sz w:val="24"/>
          <w:szCs w:val="24"/>
          <w:highlight w:val="none"/>
          <w:lang w:val="zh-CN" w:eastAsia="zh-CN" w:bidi="zh-CN"/>
        </w:rPr>
        <w:t>承包人按第</w:t>
      </w:r>
      <w:r>
        <w:rPr>
          <w:rFonts w:hint="eastAsia" w:ascii="宋体" w:hAnsi="宋体" w:eastAsia="宋体" w:cs="宋体"/>
          <w:color w:val="auto"/>
          <w:kern w:val="2"/>
          <w:sz w:val="24"/>
          <w:szCs w:val="24"/>
          <w:highlight w:val="none"/>
          <w:lang w:val="en-US" w:eastAsia="zh-CN" w:bidi="en-US"/>
        </w:rPr>
        <w:t xml:space="preserve">17. </w:t>
      </w:r>
      <w:r>
        <w:rPr>
          <w:rFonts w:hint="eastAsia" w:ascii="宋体" w:hAnsi="宋体" w:eastAsia="宋体" w:cs="宋体"/>
          <w:color w:val="auto"/>
          <w:kern w:val="2"/>
          <w:sz w:val="24"/>
          <w:szCs w:val="24"/>
          <w:highlight w:val="none"/>
          <w:lang w:val="zh-CN" w:eastAsia="zh-CN" w:bidi="zh-CN"/>
        </w:rPr>
        <w:t>6款的约定提交的最终结清申请单中，只限于提出竣工验收鉴定书颁发后发生的索赔。提出索赔的期限自接受最终结清证书时终止。</w:t>
      </w:r>
    </w:p>
    <w:p w14:paraId="38ED12B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23.4发包人的索赔</w:t>
      </w:r>
    </w:p>
    <w:p w14:paraId="2C727AB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23.4.1</w:t>
      </w:r>
      <w:r>
        <w:rPr>
          <w:rFonts w:hint="eastAsia" w:ascii="宋体" w:hAnsi="宋体" w:eastAsia="宋体" w:cs="宋体"/>
          <w:color w:val="auto"/>
          <w:kern w:val="2"/>
          <w:sz w:val="24"/>
          <w:szCs w:val="24"/>
          <w:highlight w:val="none"/>
          <w:lang w:val="zh-CN" w:eastAsia="zh-CN" w:bidi="zh-CN"/>
        </w:rPr>
        <w:t>发生索赔事件后，监理人应及时书面通知承包人，详细说明发包人有权得到的索赔金额和(或)延长缺陷责任期的细节和依据。发包人提出索赔的期限和要求与第</w:t>
      </w:r>
      <w:r>
        <w:rPr>
          <w:rFonts w:hint="eastAsia" w:ascii="宋体" w:hAnsi="宋体" w:eastAsia="宋体" w:cs="宋体"/>
          <w:color w:val="auto"/>
          <w:kern w:val="2"/>
          <w:sz w:val="24"/>
          <w:szCs w:val="24"/>
          <w:highlight w:val="none"/>
          <w:lang w:val="en-US" w:eastAsia="zh-CN" w:bidi="zh-CN"/>
        </w:rPr>
        <w:t>23.</w:t>
      </w:r>
      <w:r>
        <w:rPr>
          <w:rFonts w:hint="eastAsia" w:ascii="宋体" w:hAnsi="宋体" w:eastAsia="宋体" w:cs="宋体"/>
          <w:color w:val="auto"/>
          <w:kern w:val="2"/>
          <w:sz w:val="24"/>
          <w:szCs w:val="24"/>
          <w:highlight w:val="none"/>
          <w:lang w:val="zh-CN" w:eastAsia="zh-CN" w:bidi="zh-CN"/>
        </w:rPr>
        <w:t>3款的约定相同，延长缺陷责任期的通知应在缺陷责任期届满前发出。</w:t>
      </w:r>
    </w:p>
    <w:p w14:paraId="43125E7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23.4.2</w:t>
      </w:r>
      <w:r>
        <w:rPr>
          <w:rFonts w:hint="eastAsia" w:ascii="宋体" w:hAnsi="宋体" w:eastAsia="宋体" w:cs="宋体"/>
          <w:color w:val="auto"/>
          <w:kern w:val="2"/>
          <w:sz w:val="24"/>
          <w:szCs w:val="24"/>
          <w:highlight w:val="none"/>
          <w:lang w:val="zh-CN" w:eastAsia="zh-CN" w:bidi="zh-CN"/>
        </w:rPr>
        <w:t>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5款商定或确定发包人从承包人处得到赔付的金额和(或)缺陷责任期的延长期。承包人应付给发包人的金额可从拟支付给承包人的合同价款中扣除, 或由承包人以其他方式支付给发包人。</w:t>
      </w:r>
    </w:p>
    <w:p w14:paraId="114E81E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23. 4. </w:t>
      </w:r>
      <w:r>
        <w:rPr>
          <w:rFonts w:hint="eastAsia" w:ascii="宋体" w:hAnsi="宋体" w:eastAsia="宋体" w:cs="宋体"/>
          <w:color w:val="auto"/>
          <w:kern w:val="2"/>
          <w:sz w:val="24"/>
          <w:szCs w:val="24"/>
          <w:highlight w:val="none"/>
          <w:lang w:val="zh-CN" w:eastAsia="zh-CN" w:bidi="zh-CN"/>
        </w:rPr>
        <w:t>3承包人对监理人按第</w:t>
      </w:r>
      <w:r>
        <w:rPr>
          <w:rFonts w:hint="eastAsia" w:ascii="宋体" w:hAnsi="宋体" w:eastAsia="宋体" w:cs="宋体"/>
          <w:color w:val="auto"/>
          <w:kern w:val="2"/>
          <w:sz w:val="24"/>
          <w:szCs w:val="24"/>
          <w:highlight w:val="none"/>
          <w:lang w:val="en-US" w:eastAsia="zh-CN" w:bidi="en-US"/>
        </w:rPr>
        <w:t xml:space="preserve">23.4. </w:t>
      </w:r>
      <w:r>
        <w:rPr>
          <w:rFonts w:hint="eastAsia" w:ascii="宋体" w:hAnsi="宋体" w:eastAsia="宋体" w:cs="宋体"/>
          <w:color w:val="auto"/>
          <w:kern w:val="2"/>
          <w:sz w:val="24"/>
          <w:szCs w:val="24"/>
          <w:highlight w:val="none"/>
          <w:lang w:val="zh-CN" w:eastAsia="zh-CN" w:bidi="zh-CN"/>
        </w:rPr>
        <w:t>1项发出的索赔书面通知内容持异议时，应在收到书面通知后的14天内，将持有异议的书面报告及其证明材料提交监理人。监理人应在收到 承包人书面报告后的14天内，将异议的处理意见通知承包人，并按第</w:t>
      </w:r>
      <w:r>
        <w:rPr>
          <w:rFonts w:hint="eastAsia" w:ascii="宋体" w:hAnsi="宋体" w:eastAsia="宋体" w:cs="宋体"/>
          <w:color w:val="auto"/>
          <w:kern w:val="2"/>
          <w:sz w:val="24"/>
          <w:szCs w:val="24"/>
          <w:highlight w:val="none"/>
          <w:lang w:val="en-US" w:eastAsia="zh-CN" w:bidi="en-US"/>
        </w:rPr>
        <w:t>23.4.2</w:t>
      </w:r>
      <w:r>
        <w:rPr>
          <w:rFonts w:hint="eastAsia" w:ascii="宋体" w:hAnsi="宋体" w:eastAsia="宋体" w:cs="宋体"/>
          <w:color w:val="auto"/>
          <w:kern w:val="2"/>
          <w:sz w:val="24"/>
          <w:szCs w:val="24"/>
          <w:highlight w:val="none"/>
          <w:lang w:val="zh-CN" w:eastAsia="zh-CN" w:bidi="zh-CN"/>
        </w:rPr>
        <w:t>项的约定执 行赔付。若承包人不接受监理人的索赔处理意见，可按本合同第24条的规定办理。</w:t>
      </w:r>
    </w:p>
    <w:p w14:paraId="7F19BC7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7" w:name="_Toc25077"/>
      <w:r>
        <w:rPr>
          <w:rFonts w:hint="eastAsia" w:ascii="宋体" w:hAnsi="宋体" w:eastAsia="宋体" w:cs="宋体"/>
          <w:color w:val="auto"/>
          <w:kern w:val="2"/>
          <w:sz w:val="24"/>
          <w:szCs w:val="24"/>
          <w:highlight w:val="none"/>
          <w:lang w:val="en-US" w:eastAsia="zh-CN" w:bidi="ar-SA"/>
        </w:rPr>
        <w:t>24.争议的解决</w:t>
      </w:r>
      <w:bookmarkEnd w:id="227"/>
    </w:p>
    <w:p w14:paraId="775E711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24.1争议的解决方式</w:t>
      </w:r>
    </w:p>
    <w:p w14:paraId="7CFBEA2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15825D47">
      <w:pPr>
        <w:pageBreakBefore w:val="0"/>
        <w:widowControl w:val="0"/>
        <w:numPr>
          <w:ilvl w:val="0"/>
          <w:numId w:val="37"/>
        </w:numPr>
        <w:tabs>
          <w:tab w:val="left" w:pos="90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向约定的仲裁委员会申请仲裁；</w:t>
      </w:r>
    </w:p>
    <w:p w14:paraId="2BA306D4">
      <w:pPr>
        <w:pageBreakBefore w:val="0"/>
        <w:widowControl w:val="0"/>
        <w:numPr>
          <w:ilvl w:val="0"/>
          <w:numId w:val="37"/>
        </w:numPr>
        <w:tabs>
          <w:tab w:val="left" w:pos="90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向有管辖权的人民法院提起诉讼。</w:t>
      </w:r>
    </w:p>
    <w:p w14:paraId="6911E3B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24.2友好解决</w:t>
      </w:r>
    </w:p>
    <w:p w14:paraId="66A8594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在提请争议评审、仲裁或者诉讼前，以及在争议评审、仲裁或诉讼过程中，发包人和承包人均可共同努力友好协商解决争议。</w:t>
      </w:r>
    </w:p>
    <w:p w14:paraId="6CF2327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24.3争议评审</w:t>
      </w:r>
    </w:p>
    <w:p w14:paraId="389FB9C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24.3.1</w:t>
      </w:r>
      <w:r>
        <w:rPr>
          <w:rFonts w:hint="eastAsia" w:ascii="宋体" w:hAnsi="宋体" w:eastAsia="宋体" w:cs="宋体"/>
          <w:color w:val="auto"/>
          <w:kern w:val="2"/>
          <w:sz w:val="24"/>
          <w:szCs w:val="24"/>
          <w:highlight w:val="none"/>
          <w:lang w:val="zh-CN" w:eastAsia="zh-CN" w:bidi="zh-CN"/>
        </w:rPr>
        <w:t>采用争议评审的，发包人和承包人应在开工日后的28天内或在争议发生后, 协商成立争议评审组。争议评审组由有合同管理和工程实践经验的专家组成。</w:t>
      </w:r>
    </w:p>
    <w:p w14:paraId="1F9614F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24.3.2</w:t>
      </w:r>
      <w:r>
        <w:rPr>
          <w:rFonts w:hint="eastAsia" w:ascii="宋体" w:hAnsi="宋体" w:eastAsia="宋体" w:cs="宋体"/>
          <w:color w:val="auto"/>
          <w:kern w:val="2"/>
          <w:sz w:val="24"/>
          <w:szCs w:val="24"/>
          <w:highlight w:val="none"/>
          <w:lang w:val="zh-CN" w:eastAsia="zh-CN" w:bidi="zh-CN"/>
        </w:rPr>
        <w:t>合同双方的争议，应首先由申请人向争议评审组提交一份详细的评审申请报告，并附必要的文件、图纸和证明材料，申请人还应将上述报告的副本同时提交给被申请人和监理人。</w:t>
      </w:r>
    </w:p>
    <w:p w14:paraId="7EA9310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24.3.3</w:t>
      </w:r>
      <w:r>
        <w:rPr>
          <w:rFonts w:hint="eastAsia" w:ascii="宋体" w:hAnsi="宋体" w:eastAsia="宋体" w:cs="宋体"/>
          <w:color w:val="auto"/>
          <w:kern w:val="2"/>
          <w:sz w:val="24"/>
          <w:szCs w:val="24"/>
          <w:highlight w:val="none"/>
          <w:lang w:val="zh-CN" w:eastAsia="zh-CN" w:bidi="zh-CN"/>
        </w:rPr>
        <w:t>被申请人在收到申请人评审申请报告副本后的28天内，向争议评审组提交一份答辩报告，并附证明材料。被申请人应将答辩报告的副本同时提交给申请人和监理人。</w:t>
      </w:r>
    </w:p>
    <w:p w14:paraId="4E0432D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24.3.4</w:t>
      </w:r>
      <w:r>
        <w:rPr>
          <w:rFonts w:hint="eastAsia" w:ascii="宋体" w:hAnsi="宋体" w:eastAsia="宋体" w:cs="宋体"/>
          <w:color w:val="auto"/>
          <w:kern w:val="2"/>
          <w:sz w:val="24"/>
          <w:szCs w:val="24"/>
          <w:highlight w:val="none"/>
          <w:lang w:val="zh-CN" w:eastAsia="zh-CN" w:bidi="zh-CN"/>
        </w:rPr>
        <w:t>除专用合同条款另有约定外，争议评审组在收到合同双方报告后的14天内， 邀请双方代表和有关人员举行调查会，向双方调查争议细节；必要时争议评审组可要求双方进一步提供补充材料。</w:t>
      </w:r>
    </w:p>
    <w:p w14:paraId="2F3A677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57EBD75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24.3.6</w:t>
      </w:r>
      <w:r>
        <w:rPr>
          <w:rFonts w:hint="eastAsia" w:ascii="宋体" w:hAnsi="宋体" w:eastAsia="宋体" w:cs="宋体"/>
          <w:color w:val="auto"/>
          <w:kern w:val="2"/>
          <w:sz w:val="24"/>
          <w:szCs w:val="24"/>
          <w:highlight w:val="none"/>
          <w:lang w:val="zh-CN" w:eastAsia="zh-CN" w:bidi="zh-CN"/>
        </w:rPr>
        <w:t>发包人和承包人接受评审意见的，由监理人根据评审意见拟定执行协议，经争议双方签字后作为合同的补充文件，并遵照执行。</w:t>
      </w:r>
    </w:p>
    <w:p w14:paraId="2A60FCE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24.3.7</w:t>
      </w:r>
      <w:r>
        <w:rPr>
          <w:rFonts w:hint="eastAsia" w:ascii="宋体" w:hAnsi="宋体" w:eastAsia="宋体" w:cs="宋体"/>
          <w:color w:val="auto"/>
          <w:kern w:val="2"/>
          <w:sz w:val="24"/>
          <w:szCs w:val="24"/>
          <w:highlight w:val="none"/>
          <w:lang w:val="zh-CN" w:eastAsia="zh-CN" w:bidi="zh-CN"/>
        </w:rPr>
        <w:t>发包人或承包人不接受评审意见，并要求提交仲裁或提起诉讼的，应在收到评审意见后的14天内将仲裁或起诉意向书面通知另一方，并抄送监理人，但在仲裁或诉讼结束前应暂按总监理工程师的确定执行。</w:t>
      </w:r>
    </w:p>
    <w:p w14:paraId="3F103B7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24.4仲裁</w:t>
      </w:r>
    </w:p>
    <w:p w14:paraId="22F90DA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24.4.1</w:t>
      </w:r>
      <w:r>
        <w:rPr>
          <w:rFonts w:hint="eastAsia" w:ascii="宋体" w:hAnsi="宋体" w:eastAsia="宋体" w:cs="宋体"/>
          <w:color w:val="auto"/>
          <w:kern w:val="2"/>
          <w:sz w:val="24"/>
          <w:szCs w:val="24"/>
          <w:highlight w:val="none"/>
          <w:lang w:val="zh-CN" w:eastAsia="zh-CN" w:bidi="zh-CN"/>
        </w:rPr>
        <w:t>若合同双方商定直接向仲裁机构申请仲裁，应签订仲裁协议并约定仲裁机构。</w:t>
      </w:r>
    </w:p>
    <w:p w14:paraId="52AEE1E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24.4.2</w:t>
      </w:r>
      <w:r>
        <w:rPr>
          <w:rFonts w:hint="eastAsia" w:ascii="宋体" w:hAnsi="宋体" w:eastAsia="宋体" w:cs="宋体"/>
          <w:color w:val="auto"/>
          <w:kern w:val="2"/>
          <w:sz w:val="24"/>
          <w:szCs w:val="24"/>
          <w:highlight w:val="none"/>
          <w:lang w:val="zh-CN" w:eastAsia="zh-CN" w:bidi="zh-CN"/>
        </w:rPr>
        <w:t>若合同双方未能达成仲裁协议，则本合同的仲裁条款无效，任一方均有权向人民法院提起诉讼。</w:t>
      </w:r>
    </w:p>
    <w:p w14:paraId="0362D851">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228" w:name="bookmark1581"/>
      <w:bookmarkEnd w:id="228"/>
      <w:bookmarkStart w:id="229" w:name="bookmark1577"/>
      <w:bookmarkStart w:id="230" w:name="_Toc27368"/>
      <w:bookmarkStart w:id="231" w:name="bookmark1578"/>
      <w:bookmarkStart w:id="232" w:name="_Toc1972"/>
      <w:bookmarkStart w:id="233" w:name="bookmark1576"/>
      <w:bookmarkStart w:id="234" w:name="bookmark1580"/>
      <w:bookmarkStart w:id="235" w:name="_Toc21852"/>
      <w:bookmarkStart w:id="236" w:name="_Toc30818"/>
      <w:bookmarkStart w:id="237" w:name="bookmark1579"/>
      <w:bookmarkStart w:id="238" w:name="bookmark1582"/>
      <w:r>
        <w:rPr>
          <w:rFonts w:hint="eastAsia" w:ascii="宋体" w:hAnsi="宋体" w:eastAsia="宋体" w:cs="宋体"/>
          <w:b/>
          <w:bCs/>
          <w:color w:val="auto"/>
          <w:kern w:val="44"/>
          <w:sz w:val="24"/>
          <w:szCs w:val="24"/>
          <w:highlight w:val="none"/>
          <w:lang w:val="en-US" w:eastAsia="zh-CN" w:bidi="ar-SA"/>
        </w:rPr>
        <w:br w:type="page"/>
      </w:r>
      <w:bookmarkStart w:id="239" w:name="_Toc26919"/>
      <w:r>
        <w:rPr>
          <w:rFonts w:hint="eastAsia" w:ascii="宋体" w:hAnsi="宋体" w:eastAsia="宋体" w:cs="宋体"/>
          <w:b/>
          <w:bCs/>
          <w:color w:val="auto"/>
          <w:kern w:val="44"/>
          <w:sz w:val="44"/>
          <w:szCs w:val="44"/>
          <w:highlight w:val="none"/>
          <w:lang w:val="en-US" w:eastAsia="zh-CN" w:bidi="ar-SA"/>
        </w:rPr>
        <w:t>第四节 专用合同条款</w:t>
      </w:r>
      <w:bookmarkEnd w:id="229"/>
      <w:bookmarkEnd w:id="230"/>
      <w:bookmarkEnd w:id="231"/>
      <w:bookmarkEnd w:id="232"/>
      <w:bookmarkEnd w:id="233"/>
      <w:bookmarkEnd w:id="239"/>
    </w:p>
    <w:p w14:paraId="7039B31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0" w:name="_Toc16670"/>
      <w:r>
        <w:rPr>
          <w:rFonts w:hint="eastAsia" w:ascii="宋体" w:hAnsi="宋体" w:eastAsia="宋体" w:cs="宋体"/>
          <w:color w:val="auto"/>
          <w:kern w:val="2"/>
          <w:sz w:val="24"/>
          <w:szCs w:val="24"/>
          <w:highlight w:val="none"/>
          <w:lang w:val="en-US" w:eastAsia="zh-CN" w:bidi="ar-SA"/>
        </w:rPr>
        <w:t>1. 一般约定</w:t>
      </w:r>
      <w:bookmarkEnd w:id="234"/>
      <w:bookmarkEnd w:id="235"/>
      <w:bookmarkEnd w:id="236"/>
      <w:bookmarkEnd w:id="237"/>
      <w:bookmarkEnd w:id="238"/>
      <w:bookmarkEnd w:id="240"/>
    </w:p>
    <w:p w14:paraId="4F2D36D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1.1词语定义</w:t>
      </w:r>
    </w:p>
    <w:p w14:paraId="503D3E9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合同当事人和人员</w:t>
      </w:r>
    </w:p>
    <w:p w14:paraId="0CF23691">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2发包人：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w:t>
      </w:r>
    </w:p>
    <w:p w14:paraId="5CEC72F2">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3承包人：</w:t>
      </w:r>
      <w:r>
        <w:rPr>
          <w:rFonts w:hint="eastAsia" w:ascii="宋体" w:hAnsi="宋体" w:eastAsia="宋体" w:cs="宋体"/>
          <w:color w:val="auto"/>
          <w:kern w:val="0"/>
          <w:sz w:val="24"/>
          <w:szCs w:val="24"/>
          <w:highlight w:val="none"/>
          <w:u w:val="single"/>
          <w:lang w:val="en-US" w:eastAsia="zh-CN" w:bidi="zh-CN"/>
        </w:rPr>
        <w:t xml:space="preserve">                        </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lang w:val="en-US" w:eastAsia="zh-CN" w:bidi="ar-SA"/>
        </w:rPr>
        <w:t>。</w:t>
      </w:r>
    </w:p>
    <w:p w14:paraId="4C59EE30">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zh-CN" w:eastAsia="zh-CN" w:bidi="zh-CN"/>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en-US" w:eastAsia="zh-CN" w:bidi="zh-CN"/>
        </w:rPr>
        <w:t>4承包人项目负责人、技术负责人和专职安全员</w:t>
      </w:r>
      <w:r>
        <w:rPr>
          <w:rFonts w:hint="eastAsia" w:ascii="宋体" w:hAnsi="宋体" w:eastAsia="宋体" w:cs="宋体"/>
          <w:color w:val="auto"/>
          <w:kern w:val="0"/>
          <w:sz w:val="24"/>
          <w:szCs w:val="24"/>
          <w:highlight w:val="none"/>
          <w:lang w:val="zh-CN" w:eastAsia="zh-CN" w:bidi="zh-CN"/>
        </w:rPr>
        <w:t>：</w:t>
      </w:r>
    </w:p>
    <w:p w14:paraId="0CB4D83E">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项目负责人姓名：</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p>
    <w:p w14:paraId="6905F661">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项目负责人身份证号号码：</w:t>
      </w:r>
      <w:r>
        <w:rPr>
          <w:rFonts w:hint="eastAsia" w:ascii="宋体" w:hAnsi="宋体" w:eastAsia="宋体" w:cs="宋体"/>
          <w:color w:val="auto"/>
          <w:kern w:val="0"/>
          <w:sz w:val="24"/>
          <w:szCs w:val="24"/>
          <w:highlight w:val="none"/>
          <w:u w:val="single"/>
          <w:lang w:val="en-US" w:eastAsia="zh-CN" w:bidi="ar-SA"/>
        </w:rPr>
        <w:t xml:space="preserve">    </w:t>
      </w:r>
    </w:p>
    <w:p w14:paraId="4F3EEDAA">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项目负责人执业证书号码：</w:t>
      </w:r>
      <w:r>
        <w:rPr>
          <w:rFonts w:hint="eastAsia" w:ascii="宋体" w:hAnsi="宋体" w:eastAsia="宋体" w:cs="宋体"/>
          <w:color w:val="auto"/>
          <w:kern w:val="0"/>
          <w:sz w:val="24"/>
          <w:szCs w:val="24"/>
          <w:highlight w:val="none"/>
          <w:u w:val="single"/>
          <w:lang w:val="en-US" w:eastAsia="zh-CN" w:bidi="ar-SA"/>
        </w:rPr>
        <w:t xml:space="preserve">    </w:t>
      </w:r>
    </w:p>
    <w:p w14:paraId="2B842B8D">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2BD5BC3B">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技术负责人姓名：</w:t>
      </w:r>
      <w:r>
        <w:rPr>
          <w:rFonts w:hint="eastAsia" w:ascii="宋体" w:hAnsi="宋体" w:eastAsia="宋体" w:cs="宋体"/>
          <w:color w:val="auto"/>
          <w:kern w:val="0"/>
          <w:sz w:val="24"/>
          <w:szCs w:val="24"/>
          <w:highlight w:val="none"/>
          <w:u w:val="single"/>
          <w:lang w:val="en-US" w:eastAsia="zh-CN" w:bidi="ar-SA"/>
        </w:rPr>
        <w:t xml:space="preserve">     </w:t>
      </w:r>
    </w:p>
    <w:p w14:paraId="5221A2B9">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技术负责人身份证号码：</w:t>
      </w:r>
      <w:r>
        <w:rPr>
          <w:rFonts w:hint="eastAsia" w:ascii="宋体" w:hAnsi="宋体" w:eastAsia="宋体" w:cs="宋体"/>
          <w:color w:val="auto"/>
          <w:kern w:val="0"/>
          <w:sz w:val="24"/>
          <w:szCs w:val="24"/>
          <w:highlight w:val="none"/>
          <w:u w:val="single"/>
          <w:lang w:val="en-US" w:eastAsia="zh-CN" w:bidi="ar-SA"/>
        </w:rPr>
        <w:t xml:space="preserve">    </w:t>
      </w:r>
    </w:p>
    <w:p w14:paraId="4E708A36">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专职安全员姓名：</w:t>
      </w:r>
      <w:r>
        <w:rPr>
          <w:rFonts w:hint="eastAsia" w:ascii="宋体" w:hAnsi="宋体" w:eastAsia="宋体" w:cs="宋体"/>
          <w:color w:val="auto"/>
          <w:kern w:val="0"/>
          <w:sz w:val="24"/>
          <w:szCs w:val="24"/>
          <w:highlight w:val="none"/>
          <w:u w:val="single"/>
          <w:lang w:val="en-US" w:eastAsia="zh-CN" w:bidi="ar-SA"/>
        </w:rPr>
        <w:t xml:space="preserve">     </w:t>
      </w:r>
    </w:p>
    <w:p w14:paraId="484E72CB">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专职安全员身份证号号码：</w:t>
      </w:r>
      <w:r>
        <w:rPr>
          <w:rFonts w:hint="eastAsia" w:ascii="宋体" w:hAnsi="宋体" w:eastAsia="宋体" w:cs="宋体"/>
          <w:color w:val="auto"/>
          <w:kern w:val="0"/>
          <w:sz w:val="24"/>
          <w:szCs w:val="24"/>
          <w:highlight w:val="none"/>
          <w:u w:val="single"/>
          <w:lang w:val="en-US" w:eastAsia="zh-CN" w:bidi="ar-SA"/>
        </w:rPr>
        <w:t xml:space="preserve">     </w:t>
      </w:r>
    </w:p>
    <w:p w14:paraId="0EDD5930">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46158A2A">
      <w:pPr>
        <w:pageBreakBefore w:val="0"/>
        <w:widowControl w:val="0"/>
        <w:tabs>
          <w:tab w:val="left" w:pos="4064"/>
        </w:tabs>
        <w:kinsoku/>
        <w:wordWrap/>
        <w:overflowPunct/>
        <w:topLinePunct w:val="0"/>
        <w:bidi w:val="0"/>
        <w:spacing w:after="0" w:line="360" w:lineRule="auto"/>
        <w:ind w:left="0" w:leftChars="0" w:firstLine="0"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（项目负责人、技术负责人和专职安全员的姓名、身份证号号码，项目负责人执业证书号码以及项目负责人和专职安全员水行政主管部门颁发的安全生产考核合格证书号码）。</w:t>
      </w:r>
    </w:p>
    <w:p w14:paraId="16FA528E">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5分包人:</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u w:val="single"/>
          <w:lang w:val="en-US" w:eastAsia="zh-CN" w:bidi="ar-SA"/>
        </w:rPr>
        <w:t xml:space="preserve"> 无        </w:t>
      </w:r>
      <w:r>
        <w:rPr>
          <w:rFonts w:hint="eastAsia" w:ascii="宋体" w:hAnsi="宋体" w:eastAsia="宋体" w:cs="宋体"/>
          <w:color w:val="auto"/>
          <w:kern w:val="0"/>
          <w:sz w:val="24"/>
          <w:szCs w:val="24"/>
          <w:highlight w:val="none"/>
          <w:lang w:val="en-US" w:eastAsia="zh-CN" w:bidi="ar-SA"/>
        </w:rPr>
        <w:t>。</w:t>
      </w:r>
    </w:p>
    <w:p w14:paraId="55F5291C">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1.1.2.6</w:t>
      </w:r>
      <w:r>
        <w:rPr>
          <w:rFonts w:hint="eastAsia" w:ascii="宋体" w:hAnsi="宋体" w:eastAsia="宋体" w:cs="宋体"/>
          <w:color w:val="auto"/>
          <w:kern w:val="0"/>
          <w:sz w:val="24"/>
          <w:szCs w:val="24"/>
          <w:highlight w:val="none"/>
          <w:lang w:val="zh-CN" w:eastAsia="zh-CN" w:bidi="zh-CN"/>
        </w:rPr>
        <w:t>监理人：</w:t>
      </w:r>
      <w:r>
        <w:rPr>
          <w:rFonts w:hint="eastAsia" w:ascii="宋体" w:hAnsi="宋体" w:eastAsia="宋体" w:cs="宋体"/>
          <w:color w:val="auto"/>
          <w:kern w:val="0"/>
          <w:sz w:val="24"/>
          <w:szCs w:val="24"/>
          <w:highlight w:val="none"/>
          <w:u w:val="single"/>
          <w:lang w:val="en-US" w:eastAsia="zh-CN" w:bidi="zh-CN"/>
        </w:rPr>
        <w:t xml:space="preserve">                          </w:t>
      </w:r>
      <w:r>
        <w:rPr>
          <w:rFonts w:hint="eastAsia" w:ascii="宋体" w:hAnsi="宋体" w:eastAsia="宋体" w:cs="宋体"/>
          <w:color w:val="auto"/>
          <w:kern w:val="0"/>
          <w:sz w:val="24"/>
          <w:szCs w:val="24"/>
          <w:highlight w:val="none"/>
          <w:lang w:val="en-US" w:eastAsia="zh-CN" w:bidi="ar-SA"/>
        </w:rPr>
        <w:t>。</w:t>
      </w:r>
    </w:p>
    <w:p w14:paraId="4B6C6291">
      <w:pPr>
        <w:pageBreakBefore w:val="0"/>
        <w:widowControl w:val="0"/>
        <w:tabs>
          <w:tab w:val="left" w:pos="3649"/>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1.1.4</w:t>
      </w:r>
      <w:r>
        <w:rPr>
          <w:rFonts w:hint="eastAsia" w:ascii="宋体" w:hAnsi="宋体" w:eastAsia="宋体" w:cs="宋体"/>
          <w:color w:val="auto"/>
          <w:kern w:val="0"/>
          <w:sz w:val="24"/>
          <w:szCs w:val="24"/>
          <w:highlight w:val="none"/>
          <w:lang w:val="zh-CN" w:eastAsia="zh-CN" w:bidi="zh-CN"/>
        </w:rPr>
        <w:t>日期：</w:t>
      </w:r>
      <w:r>
        <w:rPr>
          <w:rFonts w:hint="eastAsia" w:ascii="宋体" w:hAnsi="宋体" w:eastAsia="宋体" w:cs="宋体"/>
          <w:color w:val="auto"/>
          <w:kern w:val="0"/>
          <w:sz w:val="24"/>
          <w:szCs w:val="24"/>
          <w:highlight w:val="none"/>
          <w:u w:val="single"/>
          <w:lang w:val="zh-CN" w:eastAsia="zh-CN" w:bidi="zh-CN"/>
        </w:rPr>
        <w:t>实际开工日期以监理单位发出的开工令载明的日期为准</w:t>
      </w:r>
      <w:r>
        <w:rPr>
          <w:rFonts w:hint="eastAsia" w:ascii="宋体" w:hAnsi="宋体" w:eastAsia="宋体" w:cs="宋体"/>
          <w:color w:val="auto"/>
          <w:kern w:val="0"/>
          <w:sz w:val="24"/>
          <w:szCs w:val="24"/>
          <w:highlight w:val="none"/>
          <w:lang w:val="zh-CN" w:eastAsia="zh-CN" w:bidi="zh-CN"/>
        </w:rPr>
        <w:t>。</w:t>
      </w:r>
    </w:p>
    <w:p w14:paraId="4A69CC62">
      <w:pPr>
        <w:pageBreakBefore w:val="0"/>
        <w:widowControl w:val="0"/>
        <w:tabs>
          <w:tab w:val="left" w:pos="6303"/>
        </w:tabs>
        <w:kinsoku/>
        <w:wordWrap/>
        <w:overflowPunct/>
        <w:topLinePunct w:val="0"/>
        <w:bidi w:val="0"/>
        <w:spacing w:line="360" w:lineRule="auto"/>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auto"/>
          <w:kern w:val="2"/>
          <w:sz w:val="24"/>
          <w:szCs w:val="24"/>
          <w:highlight w:val="none"/>
          <w:lang w:val="en-US" w:eastAsia="zh-CN" w:bidi="en-US"/>
        </w:rPr>
        <w:t>1.1.4.</w:t>
      </w:r>
      <w:r>
        <w:rPr>
          <w:rFonts w:hint="eastAsia" w:ascii="宋体" w:hAnsi="宋体" w:eastAsia="宋体" w:cs="宋体"/>
          <w:color w:val="auto"/>
          <w:kern w:val="2"/>
          <w:sz w:val="24"/>
          <w:szCs w:val="24"/>
          <w:highlight w:val="none"/>
          <w:lang w:val="zh-CN" w:eastAsia="zh-CN" w:bidi="zh-CN"/>
        </w:rPr>
        <w:t>5缺陷责任期(工程质量保修期)：</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竣工验收合格后1年</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50B4801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1.4合同文件的优先顺序</w:t>
      </w:r>
    </w:p>
    <w:p w14:paraId="3038A0D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进入合同的各项文件及其优先顺序如下：</w:t>
      </w:r>
    </w:p>
    <w:p w14:paraId="6E0E7BDD">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合同协议书(包括补充协议、合同谈判备忘录)；</w:t>
      </w:r>
    </w:p>
    <w:p w14:paraId="1000649E">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中标通知书；</w:t>
      </w:r>
    </w:p>
    <w:p w14:paraId="49938106">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投标函及投标函附录；</w:t>
      </w:r>
    </w:p>
    <w:p w14:paraId="50C142D7">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专用合同条款(含附加条款)；</w:t>
      </w:r>
    </w:p>
    <w:p w14:paraId="5F317544">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通用合同条款；</w:t>
      </w:r>
    </w:p>
    <w:p w14:paraId="6C6CB35A">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技术标准和要求(合同技术条款)；</w:t>
      </w:r>
    </w:p>
    <w:p w14:paraId="64653814">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图纸；</w:t>
      </w:r>
    </w:p>
    <w:p w14:paraId="242F04CD">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已标价工程量清单；</w:t>
      </w:r>
    </w:p>
    <w:p w14:paraId="4E6B5527">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投标文件其他内容；</w:t>
      </w:r>
    </w:p>
    <w:p w14:paraId="54247F74">
      <w:pPr>
        <w:pageBreakBefore w:val="0"/>
        <w:widowControl w:val="0"/>
        <w:numPr>
          <w:ilvl w:val="0"/>
          <w:numId w:val="38"/>
        </w:numPr>
        <w:tabs>
          <w:tab w:val="left" w:pos="102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其他合同文件。</w:t>
      </w:r>
    </w:p>
    <w:p w14:paraId="64179F2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1.7联络</w:t>
      </w:r>
    </w:p>
    <w:p w14:paraId="0859D13E">
      <w:pPr>
        <w:pageBreakBefore w:val="0"/>
        <w:widowControl w:val="0"/>
        <w:tabs>
          <w:tab w:val="left" w:pos="207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w:t>
      </w:r>
      <w:r>
        <w:rPr>
          <w:rFonts w:hint="eastAsia" w:ascii="宋体" w:hAnsi="宋体" w:eastAsia="宋体" w:cs="宋体"/>
          <w:color w:val="auto"/>
          <w:kern w:val="2"/>
          <w:sz w:val="24"/>
          <w:szCs w:val="24"/>
          <w:highlight w:val="none"/>
          <w:lang w:val="zh-CN" w:eastAsia="zh-CN" w:bidi="zh-CN"/>
        </w:rPr>
        <w:t>来往函件均应按技术标准和要求(合同技术条款)约定的期限送</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u w:val="single"/>
          <w:lang w:val="en-US" w:eastAsia="zh-CN" w:bidi="en-US"/>
        </w:rPr>
        <w:t>。</w:t>
      </w:r>
    </w:p>
    <w:p w14:paraId="74CEDF2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1" w:name="_Toc12357"/>
      <w:r>
        <w:rPr>
          <w:rFonts w:hint="eastAsia" w:ascii="宋体" w:hAnsi="宋体" w:eastAsia="宋体" w:cs="宋体"/>
          <w:color w:val="auto"/>
          <w:kern w:val="2"/>
          <w:sz w:val="24"/>
          <w:szCs w:val="24"/>
          <w:highlight w:val="none"/>
          <w:lang w:val="en-US" w:eastAsia="zh-CN" w:bidi="ar-SA"/>
        </w:rPr>
        <w:t>2. 发包人义务</w:t>
      </w:r>
      <w:bookmarkEnd w:id="241"/>
    </w:p>
    <w:p w14:paraId="32120FF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2.3提供施工场地</w:t>
      </w:r>
    </w:p>
    <w:p w14:paraId="3B948B66">
      <w:pPr>
        <w:pageBreakBefore w:val="0"/>
        <w:widowControl w:val="0"/>
        <w:tabs>
          <w:tab w:val="left" w:pos="822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2.3.2发包人提供的施工场地范围为： 发包人负责办理工地范围内的征地、拆迁和移民等有关手续，并提供施工场地周围管线（含地上及地下）和邻近建筑物、构筑物(含文物保护建筑)、古树名木等相关资料，向承包人提供施工用地。</w:t>
      </w:r>
    </w:p>
    <w:p w14:paraId="7810BA79">
      <w:pPr>
        <w:pageBreakBefore w:val="0"/>
        <w:widowControl w:val="0"/>
        <w:tabs>
          <w:tab w:val="left" w:pos="822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2.3.3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14:paraId="2800992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2" w:name="_Toc32414"/>
      <w:r>
        <w:rPr>
          <w:rFonts w:hint="eastAsia" w:ascii="宋体" w:hAnsi="宋体" w:eastAsia="宋体" w:cs="宋体"/>
          <w:color w:val="auto"/>
          <w:kern w:val="2"/>
          <w:sz w:val="24"/>
          <w:szCs w:val="24"/>
          <w:highlight w:val="none"/>
          <w:lang w:val="en-US" w:eastAsia="zh-CN" w:bidi="ar-SA"/>
        </w:rPr>
        <w:t>3. 监理人</w:t>
      </w:r>
      <w:bookmarkEnd w:id="242"/>
    </w:p>
    <w:p w14:paraId="5302480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3.1监理人的职责和权力</w:t>
      </w:r>
    </w:p>
    <w:p w14:paraId="581CF2C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3.1.1</w:t>
      </w:r>
      <w:r>
        <w:rPr>
          <w:rFonts w:hint="eastAsia" w:ascii="宋体" w:hAnsi="宋体" w:eastAsia="宋体" w:cs="宋体"/>
          <w:color w:val="auto"/>
          <w:kern w:val="2"/>
          <w:sz w:val="24"/>
          <w:szCs w:val="24"/>
          <w:highlight w:val="none"/>
          <w:lang w:val="zh-CN" w:eastAsia="zh-CN" w:bidi="zh-CN"/>
        </w:rPr>
        <w:t>监理人须根据发包人事先批准的权力范围行使权力，发包人批准的权力范围： 按本工程委托监理合同。</w:t>
      </w:r>
    </w:p>
    <w:p w14:paraId="2B198E7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3" w:name="_Toc32089"/>
      <w:r>
        <w:rPr>
          <w:rFonts w:hint="eastAsia" w:ascii="宋体" w:hAnsi="宋体" w:eastAsia="宋体" w:cs="宋体"/>
          <w:color w:val="auto"/>
          <w:kern w:val="2"/>
          <w:sz w:val="24"/>
          <w:szCs w:val="24"/>
          <w:highlight w:val="none"/>
          <w:lang w:val="en-US" w:eastAsia="zh-CN" w:bidi="ar-SA"/>
        </w:rPr>
        <w:t>4. 承包人</w:t>
      </w:r>
      <w:bookmarkEnd w:id="243"/>
    </w:p>
    <w:p w14:paraId="595DCEB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4.1承包人的一般义务</w:t>
      </w:r>
    </w:p>
    <w:p w14:paraId="535B0DA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4.1.10其他义务</w:t>
      </w:r>
    </w:p>
    <w:p w14:paraId="4479041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（一）办理有关保险。</w:t>
      </w:r>
    </w:p>
    <w:p w14:paraId="32010C4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照《中华人民共和国建筑法》规定，必须在工程开工前，为参加本合同工程现场施工的所有作业人员及管理人员，包括参加工程建设的管理人员、施工人员(含民工)办理工伤保险，并缴纳工伤保险费。保险期限自投保之日(工程开工之日)起至工程竣工验收时止, 时间上涵盖施工全过程的任一时段。</w:t>
      </w:r>
    </w:p>
    <w:p w14:paraId="678E4EC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按照《中华人民共和国建筑法》规定，鼓励为从事危险作业的职工办理意外伤害保险。</w:t>
      </w:r>
    </w:p>
    <w:p w14:paraId="274D2EDF">
      <w:pPr>
        <w:pageBreakBefore w:val="0"/>
        <w:widowControl w:val="0"/>
        <w:tabs>
          <w:tab w:val="left" w:pos="1028"/>
        </w:tabs>
        <w:kinsoku/>
        <w:wordWrap/>
        <w:overflowPunct/>
        <w:topLinePunct w:val="0"/>
        <w:bidi w:val="0"/>
        <w:spacing w:line="360" w:lineRule="auto"/>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auto"/>
          <w:kern w:val="2"/>
          <w:sz w:val="24"/>
          <w:szCs w:val="24"/>
          <w:highlight w:val="none"/>
          <w:lang w:val="zh-CN" w:eastAsia="zh-CN" w:bidi="zh-CN"/>
        </w:rPr>
        <w:t>（二）依法与招用的农民工签订并履行劳动合同，建立职工名册，及时办理劳动用工备案。</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根据《广西壮族自治区人力资源和社会保障厅等8部门关于印发广西壮族自治区工程建设领域农民工工资专用账广管理暂行办法实施顺的通知》（桂人社规〔2022〕5号）的有关</w:t>
      </w: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规定</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本项目</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由</w:t>
      </w: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承包人</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将农民工工资直接支付到农民工本人的银行账户。</w:t>
      </w:r>
    </w:p>
    <w:p w14:paraId="1067DA9B">
      <w:pPr>
        <w:pageBreakBefore w:val="0"/>
        <w:widowControl w:val="0"/>
        <w:tabs>
          <w:tab w:val="left" w:pos="103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（三）工程施工的义务和责任</w:t>
      </w:r>
    </w:p>
    <w:p w14:paraId="697EE39F">
      <w:pPr>
        <w:pageBreakBefore w:val="0"/>
        <w:widowControl w:val="0"/>
        <w:numPr>
          <w:ilvl w:val="0"/>
          <w:numId w:val="3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5C84ACBA">
      <w:pPr>
        <w:pageBreakBefore w:val="0"/>
        <w:widowControl w:val="0"/>
        <w:numPr>
          <w:ilvl w:val="0"/>
          <w:numId w:val="39"/>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除民房外，承包人应按监理人的指示负责拆除、清理已征用土地上的杂物、灌木、 树木、树根、杂草等。</w:t>
      </w:r>
    </w:p>
    <w:p w14:paraId="79CC8403">
      <w:pPr>
        <w:pageBreakBefore w:val="0"/>
        <w:widowControl w:val="0"/>
        <w:numPr>
          <w:ilvl w:val="0"/>
          <w:numId w:val="3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承包人应充分理解有一些设施(如施工道路、桥梁)可能会有其它人和单位使用通行，在使用过程中发生干扰时，应立即通知监理人并服从监理人的决定。</w:t>
      </w:r>
    </w:p>
    <w:p w14:paraId="2B3711AE">
      <w:pPr>
        <w:pageBreakBefore w:val="0"/>
        <w:widowControl w:val="0"/>
        <w:numPr>
          <w:ilvl w:val="0"/>
          <w:numId w:val="3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承包人应为监理人、发包人现场代表对施工现场的检查监督提供必要的配合，并对这种配合对施工的影响应有充分的考虑。</w:t>
      </w:r>
    </w:p>
    <w:p w14:paraId="1C923A9D">
      <w:pPr>
        <w:pageBreakBefore w:val="0"/>
        <w:widowControl w:val="0"/>
        <w:numPr>
          <w:ilvl w:val="0"/>
          <w:numId w:val="39"/>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工程竣工后，承包人应按监理人的指示清理施工现场直至监理人、发包人满意 为止。</w:t>
      </w:r>
    </w:p>
    <w:p w14:paraId="46288A09">
      <w:pPr>
        <w:pageBreakBefore w:val="0"/>
        <w:widowControl w:val="0"/>
        <w:numPr>
          <w:ilvl w:val="0"/>
          <w:numId w:val="3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对上述(1) ~ (5)项工作，费用已包括在有关单价和总价中，发包人不再另行支付由此所发生的一切费用。</w:t>
      </w:r>
    </w:p>
    <w:p w14:paraId="0945B5E5">
      <w:pPr>
        <w:pageBreakBefore w:val="0"/>
        <w:widowControl w:val="0"/>
        <w:numPr>
          <w:ilvl w:val="0"/>
          <w:numId w:val="3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15383CD6">
      <w:pPr>
        <w:pageBreakBefore w:val="0"/>
        <w:widowControl w:val="0"/>
        <w:numPr>
          <w:ilvl w:val="0"/>
          <w:numId w:val="39"/>
        </w:numPr>
        <w:tabs>
          <w:tab w:val="left" w:pos="9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承包人必须文明、安全施工，在施工期间发生的一切人员伤亡和财产损失等责任事故和所发生的一切费用概由承包人承担。</w:t>
      </w:r>
    </w:p>
    <w:p w14:paraId="67A656BE">
      <w:pPr>
        <w:pageBreakBefore w:val="0"/>
        <w:widowControl w:val="0"/>
        <w:numPr>
          <w:ilvl w:val="0"/>
          <w:numId w:val="39"/>
        </w:numPr>
        <w:tabs>
          <w:tab w:val="left" w:pos="9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按照发包人的要求做好安全文明宣传、监督检查宣传等工作，相关费用由承包人承担。</w:t>
      </w:r>
    </w:p>
    <w:p w14:paraId="0410D3FB">
      <w:pPr>
        <w:pageBreakBefore w:val="0"/>
        <w:widowControl w:val="0"/>
        <w:numPr>
          <w:ilvl w:val="0"/>
          <w:numId w:val="39"/>
        </w:numPr>
        <w:tabs>
          <w:tab w:val="left" w:pos="9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承包人应按约定时间和要求，完成以下工作：</w:t>
      </w:r>
    </w:p>
    <w:p w14:paraId="43DD70C0">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按时提交施工组织设计、单位工程的施工方案。</w:t>
      </w:r>
    </w:p>
    <w:p w14:paraId="26FB18EB">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每月25日向监理人提交当月工程进度报表及下月进度计划。</w:t>
      </w:r>
    </w:p>
    <w:p w14:paraId="6C74CD0D">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承包人自行负责施工安全保卫工作及夜间施工照明。</w:t>
      </w:r>
    </w:p>
    <w:p w14:paraId="0B01C774">
      <w:pPr>
        <w:pageBreakBefore w:val="0"/>
        <w:widowControl w:val="0"/>
        <w:numPr>
          <w:ilvl w:val="0"/>
          <w:numId w:val="40"/>
        </w:numPr>
        <w:tabs>
          <w:tab w:val="left" w:pos="7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需承包人办理的有关施工场地交通、环卫和施工噪音降尘管理等手续：遵守有关部门对施工现场交通、环卫和施工噪音降尘管理规定，如有发生，费用由承包人承担。</w:t>
      </w:r>
    </w:p>
    <w:p w14:paraId="502D7A43">
      <w:pPr>
        <w:pageBreakBefore w:val="0"/>
        <w:widowControl w:val="0"/>
        <w:numPr>
          <w:ilvl w:val="0"/>
          <w:numId w:val="40"/>
        </w:numPr>
        <w:tabs>
          <w:tab w:val="left" w:pos="81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已完工程成品保护的特殊要求及费用承担：已完工工程未交付发包人之前，承包人按协议条款约定负责已完成工程的成品保护工作，保护期间发生损坏，承包人自费予以修复。</w:t>
      </w:r>
    </w:p>
    <w:p w14:paraId="607A11C7">
      <w:pPr>
        <w:pageBreakBefore w:val="0"/>
        <w:widowControl w:val="0"/>
        <w:numPr>
          <w:ilvl w:val="0"/>
          <w:numId w:val="40"/>
        </w:numPr>
        <w:tabs>
          <w:tab w:val="left" w:pos="81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承包人有义务对施工场地周围管线(含地上及地下)和邻近建筑物、构筑物(含文物保护建筑)、古树名木等进行探明并负责保护。</w:t>
      </w:r>
    </w:p>
    <w:p w14:paraId="13ABB488">
      <w:pPr>
        <w:pageBreakBefore w:val="0"/>
        <w:widowControl w:val="0"/>
        <w:numPr>
          <w:ilvl w:val="0"/>
          <w:numId w:val="40"/>
        </w:numPr>
        <w:tabs>
          <w:tab w:val="left" w:pos="81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施工场地清洁卫生的要求：按城建卫生有关规定执行，由承包人负责，费用由承包人承担。</w:t>
      </w:r>
    </w:p>
    <w:p w14:paraId="50F0333E">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承包人承担施工场地、水电及运输通道的修建和维护、清场等费用。</w:t>
      </w:r>
    </w:p>
    <w:p w14:paraId="306852FD">
      <w:pPr>
        <w:pageBreakBefore w:val="0"/>
        <w:widowControl w:val="0"/>
        <w:numPr>
          <w:ilvl w:val="0"/>
          <w:numId w:val="39"/>
        </w:numPr>
        <w:tabs>
          <w:tab w:val="left" w:pos="102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双方约定承包人应做的其他工作：</w:t>
      </w:r>
    </w:p>
    <w:p w14:paraId="4C93190F">
      <w:pPr>
        <w:pageBreakBefore w:val="0"/>
        <w:widowControl w:val="0"/>
        <w:numPr>
          <w:ilvl w:val="0"/>
          <w:numId w:val="41"/>
        </w:numPr>
        <w:tabs>
          <w:tab w:val="left" w:pos="81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凡属于需要承包人交付给其他承包人的工作面以及与其他承包人交叉作业的工作面, 承包人必须服从监理人的决定，按规定的完工日期完成并将清理好的工作面移交给发包人, 并取得监理人的同意。</w:t>
      </w:r>
    </w:p>
    <w:p w14:paraId="1DD01039">
      <w:pPr>
        <w:pageBreakBefore w:val="0"/>
        <w:widowControl w:val="0"/>
        <w:numPr>
          <w:ilvl w:val="0"/>
          <w:numId w:val="41"/>
        </w:numPr>
        <w:tabs>
          <w:tab w:val="left" w:pos="81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完工后，承包人应按监理人的指示清理施工现场。并在工程完工后6个月内完成并提交工程竣工资料和工程结算资料。承包人逾期提交，发包人将对承包人的拖延行为视为违约，并按100元/天计算违约金，违约金从承包人应得的工程款中扣除，但其最终的累计总金额与各项逾期完工违约金合计不超过合同价格的5%。</w:t>
      </w:r>
    </w:p>
    <w:p w14:paraId="69FC87A6">
      <w:pPr>
        <w:pageBreakBefore w:val="0"/>
        <w:widowControl w:val="0"/>
        <w:numPr>
          <w:ilvl w:val="0"/>
          <w:numId w:val="39"/>
        </w:numPr>
        <w:tabs>
          <w:tab w:val="left" w:pos="102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其他未尽事宜待签订施工合同时双方再协商。</w:t>
      </w:r>
    </w:p>
    <w:p w14:paraId="3AE608DD">
      <w:pPr>
        <w:pageBreakBefore w:val="0"/>
        <w:widowControl w:val="0"/>
        <w:tabs>
          <w:tab w:val="left" w:pos="103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（四）鼓励承包人根据工程建设实际，吸纳建档立卡贫困劳动力参加工程建设。</w:t>
      </w:r>
    </w:p>
    <w:p w14:paraId="5A513836">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（五）执行自治区关于松材线虫病防控工作的有关规定，工程建设采用的模板、支撑及脚手架以钢模板、钢支撑为主，不使用松木及其包装材料。木质模板及仿材尽量就地采购，避免长途转运。</w:t>
      </w:r>
    </w:p>
    <w:p w14:paraId="78CBEDD0">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4.2履约担保</w:t>
      </w:r>
    </w:p>
    <w:p w14:paraId="0AA24DF4">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4.2.1本工程履约担保可采取银行担保、银行转账、工程担保或保证保险等形式（严禁要求中标人以现金方式提交保证金的行为），不计利息，按合同金额的2%交纳。</w:t>
      </w:r>
    </w:p>
    <w:p w14:paraId="334A36C9">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4.2.2履约保证金金额：合同金额的</w:t>
      </w:r>
      <w:r>
        <w:rPr>
          <w:rFonts w:hint="eastAsia" w:ascii="宋体" w:hAnsi="宋体" w:eastAsia="宋体" w:cs="宋体"/>
          <w:color w:val="auto"/>
          <w:kern w:val="2"/>
          <w:sz w:val="24"/>
          <w:szCs w:val="24"/>
          <w:highlight w:val="none"/>
          <w:lang w:val="en-US" w:eastAsia="zh-CN" w:bidi="zh-CN"/>
        </w:rPr>
        <w:t>2</w:t>
      </w:r>
      <w:r>
        <w:rPr>
          <w:rFonts w:hint="eastAsia" w:ascii="宋体" w:hAnsi="宋体" w:eastAsia="宋体" w:cs="宋体"/>
          <w:color w:val="auto"/>
          <w:kern w:val="2"/>
          <w:sz w:val="24"/>
          <w:szCs w:val="24"/>
          <w:highlight w:val="none"/>
          <w:lang w:val="zh-CN" w:eastAsia="zh-CN" w:bidi="zh-CN"/>
        </w:rPr>
        <w:t>%。</w:t>
      </w:r>
    </w:p>
    <w:p w14:paraId="1B82636F">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4.2.3履约保证金递交方式：可以选择电汇、转账、支票、汇票、本票、保函等非现金形式向</w:t>
      </w:r>
      <w:r>
        <w:rPr>
          <w:rFonts w:hint="eastAsia" w:ascii="宋体" w:hAnsi="宋体" w:cs="宋体"/>
          <w:color w:val="auto"/>
          <w:kern w:val="2"/>
          <w:sz w:val="24"/>
          <w:szCs w:val="24"/>
          <w:highlight w:val="none"/>
          <w:lang w:val="en-US" w:eastAsia="zh-CN" w:bidi="zh-CN"/>
        </w:rPr>
        <w:t>发包人</w:t>
      </w:r>
      <w:r>
        <w:rPr>
          <w:rFonts w:hint="eastAsia" w:ascii="宋体" w:hAnsi="宋体" w:eastAsia="宋体" w:cs="宋体"/>
          <w:color w:val="auto"/>
          <w:kern w:val="2"/>
          <w:sz w:val="24"/>
          <w:szCs w:val="24"/>
          <w:highlight w:val="none"/>
          <w:lang w:val="zh-CN" w:eastAsia="zh-CN" w:bidi="zh-CN"/>
        </w:rPr>
        <w:t>缴纳或提交；采用保函形式缴纳的，发包人在保证期限届满后及时对收取的保证金进行核实和结算。</w:t>
      </w:r>
    </w:p>
    <w:p w14:paraId="32676D61">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zh-CN" w:eastAsia="zh-CN" w:bidi="zh-CN"/>
        </w:rPr>
        <w:t>4.4.4</w:t>
      </w:r>
      <w:r>
        <w:rPr>
          <w:rFonts w:hint="eastAsia" w:ascii="宋体" w:hAnsi="宋体" w:eastAsia="宋体" w:cs="宋体"/>
          <w:color w:val="auto"/>
          <w:kern w:val="2"/>
          <w:sz w:val="24"/>
          <w:szCs w:val="24"/>
          <w:highlight w:val="none"/>
          <w:lang w:val="en-US" w:eastAsia="zh-CN" w:bidi="zh-CN"/>
        </w:rPr>
        <w:t>履约保证金返还：履约保证金必须在招标人书面确认项目完成并同意后才能退还，并无息退还到中标人的基本帐户，返还时中标人须提供以下资料：</w:t>
      </w:r>
    </w:p>
    <w:p w14:paraId="0ECD4D3F">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（1）《履约保证金返还审批表》一式四份；</w:t>
      </w:r>
    </w:p>
    <w:p w14:paraId="29FE176B">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（2）《竣工验收鉴定书》；</w:t>
      </w:r>
    </w:p>
    <w:p w14:paraId="2D2ADFDF">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（3）《合同》复印件；</w:t>
      </w:r>
    </w:p>
    <w:p w14:paraId="4766BB0D">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（4）银行开户许可证或银行转账底单复印件（加盖公章）。</w:t>
      </w:r>
    </w:p>
    <w:p w14:paraId="1012C901">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备注：（1）履约保证金不足额缴纳的，或金融机构、担保机构出具的保函额度不足的或者保函有效期低于合同履行期限（即签订合同之日起至履行完合同约定的权利及义务之日止）的，不予签订合同。（2）采用金融机构、担保机构出具的保函的，必须为无条件保函，否则不予签订合同。</w:t>
      </w:r>
    </w:p>
    <w:p w14:paraId="5E27035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4.3分包</w:t>
      </w:r>
    </w:p>
    <w:p w14:paraId="1D1A09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4.3.1</w:t>
      </w:r>
      <w:r>
        <w:rPr>
          <w:rFonts w:hint="eastAsia" w:ascii="宋体" w:hAnsi="宋体" w:eastAsia="宋体" w:cs="宋体"/>
          <w:color w:val="auto"/>
          <w:kern w:val="2"/>
          <w:sz w:val="24"/>
          <w:szCs w:val="24"/>
          <w:highlight w:val="none"/>
          <w:lang w:val="zh-CN" w:eastAsia="zh-CN" w:bidi="zh-CN"/>
        </w:rPr>
        <w:t>承包人不得将其承包的全部工程转包给第三人，或将其承包的全部工程肢解后以分包的名义转包给第三人。</w:t>
      </w:r>
    </w:p>
    <w:p w14:paraId="32038720">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4.3.</w:t>
      </w:r>
      <w:r>
        <w:rPr>
          <w:rFonts w:hint="eastAsia" w:ascii="宋体" w:hAnsi="宋体" w:eastAsia="宋体" w:cs="宋体"/>
          <w:color w:val="auto"/>
          <w:kern w:val="2"/>
          <w:sz w:val="24"/>
          <w:szCs w:val="24"/>
          <w:highlight w:val="none"/>
          <w:lang w:val="zh-CN" w:eastAsia="zh-CN" w:bidi="zh-CN"/>
        </w:rPr>
        <w:t>2允许承包人分包的工程项目、工作内容与分包金额限额为：无。</w:t>
      </w:r>
    </w:p>
    <w:p w14:paraId="604C82F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4.5承包人项目负责人</w:t>
      </w:r>
    </w:p>
    <w:p w14:paraId="1A3013C6">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4.5.5（1）同一施工项目负责人不能同时在两个及以上的工程项目上担任施工项目负责人</w:t>
      </w:r>
    </w:p>
    <w:p w14:paraId="25E1AD59">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（2）承包人应保证项目负责人每月在工地现场的时间不少于</w:t>
      </w:r>
      <w:r>
        <w:rPr>
          <w:rFonts w:hint="eastAsia" w:ascii="宋体" w:hAnsi="宋体" w:eastAsia="宋体" w:cs="宋体"/>
          <w:color w:val="auto"/>
          <w:kern w:val="2"/>
          <w:sz w:val="24"/>
          <w:szCs w:val="24"/>
          <w:highlight w:val="none"/>
          <w:u w:val="single"/>
          <w:lang w:val="en-US" w:eastAsia="zh-CN" w:bidi="en-US"/>
        </w:rPr>
        <w:t xml:space="preserve">  22 </w:t>
      </w:r>
      <w:r>
        <w:rPr>
          <w:rFonts w:hint="eastAsia" w:ascii="宋体" w:hAnsi="宋体" w:eastAsia="宋体" w:cs="宋体"/>
          <w:color w:val="auto"/>
          <w:kern w:val="2"/>
          <w:sz w:val="24"/>
          <w:szCs w:val="24"/>
          <w:highlight w:val="none"/>
          <w:lang w:val="en-US" w:eastAsia="zh-CN" w:bidi="en-US"/>
        </w:rPr>
        <w:t xml:space="preserve">  日，否则将按每人每天人民币 </w:t>
      </w:r>
      <w:r>
        <w:rPr>
          <w:rFonts w:hint="eastAsia" w:ascii="宋体" w:hAnsi="宋体" w:eastAsia="宋体" w:cs="宋体"/>
          <w:color w:val="auto"/>
          <w:kern w:val="2"/>
          <w:sz w:val="24"/>
          <w:szCs w:val="24"/>
          <w:highlight w:val="none"/>
          <w:u w:val="single"/>
          <w:lang w:val="en-US" w:eastAsia="zh-CN" w:bidi="en-US"/>
        </w:rPr>
        <w:t xml:space="preserve">  500 </w:t>
      </w:r>
      <w:r>
        <w:rPr>
          <w:rFonts w:hint="eastAsia" w:ascii="宋体" w:hAnsi="宋体" w:eastAsia="宋体" w:cs="宋体"/>
          <w:color w:val="auto"/>
          <w:kern w:val="2"/>
          <w:sz w:val="24"/>
          <w:szCs w:val="24"/>
          <w:highlight w:val="none"/>
          <w:lang w:val="en-US" w:eastAsia="zh-CN" w:bidi="en-US"/>
        </w:rPr>
        <w:t xml:space="preserve"> 元的标准计算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 </w:t>
      </w:r>
    </w:p>
    <w:p w14:paraId="2CE3855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4.6承包人人员的管理</w:t>
      </w:r>
    </w:p>
    <w:p w14:paraId="3D03831A">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4.6.5包人应保证项目经理、技术负责人、质量管理人员、专职安全员每月在工地现场的时间不少于</w:t>
      </w:r>
      <w:r>
        <w:rPr>
          <w:rFonts w:hint="eastAsia" w:ascii="宋体" w:hAnsi="宋体" w:eastAsia="宋体" w:cs="宋体"/>
          <w:color w:val="auto"/>
          <w:kern w:val="2"/>
          <w:sz w:val="24"/>
          <w:szCs w:val="24"/>
          <w:highlight w:val="none"/>
          <w:u w:val="single"/>
          <w:lang w:val="en-US" w:eastAsia="zh-CN" w:bidi="en-US"/>
        </w:rPr>
        <w:t xml:space="preserve"> 22  </w:t>
      </w:r>
      <w:r>
        <w:rPr>
          <w:rFonts w:hint="eastAsia" w:ascii="宋体" w:hAnsi="宋体" w:eastAsia="宋体" w:cs="宋体"/>
          <w:color w:val="auto"/>
          <w:kern w:val="2"/>
          <w:sz w:val="24"/>
          <w:szCs w:val="24"/>
          <w:highlight w:val="none"/>
          <w:lang w:val="en-US" w:eastAsia="zh-CN" w:bidi="en-US"/>
        </w:rPr>
        <w:t xml:space="preserve"> 日，否则项目经理、技术负责人将按每人每天人民币</w:t>
      </w:r>
      <w:r>
        <w:rPr>
          <w:rFonts w:hint="eastAsia" w:ascii="宋体" w:hAnsi="宋体" w:eastAsia="宋体" w:cs="宋体"/>
          <w:color w:val="auto"/>
          <w:kern w:val="2"/>
          <w:sz w:val="24"/>
          <w:szCs w:val="24"/>
          <w:highlight w:val="none"/>
          <w:u w:val="single"/>
          <w:lang w:val="en-US" w:eastAsia="zh-CN" w:bidi="en-US"/>
        </w:rPr>
        <w:t xml:space="preserve">500 </w:t>
      </w:r>
      <w:r>
        <w:rPr>
          <w:rFonts w:hint="eastAsia" w:ascii="宋体" w:hAnsi="宋体" w:eastAsia="宋体" w:cs="宋体"/>
          <w:color w:val="auto"/>
          <w:kern w:val="2"/>
          <w:sz w:val="24"/>
          <w:szCs w:val="24"/>
          <w:highlight w:val="none"/>
          <w:lang w:val="en-US" w:eastAsia="zh-CN" w:bidi="en-US"/>
        </w:rPr>
        <w:t>元的标准计算违约金，质量管理人员、专职安全员将按每人每天人民币</w:t>
      </w:r>
      <w:r>
        <w:rPr>
          <w:rFonts w:hint="eastAsia" w:ascii="宋体" w:hAnsi="宋体" w:eastAsia="宋体" w:cs="宋体"/>
          <w:color w:val="auto"/>
          <w:kern w:val="2"/>
          <w:sz w:val="24"/>
          <w:szCs w:val="24"/>
          <w:highlight w:val="none"/>
          <w:u w:val="single"/>
          <w:lang w:val="en-US" w:eastAsia="zh-CN" w:bidi="en-US"/>
        </w:rPr>
        <w:t xml:space="preserve">  300 </w:t>
      </w:r>
      <w:r>
        <w:rPr>
          <w:rFonts w:hint="eastAsia" w:ascii="宋体" w:hAnsi="宋体" w:eastAsia="宋体" w:cs="宋体"/>
          <w:color w:val="auto"/>
          <w:kern w:val="2"/>
          <w:sz w:val="24"/>
          <w:szCs w:val="24"/>
          <w:highlight w:val="none"/>
          <w:lang w:val="en-US" w:eastAsia="zh-CN" w:bidi="en-US"/>
        </w:rPr>
        <w:t>元的标准计算违约金，违约金在工程款中扣除。</w:t>
      </w:r>
    </w:p>
    <w:p w14:paraId="5562E41C">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上述人员因其他事务需短期离开工地，应向发包人请假，经批准后方可离开，离开期间应委托项目相关负责人负责其外出时的日常工作。对未按规定到位和在岗的，发包人将报告县、市、自治区水行政主管部门，纳入市场主体信用管理体系。</w:t>
      </w:r>
    </w:p>
    <w:p w14:paraId="05F3DF7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4.7撤换承包人项目经理和其他人员</w:t>
      </w:r>
    </w:p>
    <w:p w14:paraId="0EC3194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sym w:font="Wingdings 2" w:char="00A3"/>
      </w:r>
      <w:r>
        <w:rPr>
          <w:rFonts w:hint="eastAsia" w:ascii="宋体" w:hAnsi="宋体" w:eastAsia="宋体" w:cs="宋体"/>
          <w:color w:val="auto"/>
          <w:kern w:val="2"/>
          <w:sz w:val="24"/>
          <w:szCs w:val="24"/>
          <w:highlight w:val="none"/>
          <w:lang w:val="en-US" w:eastAsia="zh-CN" w:bidi="en-US"/>
        </w:rPr>
        <w:t>4.7.</w:t>
      </w:r>
      <w:r>
        <w:rPr>
          <w:rFonts w:hint="eastAsia" w:ascii="宋体" w:hAnsi="宋体" w:eastAsia="宋体" w:cs="宋体"/>
          <w:color w:val="auto"/>
          <w:kern w:val="2"/>
          <w:sz w:val="24"/>
          <w:szCs w:val="24"/>
          <w:highlight w:val="none"/>
          <w:lang w:val="zh-CN" w:eastAsia="zh-CN" w:bidi="zh-CN"/>
        </w:rPr>
        <w:t>1中标人根据投标文件的承诺，投入本项目的项目经理、技术负责人、质量管理员、安全管理员等主要管理人员中标后不得更换(除因故去世、调离本单位、因病无法进行履行工作职责外)。</w:t>
      </w:r>
    </w:p>
    <w:p w14:paraId="5DDB090F">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sym w:font="Wingdings 2" w:char="0052"/>
      </w:r>
      <w:r>
        <w:rPr>
          <w:rFonts w:hint="eastAsia" w:ascii="宋体" w:hAnsi="宋体" w:eastAsia="宋体" w:cs="宋体"/>
          <w:color w:val="auto"/>
          <w:kern w:val="2"/>
          <w:sz w:val="24"/>
          <w:szCs w:val="24"/>
          <w:highlight w:val="none"/>
          <w:lang w:val="en-US" w:eastAsia="zh-CN" w:bidi="en-US"/>
        </w:rPr>
        <w:t>4.7.1投入本项目的项目经理、技术负责人、质量管理员、专职管理员等主要管理人员中标后，经中标人申请、监理机构审核允许、招标人同意后方可变更为不低于同等条件的人员。</w:t>
      </w:r>
    </w:p>
    <w:p w14:paraId="4F519929">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4.7.2除非发包人要求或者批准，承包人擅自更换项目经理、项目副经理、技术负责人、专职安全员的，将按每人每天人民币</w:t>
      </w:r>
      <w:r>
        <w:rPr>
          <w:rFonts w:hint="eastAsia" w:ascii="宋体" w:hAnsi="宋体" w:eastAsia="宋体" w:cs="宋体"/>
          <w:color w:val="auto"/>
          <w:kern w:val="2"/>
          <w:sz w:val="24"/>
          <w:szCs w:val="24"/>
          <w:highlight w:val="none"/>
          <w:u w:val="single"/>
          <w:lang w:val="en-US" w:eastAsia="zh-CN" w:bidi="en-US"/>
        </w:rPr>
        <w:t xml:space="preserve">  500  </w:t>
      </w:r>
      <w:r>
        <w:rPr>
          <w:rFonts w:hint="eastAsia" w:ascii="宋体" w:hAnsi="宋体" w:eastAsia="宋体" w:cs="宋体"/>
          <w:color w:val="auto"/>
          <w:kern w:val="2"/>
          <w:sz w:val="24"/>
          <w:szCs w:val="24"/>
          <w:highlight w:val="none"/>
          <w:lang w:val="en-US" w:eastAsia="zh-CN" w:bidi="en-US"/>
        </w:rPr>
        <w:t>元的标准计算违约金，由有关行政监督部门处理后报请有关行政监督部门将结果记入市场主体信用档案，公布不良行为记录。</w:t>
      </w:r>
    </w:p>
    <w:p w14:paraId="40014CAC">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4.7.3尽管承包人已按第4.6.2款的规定派遣了各类人员，但仍然不能满足合同工程的进度计划或质量要求时，发包人有权要求承包人继续增派（/或更换）人员。承包人在接到通知14天内，增派（和/或更换）的人员要到岗，否则，承包人应按每人每天人民币</w:t>
      </w:r>
      <w:r>
        <w:rPr>
          <w:rFonts w:hint="eastAsia" w:ascii="宋体" w:hAnsi="宋体" w:eastAsia="宋体" w:cs="宋体"/>
          <w:color w:val="auto"/>
          <w:kern w:val="2"/>
          <w:sz w:val="24"/>
          <w:szCs w:val="24"/>
          <w:highlight w:val="none"/>
          <w:u w:val="single"/>
          <w:lang w:val="en-US" w:eastAsia="zh-CN" w:bidi="en-US"/>
        </w:rPr>
        <w:t xml:space="preserve">  500 </w:t>
      </w:r>
      <w:r>
        <w:rPr>
          <w:rFonts w:hint="eastAsia" w:ascii="宋体" w:hAnsi="宋体" w:eastAsia="宋体" w:cs="宋体"/>
          <w:color w:val="auto"/>
          <w:kern w:val="2"/>
          <w:sz w:val="24"/>
          <w:szCs w:val="24"/>
          <w:highlight w:val="none"/>
          <w:lang w:val="en-US" w:eastAsia="zh-CN" w:bidi="en-US"/>
        </w:rPr>
        <w:t>元的标准计算违约金，直至按照发包人的要求增派（和/或更换）的人员到岗为此。</w:t>
      </w:r>
    </w:p>
    <w:p w14:paraId="7F4938A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4.11不利物质条件</w:t>
      </w:r>
    </w:p>
    <w:p w14:paraId="15F30A76">
      <w:pPr>
        <w:pageBreakBefore w:val="0"/>
        <w:widowControl w:val="0"/>
        <w:tabs>
          <w:tab w:val="left" w:pos="82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4.11.1</w:t>
      </w:r>
      <w:r>
        <w:rPr>
          <w:rFonts w:hint="eastAsia" w:ascii="宋体" w:hAnsi="宋体" w:eastAsia="宋体" w:cs="宋体"/>
          <w:color w:val="auto"/>
          <w:kern w:val="2"/>
          <w:sz w:val="24"/>
          <w:szCs w:val="24"/>
          <w:highlight w:val="none"/>
          <w:lang w:val="zh-CN" w:eastAsia="zh-CN" w:bidi="zh-CN"/>
        </w:rPr>
        <w:t>不利物质条件的范围：</w:t>
      </w:r>
      <w:r>
        <w:rPr>
          <w:rFonts w:hint="eastAsia" w:ascii="宋体" w:hAnsi="宋体" w:eastAsia="宋体" w:cs="宋体"/>
          <w:color w:val="auto"/>
          <w:kern w:val="2"/>
          <w:sz w:val="24"/>
          <w:szCs w:val="24"/>
          <w:highlight w:val="none"/>
          <w:u w:val="single"/>
          <w:lang w:val="zh-CN" w:eastAsia="zh-CN" w:bidi="zh-CN"/>
        </w:rPr>
        <w:t xml:space="preserve"> 不可预见的自然物质条件、非自然的物质障碍和污染物，包括地下和水文条件，但不包括气候条件，由发包人、监理人和承包人现场确定</w:t>
      </w:r>
      <w:r>
        <w:rPr>
          <w:rFonts w:hint="eastAsia" w:ascii="宋体" w:hAnsi="宋体" w:eastAsia="宋体" w:cs="宋体"/>
          <w:color w:val="auto"/>
          <w:kern w:val="2"/>
          <w:sz w:val="24"/>
          <w:szCs w:val="24"/>
          <w:highlight w:val="none"/>
          <w:lang w:val="en-US" w:eastAsia="zh-CN" w:bidi="en-US"/>
        </w:rPr>
        <w:t>。</w:t>
      </w:r>
    </w:p>
    <w:p w14:paraId="3EBC24A5">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4" w:name="_Toc19524"/>
      <w:r>
        <w:rPr>
          <w:rFonts w:hint="eastAsia" w:ascii="宋体" w:hAnsi="宋体" w:eastAsia="宋体" w:cs="宋体"/>
          <w:color w:val="auto"/>
          <w:kern w:val="2"/>
          <w:sz w:val="24"/>
          <w:szCs w:val="24"/>
          <w:highlight w:val="none"/>
          <w:lang w:val="en-US" w:eastAsia="zh-CN" w:bidi="ar-SA"/>
        </w:rPr>
        <w:t>5. 材料和工程设备</w:t>
      </w:r>
      <w:bookmarkEnd w:id="244"/>
    </w:p>
    <w:p w14:paraId="40BB185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5.2发包人提供的材料和工程设备</w:t>
      </w:r>
    </w:p>
    <w:p w14:paraId="2B70EAF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b w:val="0"/>
          <w:color w:val="auto"/>
          <w:kern w:val="2"/>
          <w:sz w:val="24"/>
          <w:szCs w:val="24"/>
          <w:highlight w:val="none"/>
          <w:u w:val="none"/>
          <w:lang w:val="zh-CN" w:eastAsia="zh-CN" w:bidi="zh-CN"/>
        </w:rPr>
      </w:pPr>
      <w:bookmarkStart w:id="245" w:name="_Toc9445"/>
      <w:r>
        <w:rPr>
          <w:rFonts w:hint="eastAsia" w:ascii="宋体" w:hAnsi="宋体" w:eastAsia="宋体" w:cs="宋体"/>
          <w:b w:val="0"/>
          <w:color w:val="auto"/>
          <w:kern w:val="2"/>
          <w:sz w:val="24"/>
          <w:szCs w:val="24"/>
          <w:highlight w:val="none"/>
          <w:u w:val="none"/>
          <w:lang w:val="zh-CN" w:eastAsia="zh-CN" w:bidi="zh-CN"/>
        </w:rPr>
        <w:t>5.2.1发包人提供的材料和工程设备：无。</w:t>
      </w:r>
      <w:bookmarkEnd w:id="245"/>
    </w:p>
    <w:p w14:paraId="7974D34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6" w:name="_Toc5835"/>
      <w:r>
        <w:rPr>
          <w:rFonts w:hint="eastAsia" w:ascii="宋体" w:hAnsi="宋体" w:eastAsia="宋体" w:cs="宋体"/>
          <w:color w:val="auto"/>
          <w:kern w:val="2"/>
          <w:sz w:val="24"/>
          <w:szCs w:val="24"/>
          <w:highlight w:val="none"/>
          <w:lang w:val="en-US" w:eastAsia="zh-CN" w:bidi="ar-SA"/>
        </w:rPr>
        <w:t>6. 施工设备和临时设施</w:t>
      </w:r>
      <w:bookmarkEnd w:id="246"/>
    </w:p>
    <w:p w14:paraId="1C8AC38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6.1承包人提供的施工设备和临时设施</w:t>
      </w:r>
    </w:p>
    <w:p w14:paraId="13D44F6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6.1.2</w:t>
      </w:r>
      <w:r>
        <w:rPr>
          <w:rFonts w:hint="eastAsia" w:ascii="宋体" w:hAnsi="宋体" w:eastAsia="宋体" w:cs="宋体"/>
          <w:color w:val="auto"/>
          <w:kern w:val="2"/>
          <w:sz w:val="24"/>
          <w:szCs w:val="24"/>
          <w:highlight w:val="none"/>
          <w:lang w:val="zh-CN" w:eastAsia="zh-CN" w:bidi="zh-CN"/>
        </w:rPr>
        <w:t>承包人自行承担修建临时设施的费用，需要临时占地的，由承包人办理相关申请手续，发包人予以协助，发生的相关费用由承包人承担。</w:t>
      </w:r>
    </w:p>
    <w:p w14:paraId="64D9AEF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6.2发包人提供的施工设备和临时设施</w:t>
      </w:r>
    </w:p>
    <w:p w14:paraId="1352588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（1）发包人提供的的施工设备：</w:t>
      </w:r>
      <w:r>
        <w:rPr>
          <w:rFonts w:hint="eastAsia" w:ascii="宋体" w:hAnsi="宋体" w:eastAsia="宋体" w:cs="宋体"/>
          <w:color w:val="auto"/>
          <w:kern w:val="2"/>
          <w:sz w:val="24"/>
          <w:szCs w:val="24"/>
          <w:highlight w:val="none"/>
          <w:u w:val="single"/>
          <w:lang w:val="en-US" w:eastAsia="zh-CN" w:bidi="en-US"/>
        </w:rPr>
        <w:t>无</w:t>
      </w:r>
      <w:r>
        <w:rPr>
          <w:rFonts w:hint="eastAsia" w:ascii="宋体" w:hAnsi="宋体" w:eastAsia="宋体" w:cs="宋体"/>
          <w:color w:val="auto"/>
          <w:kern w:val="2"/>
          <w:sz w:val="24"/>
          <w:szCs w:val="24"/>
          <w:highlight w:val="none"/>
          <w:lang w:val="en-US" w:eastAsia="zh-CN" w:bidi="en-US"/>
        </w:rPr>
        <w:t>。</w:t>
      </w:r>
    </w:p>
    <w:p w14:paraId="24F6908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（2）发包人提供的临时设施：</w:t>
      </w:r>
      <w:r>
        <w:rPr>
          <w:rFonts w:hint="eastAsia" w:ascii="宋体" w:hAnsi="宋体" w:eastAsia="宋体" w:cs="宋体"/>
          <w:color w:val="auto"/>
          <w:kern w:val="2"/>
          <w:sz w:val="24"/>
          <w:szCs w:val="24"/>
          <w:highlight w:val="none"/>
          <w:u w:val="single"/>
          <w:lang w:val="en-US" w:eastAsia="zh-CN" w:bidi="en-US"/>
        </w:rPr>
        <w:t>无</w:t>
      </w:r>
      <w:r>
        <w:rPr>
          <w:rFonts w:hint="eastAsia" w:ascii="宋体" w:hAnsi="宋体" w:eastAsia="宋体" w:cs="宋体"/>
          <w:color w:val="auto"/>
          <w:kern w:val="2"/>
          <w:sz w:val="24"/>
          <w:szCs w:val="24"/>
          <w:highlight w:val="none"/>
          <w:lang w:val="en-US" w:eastAsia="zh-CN" w:bidi="en-US"/>
        </w:rPr>
        <w:t>。</w:t>
      </w:r>
    </w:p>
    <w:p w14:paraId="2FF5ED6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7" w:name="_Toc10732"/>
      <w:r>
        <w:rPr>
          <w:rFonts w:hint="eastAsia" w:ascii="宋体" w:hAnsi="宋体" w:eastAsia="宋体" w:cs="宋体"/>
          <w:color w:val="auto"/>
          <w:kern w:val="2"/>
          <w:sz w:val="24"/>
          <w:szCs w:val="24"/>
          <w:highlight w:val="none"/>
          <w:lang w:val="en-US" w:eastAsia="zh-CN" w:bidi="ar-SA"/>
        </w:rPr>
        <w:t>7. 交通运输</w:t>
      </w:r>
      <w:bookmarkEnd w:id="247"/>
    </w:p>
    <w:p w14:paraId="78722E8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7.1道路通行权和场外设施</w:t>
      </w:r>
    </w:p>
    <w:p w14:paraId="6FAD741A">
      <w:pPr>
        <w:keepNext w:val="0"/>
        <w:keepLines w:val="0"/>
        <w:pageBreakBefore w:val="0"/>
        <w:widowControl w:val="0"/>
        <w:tabs>
          <w:tab w:val="left" w:pos="8218"/>
        </w:tabs>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zh-CN" w:eastAsia="zh-CN" w:bidi="zh-CN"/>
        </w:rPr>
        <w:t>道路通行权和场外设施的约定：</w:t>
      </w:r>
      <w:r>
        <w:rPr>
          <w:rFonts w:hint="eastAsia" w:ascii="宋体" w:hAnsi="宋体" w:eastAsia="宋体" w:cs="宋体"/>
          <w:color w:val="auto"/>
          <w:kern w:val="2"/>
          <w:sz w:val="24"/>
          <w:szCs w:val="24"/>
          <w:highlight w:val="none"/>
          <w:u w:val="single"/>
          <w:lang w:val="zh-CN" w:eastAsia="zh-CN" w:bidi="zh-CN"/>
        </w:rPr>
        <w:t xml:space="preserve"> 承包人应根据合同工程的施工需要，负责办理取得出入施工场地的专用和临时道路的通行权，以及取得为工程建设所需修建场外设施的权利 </w:t>
      </w:r>
      <w:r>
        <w:rPr>
          <w:rFonts w:hint="eastAsia" w:ascii="宋体" w:hAnsi="宋体" w:eastAsia="宋体" w:cs="宋体"/>
          <w:color w:val="auto"/>
          <w:kern w:val="2"/>
          <w:sz w:val="24"/>
          <w:szCs w:val="24"/>
          <w:highlight w:val="none"/>
          <w:lang w:val="en-US" w:eastAsia="zh-CN" w:bidi="en-US"/>
        </w:rPr>
        <w:t>。</w:t>
      </w:r>
    </w:p>
    <w:p w14:paraId="5014FAA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8" w:name="_Toc24958"/>
      <w:r>
        <w:rPr>
          <w:rFonts w:hint="eastAsia" w:ascii="宋体" w:hAnsi="宋体" w:eastAsia="宋体" w:cs="宋体"/>
          <w:color w:val="auto"/>
          <w:kern w:val="2"/>
          <w:sz w:val="24"/>
          <w:szCs w:val="24"/>
          <w:highlight w:val="none"/>
          <w:lang w:val="en-US" w:eastAsia="zh-CN" w:bidi="ar-SA"/>
        </w:rPr>
        <w:t>8. 测量放线</w:t>
      </w:r>
      <w:bookmarkEnd w:id="248"/>
    </w:p>
    <w:p w14:paraId="2411599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8.1施工控制网</w:t>
      </w:r>
    </w:p>
    <w:p w14:paraId="4C6DD38A">
      <w:pPr>
        <w:pageBreakBefore w:val="0"/>
        <w:widowControl w:val="0"/>
        <w:tabs>
          <w:tab w:val="left" w:pos="750"/>
          <w:tab w:val="left" w:pos="4898"/>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zh-CN"/>
        </w:rPr>
        <w:t>8.1.</w:t>
      </w:r>
      <w:r>
        <w:rPr>
          <w:rFonts w:hint="eastAsia" w:ascii="宋体" w:hAnsi="宋体" w:eastAsia="宋体" w:cs="宋体"/>
          <w:color w:val="auto"/>
          <w:kern w:val="0"/>
          <w:sz w:val="24"/>
          <w:szCs w:val="24"/>
          <w:highlight w:val="none"/>
          <w:lang w:val="zh-CN" w:eastAsia="zh-CN" w:bidi="zh-CN"/>
        </w:rPr>
        <w:t>1 施工控制网的约定：由</w:t>
      </w:r>
      <w:r>
        <w:rPr>
          <w:rFonts w:hint="eastAsia" w:ascii="宋体" w:hAnsi="宋体" w:eastAsia="宋体" w:cs="宋体"/>
          <w:color w:val="auto"/>
          <w:kern w:val="0"/>
          <w:sz w:val="24"/>
          <w:szCs w:val="24"/>
          <w:highlight w:val="none"/>
          <w:u w:val="single"/>
          <w:lang w:val="zh-CN" w:eastAsia="zh-CN" w:bidi="zh-CN"/>
        </w:rPr>
        <w:t>承包人负责测设，并报监理人审批，相关费用由承包人承担</w:t>
      </w:r>
      <w:r>
        <w:rPr>
          <w:rFonts w:hint="eastAsia" w:ascii="宋体" w:hAnsi="宋体" w:eastAsia="宋体" w:cs="宋体"/>
          <w:color w:val="auto"/>
          <w:kern w:val="0"/>
          <w:sz w:val="24"/>
          <w:szCs w:val="24"/>
          <w:highlight w:val="none"/>
          <w:lang w:val="en-US" w:eastAsia="zh-CN" w:bidi="ar-SA"/>
        </w:rPr>
        <w:t>。</w:t>
      </w:r>
    </w:p>
    <w:p w14:paraId="04D8C412">
      <w:pPr>
        <w:pageBreakBefore w:val="0"/>
        <w:widowControl w:val="0"/>
        <w:tabs>
          <w:tab w:val="left" w:pos="750"/>
          <w:tab w:val="left" w:pos="4898"/>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增加以下条款：</w:t>
      </w:r>
    </w:p>
    <w:p w14:paraId="0F15FBA3">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8.1.3对基准坐标资料的内容的确认与维护</w:t>
      </w:r>
    </w:p>
    <w:p w14:paraId="1B0165AE">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承包人应根据发包人书面移交的控制网数据，负责对原始控制网数据的复测，根据工程施工放样的需要对控制网进行加密。承包人有义务提出并纠正发包人提供的基本坐标资料中的差错，并对所有放线的准确性负责。</w:t>
      </w:r>
    </w:p>
    <w:p w14:paraId="3A23B6AC">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（2）对因自身原因造成原始控制点的破坏，不得因此向发包人索取可能延长的工期和可能增加的费用；</w:t>
      </w:r>
    </w:p>
    <w:p w14:paraId="3454EF4D">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（3）施工控制网允许发包人、监理人以及其它承包人使用。</w:t>
      </w:r>
    </w:p>
    <w:p w14:paraId="0D1062E1">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9" w:name="_Toc9628"/>
      <w:r>
        <w:rPr>
          <w:rFonts w:hint="eastAsia" w:ascii="宋体" w:hAnsi="宋体" w:eastAsia="宋体" w:cs="宋体"/>
          <w:color w:val="auto"/>
          <w:kern w:val="2"/>
          <w:sz w:val="24"/>
          <w:szCs w:val="24"/>
          <w:highlight w:val="none"/>
          <w:lang w:val="en-US" w:eastAsia="zh-CN" w:bidi="ar-SA"/>
        </w:rPr>
        <w:t>9. 施工安全、治安保卫和环境保护</w:t>
      </w:r>
      <w:bookmarkEnd w:id="249"/>
    </w:p>
    <w:p w14:paraId="2AAA8B1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9.2承包人的施工安全责任</w:t>
      </w:r>
    </w:p>
    <w:p w14:paraId="31EB5836">
      <w:pPr>
        <w:pageBreakBefore w:val="0"/>
        <w:widowControl w:val="0"/>
        <w:tabs>
          <w:tab w:val="left" w:pos="4162"/>
          <w:tab w:val="left" w:pos="61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8</w:t>
      </w:r>
      <w:r>
        <w:rPr>
          <w:rFonts w:hint="eastAsia" w:ascii="宋体" w:hAnsi="宋体" w:eastAsia="宋体" w:cs="宋体"/>
          <w:b/>
          <w:bCs/>
          <w:color w:val="auto"/>
          <w:kern w:val="2"/>
          <w:sz w:val="24"/>
          <w:szCs w:val="24"/>
          <w:highlight w:val="none"/>
          <w:lang w:val="en-US" w:eastAsia="zh-CN" w:bidi="ar-SA"/>
        </w:rPr>
        <w:t>安全施工措施所需费用在投标时不得做竞争调整。</w:t>
      </w:r>
      <w:r>
        <w:rPr>
          <w:rFonts w:hint="eastAsia" w:ascii="宋体" w:hAnsi="宋体" w:eastAsia="宋体" w:cs="宋体"/>
          <w:color w:val="auto"/>
          <w:kern w:val="2"/>
          <w:sz w:val="24"/>
          <w:szCs w:val="24"/>
          <w:highlight w:val="none"/>
          <w:lang w:val="en-US" w:eastAsia="zh-CN" w:bidi="ar-SA"/>
        </w:rPr>
        <w:t>施工单位应编制安全文明施工措施费项目清单，安全文明施工措施费项目清单主要包括以下内容：（一）完善、改造和维护安全防护设施设备支出（不含“三同时”要求初期投入的安全设施），包括施工现场临时用电系统、洞口或临边防护、高处作业或交叉作业防护、临时安全防护、支护及防治边坡滑坡、工程有害气体监测和通风、保障安全的机械设备、防火、防爆、防触电、防尘、防毒、防雷、防台风、防地质灾害等设施设备支出；（二）应急救援技术装备、设施配置及维护保养支出，事故逃生和紧急避难设施设备的配置和应急救援队伍建设、应急预案制修订与应急演练支出；（三）开展施工现场重大危险源检测、评估、监控支出，安全风险分级管控和事故隐患排查整改支出，工程项目安全生产信息化建设、运维和网络安全支出；（四）安全生产检查、评</w:t>
      </w:r>
      <w:r>
        <w:rPr>
          <w:rFonts w:hint="eastAsia" w:ascii="宋体" w:hAnsi="宋体" w:eastAsia="宋体" w:cs="宋体"/>
          <w:color w:val="auto"/>
          <w:kern w:val="2"/>
          <w:sz w:val="24"/>
          <w:szCs w:val="24"/>
          <w:highlight w:val="none"/>
          <w:lang w:val="zh-CN" w:eastAsia="zh-CN" w:bidi="zh-CN"/>
        </w:rPr>
        <w:t>估评价（不含新建、改建、扩建项目安全评价）、咨询和标准化建设支出；（五）配备和更新现场作业人员安全防护用品支出；（六）安全生产宣传、教育、培训和从业人员发现并报告事故隐患的奖励支出；（七）安全生产适用的新技术、新标准、新工艺、新装备的推广应用支出；（八）安全设施及特种设备检测检验、检定校准支出；（九）安全生产责任保险支出；（十）与安全生产直接相关的其他支出。安全文明施工措施费应采用现场计量、按实支付的方式计取，应开设安全文明施工措施费专用账户，并实行项目法人、总包单位、银行三方监管。按照施工单位申请、监理单位审核、项目法人审定的程序支付。按实际完成工程量的</w:t>
      </w:r>
      <w:r>
        <w:rPr>
          <w:rFonts w:hint="eastAsia" w:ascii="宋体" w:hAnsi="宋体" w:eastAsia="宋体" w:cs="宋体"/>
          <w:color w:val="auto"/>
          <w:kern w:val="2"/>
          <w:sz w:val="24"/>
          <w:szCs w:val="24"/>
          <w:highlight w:val="none"/>
          <w:u w:val="single"/>
          <w:lang w:val="zh-CN" w:eastAsia="zh-CN" w:bidi="zh-CN"/>
        </w:rPr>
        <w:t xml:space="preserve"> 90 %</w:t>
      </w:r>
      <w:r>
        <w:rPr>
          <w:rFonts w:hint="eastAsia" w:ascii="宋体" w:hAnsi="宋体" w:eastAsia="宋体" w:cs="宋体"/>
          <w:color w:val="auto"/>
          <w:kern w:val="2"/>
          <w:sz w:val="24"/>
          <w:szCs w:val="24"/>
          <w:highlight w:val="none"/>
          <w:lang w:val="zh-CN" w:eastAsia="zh-CN" w:bidi="zh-CN"/>
        </w:rPr>
        <w:t>支付支安全文明施工措施费专用账户。</w:t>
      </w:r>
    </w:p>
    <w:p w14:paraId="56155D8D">
      <w:pPr>
        <w:pageBreakBefore w:val="0"/>
        <w:widowControl w:val="0"/>
        <w:tabs>
          <w:tab w:val="left" w:pos="4162"/>
          <w:tab w:val="left" w:pos="61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9. 2. </w:t>
      </w:r>
      <w:r>
        <w:rPr>
          <w:rFonts w:hint="eastAsia" w:ascii="宋体" w:hAnsi="宋体" w:eastAsia="宋体" w:cs="宋体"/>
          <w:color w:val="auto"/>
          <w:kern w:val="2"/>
          <w:sz w:val="24"/>
          <w:szCs w:val="24"/>
          <w:highlight w:val="none"/>
          <w:lang w:val="zh-CN" w:eastAsia="zh-CN" w:bidi="zh-CN"/>
        </w:rPr>
        <w:t>12下列工程应编制专项施工方案：</w:t>
      </w:r>
      <w:r>
        <w:rPr>
          <w:rFonts w:hint="eastAsia" w:ascii="宋体" w:hAnsi="宋体" w:eastAsia="宋体" w:cs="宋体"/>
          <w:color w:val="auto"/>
          <w:kern w:val="2"/>
          <w:sz w:val="24"/>
          <w:szCs w:val="24"/>
          <w:highlight w:val="none"/>
          <w:u w:val="single"/>
          <w:lang w:val="zh-CN" w:eastAsia="zh-CN" w:bidi="zh-CN"/>
        </w:rPr>
        <w:t>（1）土方和石方开挖工程，包括拆除、爆破，料场开挖及运输等；（2）基础处理，包括基础灌浆等；（3）金属结构安装；（4）其它危险性较大的工程。专项施工方案评审发生的费用由承包人负责</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其中应组织专家论证和审查的专项施工方案：</w:t>
      </w:r>
      <w:r>
        <w:rPr>
          <w:rFonts w:hint="eastAsia" w:ascii="宋体" w:hAnsi="宋体" w:eastAsia="宋体" w:cs="宋体"/>
          <w:color w:val="auto"/>
          <w:kern w:val="2"/>
          <w:sz w:val="24"/>
          <w:szCs w:val="24"/>
          <w:highlight w:val="none"/>
          <w:u w:val="single"/>
          <w:lang w:val="zh-CN" w:eastAsia="zh-CN" w:bidi="zh-CN"/>
        </w:rPr>
        <w:t>高边坡、深基坑、地下暗挖工程、高大模板工程的专项施工方案</w:t>
      </w:r>
      <w:r>
        <w:rPr>
          <w:rFonts w:hint="eastAsia" w:ascii="宋体" w:hAnsi="宋体" w:eastAsia="宋体" w:cs="宋体"/>
          <w:color w:val="auto"/>
          <w:kern w:val="2"/>
          <w:sz w:val="24"/>
          <w:szCs w:val="24"/>
          <w:highlight w:val="none"/>
          <w:lang w:val="en-US" w:eastAsia="zh-CN" w:bidi="en-US"/>
        </w:rPr>
        <w:t>。</w:t>
      </w:r>
    </w:p>
    <w:p w14:paraId="0458E5D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9.7文明工地</w:t>
      </w:r>
    </w:p>
    <w:p w14:paraId="4844B970">
      <w:pPr>
        <w:pageBreakBefore w:val="0"/>
        <w:widowControl w:val="0"/>
        <w:tabs>
          <w:tab w:val="left" w:pos="53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en-US"/>
        </w:rPr>
        <w:t xml:space="preserve">9.7. </w:t>
      </w:r>
      <w:r>
        <w:rPr>
          <w:rFonts w:hint="eastAsia" w:ascii="宋体" w:hAnsi="宋体" w:eastAsia="宋体" w:cs="宋体"/>
          <w:color w:val="auto"/>
          <w:kern w:val="2"/>
          <w:sz w:val="24"/>
          <w:szCs w:val="24"/>
          <w:highlight w:val="none"/>
          <w:lang w:val="zh-CN" w:eastAsia="zh-CN" w:bidi="zh-CN"/>
        </w:rPr>
        <w:t>1本合同文明工地的约定：</w:t>
      </w:r>
      <w:r>
        <w:rPr>
          <w:rFonts w:hint="eastAsia" w:ascii="宋体" w:hAnsi="宋体" w:eastAsia="宋体" w:cs="宋体"/>
          <w:color w:val="auto"/>
          <w:kern w:val="2"/>
          <w:sz w:val="24"/>
          <w:szCs w:val="24"/>
          <w:highlight w:val="none"/>
          <w:u w:val="single"/>
          <w:lang w:val="zh-CN" w:eastAsia="zh-CN" w:bidi="zh-CN"/>
        </w:rPr>
        <w:t>积极创建文明工地</w:t>
      </w:r>
      <w:r>
        <w:rPr>
          <w:rFonts w:hint="eastAsia" w:ascii="宋体" w:hAnsi="宋体" w:eastAsia="宋体" w:cs="宋体"/>
          <w:color w:val="auto"/>
          <w:kern w:val="2"/>
          <w:sz w:val="24"/>
          <w:szCs w:val="24"/>
          <w:highlight w:val="none"/>
          <w:lang w:val="en-US" w:eastAsia="zh-CN" w:bidi="zh-CN"/>
        </w:rPr>
        <w:t>。</w:t>
      </w:r>
    </w:p>
    <w:p w14:paraId="7F3161F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0" w:name="_Toc8115"/>
      <w:r>
        <w:rPr>
          <w:rFonts w:hint="eastAsia" w:ascii="宋体" w:hAnsi="宋体" w:eastAsia="宋体" w:cs="宋体"/>
          <w:color w:val="auto"/>
          <w:kern w:val="2"/>
          <w:sz w:val="24"/>
          <w:szCs w:val="24"/>
          <w:highlight w:val="none"/>
          <w:lang w:val="en-US" w:eastAsia="zh-CN" w:bidi="ar-SA"/>
        </w:rPr>
        <w:t>11. 开工和竣工（完工）</w:t>
      </w:r>
      <w:bookmarkEnd w:id="250"/>
    </w:p>
    <w:p w14:paraId="0D89C89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11.2本工程主体工程完工时间为：</w:t>
      </w:r>
      <w:r>
        <w:rPr>
          <w:rFonts w:hint="eastAsia" w:ascii="宋体" w:hAnsi="宋体" w:eastAsia="宋体" w:cs="宋体"/>
          <w:color w:val="auto"/>
          <w:kern w:val="0"/>
          <w:sz w:val="24"/>
          <w:szCs w:val="24"/>
          <w:highlight w:val="none"/>
          <w:u w:val="none"/>
          <w:lang w:val="en-US" w:eastAsia="zh-CN" w:bidi="ar-SA"/>
        </w:rPr>
        <w:t xml:space="preserve">    年     月      日</w:t>
      </w:r>
      <w:r>
        <w:rPr>
          <w:rFonts w:hint="eastAsia" w:ascii="宋体" w:hAnsi="宋体" w:eastAsia="宋体" w:cs="宋体"/>
          <w:color w:val="auto"/>
          <w:kern w:val="0"/>
          <w:sz w:val="24"/>
          <w:szCs w:val="24"/>
          <w:highlight w:val="none"/>
          <w:lang w:val="en-US" w:eastAsia="zh-CN" w:bidi="ar-SA"/>
        </w:rPr>
        <w:t>。</w:t>
      </w:r>
    </w:p>
    <w:p w14:paraId="23FFE28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11.3发包人的工期延误</w:t>
      </w:r>
    </w:p>
    <w:p w14:paraId="6BFC5A0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11.4异常恶劣的气候条件</w:t>
      </w:r>
    </w:p>
    <w:p w14:paraId="3ABEC0D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11.4.3</w:t>
      </w:r>
      <w:r>
        <w:rPr>
          <w:rFonts w:hint="eastAsia" w:ascii="宋体" w:hAnsi="宋体" w:eastAsia="宋体" w:cs="宋体"/>
          <w:color w:val="auto"/>
          <w:kern w:val="2"/>
          <w:sz w:val="24"/>
          <w:szCs w:val="24"/>
          <w:highlight w:val="none"/>
          <w:lang w:val="zh-CN" w:eastAsia="zh-CN" w:bidi="zh-CN"/>
        </w:rPr>
        <w:t>本合同工程界定异常恶劣气候条件的范围为：</w:t>
      </w:r>
    </w:p>
    <w:p w14:paraId="1A19C63F">
      <w:pPr>
        <w:pageBreakBefore w:val="0"/>
        <w:widowControl w:val="0"/>
        <w:numPr>
          <w:ilvl w:val="0"/>
          <w:numId w:val="42"/>
        </w:numPr>
        <w:tabs>
          <w:tab w:val="left" w:pos="903"/>
          <w:tab w:val="left" w:pos="2959"/>
          <w:tab w:val="left" w:pos="526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日降雨量大于</w:t>
      </w:r>
      <w:r>
        <w:rPr>
          <w:rFonts w:hint="eastAsia" w:ascii="宋体" w:hAnsi="宋体" w:eastAsia="宋体" w:cs="宋体"/>
          <w:color w:val="auto"/>
          <w:kern w:val="2"/>
          <w:sz w:val="24"/>
          <w:szCs w:val="24"/>
          <w:highlight w:val="none"/>
          <w:u w:val="single"/>
          <w:lang w:val="en-US" w:eastAsia="zh-CN" w:bidi="zh-CN"/>
        </w:rPr>
        <w:t>50</w:t>
      </w:r>
      <w:r>
        <w:rPr>
          <w:rFonts w:hint="eastAsia" w:ascii="宋体" w:hAnsi="宋体" w:eastAsia="宋体" w:cs="宋体"/>
          <w:color w:val="auto"/>
          <w:kern w:val="2"/>
          <w:sz w:val="24"/>
          <w:szCs w:val="24"/>
          <w:highlight w:val="none"/>
          <w:lang w:val="en-US" w:eastAsia="zh-CN" w:bidi="en-US"/>
        </w:rPr>
        <w:t>mm</w:t>
      </w:r>
      <w:r>
        <w:rPr>
          <w:rFonts w:hint="eastAsia" w:ascii="宋体" w:hAnsi="宋体" w:eastAsia="宋体" w:cs="宋体"/>
          <w:color w:val="auto"/>
          <w:kern w:val="2"/>
          <w:sz w:val="24"/>
          <w:szCs w:val="24"/>
          <w:highlight w:val="none"/>
          <w:lang w:val="zh-CN" w:eastAsia="zh-CN" w:bidi="zh-CN"/>
        </w:rPr>
        <w:t>的雨日超过</w:t>
      </w:r>
      <w:r>
        <w:rPr>
          <w:rFonts w:hint="eastAsia" w:ascii="宋体" w:hAnsi="宋体" w:eastAsia="宋体" w:cs="宋体"/>
          <w:color w:val="auto"/>
          <w:kern w:val="2"/>
          <w:sz w:val="24"/>
          <w:szCs w:val="24"/>
          <w:highlight w:val="none"/>
          <w:u w:val="single"/>
          <w:lang w:val="en-US" w:eastAsia="zh-CN" w:bidi="zh-CN"/>
        </w:rPr>
        <w:t xml:space="preserve"> 1</w:t>
      </w:r>
      <w:r>
        <w:rPr>
          <w:rFonts w:hint="eastAsia" w:ascii="宋体" w:hAnsi="宋体" w:eastAsia="宋体" w:cs="宋体"/>
          <w:color w:val="auto"/>
          <w:kern w:val="2"/>
          <w:sz w:val="24"/>
          <w:szCs w:val="24"/>
          <w:highlight w:val="none"/>
          <w:lang w:val="zh-CN" w:eastAsia="zh-CN" w:bidi="zh-CN"/>
        </w:rPr>
        <w:t>天；</w:t>
      </w:r>
    </w:p>
    <w:p w14:paraId="03917288">
      <w:pPr>
        <w:pageBreakBefore w:val="0"/>
        <w:widowControl w:val="0"/>
        <w:numPr>
          <w:ilvl w:val="0"/>
          <w:numId w:val="42"/>
        </w:numPr>
        <w:tabs>
          <w:tab w:val="left" w:pos="903"/>
          <w:tab w:val="left" w:pos="2539"/>
          <w:tab w:val="left" w:pos="40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风速大于</w:t>
      </w:r>
      <w:r>
        <w:rPr>
          <w:rFonts w:hint="eastAsia" w:ascii="宋体" w:hAnsi="宋体" w:eastAsia="宋体" w:cs="宋体"/>
          <w:color w:val="auto"/>
          <w:kern w:val="2"/>
          <w:sz w:val="24"/>
          <w:szCs w:val="24"/>
          <w:highlight w:val="none"/>
          <w:u w:val="single"/>
          <w:lang w:val="en-US" w:eastAsia="zh-CN" w:bidi="zh-CN"/>
        </w:rPr>
        <w:t xml:space="preserve"> 20 </w:t>
      </w:r>
      <w:r>
        <w:rPr>
          <w:rFonts w:hint="eastAsia" w:ascii="宋体" w:hAnsi="宋体" w:eastAsia="宋体" w:cs="宋体"/>
          <w:color w:val="auto"/>
          <w:kern w:val="2"/>
          <w:sz w:val="24"/>
          <w:szCs w:val="24"/>
          <w:highlight w:val="none"/>
          <w:lang w:val="en-US" w:eastAsia="zh-CN" w:bidi="en-US"/>
        </w:rPr>
        <w:t>m/s</w:t>
      </w:r>
      <w:r>
        <w:rPr>
          <w:rFonts w:hint="eastAsia" w:ascii="宋体" w:hAnsi="宋体" w:eastAsia="宋体" w:cs="宋体"/>
          <w:color w:val="auto"/>
          <w:kern w:val="2"/>
          <w:sz w:val="24"/>
          <w:szCs w:val="24"/>
          <w:highlight w:val="none"/>
          <w:lang w:val="zh-CN" w:eastAsia="zh-CN" w:bidi="zh-CN"/>
        </w:rPr>
        <w:t>的</w:t>
      </w:r>
      <w:r>
        <w:rPr>
          <w:rFonts w:hint="eastAsia" w:ascii="宋体" w:hAnsi="宋体" w:eastAsia="宋体" w:cs="宋体"/>
          <w:color w:val="auto"/>
          <w:kern w:val="2"/>
          <w:sz w:val="24"/>
          <w:szCs w:val="24"/>
          <w:highlight w:val="none"/>
          <w:u w:val="single"/>
          <w:lang w:val="en-US" w:eastAsia="zh-CN" w:bidi="zh-CN"/>
        </w:rPr>
        <w:t xml:space="preserve"> 8</w:t>
      </w:r>
      <w:r>
        <w:rPr>
          <w:rFonts w:hint="eastAsia" w:ascii="宋体" w:hAnsi="宋体" w:eastAsia="宋体" w:cs="宋体"/>
          <w:color w:val="auto"/>
          <w:kern w:val="2"/>
          <w:sz w:val="24"/>
          <w:szCs w:val="24"/>
          <w:highlight w:val="none"/>
          <w:lang w:val="zh-CN" w:eastAsia="zh-CN" w:bidi="zh-CN"/>
        </w:rPr>
        <w:t>级以上台风灾害；</w:t>
      </w:r>
    </w:p>
    <w:p w14:paraId="68A07621">
      <w:pPr>
        <w:pageBreakBefore w:val="0"/>
        <w:widowControl w:val="0"/>
        <w:numPr>
          <w:ilvl w:val="0"/>
          <w:numId w:val="42"/>
        </w:numPr>
        <w:tabs>
          <w:tab w:val="left" w:pos="903"/>
          <w:tab w:val="left" w:pos="2750"/>
          <w:tab w:val="left" w:pos="485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日气温超过</w:t>
      </w:r>
      <w:r>
        <w:rPr>
          <w:rFonts w:hint="eastAsia" w:ascii="宋体" w:hAnsi="宋体" w:eastAsia="宋体" w:cs="宋体"/>
          <w:color w:val="auto"/>
          <w:kern w:val="2"/>
          <w:sz w:val="24"/>
          <w:szCs w:val="24"/>
          <w:highlight w:val="none"/>
          <w:u w:val="single"/>
          <w:lang w:val="en-US" w:eastAsia="zh-CN" w:bidi="zh-CN"/>
        </w:rPr>
        <w:t xml:space="preserve"> 40 </w:t>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的高温大于</w:t>
      </w:r>
      <w:r>
        <w:rPr>
          <w:rFonts w:hint="eastAsia" w:ascii="宋体" w:hAnsi="宋体" w:eastAsia="宋体" w:cs="宋体"/>
          <w:color w:val="auto"/>
          <w:kern w:val="2"/>
          <w:sz w:val="24"/>
          <w:szCs w:val="24"/>
          <w:highlight w:val="none"/>
          <w:u w:val="single"/>
          <w:lang w:val="en-US" w:eastAsia="zh-CN" w:bidi="zh-CN"/>
        </w:rPr>
        <w:t xml:space="preserve"> 2 </w:t>
      </w:r>
      <w:r>
        <w:rPr>
          <w:rFonts w:hint="eastAsia" w:ascii="宋体" w:hAnsi="宋体" w:eastAsia="宋体" w:cs="宋体"/>
          <w:color w:val="auto"/>
          <w:kern w:val="2"/>
          <w:sz w:val="24"/>
          <w:szCs w:val="24"/>
          <w:highlight w:val="none"/>
          <w:lang w:val="zh-CN" w:eastAsia="zh-CN" w:bidi="zh-CN"/>
        </w:rPr>
        <w:t>天；</w:t>
      </w:r>
    </w:p>
    <w:p w14:paraId="467966D1">
      <w:pPr>
        <w:pageBreakBefore w:val="0"/>
        <w:widowControl w:val="0"/>
        <w:numPr>
          <w:ilvl w:val="0"/>
          <w:numId w:val="42"/>
        </w:numPr>
        <w:tabs>
          <w:tab w:val="left" w:pos="903"/>
          <w:tab w:val="left" w:pos="2750"/>
          <w:tab w:val="left" w:pos="485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日气温低于</w:t>
      </w:r>
      <w:r>
        <w:rPr>
          <w:rFonts w:hint="eastAsia" w:ascii="宋体" w:hAnsi="宋体" w:eastAsia="宋体" w:cs="宋体"/>
          <w:color w:val="auto"/>
          <w:kern w:val="2"/>
          <w:sz w:val="24"/>
          <w:szCs w:val="24"/>
          <w:highlight w:val="none"/>
          <w:u w:val="single"/>
          <w:lang w:val="en-US" w:eastAsia="zh-CN" w:bidi="zh-CN"/>
        </w:rPr>
        <w:t xml:space="preserve">-10 </w:t>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的严寒大于</w:t>
      </w:r>
      <w:r>
        <w:rPr>
          <w:rFonts w:hint="eastAsia" w:ascii="宋体" w:hAnsi="宋体" w:eastAsia="宋体" w:cs="宋体"/>
          <w:color w:val="auto"/>
          <w:kern w:val="2"/>
          <w:sz w:val="24"/>
          <w:szCs w:val="24"/>
          <w:highlight w:val="none"/>
          <w:u w:val="single"/>
          <w:lang w:val="en-US" w:eastAsia="zh-CN" w:bidi="zh-CN"/>
        </w:rPr>
        <w:t xml:space="preserve"> 2</w:t>
      </w:r>
      <w:r>
        <w:rPr>
          <w:rFonts w:hint="eastAsia" w:ascii="宋体" w:hAnsi="宋体" w:eastAsia="宋体" w:cs="宋体"/>
          <w:color w:val="auto"/>
          <w:kern w:val="2"/>
          <w:sz w:val="24"/>
          <w:szCs w:val="24"/>
          <w:highlight w:val="none"/>
          <w:lang w:val="zh-CN" w:eastAsia="zh-CN" w:bidi="zh-CN"/>
        </w:rPr>
        <w:t>天。</w:t>
      </w:r>
    </w:p>
    <w:p w14:paraId="064E03F7">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造成工程损坏的冰雹和大雪灾害；</w:t>
      </w:r>
    </w:p>
    <w:p w14:paraId="79D010B2">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u w:val="single"/>
          <w:lang w:val="en-US" w:eastAsia="zh-CN" w:bidi="zh-CN"/>
        </w:rPr>
        <w:t xml:space="preserve"> 3 </w:t>
      </w:r>
      <w:r>
        <w:rPr>
          <w:rFonts w:hint="eastAsia" w:ascii="宋体" w:hAnsi="宋体" w:eastAsia="宋体" w:cs="宋体"/>
          <w:color w:val="auto"/>
          <w:kern w:val="2"/>
          <w:sz w:val="24"/>
          <w:szCs w:val="24"/>
          <w:highlight w:val="none"/>
          <w:lang w:val="zh-CN" w:eastAsia="zh-CN" w:bidi="zh-CN"/>
        </w:rPr>
        <w:t>级以上的地震；</w:t>
      </w:r>
    </w:p>
    <w:p w14:paraId="081624F9">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u w:val="single"/>
          <w:lang w:val="en-US" w:eastAsia="zh-CN" w:bidi="zh-CN"/>
        </w:rPr>
        <w:t xml:space="preserve"> 50 </w:t>
      </w:r>
      <w:r>
        <w:rPr>
          <w:rFonts w:hint="eastAsia" w:ascii="宋体" w:hAnsi="宋体" w:eastAsia="宋体" w:cs="宋体"/>
          <w:color w:val="auto"/>
          <w:kern w:val="2"/>
          <w:sz w:val="24"/>
          <w:szCs w:val="24"/>
          <w:highlight w:val="none"/>
          <w:lang w:val="zh-CN" w:eastAsia="zh-CN" w:bidi="zh-CN"/>
        </w:rPr>
        <w:t>年一遇及以上的洪水；</w:t>
      </w:r>
    </w:p>
    <w:p w14:paraId="02A55383">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其他异常恶劣气候灾害。</w:t>
      </w:r>
    </w:p>
    <w:p w14:paraId="79C623D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11.5承包人工期延误</w:t>
      </w:r>
    </w:p>
    <w:p w14:paraId="78D7923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(1)逾期完工违约金表(参考格式)</w:t>
      </w:r>
    </w:p>
    <w:tbl>
      <w:tblPr>
        <w:tblStyle w:val="28"/>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6"/>
        <w:gridCol w:w="3255"/>
        <w:gridCol w:w="2980"/>
        <w:gridCol w:w="1541"/>
      </w:tblGrid>
      <w:tr w14:paraId="294C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1" w:hRule="exact"/>
          <w:jc w:val="center"/>
        </w:trPr>
        <w:tc>
          <w:tcPr>
            <w:tcW w:w="576" w:type="dxa"/>
            <w:shd w:val="clear" w:color="auto" w:fill="FFFFFF"/>
            <w:noWrap w:val="0"/>
            <w:vAlign w:val="center"/>
          </w:tcPr>
          <w:p w14:paraId="5EA14187">
            <w:pPr>
              <w:pStyle w:val="6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255" w:type="dxa"/>
            <w:shd w:val="clear" w:color="auto" w:fill="FFFFFF"/>
            <w:noWrap w:val="0"/>
            <w:vAlign w:val="center"/>
          </w:tcPr>
          <w:p w14:paraId="3AD44A4F">
            <w:pPr>
              <w:pStyle w:val="6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项目及其说明</w:t>
            </w:r>
          </w:p>
        </w:tc>
        <w:tc>
          <w:tcPr>
            <w:tcW w:w="2980" w:type="dxa"/>
            <w:shd w:val="clear" w:color="auto" w:fill="FFFFFF"/>
            <w:noWrap w:val="0"/>
            <w:vAlign w:val="center"/>
          </w:tcPr>
          <w:p w14:paraId="661D8041">
            <w:pPr>
              <w:pStyle w:val="6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要求完工日期</w:t>
            </w:r>
          </w:p>
        </w:tc>
        <w:tc>
          <w:tcPr>
            <w:tcW w:w="1541" w:type="dxa"/>
            <w:shd w:val="clear" w:color="auto" w:fill="FFFFFF"/>
            <w:noWrap w:val="0"/>
            <w:vAlign w:val="center"/>
          </w:tcPr>
          <w:p w14:paraId="64FB6FD0">
            <w:pPr>
              <w:pStyle w:val="6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违约金(元/天)</w:t>
            </w:r>
          </w:p>
        </w:tc>
      </w:tr>
      <w:tr w14:paraId="0F5B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9" w:hRule="exact"/>
          <w:jc w:val="center"/>
        </w:trPr>
        <w:tc>
          <w:tcPr>
            <w:tcW w:w="576" w:type="dxa"/>
            <w:shd w:val="clear" w:color="auto" w:fill="FFFFFF"/>
            <w:noWrap w:val="0"/>
            <w:vAlign w:val="center"/>
          </w:tcPr>
          <w:p w14:paraId="2AF369B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3255" w:type="dxa"/>
            <w:shd w:val="clear" w:color="auto" w:fill="FFFFFF"/>
            <w:noWrap w:val="0"/>
            <w:vAlign w:val="center"/>
          </w:tcPr>
          <w:p w14:paraId="67E2B15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eastAsia="zh-CN"/>
              </w:rPr>
              <w:t>工程完工</w:t>
            </w:r>
          </w:p>
        </w:tc>
        <w:tc>
          <w:tcPr>
            <w:tcW w:w="2980" w:type="dxa"/>
            <w:shd w:val="clear" w:color="auto" w:fill="FFFFFF"/>
            <w:noWrap w:val="0"/>
            <w:vAlign w:val="center"/>
          </w:tcPr>
          <w:p w14:paraId="578871B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eastAsia="zh-CN"/>
              </w:rPr>
              <w:t>工期</w:t>
            </w:r>
            <w:r>
              <w:rPr>
                <w:rFonts w:hint="eastAsia" w:ascii="宋体" w:hAnsi="宋体" w:eastAsia="宋体" w:cs="宋体"/>
                <w:b w:val="0"/>
                <w:bCs w:val="0"/>
                <w:color w:val="auto"/>
                <w:sz w:val="24"/>
                <w:szCs w:val="24"/>
                <w:highlight w:val="none"/>
                <w:lang w:val="en-US" w:eastAsia="zh-CN"/>
              </w:rPr>
              <w:t xml:space="preserve">    日历天，开工日期以监理人签发的开工令为准</w:t>
            </w:r>
          </w:p>
        </w:tc>
        <w:tc>
          <w:tcPr>
            <w:tcW w:w="1541" w:type="dxa"/>
            <w:shd w:val="clear" w:color="auto" w:fill="FFFFFF"/>
            <w:noWrap w:val="0"/>
            <w:vAlign w:val="center"/>
          </w:tcPr>
          <w:p w14:paraId="788985D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1000</w:t>
            </w:r>
          </w:p>
        </w:tc>
      </w:tr>
    </w:tbl>
    <w:p w14:paraId="4EE439E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sz w:val="24"/>
          <w:szCs w:val="24"/>
          <w:highlight w:val="none"/>
        </w:rPr>
      </w:pPr>
    </w:p>
    <w:p w14:paraId="58595B81">
      <w:pPr>
        <w:pageBreakBefore w:val="0"/>
        <w:widowControl w:val="0"/>
        <w:tabs>
          <w:tab w:val="left" w:pos="79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承包人如未能按上表各节点要求的完工日期前完工，逾期完工违约金按</w:t>
      </w:r>
      <w:r>
        <w:rPr>
          <w:rFonts w:hint="eastAsia" w:ascii="宋体" w:hAnsi="宋体" w:eastAsia="宋体" w:cs="宋体"/>
          <w:color w:val="auto"/>
          <w:kern w:val="2"/>
          <w:sz w:val="24"/>
          <w:szCs w:val="24"/>
          <w:highlight w:val="none"/>
          <w:u w:val="single"/>
          <w:lang w:val="en-US" w:eastAsia="zh-CN" w:bidi="zh-CN"/>
        </w:rPr>
        <w:t xml:space="preserve">   1000  </w:t>
      </w:r>
      <w:r>
        <w:rPr>
          <w:rFonts w:hint="eastAsia" w:ascii="宋体" w:hAnsi="宋体" w:eastAsia="宋体" w:cs="宋体"/>
          <w:color w:val="auto"/>
          <w:kern w:val="2"/>
          <w:sz w:val="24"/>
          <w:szCs w:val="24"/>
          <w:highlight w:val="none"/>
          <w:lang w:val="zh-CN" w:eastAsia="zh-CN" w:bidi="zh-CN"/>
        </w:rPr>
        <w:t>元/ 天</w:t>
      </w:r>
      <w:r>
        <w:rPr>
          <w:rFonts w:hint="eastAsia" w:ascii="宋体" w:hAnsi="宋体" w:eastAsia="宋体" w:cs="宋体"/>
          <w:i/>
          <w:iCs/>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zh-CN" w:eastAsia="zh-CN" w:bidi="zh-CN"/>
        </w:rPr>
        <w:t>计算。</w:t>
      </w:r>
    </w:p>
    <w:p w14:paraId="2F4AE8D6">
      <w:pPr>
        <w:pageBreakBefore w:val="0"/>
        <w:widowControl w:val="0"/>
        <w:numPr>
          <w:ilvl w:val="0"/>
          <w:numId w:val="43"/>
        </w:numPr>
        <w:tabs>
          <w:tab w:val="left" w:pos="922"/>
          <w:tab w:val="left" w:pos="6190"/>
        </w:tabs>
        <w:kinsoku/>
        <w:wordWrap/>
        <w:overflowPunct/>
        <w:topLinePunct w:val="0"/>
        <w:bidi w:val="0"/>
        <w:spacing w:line="360" w:lineRule="auto"/>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auto"/>
          <w:kern w:val="2"/>
          <w:sz w:val="24"/>
          <w:szCs w:val="24"/>
          <w:highlight w:val="none"/>
          <w:lang w:val="zh-CN" w:eastAsia="zh-CN" w:bidi="zh-CN"/>
        </w:rPr>
        <w:t>全部逾期完工违约金的总限额不超过合同总价的</w:t>
      </w:r>
      <w:r>
        <w:rPr>
          <w:rFonts w:hint="eastAsia" w:ascii="宋体" w:hAnsi="宋体" w:eastAsia="宋体" w:cs="宋体"/>
          <w:color w:val="auto"/>
          <w:kern w:val="2"/>
          <w:sz w:val="24"/>
          <w:szCs w:val="24"/>
          <w:highlight w:val="none"/>
          <w:u w:val="single"/>
          <w:lang w:val="en-US" w:eastAsia="zh-CN" w:bidi="zh-CN"/>
        </w:rPr>
        <w:t xml:space="preserve">  5 </w:t>
      </w:r>
      <w:r>
        <w:rPr>
          <w:rFonts w:hint="eastAsia" w:ascii="宋体" w:hAnsi="宋体" w:eastAsia="宋体" w:cs="宋体"/>
          <w:color w:val="auto"/>
          <w:kern w:val="2"/>
          <w:sz w:val="24"/>
          <w:szCs w:val="24"/>
          <w:highlight w:val="none"/>
          <w:lang w:val="zh-CN" w:eastAsia="zh-CN" w:bidi="zh-CN"/>
        </w:rPr>
        <w:t>%,发包人可从应向承包人支付的任何金额中扣除此项违约金或以其他方式收回此款，此违约金的支付并</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不能免除承包人应完成工程的责任或合同规定的其他责任。</w:t>
      </w:r>
    </w:p>
    <w:p w14:paraId="587B06D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11.6工期提前</w:t>
      </w:r>
    </w:p>
    <w:p w14:paraId="4446355F">
      <w:pPr>
        <w:pageBreakBefore w:val="0"/>
        <w:widowControl w:val="0"/>
        <w:tabs>
          <w:tab w:val="left" w:pos="8218"/>
        </w:tabs>
        <w:kinsoku/>
        <w:wordWrap/>
        <w:overflowPunct/>
        <w:topLinePunct w:val="0"/>
        <w:bidi w:val="0"/>
        <w:spacing w:line="360" w:lineRule="auto"/>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工期提前的资金约定：</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在保证工程质量的前提下，发包人鼓励承包人提前完工，但本合同工程无提前工期奖金 </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4C849825">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251" w:name="_Toc2378"/>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12. 暂停施工</w:t>
      </w:r>
      <w:bookmarkEnd w:id="251"/>
    </w:p>
    <w:p w14:paraId="2329EE2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12.1承包人暂停施工的责任</w:t>
      </w:r>
    </w:p>
    <w:p w14:paraId="5515027B">
      <w:pPr>
        <w:keepNext w:val="0"/>
        <w:keepLines w:val="0"/>
        <w:pageBreakBefore w:val="0"/>
        <w:widowControl w:val="0"/>
        <w:tabs>
          <w:tab w:val="left" w:pos="8220"/>
        </w:tabs>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承包人承担暂停施工责任的其它情形：</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 xml:space="preserve"> 由于承包人资金、人员、材料、设备不能按时到位的由承包人承担停工责任，或由于承包人原因造成的质量事故及安全事故或</w:t>
      </w:r>
      <w:r>
        <w:rPr>
          <w:rFonts w:hint="eastAsia" w:ascii="宋体" w:hAnsi="宋体" w:eastAsia="宋体" w:cs="宋体"/>
          <w:b/>
          <w:bCs/>
          <w:color w:val="000000" w:themeColor="text1"/>
          <w:kern w:val="2"/>
          <w:sz w:val="24"/>
          <w:szCs w:val="24"/>
          <w:highlight w:val="none"/>
          <w:u w:val="single"/>
          <w:lang w:val="en-US" w:eastAsia="zh-CN" w:bidi="zh-CN"/>
          <w14:textFill>
            <w14:solidFill>
              <w14:schemeClr w14:val="tx1"/>
            </w14:solidFill>
          </w14:textFill>
        </w:rPr>
        <w:t>由于承包人原因造成的其他不利影响</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引起的暂停施工，发包人不再补偿停工所造成的工程费用增加和工期延误。</w:t>
      </w:r>
    </w:p>
    <w:p w14:paraId="1CB795D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12.2发包人暂停施工的责任</w:t>
      </w:r>
    </w:p>
    <w:p w14:paraId="3267F41D">
      <w:pPr>
        <w:pageBreakBefore w:val="0"/>
        <w:widowControl w:val="0"/>
        <w:numPr>
          <w:ilvl w:val="0"/>
          <w:numId w:val="43"/>
        </w:numPr>
        <w:tabs>
          <w:tab w:val="left" w:pos="923"/>
          <w:tab w:val="left" w:pos="8218"/>
        </w:tabs>
        <w:kinsoku/>
        <w:wordWrap/>
        <w:overflowPunct/>
        <w:topLinePunct w:val="0"/>
        <w:bidi w:val="0"/>
        <w:spacing w:line="360" w:lineRule="auto"/>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发包人承担暂停施工责任的其它情形：</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如因发包人原因导致的停工，工期应顺延</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60933B51">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252" w:name="_Toc862"/>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13. 工程质量</w:t>
      </w:r>
      <w:bookmarkEnd w:id="252"/>
    </w:p>
    <w:p w14:paraId="617F1F5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13.7质量评定</w:t>
      </w:r>
    </w:p>
    <w:p w14:paraId="12393B88">
      <w:pPr>
        <w:pageBreakBefore w:val="0"/>
        <w:widowControl w:val="0"/>
        <w:tabs>
          <w:tab w:val="left" w:pos="8228"/>
        </w:tabs>
        <w:kinsoku/>
        <w:wordWrap/>
        <w:overflowPunct/>
        <w:topLinePunct w:val="0"/>
        <w:bidi w:val="0"/>
        <w:spacing w:line="360" w:lineRule="auto"/>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13.7.4</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重要隐蔽单元工程和关键部位单元工程质量评定的约定：</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经建设单位、施工单位、 监理单位、设计单位联检合格后才能进行下一道工序的施工 </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5FFDFF83">
      <w:pPr>
        <w:pageBreakBefore w:val="0"/>
        <w:widowControl w:val="0"/>
        <w:tabs>
          <w:tab w:val="left" w:pos="3751"/>
          <w:tab w:val="left" w:pos="4834"/>
          <w:tab w:val="left" w:pos="8225"/>
        </w:tabs>
        <w:kinsoku/>
        <w:wordWrap/>
        <w:overflowPunct/>
        <w:topLinePunct w:val="0"/>
        <w:bidi w:val="0"/>
        <w:spacing w:line="360" w:lineRule="auto"/>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 xml:space="preserve">13.7.7 </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工程合格标准为：</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按《水利水电建设工程验收规程》（SL/T223—2025)进行质量检验评定，施工质量达到合格等级 </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；优良标准为：</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按《水利水电建设工程验收规程》（SL/T223—2025)进行质量检验评定，施工质量达到优良等级</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达到优良的奖金为：</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无  </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2A985D9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13.8质量事故处理</w:t>
      </w:r>
    </w:p>
    <w:p w14:paraId="36EA77CB">
      <w:pPr>
        <w:pageBreakBefore w:val="0"/>
        <w:widowControl w:val="0"/>
        <w:tabs>
          <w:tab w:val="left" w:pos="481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13.8.4</w:t>
      </w:r>
      <w:r>
        <w:rPr>
          <w:rFonts w:hint="eastAsia" w:ascii="宋体" w:hAnsi="宋体" w:eastAsia="宋体" w:cs="宋体"/>
          <w:color w:val="auto"/>
          <w:kern w:val="2"/>
          <w:sz w:val="24"/>
          <w:szCs w:val="24"/>
          <w:highlight w:val="none"/>
          <w:lang w:val="zh-CN" w:eastAsia="zh-CN" w:bidi="zh-CN"/>
        </w:rPr>
        <w:t>工程竣工验收时，</w:t>
      </w:r>
      <w:r>
        <w:rPr>
          <w:rFonts w:hint="eastAsia" w:ascii="宋体" w:hAnsi="宋体" w:eastAsia="宋体" w:cs="宋体"/>
          <w:color w:val="auto"/>
          <w:kern w:val="2"/>
          <w:sz w:val="24"/>
          <w:szCs w:val="24"/>
          <w:highlight w:val="none"/>
          <w:u w:val="single"/>
          <w:lang w:val="en-US" w:eastAsia="zh-CN" w:bidi="zh-CN"/>
        </w:rPr>
        <w:t xml:space="preserve">  项目法人    </w:t>
      </w:r>
      <w:r>
        <w:rPr>
          <w:rFonts w:hint="eastAsia" w:ascii="宋体" w:hAnsi="宋体" w:eastAsia="宋体" w:cs="宋体"/>
          <w:color w:val="auto"/>
          <w:kern w:val="2"/>
          <w:sz w:val="24"/>
          <w:szCs w:val="24"/>
          <w:highlight w:val="none"/>
          <w:lang w:val="zh-CN" w:eastAsia="zh-CN" w:bidi="zh-CN"/>
        </w:rPr>
        <w:t>向竣工验收委员会汇报并提交历次质量缺陷处理的备案资料。</w:t>
      </w:r>
    </w:p>
    <w:p w14:paraId="783B4673">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3" w:name="_Toc30022"/>
      <w:bookmarkStart w:id="254" w:name="_Toc6407"/>
      <w:r>
        <w:rPr>
          <w:rFonts w:hint="eastAsia" w:ascii="宋体" w:hAnsi="宋体" w:eastAsia="宋体" w:cs="宋体"/>
          <w:color w:val="auto"/>
          <w:kern w:val="2"/>
          <w:sz w:val="24"/>
          <w:szCs w:val="24"/>
          <w:highlight w:val="none"/>
          <w:lang w:val="en-US" w:eastAsia="zh-CN" w:bidi="ar-SA"/>
        </w:rPr>
        <w:t>14 . 试验和检验</w:t>
      </w:r>
      <w:bookmarkEnd w:id="253"/>
      <w:bookmarkEnd w:id="254"/>
    </w:p>
    <w:p w14:paraId="1CB3A20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14.1材料、工程设备和工程的试验和检验</w:t>
      </w:r>
    </w:p>
    <w:p w14:paraId="3A413088">
      <w:pPr>
        <w:pageBreakBefore w:val="0"/>
        <w:widowControl w:val="0"/>
        <w:tabs>
          <w:tab w:val="left" w:pos="207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14.1.5</w:t>
      </w:r>
      <w:r>
        <w:rPr>
          <w:rFonts w:hint="eastAsia" w:ascii="宋体" w:hAnsi="宋体" w:eastAsia="宋体" w:cs="宋体"/>
          <w:color w:val="auto"/>
          <w:kern w:val="2"/>
          <w:sz w:val="24"/>
          <w:szCs w:val="24"/>
          <w:highlight w:val="none"/>
          <w:lang w:val="zh-CN" w:eastAsia="zh-CN" w:bidi="zh-CN"/>
        </w:rPr>
        <w:t>水工金属结构、启闭机及机电产品进场后的交货检查和验收中，承包人负责</w:t>
      </w:r>
      <w:r>
        <w:rPr>
          <w:rFonts w:hint="eastAsia" w:ascii="宋体" w:hAnsi="宋体" w:eastAsia="宋体" w:cs="宋体"/>
          <w:color w:val="auto"/>
          <w:kern w:val="2"/>
          <w:sz w:val="24"/>
          <w:szCs w:val="24"/>
          <w:highlight w:val="none"/>
          <w:u w:val="single"/>
          <w:lang w:val="zh-CN" w:eastAsia="zh-CN" w:bidi="zh-CN"/>
        </w:rPr>
        <w:t>提供相关材料</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en-US" w:eastAsia="zh-CN" w:bidi="en-US"/>
        </w:rPr>
        <w:t>。</w:t>
      </w:r>
    </w:p>
    <w:p w14:paraId="2E9787DB">
      <w:pPr>
        <w:pageBreakBefore w:val="0"/>
        <w:widowControl w:val="0"/>
        <w:tabs>
          <w:tab w:val="left" w:pos="752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14.1.6</w:t>
      </w:r>
      <w:r>
        <w:rPr>
          <w:rFonts w:hint="eastAsia" w:ascii="宋体" w:hAnsi="宋体" w:eastAsia="宋体" w:cs="宋体"/>
          <w:color w:val="auto"/>
          <w:kern w:val="2"/>
          <w:sz w:val="24"/>
          <w:szCs w:val="24"/>
          <w:highlight w:val="none"/>
          <w:lang w:val="zh-CN" w:eastAsia="zh-CN" w:bidi="zh-CN"/>
        </w:rPr>
        <w:t>本工程实行见证取样的试块、试件及有关材料：</w:t>
      </w:r>
      <w:r>
        <w:rPr>
          <w:rFonts w:hint="eastAsia" w:ascii="宋体" w:hAnsi="宋体" w:eastAsia="宋体" w:cs="宋体"/>
          <w:color w:val="auto"/>
          <w:kern w:val="2"/>
          <w:sz w:val="24"/>
          <w:szCs w:val="24"/>
          <w:highlight w:val="none"/>
          <w:u w:val="single"/>
          <w:lang w:val="zh-CN" w:eastAsia="zh-CN" w:bidi="zh-CN"/>
        </w:rPr>
        <w:t>按通用条款执行</w:t>
      </w:r>
      <w:r>
        <w:rPr>
          <w:rFonts w:hint="eastAsia" w:ascii="宋体" w:hAnsi="宋体" w:eastAsia="宋体" w:cs="宋体"/>
          <w:color w:val="auto"/>
          <w:kern w:val="2"/>
          <w:sz w:val="24"/>
          <w:szCs w:val="24"/>
          <w:highlight w:val="none"/>
          <w:lang w:val="en-US" w:eastAsia="zh-CN" w:bidi="en-US"/>
        </w:rPr>
        <w:t>。</w:t>
      </w:r>
    </w:p>
    <w:p w14:paraId="6FCCC615">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5" w:name="_Toc12563"/>
      <w:r>
        <w:rPr>
          <w:rFonts w:hint="eastAsia" w:ascii="宋体" w:hAnsi="宋体" w:eastAsia="宋体" w:cs="宋体"/>
          <w:color w:val="auto"/>
          <w:kern w:val="2"/>
          <w:sz w:val="24"/>
          <w:szCs w:val="24"/>
          <w:highlight w:val="none"/>
          <w:lang w:val="en-US" w:eastAsia="zh-CN" w:bidi="ar-SA"/>
        </w:rPr>
        <w:t>15. 变更</w:t>
      </w:r>
      <w:bookmarkEnd w:id="255"/>
    </w:p>
    <w:p w14:paraId="34AC27F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15.1变更的范围和内容</w:t>
      </w:r>
    </w:p>
    <w:p w14:paraId="3AEC03C7">
      <w:pPr>
        <w:pageBreakBefore w:val="0"/>
        <w:widowControl w:val="0"/>
        <w:tabs>
          <w:tab w:val="left" w:pos="2244"/>
          <w:tab w:val="left" w:pos="5791"/>
          <w:tab w:val="left" w:pos="72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en-US" w:eastAsia="zh-CN" w:bidi="zh-CN"/>
        </w:rPr>
        <w:t>6</w:t>
      </w:r>
      <w:r>
        <w:rPr>
          <w:rFonts w:hint="eastAsia" w:ascii="宋体" w:hAnsi="宋体" w:eastAsia="宋体" w:cs="宋体"/>
          <w:color w:val="auto"/>
          <w:kern w:val="2"/>
          <w:sz w:val="24"/>
          <w:szCs w:val="24"/>
          <w:highlight w:val="none"/>
          <w:lang w:val="zh-CN" w:eastAsia="zh-CN" w:bidi="zh-CN"/>
        </w:rPr>
        <w:t>）增加或减少合同中关键项目的工程量超过其项目工程总量的</w:t>
      </w:r>
      <w:r>
        <w:rPr>
          <w:rFonts w:hint="eastAsia" w:ascii="宋体" w:hAnsi="宋体" w:eastAsia="宋体" w:cs="宋体"/>
          <w:color w:val="auto"/>
          <w:kern w:val="2"/>
          <w:sz w:val="24"/>
          <w:szCs w:val="24"/>
          <w:highlight w:val="none"/>
          <w:u w:val="single"/>
          <w:lang w:val="en-US" w:eastAsia="zh-CN" w:bidi="zh-CN"/>
        </w:rPr>
        <w:t xml:space="preserve">  10  </w:t>
      </w:r>
      <w:r>
        <w:rPr>
          <w:rFonts w:hint="eastAsia" w:ascii="宋体" w:hAnsi="宋体" w:eastAsia="宋体" w:cs="宋体"/>
          <w:color w:val="auto"/>
          <w:kern w:val="2"/>
          <w:sz w:val="24"/>
          <w:szCs w:val="24"/>
          <w:highlight w:val="none"/>
          <w:lang w:val="zh-CN" w:eastAsia="zh-CN" w:bidi="zh-CN"/>
        </w:rPr>
        <w:t>%,关键项目：</w:t>
      </w:r>
      <w:r>
        <w:rPr>
          <w:rFonts w:hint="eastAsia" w:ascii="宋体" w:hAnsi="宋体" w:eastAsia="宋体" w:cs="宋体"/>
          <w:color w:val="auto"/>
          <w:kern w:val="2"/>
          <w:sz w:val="24"/>
          <w:szCs w:val="24"/>
          <w:highlight w:val="none"/>
          <w:u w:val="single"/>
          <w:lang w:val="zh-CN" w:eastAsia="zh-CN" w:bidi="zh-CN"/>
        </w:rPr>
        <w:t>土石方工程、混凝土工程、输水管道安装</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zh-CN" w:eastAsia="zh-CN" w:bidi="zh-CN"/>
        </w:rPr>
        <w:t>,单价调整方式：</w:t>
      </w:r>
      <w:r>
        <w:rPr>
          <w:rFonts w:hint="eastAsia" w:ascii="宋体" w:hAnsi="宋体" w:eastAsia="宋体" w:cs="宋体"/>
          <w:color w:val="auto"/>
          <w:kern w:val="2"/>
          <w:sz w:val="24"/>
          <w:szCs w:val="24"/>
          <w:highlight w:val="none"/>
          <w:u w:val="single"/>
          <w:lang w:val="zh-CN" w:eastAsia="zh-CN" w:bidi="zh-CN"/>
        </w:rPr>
        <w:t>按有关规定</w:t>
      </w:r>
      <w:r>
        <w:rPr>
          <w:rFonts w:hint="eastAsia" w:ascii="宋体" w:hAnsi="宋体" w:eastAsia="宋体" w:cs="宋体"/>
          <w:color w:val="auto"/>
          <w:kern w:val="2"/>
          <w:sz w:val="24"/>
          <w:szCs w:val="24"/>
          <w:highlight w:val="none"/>
          <w:lang w:val="en-US" w:eastAsia="zh-CN" w:bidi="en-US"/>
        </w:rPr>
        <w:t>。</w:t>
      </w:r>
    </w:p>
    <w:p w14:paraId="7C7BD3BD">
      <w:pPr>
        <w:pageBreakBefore w:val="0"/>
        <w:widowControl w:val="0"/>
        <w:tabs>
          <w:tab w:val="left" w:pos="2244"/>
          <w:tab w:val="left" w:pos="5791"/>
          <w:tab w:val="left" w:pos="72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sym w:font="Wingdings 2" w:char="0052"/>
      </w:r>
      <w:r>
        <w:rPr>
          <w:rFonts w:hint="eastAsia" w:ascii="宋体" w:hAnsi="宋体" w:eastAsia="宋体" w:cs="宋体"/>
          <w:color w:val="auto"/>
          <w:kern w:val="2"/>
          <w:sz w:val="24"/>
          <w:szCs w:val="24"/>
          <w:highlight w:val="none"/>
          <w:lang w:val="en-US" w:eastAsia="zh-CN" w:bidi="en-US"/>
        </w:rPr>
        <w:t>（6）本合同工程不因增加或减少合同工程量而调整合同单价。</w:t>
      </w:r>
    </w:p>
    <w:p w14:paraId="4002626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15.4变更的估价原则</w:t>
      </w:r>
    </w:p>
    <w:p w14:paraId="2E3FDA4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15.4.3</w:t>
      </w:r>
      <w:r>
        <w:rPr>
          <w:rFonts w:hint="eastAsia" w:ascii="宋体" w:hAnsi="宋体" w:eastAsia="宋体" w:cs="宋体"/>
          <w:color w:val="auto"/>
          <w:kern w:val="2"/>
          <w:sz w:val="24"/>
          <w:szCs w:val="24"/>
          <w:highlight w:val="none"/>
          <w:lang w:val="zh-CN" w:eastAsia="zh-CN" w:bidi="zh-CN"/>
        </w:rPr>
        <w:t>已标价工程量清单中无适用或类似子目的单价，按照以下原则确定：</w:t>
      </w:r>
    </w:p>
    <w:p w14:paraId="7A9B1B8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①有定额可套的，套用编制控制价所选定额计算，并乘以中标价下浮系数(中标价下浮系数为中标价与控制价的比值)，其中材料价格有信息价的按当地同期信息价，无信息的由发包人、承包人、监理人市场询价确定。</w:t>
      </w:r>
    </w:p>
    <w:p w14:paraId="191320C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②无定额可套的，由发包人、承包人、监理人市场询价确定。</w:t>
      </w:r>
    </w:p>
    <w:p w14:paraId="4778315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15.5承包人的合理化建议</w:t>
      </w:r>
    </w:p>
    <w:p w14:paraId="07F8D87F">
      <w:pPr>
        <w:pageBreakBefore w:val="0"/>
        <w:widowControl w:val="0"/>
        <w:tabs>
          <w:tab w:val="left" w:pos="841"/>
          <w:tab w:val="left" w:pos="666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15.5. </w:t>
      </w:r>
      <w:r>
        <w:rPr>
          <w:rFonts w:hint="eastAsia" w:ascii="宋体" w:hAnsi="宋体" w:eastAsia="宋体" w:cs="宋体"/>
          <w:color w:val="auto"/>
          <w:kern w:val="2"/>
          <w:sz w:val="24"/>
          <w:szCs w:val="24"/>
          <w:highlight w:val="none"/>
          <w:lang w:val="zh-CN" w:eastAsia="zh-CN" w:bidi="zh-CN"/>
        </w:rPr>
        <w:t xml:space="preserve">2承包人实现合理化建议的奖励金额为： </w:t>
      </w:r>
      <w:r>
        <w:rPr>
          <w:rFonts w:hint="eastAsia" w:ascii="宋体" w:hAnsi="宋体" w:eastAsia="宋体" w:cs="宋体"/>
          <w:color w:val="auto"/>
          <w:kern w:val="2"/>
          <w:sz w:val="24"/>
          <w:szCs w:val="24"/>
          <w:highlight w:val="none"/>
          <w:u w:val="single"/>
          <w:lang w:val="zh-CN" w:eastAsia="zh-CN" w:bidi="zh-CN"/>
        </w:rPr>
        <w:t>无</w:t>
      </w:r>
      <w:r>
        <w:rPr>
          <w:rFonts w:hint="eastAsia" w:ascii="宋体" w:hAnsi="宋体" w:eastAsia="宋体" w:cs="宋体"/>
          <w:color w:val="auto"/>
          <w:kern w:val="2"/>
          <w:sz w:val="24"/>
          <w:szCs w:val="24"/>
          <w:highlight w:val="none"/>
          <w:lang w:val="en-US" w:eastAsia="zh-CN" w:bidi="en-US"/>
        </w:rPr>
        <w:t>。</w:t>
      </w:r>
    </w:p>
    <w:p w14:paraId="26F97904">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6" w:name="_Toc29519"/>
      <w:r>
        <w:rPr>
          <w:rFonts w:hint="eastAsia" w:ascii="宋体" w:hAnsi="宋体" w:eastAsia="宋体" w:cs="宋体"/>
          <w:color w:val="auto"/>
          <w:kern w:val="2"/>
          <w:sz w:val="24"/>
          <w:szCs w:val="24"/>
          <w:highlight w:val="none"/>
          <w:lang w:val="en-US" w:eastAsia="zh-CN" w:bidi="ar-SA"/>
        </w:rPr>
        <w:t>16 .价格调整</w:t>
      </w:r>
      <w:bookmarkEnd w:id="256"/>
    </w:p>
    <w:p w14:paraId="3275F08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16.1物价波动引起的价格调整</w:t>
      </w:r>
    </w:p>
    <w:p w14:paraId="1D7BC89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口本项目不因为物价波动原因引起合同价格变动而调整。</w:t>
      </w:r>
    </w:p>
    <w:p w14:paraId="5216161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sym w:font="Wingdings 2" w:char="0052"/>
      </w:r>
      <w:r>
        <w:rPr>
          <w:rFonts w:hint="eastAsia" w:ascii="宋体" w:hAnsi="宋体" w:eastAsia="宋体" w:cs="宋体"/>
          <w:color w:val="auto"/>
          <w:kern w:val="2"/>
          <w:sz w:val="24"/>
          <w:szCs w:val="24"/>
          <w:highlight w:val="none"/>
          <w:lang w:val="zh-CN" w:eastAsia="zh-CN" w:bidi="zh-CN"/>
        </w:rPr>
        <w:t>本项目由于物价波动原因引起合同价格变动时，对其价格按下列方式进行调整。</w:t>
      </w:r>
    </w:p>
    <w:p w14:paraId="708F9A2F">
      <w:pPr>
        <w:pageBreakBefore w:val="0"/>
        <w:widowControl w:val="0"/>
        <w:tabs>
          <w:tab w:val="left" w:pos="841"/>
          <w:tab w:val="left" w:pos="603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16.1. </w:t>
      </w:r>
      <w:r>
        <w:rPr>
          <w:rFonts w:hint="eastAsia" w:ascii="宋体" w:hAnsi="宋体" w:eastAsia="宋体" w:cs="宋体"/>
          <w:color w:val="auto"/>
          <w:kern w:val="2"/>
          <w:sz w:val="24"/>
          <w:szCs w:val="24"/>
          <w:highlight w:val="none"/>
          <w:lang w:val="zh-CN" w:eastAsia="zh-CN" w:bidi="zh-CN"/>
        </w:rPr>
        <w:t>1物价波动引起的价格调整方式：</w:t>
      </w:r>
      <w:r>
        <w:rPr>
          <w:rFonts w:hint="eastAsia" w:ascii="宋体" w:hAnsi="宋体" w:eastAsia="宋体" w:cs="宋体"/>
          <w:color w:val="auto"/>
          <w:kern w:val="2"/>
          <w:sz w:val="24"/>
          <w:szCs w:val="24"/>
          <w:highlight w:val="none"/>
          <w:u w:val="single"/>
          <w:lang w:val="zh-CN" w:eastAsia="zh-CN" w:bidi="zh-CN"/>
        </w:rPr>
        <w:t>主要材料价格变化幅度超过±5%时，超过±5%的部分调整材料价差，并计列相应的税金</w:t>
      </w:r>
      <w:r>
        <w:rPr>
          <w:rFonts w:hint="eastAsia" w:ascii="宋体" w:hAnsi="宋体" w:eastAsia="宋体" w:cs="宋体"/>
          <w:color w:val="auto"/>
          <w:kern w:val="2"/>
          <w:sz w:val="24"/>
          <w:szCs w:val="24"/>
          <w:highlight w:val="none"/>
          <w:lang w:val="en-US" w:eastAsia="zh-CN" w:bidi="en-US"/>
        </w:rPr>
        <w:t>。</w:t>
      </w:r>
    </w:p>
    <w:p w14:paraId="05135016">
      <w:pPr>
        <w:pageBreakBefore w:val="0"/>
        <w:widowControl w:val="0"/>
        <w:tabs>
          <w:tab w:val="left" w:pos="51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16. 1.2</w:t>
      </w:r>
      <w:r>
        <w:rPr>
          <w:rFonts w:hint="eastAsia" w:ascii="宋体" w:hAnsi="宋体" w:eastAsia="宋体" w:cs="宋体"/>
          <w:color w:val="auto"/>
          <w:kern w:val="2"/>
          <w:sz w:val="24"/>
          <w:szCs w:val="24"/>
          <w:highlight w:val="none"/>
          <w:lang w:val="zh-CN" w:eastAsia="zh-CN" w:bidi="zh-CN"/>
        </w:rPr>
        <w:t>调整价格的主要材料：</w:t>
      </w:r>
      <w:r>
        <w:rPr>
          <w:rFonts w:hint="eastAsia" w:ascii="宋体" w:hAnsi="宋体" w:eastAsia="宋体" w:cs="宋体"/>
          <w:color w:val="auto"/>
          <w:kern w:val="2"/>
          <w:sz w:val="24"/>
          <w:szCs w:val="24"/>
          <w:highlight w:val="none"/>
          <w:u w:val="single"/>
          <w:lang w:val="zh-CN" w:eastAsia="zh-CN" w:bidi="zh-CN"/>
        </w:rPr>
        <w:t>对超过±5%部分的价格调整，仅对市场上购买的水泥、钢筋、砂、石、镀锌管及PE管等管材进行补差，其它材料价格一律不予调整</w:t>
      </w:r>
      <w:r>
        <w:rPr>
          <w:rFonts w:hint="eastAsia" w:ascii="宋体" w:hAnsi="宋体" w:eastAsia="宋体" w:cs="宋体"/>
          <w:color w:val="auto"/>
          <w:kern w:val="2"/>
          <w:sz w:val="24"/>
          <w:szCs w:val="24"/>
          <w:highlight w:val="none"/>
          <w:lang w:val="en-US" w:eastAsia="zh-CN" w:bidi="en-US"/>
        </w:rPr>
        <w:t>。</w:t>
      </w:r>
    </w:p>
    <w:p w14:paraId="775B6218">
      <w:pPr>
        <w:pageBreakBefore w:val="0"/>
        <w:widowControl w:val="0"/>
        <w:tabs>
          <w:tab w:val="left" w:pos="56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16.1.3</w:t>
      </w:r>
      <w:r>
        <w:rPr>
          <w:rFonts w:hint="eastAsia" w:ascii="宋体" w:hAnsi="宋体" w:eastAsia="宋体" w:cs="宋体"/>
          <w:color w:val="auto"/>
          <w:kern w:val="2"/>
          <w:sz w:val="24"/>
          <w:szCs w:val="24"/>
          <w:highlight w:val="none"/>
          <w:lang w:val="zh-CN" w:eastAsia="zh-CN" w:bidi="zh-CN"/>
        </w:rPr>
        <w:t xml:space="preserve">主要材料补差的计算方法： </w:t>
      </w:r>
    </w:p>
    <w:p w14:paraId="6535E51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position w:val="-34"/>
          <w:sz w:val="24"/>
          <w:szCs w:val="24"/>
          <w:highlight w:val="none"/>
          <w:lang w:val="zh-CN" w:eastAsia="zh-CN" w:bidi="zh-CN"/>
        </w:rPr>
        <w:object>
          <v:shape id="_x0000_i1026" o:spt="75" type="#_x0000_t75" style="height:49.5pt;width:324.05pt;" o:ole="t" filled="f" o:preferrelative="t" stroked="f" coordsize="21600,21600">
            <v:path/>
            <v:fill on="f" focussize="0,0"/>
            <v:stroke on="f"/>
            <v:imagedata r:id="rId23" embosscolor="#FFFFFF" o:title=""/>
            <o:lock v:ext="edit" grouping="f" rotation="f" text="f" aspectratio="t"/>
            <w10:wrap type="none"/>
            <w10:anchorlock/>
          </v:shape>
          <o:OLEObject Type="Embed" ProgID="Equation.3" ShapeID="_x0000_i1026" DrawAspect="Content" ObjectID="_1468075726" r:id="rId24">
            <o:LockedField>false</o:LockedField>
          </o:OLEObject>
        </w:object>
      </w:r>
    </w:p>
    <w:p w14:paraId="2FCD391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p>
    <w:p w14:paraId="1FCDD4F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式中： △P -- 需调整的价格差额；</w:t>
      </w:r>
    </w:p>
    <w:p w14:paraId="4E13044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P0 -- 约定的付款证书中承包人应得到的已完成工程量的金额。此项金额应不包括价格调整、不计质量保证金的扣留和支付、预付款的支付和扣回。约定的变更及其他金额已按现行价格计价的，也不计在内；</w:t>
      </w:r>
    </w:p>
    <w:p w14:paraId="44E7D02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A -- 定值权重(即不调部分的权重)；</w:t>
      </w:r>
    </w:p>
    <w:p w14:paraId="502DF20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B1；B2；B3·····Bn -- 各可调因子的变值权重(即可调部分的权重)为各可调因子在投标函投标总报价中所占的比例；</w:t>
      </w:r>
    </w:p>
    <w:p w14:paraId="36F1EDF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Ft1；Ft2；Ft3·····Ftn -- 各可调因子的现行价格指数，施工期间《南宁建设工程造价信息》发布的隆安县价格；；</w:t>
      </w:r>
    </w:p>
    <w:p w14:paraId="62D8040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Fo1；Fo2; Fo3·····Fon -- 各可调因子的基本价格指数，指基准日期的各可调因子的价格指数。</w:t>
      </w:r>
    </w:p>
    <w:p w14:paraId="72A1FE1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16.1.4</w:t>
      </w:r>
      <w:r>
        <w:rPr>
          <w:rFonts w:hint="eastAsia" w:ascii="宋体" w:hAnsi="宋体" w:eastAsia="宋体" w:cs="宋体"/>
          <w:color w:val="auto"/>
          <w:kern w:val="2"/>
          <w:sz w:val="24"/>
          <w:szCs w:val="24"/>
          <w:highlight w:val="none"/>
          <w:lang w:val="zh-CN" w:eastAsia="zh-CN" w:bidi="zh-CN"/>
        </w:rPr>
        <w:t>采用造价信息调整价格差额：</w:t>
      </w:r>
    </w:p>
    <w:p w14:paraId="7DF24F7D">
      <w:pPr>
        <w:pageBreakBefore w:val="0"/>
        <w:widowControl w:val="0"/>
        <w:tabs>
          <w:tab w:val="left" w:pos="438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工程造价信息的来源：</w:t>
      </w:r>
      <w:r>
        <w:rPr>
          <w:rFonts w:hint="eastAsia" w:ascii="宋体" w:hAnsi="宋体" w:eastAsia="宋体" w:cs="宋体"/>
          <w:color w:val="auto"/>
          <w:kern w:val="2"/>
          <w:sz w:val="24"/>
          <w:szCs w:val="24"/>
          <w:highlight w:val="none"/>
          <w:u w:val="single"/>
          <w:lang w:val="zh-CN" w:eastAsia="zh-CN" w:bidi="zh-CN"/>
        </w:rPr>
        <w:t>主要材料预算价格本项目主要材料价格：汽油、柴油及钢材等价格参考《南宁建设工程造价信息》2026年1月下半月刊上刊登的价格计取，砂石、水泥等价格参考《南宁建设工程造价信息》2026年1月下半月刊上刊登的隆安县信息价，对于《南宁建设工程造价信息》上没有刊登的材料将根据市场询价来确定其价格。</w:t>
      </w:r>
    </w:p>
    <w:p w14:paraId="6C949E10">
      <w:pPr>
        <w:pageBreakBefore w:val="0"/>
        <w:widowControl w:val="0"/>
        <w:tabs>
          <w:tab w:val="left" w:pos="459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价格调整的项目和系数：</w:t>
      </w:r>
      <w:r>
        <w:rPr>
          <w:rFonts w:hint="eastAsia" w:ascii="宋体" w:hAnsi="宋体" w:eastAsia="宋体" w:cs="宋体"/>
          <w:color w:val="auto"/>
          <w:kern w:val="2"/>
          <w:sz w:val="24"/>
          <w:szCs w:val="24"/>
          <w:highlight w:val="none"/>
          <w:u w:val="single"/>
          <w:lang w:val="zh-CN" w:eastAsia="zh-CN" w:bidi="zh-CN"/>
        </w:rPr>
        <w:t>（1）计算当月《南宁建设工程造价信息》（工程所在地）主要补差材料信息价格高于基准期主要补差价格（合同工程量清单主要材料价格）5%的，承包人提出书面报告，由发包人在7个工作日内确认后对超过部分以价格之差予以价差调整。承包人应当在以上情况发生后14天内，将调整原因，金额以书面形式通知监理工程师，监理工程师确认调整金额后作为追加合同价款，经审计，财政部门评审认可后与工程款同期支付。（2）计算月的《南宁建设工程造价信息》（工程所在地）主要补差材料信息价格低于基准期主要补差材料价格5%的，发包人在当期合同款中对超出部门予以价差调整并扣除相关款项</w:t>
      </w:r>
      <w:r>
        <w:rPr>
          <w:rFonts w:hint="eastAsia" w:ascii="宋体" w:hAnsi="宋体" w:eastAsia="宋体" w:cs="宋体"/>
          <w:color w:val="auto"/>
          <w:kern w:val="2"/>
          <w:sz w:val="24"/>
          <w:szCs w:val="24"/>
          <w:highlight w:val="none"/>
          <w:lang w:val="en-US" w:eastAsia="zh-CN" w:bidi="en-US"/>
        </w:rPr>
        <w:t>。</w:t>
      </w:r>
    </w:p>
    <w:p w14:paraId="5CE46FF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7" w:name="_Toc3365"/>
      <w:r>
        <w:rPr>
          <w:rFonts w:hint="eastAsia" w:ascii="宋体" w:hAnsi="宋体" w:eastAsia="宋体" w:cs="宋体"/>
          <w:color w:val="auto"/>
          <w:kern w:val="2"/>
          <w:sz w:val="24"/>
          <w:szCs w:val="24"/>
          <w:highlight w:val="none"/>
          <w:lang w:val="en-US" w:eastAsia="zh-CN" w:bidi="ar-SA"/>
        </w:rPr>
        <w:t>17. 计量与支付</w:t>
      </w:r>
      <w:bookmarkEnd w:id="257"/>
    </w:p>
    <w:p w14:paraId="123223F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17.2预付款</w:t>
      </w:r>
    </w:p>
    <w:p w14:paraId="70D26FF4">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17.2.1</w:t>
      </w:r>
      <w:r>
        <w:rPr>
          <w:rFonts w:hint="eastAsia" w:ascii="宋体" w:hAnsi="宋体" w:eastAsia="宋体" w:cs="宋体"/>
          <w:color w:val="auto"/>
          <w:kern w:val="0"/>
          <w:sz w:val="24"/>
          <w:szCs w:val="24"/>
          <w:highlight w:val="none"/>
          <w:lang w:val="zh-CN" w:eastAsia="zh-CN" w:bidi="zh-CN"/>
        </w:rPr>
        <w:t>预付款</w:t>
      </w:r>
    </w:p>
    <w:p w14:paraId="52AFBE16">
      <w:pPr>
        <w:pageBreakBefore w:val="0"/>
        <w:widowControl w:val="0"/>
        <w:numPr>
          <w:ilvl w:val="0"/>
          <w:numId w:val="44"/>
        </w:numPr>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bookmarkStart w:id="258" w:name="bookmark1784"/>
      <w:bookmarkEnd w:id="258"/>
      <w:r>
        <w:rPr>
          <w:rFonts w:hint="eastAsia" w:ascii="宋体" w:hAnsi="宋体" w:eastAsia="宋体" w:cs="宋体"/>
          <w:color w:val="auto"/>
          <w:kern w:val="2"/>
          <w:sz w:val="24"/>
          <w:szCs w:val="24"/>
          <w:highlight w:val="none"/>
          <w:lang w:val="en-US" w:eastAsia="zh-CN" w:bidi="en-US"/>
        </w:rPr>
        <w:t>工程预付款总金额为合同价格的</w:t>
      </w:r>
      <w:r>
        <w:rPr>
          <w:rFonts w:hint="eastAsia" w:ascii="宋体" w:hAnsi="宋体" w:eastAsia="宋体" w:cs="宋体"/>
          <w:color w:val="auto"/>
          <w:kern w:val="2"/>
          <w:sz w:val="24"/>
          <w:szCs w:val="24"/>
          <w:highlight w:val="none"/>
          <w:u w:val="single"/>
          <w:lang w:val="en-US" w:eastAsia="zh-CN" w:bidi="en-US"/>
        </w:rPr>
        <w:t xml:space="preserve"> </w:t>
      </w:r>
      <w:r>
        <w:rPr>
          <w:rFonts w:hint="eastAsia" w:ascii="宋体" w:hAnsi="宋体" w:eastAsia="宋体" w:cs="宋体"/>
          <w:b/>
          <w:bCs/>
          <w:color w:val="auto"/>
          <w:kern w:val="2"/>
          <w:sz w:val="24"/>
          <w:szCs w:val="24"/>
          <w:highlight w:val="none"/>
          <w:u w:val="single"/>
          <w:lang w:val="en-US" w:eastAsia="zh-CN" w:bidi="en-US"/>
        </w:rPr>
        <w:t xml:space="preserve">30 </w:t>
      </w:r>
      <w:r>
        <w:rPr>
          <w:rFonts w:hint="eastAsia" w:ascii="宋体" w:hAnsi="宋体" w:eastAsia="宋体" w:cs="宋体"/>
          <w:color w:val="auto"/>
          <w:kern w:val="2"/>
          <w:sz w:val="24"/>
          <w:szCs w:val="24"/>
          <w:highlight w:val="none"/>
          <w:lang w:val="en-US" w:eastAsia="zh-CN" w:bidi="en-US"/>
        </w:rPr>
        <w:t xml:space="preserve"> %(不含安全文明措施费)，在承包人向发包人提交了经发包人认可的履约保证金后，由承包人提出书面申请，经监理人核实后出具付款证书提交给发包人，发包人收到监理人出具的付款证书后办理支付手续给承包人。</w:t>
      </w:r>
    </w:p>
    <w:p w14:paraId="2F7B2E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17.2.3</w:t>
      </w:r>
      <w:r>
        <w:rPr>
          <w:rFonts w:hint="eastAsia" w:ascii="宋体" w:hAnsi="宋体" w:eastAsia="宋体" w:cs="宋体"/>
          <w:color w:val="auto"/>
          <w:kern w:val="2"/>
          <w:sz w:val="24"/>
          <w:szCs w:val="24"/>
          <w:highlight w:val="none"/>
          <w:lang w:val="zh-CN" w:eastAsia="zh-CN" w:bidi="zh-CN"/>
        </w:rPr>
        <w:t>预付款的扣回与还清</w:t>
      </w:r>
    </w:p>
    <w:p w14:paraId="617E46D7">
      <w:pPr>
        <w:pageBreakBefore w:val="0"/>
        <w:widowControl w:val="0"/>
        <w:tabs>
          <w:tab w:val="left" w:pos="3967"/>
          <w:tab w:val="left" w:pos="61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工程预付款在合同累计完成金额达到签约合同价格的</w:t>
      </w:r>
      <w:r>
        <w:rPr>
          <w:rFonts w:hint="eastAsia" w:ascii="宋体" w:hAnsi="宋体" w:eastAsia="宋体" w:cs="宋体"/>
          <w:color w:val="auto"/>
          <w:kern w:val="2"/>
          <w:sz w:val="24"/>
          <w:szCs w:val="24"/>
          <w:highlight w:val="none"/>
          <w:u w:val="single"/>
          <w:lang w:val="en-US" w:eastAsia="zh-CN" w:bidi="zh-CN"/>
        </w:rPr>
        <w:t xml:space="preserve"> 10 </w:t>
      </w:r>
      <w:r>
        <w:rPr>
          <w:rFonts w:hint="eastAsia" w:ascii="宋体" w:hAnsi="宋体" w:eastAsia="宋体" w:cs="宋体"/>
          <w:color w:val="auto"/>
          <w:kern w:val="2"/>
          <w:sz w:val="24"/>
          <w:szCs w:val="24"/>
          <w:highlight w:val="none"/>
          <w:lang w:val="zh-CN" w:eastAsia="zh-CN" w:bidi="zh-CN"/>
        </w:rPr>
        <w:t>%时开始扣款，直至合同累计完成金额达到签约合同价的</w:t>
      </w:r>
      <w:r>
        <w:rPr>
          <w:rFonts w:hint="eastAsia" w:ascii="宋体" w:hAnsi="宋体" w:eastAsia="宋体" w:cs="宋体"/>
          <w:color w:val="auto"/>
          <w:kern w:val="2"/>
          <w:sz w:val="24"/>
          <w:szCs w:val="24"/>
          <w:highlight w:val="none"/>
          <w:u w:val="single"/>
          <w:lang w:val="en-US" w:eastAsia="zh-CN" w:bidi="zh-CN"/>
        </w:rPr>
        <w:t xml:space="preserve"> 30 </w:t>
      </w:r>
      <w:r>
        <w:rPr>
          <w:rFonts w:hint="eastAsia" w:ascii="宋体" w:hAnsi="宋体" w:eastAsia="宋体" w:cs="宋体"/>
          <w:color w:val="auto"/>
          <w:kern w:val="2"/>
          <w:sz w:val="24"/>
          <w:szCs w:val="24"/>
          <w:highlight w:val="none"/>
          <w:lang w:val="zh-CN" w:eastAsia="zh-CN" w:bidi="zh-CN"/>
        </w:rPr>
        <w:t>%时全部扣清。</w:t>
      </w:r>
    </w:p>
    <w:p w14:paraId="1019E2B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pict>
          <v:shape id="_x0000_s1029" o:spid="_x0000_s1029" o:spt="75" type="#_x0000_t75" style="position:absolute;left:0pt;margin-left:63pt;margin-top:7.95pt;height:31.5pt;width:126.4pt;mso-wrap-distance-bottom:0pt;mso-wrap-distance-left:9pt;mso-wrap-distance-right:9pt;mso-wrap-distance-top:0pt;z-index:251659264;mso-width-relative:page;mso-height-relative:page;" o:ole="t" filled="f" o:preferrelative="t" stroked="f" coordsize="21600,21600">
            <v:path/>
            <v:fill on="f" focussize="0,0"/>
            <v:stroke on="f"/>
            <v:imagedata r:id="rId26" embosscolor="#FFFFFF" o:title=""/>
            <o:lock v:ext="edit" grouping="f" rotation="f" text="f" aspectratio="t"/>
            <w10:wrap type="square"/>
          </v:shape>
          <o:OLEObject Type="Embed" ProgID="" ShapeID="_x0000_s1029" DrawAspect="Content" ObjectID="_1468075727" r:id="rId25">
            <o:LockedField>false</o:LockedField>
          </o:OLEObject>
        </w:pict>
      </w:r>
    </w:p>
    <w:p w14:paraId="503AED2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式中：R——每次进度付款中累计扣回的金额；</w:t>
      </w:r>
    </w:p>
    <w:p w14:paraId="27F50F1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59" w:name="_Toc221951241"/>
      <w:r>
        <w:rPr>
          <w:rFonts w:hint="eastAsia" w:ascii="宋体" w:hAnsi="宋体" w:eastAsia="宋体" w:cs="宋体"/>
          <w:color w:val="auto"/>
          <w:kern w:val="2"/>
          <w:sz w:val="24"/>
          <w:szCs w:val="24"/>
          <w:highlight w:val="none"/>
          <w:lang w:val="zh-CN" w:eastAsia="zh-CN" w:bidi="mn-Mong-CN"/>
        </w:rPr>
        <w:t>A——工程预付款总金额；</w:t>
      </w:r>
      <w:bookmarkEnd w:id="259"/>
    </w:p>
    <w:p w14:paraId="75854C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60" w:name="_Toc221951242"/>
      <w:r>
        <w:rPr>
          <w:rFonts w:hint="eastAsia" w:ascii="宋体" w:hAnsi="宋体" w:eastAsia="宋体" w:cs="宋体"/>
          <w:color w:val="auto"/>
          <w:kern w:val="2"/>
          <w:sz w:val="24"/>
          <w:szCs w:val="24"/>
          <w:highlight w:val="none"/>
          <w:lang w:val="zh-CN" w:eastAsia="zh-CN" w:bidi="mn-Mong-CN"/>
        </w:rPr>
        <w:t>S——签约合同价格；</w:t>
      </w:r>
      <w:bookmarkEnd w:id="260"/>
    </w:p>
    <w:p w14:paraId="5C1E063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61" w:name="_Toc221951243"/>
      <w:r>
        <w:rPr>
          <w:rFonts w:hint="eastAsia" w:ascii="宋体" w:hAnsi="宋体" w:eastAsia="宋体" w:cs="宋体"/>
          <w:color w:val="auto"/>
          <w:kern w:val="2"/>
          <w:sz w:val="24"/>
          <w:szCs w:val="24"/>
          <w:highlight w:val="none"/>
          <w:lang w:val="zh-CN" w:eastAsia="zh-CN" w:bidi="mn-Mong-CN"/>
        </w:rPr>
        <w:t>C——合同累计完成金额；</w:t>
      </w:r>
      <w:bookmarkEnd w:id="261"/>
    </w:p>
    <w:p w14:paraId="67DA020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62" w:name="_Toc221951244"/>
      <w:r>
        <w:rPr>
          <w:rFonts w:hint="eastAsia" w:ascii="宋体" w:hAnsi="宋体" w:eastAsia="宋体" w:cs="宋体"/>
          <w:color w:val="auto"/>
          <w:kern w:val="2"/>
          <w:sz w:val="24"/>
          <w:szCs w:val="24"/>
          <w:highlight w:val="none"/>
          <w:lang w:val="zh-CN" w:eastAsia="zh-CN" w:bidi="mn-Mong-CN"/>
        </w:rPr>
        <w:t>F</w:t>
      </w:r>
      <w:r>
        <w:rPr>
          <w:rFonts w:hint="eastAsia" w:ascii="宋体" w:hAnsi="宋体" w:eastAsia="宋体" w:cs="宋体"/>
          <w:color w:val="auto"/>
          <w:kern w:val="2"/>
          <w:sz w:val="24"/>
          <w:szCs w:val="24"/>
          <w:highlight w:val="none"/>
          <w:vertAlign w:val="subscript"/>
          <w:lang w:val="zh-CN" w:eastAsia="zh-CN" w:bidi="mn-Mong-CN"/>
        </w:rPr>
        <w:t>1</w:t>
      </w:r>
      <w:r>
        <w:rPr>
          <w:rFonts w:hint="eastAsia" w:ascii="宋体" w:hAnsi="宋体" w:eastAsia="宋体" w:cs="宋体"/>
          <w:color w:val="auto"/>
          <w:kern w:val="2"/>
          <w:sz w:val="24"/>
          <w:szCs w:val="24"/>
          <w:highlight w:val="none"/>
          <w:lang w:val="zh-CN" w:eastAsia="zh-CN" w:bidi="mn-Mong-CN"/>
        </w:rPr>
        <w:t>——开始扣款时合同累计完成金额达到签约合同价格的比例；</w:t>
      </w:r>
      <w:bookmarkEnd w:id="262"/>
    </w:p>
    <w:p w14:paraId="77CC0D5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mn-Mong-CN"/>
        </w:rPr>
      </w:pPr>
      <w:r>
        <w:rPr>
          <w:rFonts w:hint="eastAsia" w:ascii="宋体" w:hAnsi="宋体" w:eastAsia="宋体" w:cs="宋体"/>
          <w:color w:val="auto"/>
          <w:kern w:val="2"/>
          <w:sz w:val="24"/>
          <w:szCs w:val="24"/>
          <w:highlight w:val="none"/>
          <w:lang w:val="en-US" w:eastAsia="zh-CN" w:bidi="mn-Mong-CN"/>
        </w:rPr>
        <w:t xml:space="preserve">      </w:t>
      </w:r>
      <w:bookmarkStart w:id="263" w:name="_Toc221951245"/>
      <w:r>
        <w:rPr>
          <w:rFonts w:hint="eastAsia" w:ascii="宋体" w:hAnsi="宋体" w:eastAsia="宋体" w:cs="宋体"/>
          <w:color w:val="auto"/>
          <w:kern w:val="2"/>
          <w:sz w:val="24"/>
          <w:szCs w:val="24"/>
          <w:highlight w:val="none"/>
          <w:lang w:val="en-US" w:eastAsia="zh-CN" w:bidi="mn-Mong-CN"/>
        </w:rPr>
        <w:t>F</w:t>
      </w:r>
      <w:r>
        <w:rPr>
          <w:rFonts w:hint="eastAsia" w:ascii="宋体" w:hAnsi="宋体" w:eastAsia="宋体" w:cs="宋体"/>
          <w:color w:val="auto"/>
          <w:kern w:val="2"/>
          <w:sz w:val="24"/>
          <w:szCs w:val="24"/>
          <w:highlight w:val="none"/>
          <w:vertAlign w:val="subscript"/>
          <w:lang w:val="en-US" w:eastAsia="zh-CN" w:bidi="mn-Mong-CN"/>
        </w:rPr>
        <w:t>2</w:t>
      </w:r>
      <w:r>
        <w:rPr>
          <w:rFonts w:hint="eastAsia" w:ascii="宋体" w:hAnsi="宋体" w:eastAsia="宋体" w:cs="宋体"/>
          <w:color w:val="auto"/>
          <w:kern w:val="2"/>
          <w:sz w:val="24"/>
          <w:szCs w:val="24"/>
          <w:highlight w:val="none"/>
          <w:lang w:val="en-US" w:eastAsia="zh-CN" w:bidi="mn-Mong-CN"/>
        </w:rPr>
        <w:t>——全部扣清时合同累计完成金额达到签约合同价格的比例。</w:t>
      </w:r>
      <w:bookmarkEnd w:id="263"/>
    </w:p>
    <w:p w14:paraId="15720F1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上述合同累计完成金额均指价格调整前未扣质量保证金的金额。</w:t>
      </w:r>
    </w:p>
    <w:p w14:paraId="3819053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17.3工程进度付款</w:t>
      </w:r>
    </w:p>
    <w:p w14:paraId="54F78FE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17.3.2</w:t>
      </w:r>
      <w:r>
        <w:rPr>
          <w:rFonts w:hint="eastAsia" w:ascii="宋体" w:hAnsi="宋体" w:eastAsia="宋体" w:cs="宋体"/>
          <w:color w:val="auto"/>
          <w:kern w:val="2"/>
          <w:sz w:val="24"/>
          <w:szCs w:val="24"/>
          <w:highlight w:val="none"/>
          <w:lang w:val="zh-CN" w:eastAsia="zh-CN" w:bidi="zh-CN"/>
        </w:rPr>
        <w:t>进度付款申请单</w:t>
      </w:r>
    </w:p>
    <w:p w14:paraId="40F0CE84">
      <w:pPr>
        <w:pageBreakBefore w:val="0"/>
        <w:widowControl w:val="0"/>
        <w:tabs>
          <w:tab w:val="left" w:pos="4613"/>
          <w:tab w:val="left" w:pos="7978"/>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zh-CN" w:eastAsia="zh-CN" w:bidi="zh-CN"/>
        </w:rPr>
        <w:t>承包人提交进度付款申请单的份数：</w:t>
      </w:r>
      <w:r>
        <w:rPr>
          <w:rFonts w:hint="eastAsia" w:ascii="宋体" w:hAnsi="宋体" w:eastAsia="宋体" w:cs="宋体"/>
          <w:color w:val="auto"/>
          <w:kern w:val="2"/>
          <w:sz w:val="24"/>
          <w:szCs w:val="24"/>
          <w:highlight w:val="none"/>
          <w:u w:val="single"/>
          <w:lang w:val="en-US" w:eastAsia="zh-CN" w:bidi="zh-CN"/>
        </w:rPr>
        <w:t xml:space="preserve"> 4份 </w:t>
      </w:r>
      <w:r>
        <w:rPr>
          <w:rFonts w:hint="eastAsia" w:ascii="宋体" w:hAnsi="宋体" w:eastAsia="宋体" w:cs="宋体"/>
          <w:color w:val="auto"/>
          <w:kern w:val="2"/>
          <w:sz w:val="24"/>
          <w:szCs w:val="24"/>
          <w:highlight w:val="none"/>
          <w:lang w:val="en-US" w:eastAsia="zh-CN" w:bidi="en-US"/>
        </w:rPr>
        <w:t>。</w:t>
      </w:r>
    </w:p>
    <w:p w14:paraId="46F9D6DF">
      <w:pPr>
        <w:pageBreakBefore w:val="0"/>
        <w:widowControl w:val="0"/>
        <w:tabs>
          <w:tab w:val="left" w:pos="4613"/>
          <w:tab w:val="left" w:pos="7978"/>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17.3.3</w:t>
      </w:r>
      <w:r>
        <w:rPr>
          <w:rFonts w:hint="eastAsia" w:ascii="宋体" w:hAnsi="宋体" w:eastAsia="宋体" w:cs="宋体"/>
          <w:color w:val="auto"/>
          <w:kern w:val="2"/>
          <w:sz w:val="24"/>
          <w:szCs w:val="24"/>
          <w:highlight w:val="none"/>
          <w:lang w:val="zh-CN" w:eastAsia="zh-CN" w:bidi="zh-CN"/>
        </w:rPr>
        <w:t>进度付款证书和支付时间</w:t>
      </w:r>
    </w:p>
    <w:p w14:paraId="471BCBBE">
      <w:pPr>
        <w:pageBreakBefore w:val="0"/>
        <w:widowControl w:val="0"/>
        <w:tabs>
          <w:tab w:val="left" w:pos="4428"/>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(2)本款“专用合同条款的约定支付逾期付款违约金”为按中国人民银行规定的同期贷款利率计算的逾期付款金额的利息。</w:t>
      </w:r>
    </w:p>
    <w:p w14:paraId="5A60ACF9">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17.3.5</w:t>
      </w:r>
      <w:r>
        <w:rPr>
          <w:rFonts w:hint="eastAsia" w:ascii="宋体" w:hAnsi="宋体" w:eastAsia="宋体" w:cs="宋体"/>
          <w:color w:val="auto"/>
          <w:kern w:val="2"/>
          <w:sz w:val="24"/>
          <w:szCs w:val="24"/>
          <w:highlight w:val="none"/>
          <w:lang w:val="zh-CN" w:eastAsia="zh-CN" w:bidi="zh-CN"/>
        </w:rPr>
        <w:t>工程进度付款的支付比例</w:t>
      </w:r>
    </w:p>
    <w:p w14:paraId="5094019A">
      <w:pPr>
        <w:pageBreakBefore w:val="0"/>
        <w:widowControl w:val="0"/>
        <w:tabs>
          <w:tab w:val="left" w:pos="4428"/>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每个付款周期按实际完成工程量的</w:t>
      </w:r>
      <w:r>
        <w:rPr>
          <w:rFonts w:hint="eastAsia" w:ascii="宋体" w:hAnsi="宋体" w:eastAsia="宋体" w:cs="宋体"/>
          <w:color w:val="auto"/>
          <w:kern w:val="2"/>
          <w:sz w:val="24"/>
          <w:szCs w:val="24"/>
          <w:highlight w:val="none"/>
          <w:u w:val="single"/>
          <w:lang w:val="en-US" w:eastAsia="zh-CN" w:bidi="zh-CN"/>
        </w:rPr>
        <w:t xml:space="preserve"> 90 </w:t>
      </w:r>
      <w:r>
        <w:rPr>
          <w:rFonts w:hint="eastAsia" w:ascii="宋体" w:hAnsi="宋体" w:eastAsia="宋体" w:cs="宋体"/>
          <w:color w:val="auto"/>
          <w:kern w:val="2"/>
          <w:sz w:val="24"/>
          <w:szCs w:val="24"/>
          <w:highlight w:val="none"/>
          <w:lang w:val="zh-CN" w:eastAsia="zh-CN" w:bidi="zh-CN"/>
        </w:rPr>
        <w:t>%支付工程进度款，但最高不超过合同总价款的80%，余款在工程完工结算经财政评审确认后申请支付。</w:t>
      </w:r>
    </w:p>
    <w:p w14:paraId="5A1C9D9B">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17.3.6工程款中应支付农民工工资的比例</w:t>
      </w:r>
    </w:p>
    <w:p w14:paraId="53C1118A">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工程款中农民工工资比例为</w:t>
      </w:r>
      <w:r>
        <w:rPr>
          <w:rFonts w:hint="eastAsia" w:ascii="宋体" w:hAnsi="宋体" w:eastAsia="宋体" w:cs="宋体"/>
          <w:color w:val="auto"/>
          <w:kern w:val="2"/>
          <w:sz w:val="24"/>
          <w:szCs w:val="24"/>
          <w:highlight w:val="none"/>
          <w:u w:val="single"/>
          <w:lang w:val="en-US" w:eastAsia="zh-CN" w:bidi="en-US"/>
        </w:rPr>
        <w:t xml:space="preserve"> </w:t>
      </w:r>
      <w:r>
        <w:rPr>
          <w:rFonts w:hint="eastAsia" w:ascii="宋体" w:hAnsi="宋体" w:cs="宋体"/>
          <w:color w:val="auto"/>
          <w:kern w:val="2"/>
          <w:sz w:val="24"/>
          <w:szCs w:val="24"/>
          <w:highlight w:val="none"/>
          <w:u w:val="single"/>
          <w:lang w:val="en-US" w:eastAsia="zh-CN" w:bidi="en-US"/>
        </w:rPr>
        <w:t>20</w:t>
      </w:r>
      <w:r>
        <w:rPr>
          <w:rFonts w:hint="eastAsia" w:ascii="宋体" w:hAnsi="宋体" w:eastAsia="宋体" w:cs="宋体"/>
          <w:color w:val="auto"/>
          <w:kern w:val="2"/>
          <w:sz w:val="24"/>
          <w:szCs w:val="24"/>
          <w:highlight w:val="none"/>
          <w:u w:val="single"/>
          <w:lang w:val="en-US" w:eastAsia="zh-CN" w:bidi="en-US"/>
        </w:rPr>
        <w:t xml:space="preserve"> </w:t>
      </w:r>
      <w:r>
        <w:rPr>
          <w:rFonts w:hint="eastAsia" w:ascii="宋体" w:hAnsi="宋体" w:eastAsia="宋体" w:cs="宋体"/>
          <w:color w:val="auto"/>
          <w:kern w:val="2"/>
          <w:sz w:val="24"/>
          <w:szCs w:val="24"/>
          <w:highlight w:val="none"/>
          <w:u w:val="none"/>
          <w:lang w:val="en-US" w:eastAsia="zh-CN" w:bidi="en-US"/>
        </w:rPr>
        <w:t>%</w:t>
      </w:r>
      <w:r>
        <w:rPr>
          <w:rFonts w:hint="eastAsia" w:ascii="宋体" w:hAnsi="宋体" w:eastAsia="宋体" w:cs="宋体"/>
          <w:color w:val="auto"/>
          <w:kern w:val="2"/>
          <w:sz w:val="24"/>
          <w:szCs w:val="24"/>
          <w:highlight w:val="none"/>
          <w:lang w:val="en-US" w:eastAsia="zh-CN" w:bidi="en-US"/>
        </w:rPr>
        <w:t>，乙方按月足额支付农民工工资，不得将农民工工资专用款挪做其它用途。</w:t>
      </w:r>
    </w:p>
    <w:p w14:paraId="32A2F4F3">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17.4质量保证金</w:t>
      </w:r>
    </w:p>
    <w:p w14:paraId="157A08C2">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en-US" w:eastAsia="zh-CN" w:bidi="en-US"/>
        </w:rPr>
        <w:t>17.4.1.1</w:t>
      </w:r>
      <w:r>
        <w:rPr>
          <w:rFonts w:hint="eastAsia" w:ascii="宋体" w:hAnsi="宋体" w:eastAsia="宋体" w:cs="宋体"/>
          <w:color w:val="auto"/>
          <w:kern w:val="2"/>
          <w:sz w:val="24"/>
          <w:szCs w:val="24"/>
          <w:highlight w:val="none"/>
          <w:lang w:val="zh-CN" w:eastAsia="zh-CN" w:bidi="zh-CN"/>
        </w:rPr>
        <w:t xml:space="preserve">每个付款周期扣留的质量保证金为工程进度付款的3%，扣留的质量保证金总额为工程价款结算总额的3% </w:t>
      </w:r>
      <w:r>
        <w:rPr>
          <w:rFonts w:hint="eastAsia" w:ascii="宋体" w:hAnsi="宋体" w:eastAsia="宋体" w:cs="宋体"/>
          <w:color w:val="auto"/>
          <w:kern w:val="2"/>
          <w:sz w:val="24"/>
          <w:szCs w:val="24"/>
          <w:highlight w:val="none"/>
          <w:lang w:val="en-US" w:eastAsia="zh-CN" w:bidi="en-US"/>
        </w:rPr>
        <w:t>。</w:t>
      </w:r>
    </w:p>
    <w:p w14:paraId="36A17337">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en-US" w:eastAsia="zh-CN" w:bidi="en-US"/>
        </w:rPr>
        <w:t>17.4.1.2</w:t>
      </w:r>
      <w:r>
        <w:rPr>
          <w:rFonts w:hint="eastAsia" w:ascii="宋体" w:hAnsi="宋体" w:cs="宋体"/>
          <w:color w:val="auto"/>
          <w:kern w:val="2"/>
          <w:sz w:val="24"/>
          <w:szCs w:val="24"/>
          <w:highlight w:val="none"/>
          <w:lang w:val="en-US" w:eastAsia="zh-CN" w:bidi="en-US"/>
        </w:rPr>
        <w:t>合同</w:t>
      </w:r>
      <w:r>
        <w:rPr>
          <w:rFonts w:hint="eastAsia" w:ascii="宋体" w:hAnsi="宋体" w:eastAsia="宋体" w:cs="宋体"/>
          <w:color w:val="auto"/>
          <w:kern w:val="2"/>
          <w:sz w:val="24"/>
          <w:szCs w:val="24"/>
          <w:highlight w:val="none"/>
          <w:lang w:val="zh-CN" w:eastAsia="zh-CN" w:bidi="zh-CN"/>
        </w:rPr>
        <w:t>工程验收后，一次性扣留的质量保证金总额为工程价款结算总额的3%。</w:t>
      </w:r>
    </w:p>
    <w:p w14:paraId="64A9F1B0">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sym w:font="Wingdings 2" w:char="0052"/>
      </w:r>
      <w:r>
        <w:rPr>
          <w:rFonts w:hint="eastAsia" w:ascii="宋体" w:hAnsi="宋体" w:eastAsia="宋体" w:cs="宋体"/>
          <w:color w:val="auto"/>
          <w:kern w:val="2"/>
          <w:sz w:val="24"/>
          <w:szCs w:val="24"/>
          <w:highlight w:val="none"/>
          <w:lang w:val="en-US" w:eastAsia="zh-CN" w:bidi="en-US"/>
        </w:rPr>
        <w:t>17.4.1.3</w:t>
      </w:r>
      <w:r>
        <w:rPr>
          <w:rFonts w:hint="eastAsia" w:ascii="宋体" w:hAnsi="宋体" w:eastAsia="宋体" w:cs="宋体"/>
          <w:color w:val="auto"/>
          <w:kern w:val="2"/>
          <w:sz w:val="24"/>
          <w:szCs w:val="24"/>
          <w:highlight w:val="none"/>
          <w:lang w:val="zh-CN" w:eastAsia="zh-CN" w:bidi="zh-CN"/>
        </w:rPr>
        <w:t>在工程项目完工前，已经缴纳履约保证金的，发包人不得同时扣留工程质量保证金。</w:t>
      </w:r>
      <w:r>
        <w:rPr>
          <w:rFonts w:hint="eastAsia" w:ascii="宋体" w:hAnsi="宋体" w:eastAsia="宋体" w:cs="宋体"/>
          <w:color w:val="auto"/>
          <w:kern w:val="2"/>
          <w:sz w:val="24"/>
          <w:szCs w:val="24"/>
          <w:highlight w:val="none"/>
          <w:lang w:val="en-US" w:eastAsia="zh-CN" w:bidi="zh-CN"/>
        </w:rPr>
        <w:t>施工单位提交质量保证金（质量保证金按工程结算价的3%收取）的同时我方将</w:t>
      </w:r>
      <w:r>
        <w:rPr>
          <w:rFonts w:hint="eastAsia" w:ascii="宋体" w:hAnsi="宋体" w:eastAsia="宋体" w:cs="宋体"/>
          <w:b/>
          <w:bCs/>
          <w:color w:val="auto"/>
          <w:kern w:val="2"/>
          <w:sz w:val="24"/>
          <w:szCs w:val="24"/>
          <w:highlight w:val="none"/>
          <w:lang w:val="en-US" w:eastAsia="zh-CN" w:bidi="zh-CN"/>
        </w:rPr>
        <w:t>无息</w:t>
      </w:r>
      <w:r>
        <w:rPr>
          <w:rFonts w:hint="eastAsia" w:ascii="宋体" w:hAnsi="宋体" w:eastAsia="宋体" w:cs="宋体"/>
          <w:color w:val="auto"/>
          <w:kern w:val="2"/>
          <w:sz w:val="24"/>
          <w:szCs w:val="24"/>
          <w:highlight w:val="none"/>
          <w:lang w:val="en-US" w:eastAsia="zh-CN" w:bidi="zh-CN"/>
        </w:rPr>
        <w:t>退回履约保证金，直至质量缺陷期结束后</w:t>
      </w:r>
      <w:r>
        <w:rPr>
          <w:rFonts w:hint="eastAsia" w:ascii="宋体" w:hAnsi="宋体" w:eastAsia="宋体" w:cs="宋体"/>
          <w:b/>
          <w:bCs/>
          <w:color w:val="auto"/>
          <w:kern w:val="2"/>
          <w:sz w:val="24"/>
          <w:szCs w:val="24"/>
          <w:highlight w:val="none"/>
          <w:lang w:val="en-US" w:eastAsia="zh-CN" w:bidi="zh-CN"/>
        </w:rPr>
        <w:t>无息</w:t>
      </w:r>
      <w:r>
        <w:rPr>
          <w:rFonts w:hint="eastAsia" w:ascii="宋体" w:hAnsi="宋体" w:eastAsia="宋体" w:cs="宋体"/>
          <w:color w:val="auto"/>
          <w:kern w:val="2"/>
          <w:sz w:val="24"/>
          <w:szCs w:val="24"/>
          <w:highlight w:val="none"/>
          <w:lang w:val="en-US" w:eastAsia="zh-CN" w:bidi="zh-CN"/>
        </w:rPr>
        <w:t>退还质量保证金。</w:t>
      </w:r>
    </w:p>
    <w:p w14:paraId="06F1B56B">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17.5竣工（完工）结算</w:t>
      </w:r>
    </w:p>
    <w:p w14:paraId="03A8FCD9">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17.5.1</w:t>
      </w:r>
      <w:r>
        <w:rPr>
          <w:rFonts w:hint="eastAsia" w:ascii="宋体" w:hAnsi="宋体" w:eastAsia="宋体" w:cs="宋体"/>
          <w:color w:val="auto"/>
          <w:kern w:val="2"/>
          <w:sz w:val="24"/>
          <w:szCs w:val="24"/>
          <w:highlight w:val="none"/>
          <w:lang w:val="zh-CN" w:eastAsia="zh-CN" w:bidi="zh-CN"/>
        </w:rPr>
        <w:t>竣工（完工）付款申请单</w:t>
      </w:r>
    </w:p>
    <w:p w14:paraId="696A3152">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（1）承包人应提交竣工付款申请单份数：</w:t>
      </w:r>
      <w:r>
        <w:rPr>
          <w:rFonts w:hint="eastAsia" w:ascii="宋体" w:hAnsi="宋体" w:eastAsia="宋体" w:cs="宋体"/>
          <w:color w:val="auto"/>
          <w:kern w:val="2"/>
          <w:sz w:val="24"/>
          <w:szCs w:val="24"/>
          <w:highlight w:val="none"/>
          <w:u w:val="single"/>
          <w:lang w:val="en-US" w:eastAsia="zh-CN" w:bidi="zh-CN"/>
        </w:rPr>
        <w:t>4份</w:t>
      </w:r>
      <w:r>
        <w:rPr>
          <w:rFonts w:hint="eastAsia" w:ascii="宋体" w:hAnsi="宋体" w:eastAsia="宋体" w:cs="宋体"/>
          <w:color w:val="auto"/>
          <w:kern w:val="2"/>
          <w:sz w:val="24"/>
          <w:szCs w:val="24"/>
          <w:highlight w:val="none"/>
          <w:lang w:val="zh-CN" w:eastAsia="zh-CN" w:bidi="zh-CN"/>
        </w:rPr>
        <w:t>。</w:t>
      </w:r>
    </w:p>
    <w:p w14:paraId="0604EFB7">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17.5.3</w:t>
      </w:r>
      <w:r>
        <w:rPr>
          <w:rFonts w:hint="eastAsia" w:ascii="宋体" w:hAnsi="宋体" w:eastAsia="宋体" w:cs="宋体"/>
          <w:color w:val="auto"/>
          <w:kern w:val="2"/>
          <w:sz w:val="24"/>
          <w:szCs w:val="24"/>
          <w:highlight w:val="none"/>
          <w:lang w:val="zh-CN" w:eastAsia="zh-CN" w:bidi="zh-CN"/>
        </w:rPr>
        <w:t>除按通用合同条款所说的内容外，增加以下内容：最终结算以财政评审结果为准。</w:t>
      </w:r>
    </w:p>
    <w:p w14:paraId="241F34DC">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17.6最终结清</w:t>
      </w:r>
    </w:p>
    <w:p w14:paraId="6EB46EAB">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17.6.1</w:t>
      </w:r>
      <w:r>
        <w:rPr>
          <w:rFonts w:hint="eastAsia" w:ascii="宋体" w:hAnsi="宋体" w:eastAsia="宋体" w:cs="宋体"/>
          <w:color w:val="auto"/>
          <w:kern w:val="2"/>
          <w:sz w:val="24"/>
          <w:szCs w:val="24"/>
          <w:highlight w:val="none"/>
          <w:lang w:val="zh-CN" w:eastAsia="zh-CN" w:bidi="zh-CN"/>
        </w:rPr>
        <w:t>最终结清申请单</w:t>
      </w:r>
    </w:p>
    <w:p w14:paraId="141B4E8C">
      <w:pPr>
        <w:pageBreakBefore w:val="0"/>
        <w:widowControl w:val="0"/>
        <w:tabs>
          <w:tab w:val="left" w:pos="607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（1）承包人应提交最终结清申请单份数：</w:t>
      </w:r>
      <w:r>
        <w:rPr>
          <w:rFonts w:hint="eastAsia" w:ascii="宋体" w:hAnsi="宋体" w:eastAsia="宋体" w:cs="宋体"/>
          <w:color w:val="auto"/>
          <w:kern w:val="2"/>
          <w:sz w:val="24"/>
          <w:szCs w:val="24"/>
          <w:highlight w:val="none"/>
          <w:u w:val="single"/>
          <w:lang w:val="en-US" w:eastAsia="zh-CN" w:bidi="zh-CN"/>
        </w:rPr>
        <w:t>4份</w:t>
      </w:r>
      <w:r>
        <w:rPr>
          <w:rFonts w:hint="eastAsia" w:ascii="宋体" w:hAnsi="宋体" w:eastAsia="宋体" w:cs="宋体"/>
          <w:color w:val="auto"/>
          <w:kern w:val="2"/>
          <w:sz w:val="24"/>
          <w:szCs w:val="24"/>
          <w:highlight w:val="none"/>
          <w:lang w:val="en-US" w:eastAsia="zh-CN" w:bidi="en-US"/>
        </w:rPr>
        <w:t>。</w:t>
      </w:r>
    </w:p>
    <w:p w14:paraId="70B0C72E">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17.7竣工财务决算</w:t>
      </w:r>
    </w:p>
    <w:p w14:paraId="4CA76CAC">
      <w:pPr>
        <w:pageBreakBefore w:val="0"/>
        <w:widowControl w:val="0"/>
        <w:tabs>
          <w:tab w:val="left" w:pos="6264"/>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承包人应为竣工财务决算编制提供的资料：</w:t>
      </w:r>
      <w:r>
        <w:rPr>
          <w:rFonts w:hint="eastAsia" w:ascii="宋体" w:hAnsi="宋体" w:eastAsia="宋体" w:cs="宋体"/>
          <w:color w:val="auto"/>
          <w:kern w:val="2"/>
          <w:sz w:val="24"/>
          <w:szCs w:val="24"/>
          <w:highlight w:val="none"/>
          <w:u w:val="single"/>
          <w:lang w:val="zh-CN" w:eastAsia="zh-CN" w:bidi="zh-CN"/>
        </w:rPr>
        <w:t>承包人应为竣工财务决算编制提供的资料：按现行《水利基本建设项目竣工财务决算编制规程》（SL19-2014）及相关法律、法规和规章制度执行。决算费用由发包人另行支付</w:t>
      </w:r>
      <w:r>
        <w:rPr>
          <w:rFonts w:hint="eastAsia" w:ascii="宋体" w:hAnsi="宋体" w:eastAsia="宋体" w:cs="宋体"/>
          <w:color w:val="auto"/>
          <w:kern w:val="2"/>
          <w:sz w:val="24"/>
          <w:szCs w:val="24"/>
          <w:highlight w:val="none"/>
          <w:lang w:val="en-US" w:eastAsia="zh-CN" w:bidi="en-US"/>
        </w:rPr>
        <w:t>。</w:t>
      </w:r>
    </w:p>
    <w:p w14:paraId="4519938D">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4" w:name="_Toc6578"/>
      <w:r>
        <w:rPr>
          <w:rFonts w:hint="eastAsia" w:ascii="宋体" w:hAnsi="宋体" w:eastAsia="宋体" w:cs="宋体"/>
          <w:color w:val="auto"/>
          <w:kern w:val="2"/>
          <w:sz w:val="24"/>
          <w:szCs w:val="24"/>
          <w:highlight w:val="none"/>
          <w:lang w:val="en-US" w:eastAsia="zh-CN" w:bidi="ar-SA"/>
        </w:rPr>
        <w:t>18. 竣工验收（验收）</w:t>
      </w:r>
      <w:bookmarkEnd w:id="264"/>
    </w:p>
    <w:p w14:paraId="5EE3BE68">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18.1验收工作分类</w:t>
      </w:r>
    </w:p>
    <w:p w14:paraId="71F05F13">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根据《水利工程建设项目验收管理规定》（水利部令第</w:t>
      </w: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49</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号）和《水利水电建设工程验收规程》（SL/T223—2025)的相关规定执行。</w:t>
      </w:r>
    </w:p>
    <w:p w14:paraId="444CCD19">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18.2分部工程验收</w:t>
      </w:r>
    </w:p>
    <w:p w14:paraId="3B773768">
      <w:pPr>
        <w:pageBreakBefore w:val="0"/>
        <w:widowControl w:val="0"/>
        <w:tabs>
          <w:tab w:val="left" w:pos="7018"/>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18.2.</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2本工程由发包人主持的分部工程验收为：</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 xml:space="preserve"> 按相关规范规定  </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w:t>
      </w:r>
    </w:p>
    <w:p w14:paraId="5098C8BF">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18.3单位工程验收</w:t>
      </w:r>
    </w:p>
    <w:p w14:paraId="4E53AD63">
      <w:pPr>
        <w:pageBreakBefore w:val="0"/>
        <w:widowControl w:val="0"/>
        <w:tabs>
          <w:tab w:val="left" w:pos="6036"/>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18.3.4</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提前投入使用的单位工程包括：</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按相关规范规定</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2895F8D4">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18.5阶段验收</w:t>
      </w:r>
    </w:p>
    <w:p w14:paraId="4BE03FEF">
      <w:pPr>
        <w:pageBreakBefore w:val="0"/>
        <w:widowControl w:val="0"/>
        <w:tabs>
          <w:tab w:val="left" w:pos="6036"/>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18.5.1</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 xml:space="preserve">本合同工程阶段验收类别包括： </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按相关规范规定</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0CDA97F4">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18.6专项验收</w:t>
      </w:r>
    </w:p>
    <w:p w14:paraId="558DEB80">
      <w:pPr>
        <w:pageBreakBefore w:val="0"/>
        <w:widowControl w:val="0"/>
        <w:tabs>
          <w:tab w:val="left" w:pos="6036"/>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18.6.2</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本合同工程专项验收类别包括：</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按相关规范规定</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14411CD4">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18.8施工期运行</w:t>
      </w:r>
    </w:p>
    <w:p w14:paraId="6058F0E0">
      <w:pPr>
        <w:pageBreakBefore w:val="0"/>
        <w:widowControl w:val="0"/>
        <w:tabs>
          <w:tab w:val="left" w:pos="7296"/>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18.8.1</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需要在施工期运行的单位工程或工程设备为：</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无</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36A4B88F">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18.9试运行</w:t>
      </w:r>
    </w:p>
    <w:p w14:paraId="3167CDD7">
      <w:pPr>
        <w:pageBreakBefore w:val="0"/>
        <w:widowControl w:val="0"/>
        <w:tabs>
          <w:tab w:val="left" w:pos="4570"/>
          <w:tab w:val="left" w:pos="769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18. 9.1</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试运行的组织：</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发包人</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w:t>
      </w:r>
    </w:p>
    <w:p w14:paraId="6272ECEB">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265" w:name="_Toc13008"/>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19. 缺陷责任与保修责任</w:t>
      </w:r>
      <w:bookmarkEnd w:id="265"/>
    </w:p>
    <w:p w14:paraId="7C440580">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19.1缺陷责任期（工程质量保修期）的起算时间</w:t>
      </w:r>
    </w:p>
    <w:p w14:paraId="5760CA33">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本工程缺陷责任期（工程质量保修）计算如下：起算日按通用条款</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19.1</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和</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19.</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7的约定，终止日按专用条款</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1.1.4.5</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约定。</w:t>
      </w:r>
    </w:p>
    <w:p w14:paraId="04952A81">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19.7保修责任</w:t>
      </w:r>
    </w:p>
    <w:p w14:paraId="7C57CE3D">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本合同工程的保修期为：</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 xml:space="preserve"> 起算日按通用条款19.1和19. 7的约定，工程缺陷责任期：12个月 </w:t>
      </w: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w:t>
      </w:r>
    </w:p>
    <w:p w14:paraId="3234B33E">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保修范围：</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 xml:space="preserve">  所有施工内容 </w:t>
      </w: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w:t>
      </w:r>
    </w:p>
    <w:p w14:paraId="0FC684F0">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保修责任：由承包人负责并承担相关的一切费用。</w:t>
      </w:r>
    </w:p>
    <w:p w14:paraId="1DEF51C4">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266" w:name="_Toc1113"/>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20. 保险</w:t>
      </w:r>
      <w:bookmarkEnd w:id="266"/>
    </w:p>
    <w:p w14:paraId="405BA42E">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20.1工程保险</w:t>
      </w:r>
    </w:p>
    <w:p w14:paraId="54D0D3B8">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建筑工程一切险和（或）安装工程一切险投保人：</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承包人</w:t>
      </w:r>
      <w:r>
        <w:rPr>
          <w:rFonts w:hint="eastAsia" w:ascii="宋体" w:hAnsi="宋体" w:eastAsia="宋体" w:cs="宋体"/>
          <w:color w:val="000000" w:themeColor="text1"/>
          <w:kern w:val="2"/>
          <w:sz w:val="24"/>
          <w:szCs w:val="24"/>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 投保内容：</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建筑意外伤害保险和工伤保险 </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；保险金额、保险费率：</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保险金额按建筑意外伤害保险及工伤保险相关规定投保，</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 xml:space="preserve">保险期限: </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保险期限自投保之日（工程开工之日）起至工程竣工（或投入使用）验收时止，时间上涵盖施工全过程的任一时段</w:t>
      </w:r>
      <w:r>
        <w:rPr>
          <w:rFonts w:hint="eastAsia" w:ascii="宋体" w:hAnsi="宋体" w:eastAsia="宋体" w:cs="宋体"/>
          <w:color w:val="000000" w:themeColor="text1"/>
          <w:kern w:val="2"/>
          <w:sz w:val="24"/>
          <w:szCs w:val="24"/>
          <w:highlight w:val="none"/>
          <w:lang w:val="en-US" w:eastAsia="zh-CN" w:bidi="zh-CN"/>
          <w14:textFill>
            <w14:solidFill>
              <w14:schemeClr w14:val="tx1"/>
            </w14:solidFill>
          </w14:textFill>
        </w:rPr>
        <w:t>。</w:t>
      </w:r>
    </w:p>
    <w:p w14:paraId="21B9006B">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20.4第三者责任险</w:t>
      </w:r>
    </w:p>
    <w:p w14:paraId="29669013">
      <w:pPr>
        <w:pageBreakBefore w:val="0"/>
        <w:widowControl w:val="0"/>
        <w:tabs>
          <w:tab w:val="left" w:pos="8225"/>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 xml:space="preserve">20.4.2 </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第三者责任险保险费率：</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由承包人自行投保 </w:t>
      </w:r>
      <w:r>
        <w:rPr>
          <w:rFonts w:hint="eastAsia" w:ascii="宋体" w:hAnsi="宋体" w:eastAsia="宋体" w:cs="宋体"/>
          <w:color w:val="000000" w:themeColor="text1"/>
          <w:kern w:val="2"/>
          <w:sz w:val="24"/>
          <w:szCs w:val="24"/>
          <w:highlight w:val="none"/>
          <w:lang w:val="zh-CN" w:eastAsia="zh-CN" w:bidi="zh-CN"/>
          <w14:textFill>
            <w14:solidFill>
              <w14:schemeClr w14:val="tx1"/>
            </w14:solidFill>
          </w14:textFill>
        </w:rPr>
        <w:t>； 第三者责任险保险金额：</w:t>
      </w:r>
      <w:r>
        <w:rPr>
          <w:rFonts w:hint="eastAsia" w:ascii="宋体" w:hAnsi="宋体" w:eastAsia="宋体" w:cs="宋体"/>
          <w:color w:val="000000" w:themeColor="text1"/>
          <w:kern w:val="2"/>
          <w:sz w:val="24"/>
          <w:szCs w:val="24"/>
          <w:highlight w:val="none"/>
          <w:u w:val="single"/>
          <w:lang w:val="zh-CN" w:eastAsia="zh-CN" w:bidi="zh-CN"/>
          <w14:textFill>
            <w14:solidFill>
              <w14:schemeClr w14:val="tx1"/>
            </w14:solidFill>
          </w14:textFill>
        </w:rPr>
        <w:t xml:space="preserve">  由承包人自行投保   </w:t>
      </w:r>
      <w:r>
        <w:rPr>
          <w:rFonts w:hint="eastAsia" w:ascii="宋体" w:hAnsi="宋体" w:eastAsia="宋体" w:cs="宋体"/>
          <w:color w:val="000000" w:themeColor="text1"/>
          <w:kern w:val="2"/>
          <w:sz w:val="24"/>
          <w:szCs w:val="24"/>
          <w:highlight w:val="none"/>
          <w:lang w:val="en-US" w:eastAsia="zh-CN" w:bidi="en-US"/>
          <w14:textFill>
            <w14:solidFill>
              <w14:schemeClr w14:val="tx1"/>
            </w14:solidFill>
          </w14:textFill>
        </w:rPr>
        <w:t>。</w:t>
      </w:r>
    </w:p>
    <w:p w14:paraId="745C3057">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20.5其他保险</w:t>
      </w:r>
    </w:p>
    <w:p w14:paraId="0B35B581">
      <w:pPr>
        <w:pageBreakBefore w:val="0"/>
        <w:widowControl w:val="0"/>
        <w:tabs>
          <w:tab w:val="left" w:pos="8220"/>
        </w:tabs>
        <w:kinsoku/>
        <w:wordWrap/>
        <w:overflowPunct/>
        <w:topLinePunct w:val="0"/>
        <w:autoSpaceDE/>
        <w:autoSpaceDN/>
        <w:bidi w:val="0"/>
        <w:snapToGrid/>
        <w:spacing w:line="440" w:lineRule="exact"/>
        <w:ind w:firstLine="480" w:firstLineChars="200"/>
        <w:rPr>
          <w:rFonts w:ascii="宋体" w:hAnsi="宋体" w:eastAsia="宋体" w:cs="宋体"/>
          <w:color w:val="000000" w:themeColor="text1"/>
          <w:kern w:val="0"/>
          <w:sz w:val="24"/>
          <w:highlight w:val="none"/>
          <w:lang w:bidi="zh-CN"/>
          <w14:textFill>
            <w14:solidFill>
              <w14:schemeClr w14:val="tx1"/>
            </w14:solidFill>
          </w14:textFill>
        </w:rPr>
      </w:pPr>
      <w:r>
        <w:rPr>
          <w:rFonts w:hint="eastAsia" w:ascii="宋体" w:hAnsi="宋体" w:eastAsia="宋体" w:cs="宋体"/>
          <w:color w:val="000000" w:themeColor="text1"/>
          <w:kern w:val="0"/>
          <w:sz w:val="24"/>
          <w:highlight w:val="none"/>
          <w:lang w:bidi="zh-CN"/>
          <w14:textFill>
            <w14:solidFill>
              <w14:schemeClr w14:val="tx1"/>
            </w14:solidFill>
          </w14:textFill>
        </w:rPr>
        <w:t>20.5.1安全生产责任险投保人：</w:t>
      </w:r>
      <w:r>
        <w:rPr>
          <w:rFonts w:hint="eastAsia" w:ascii="宋体" w:hAnsi="宋体" w:eastAsia="宋体" w:cs="宋体"/>
          <w:color w:val="000000" w:themeColor="text1"/>
          <w:kern w:val="0"/>
          <w:sz w:val="24"/>
          <w:highlight w:val="none"/>
          <w:u w:val="single"/>
          <w:lang w:bidi="zh-CN"/>
          <w14:textFill>
            <w14:solidFill>
              <w14:schemeClr w14:val="tx1"/>
            </w14:solidFill>
          </w14:textFill>
        </w:rPr>
        <w:t>承包人</w:t>
      </w:r>
      <w:r>
        <w:rPr>
          <w:rFonts w:hint="eastAsia" w:ascii="宋体" w:hAnsi="宋体" w:eastAsia="宋体" w:cs="宋体"/>
          <w:color w:val="000000" w:themeColor="text1"/>
          <w:kern w:val="0"/>
          <w:sz w:val="24"/>
          <w:highlight w:val="none"/>
          <w:lang w:bidi="zh-CN"/>
          <w14:textFill>
            <w14:solidFill>
              <w14:schemeClr w14:val="tx1"/>
            </w14:solidFill>
          </w14:textFill>
        </w:rPr>
        <w:t>；投保内容及要求按《南宁市水利局关于进一步推进水利工程建设领域安全生产责任保险工作的通知》（南水监督〔2024〕46号）文件执行。</w:t>
      </w:r>
    </w:p>
    <w:p w14:paraId="70CD1F14">
      <w:pPr>
        <w:pageBreakBefore w:val="0"/>
        <w:widowControl w:val="0"/>
        <w:tabs>
          <w:tab w:val="left" w:pos="822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kern w:val="0"/>
          <w:sz w:val="24"/>
          <w:lang w:bidi="zh-CN"/>
        </w:rPr>
        <w:t>20.5.2</w:t>
      </w:r>
      <w:r>
        <w:rPr>
          <w:rFonts w:hint="eastAsia" w:ascii="宋体" w:hAnsi="宋体" w:eastAsia="宋体" w:cs="宋体"/>
          <w:kern w:val="0"/>
          <w:sz w:val="24"/>
          <w:lang w:val="zh-CN" w:bidi="zh-CN"/>
        </w:rPr>
        <w:t>需要投保的其他内容：</w:t>
      </w:r>
      <w:r>
        <w:rPr>
          <w:rFonts w:hint="eastAsia" w:ascii="宋体" w:hAnsi="宋体" w:eastAsia="宋体" w:cs="宋体"/>
          <w:kern w:val="0"/>
          <w:sz w:val="24"/>
          <w:u w:val="single"/>
          <w:lang w:val="zh-CN" w:bidi="zh-CN"/>
        </w:rPr>
        <w:t xml:space="preserve">  由承包人自行投保  </w:t>
      </w:r>
      <w:r>
        <w:rPr>
          <w:rFonts w:hint="eastAsia" w:ascii="宋体" w:hAnsi="宋体" w:eastAsia="宋体" w:cs="宋体"/>
          <w:kern w:val="0"/>
          <w:sz w:val="24"/>
          <w:lang w:val="zh-CN" w:bidi="zh-CN"/>
        </w:rPr>
        <w:t>；保险金额、保险费率和保险期限：</w:t>
      </w:r>
      <w:r>
        <w:rPr>
          <w:rFonts w:hint="eastAsia" w:ascii="宋体" w:hAnsi="宋体" w:eastAsia="宋体" w:cs="宋体"/>
          <w:kern w:val="0"/>
          <w:sz w:val="24"/>
          <w:u w:val="single"/>
          <w:lang w:val="zh-CN" w:bidi="zh-CN"/>
        </w:rPr>
        <w:t xml:space="preserve">由承包人自行投保  </w:t>
      </w:r>
      <w:r>
        <w:rPr>
          <w:rFonts w:hint="eastAsia" w:ascii="宋体" w:hAnsi="宋体" w:eastAsia="宋体" w:cs="宋体"/>
          <w:kern w:val="0"/>
          <w:sz w:val="24"/>
          <w:u w:val="none"/>
          <w:lang w:val="zh-CN" w:bidi="zh-CN"/>
        </w:rPr>
        <w:t>。</w:t>
      </w:r>
    </w:p>
    <w:p w14:paraId="768E683E">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20.6对各项保险的一般要求</w:t>
      </w:r>
    </w:p>
    <w:p w14:paraId="46E91F74">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20.6.1保险凭证</w:t>
      </w:r>
    </w:p>
    <w:p w14:paraId="06498F99">
      <w:pPr>
        <w:pageBreakBefore w:val="0"/>
        <w:widowControl w:val="0"/>
        <w:tabs>
          <w:tab w:val="left" w:pos="822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承包人提交保险凭证的期限：</w:t>
      </w:r>
      <w:r>
        <w:rPr>
          <w:rFonts w:hint="eastAsia" w:ascii="宋体" w:hAnsi="宋体" w:eastAsia="宋体" w:cs="宋体"/>
          <w:color w:val="auto"/>
          <w:kern w:val="2"/>
          <w:sz w:val="24"/>
          <w:szCs w:val="24"/>
          <w:highlight w:val="none"/>
          <w:u w:val="single"/>
          <w:lang w:val="zh-CN" w:eastAsia="zh-CN" w:bidi="zh-CN"/>
        </w:rPr>
        <w:t xml:space="preserve"> 签订合同之日起15天内  </w:t>
      </w:r>
      <w:r>
        <w:rPr>
          <w:rFonts w:hint="eastAsia" w:ascii="宋体" w:hAnsi="宋体" w:eastAsia="宋体" w:cs="宋体"/>
          <w:color w:val="auto"/>
          <w:kern w:val="2"/>
          <w:sz w:val="24"/>
          <w:szCs w:val="24"/>
          <w:highlight w:val="none"/>
          <w:lang w:val="zh-CN" w:eastAsia="zh-CN" w:bidi="zh-CN"/>
        </w:rPr>
        <w:t>； 保险条件：</w:t>
      </w:r>
      <w:r>
        <w:rPr>
          <w:rFonts w:hint="eastAsia" w:ascii="宋体" w:hAnsi="宋体" w:eastAsia="宋体" w:cs="宋体"/>
          <w:color w:val="auto"/>
          <w:kern w:val="2"/>
          <w:sz w:val="24"/>
          <w:szCs w:val="24"/>
          <w:highlight w:val="none"/>
          <w:u w:val="single"/>
          <w:lang w:val="zh-CN" w:eastAsia="zh-CN" w:bidi="zh-CN"/>
        </w:rPr>
        <w:t xml:space="preserve">  按相关规定执行  </w:t>
      </w:r>
      <w:r>
        <w:rPr>
          <w:rFonts w:hint="eastAsia" w:ascii="宋体" w:hAnsi="宋体" w:eastAsia="宋体" w:cs="宋体"/>
          <w:color w:val="auto"/>
          <w:kern w:val="2"/>
          <w:sz w:val="24"/>
          <w:szCs w:val="24"/>
          <w:highlight w:val="none"/>
          <w:lang w:val="zh-CN" w:eastAsia="zh-CN" w:bidi="zh-CN"/>
        </w:rPr>
        <w:t>。</w:t>
      </w:r>
    </w:p>
    <w:p w14:paraId="06CA0A3E">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20. 6.</w:t>
      </w:r>
      <w:r>
        <w:rPr>
          <w:rFonts w:hint="eastAsia" w:ascii="宋体" w:hAnsi="宋体" w:eastAsia="宋体" w:cs="宋体"/>
          <w:color w:val="auto"/>
          <w:kern w:val="2"/>
          <w:sz w:val="24"/>
          <w:szCs w:val="24"/>
          <w:highlight w:val="none"/>
          <w:lang w:val="zh-CN" w:eastAsia="zh-CN" w:bidi="zh-CN"/>
        </w:rPr>
        <w:t>4保险金不足的补偿</w:t>
      </w:r>
    </w:p>
    <w:p w14:paraId="27B2463A">
      <w:pPr>
        <w:pageBreakBefore w:val="0"/>
        <w:widowControl w:val="0"/>
        <w:tabs>
          <w:tab w:val="left" w:pos="8215"/>
          <w:tab w:val="left" w:pos="8218"/>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承包人负责补偿的范围与金额：</w:t>
      </w:r>
      <w:r>
        <w:rPr>
          <w:rFonts w:hint="eastAsia" w:ascii="宋体" w:hAnsi="宋体" w:eastAsia="宋体" w:cs="宋体"/>
          <w:color w:val="auto"/>
          <w:kern w:val="2"/>
          <w:sz w:val="24"/>
          <w:szCs w:val="24"/>
          <w:highlight w:val="none"/>
          <w:u w:val="single"/>
          <w:lang w:val="zh-CN" w:eastAsia="zh-CN" w:bidi="zh-CN"/>
        </w:rPr>
        <w:t xml:space="preserve"> 保险金额不足的补偿由承包人负责</w:t>
      </w:r>
      <w:r>
        <w:rPr>
          <w:rFonts w:hint="eastAsia" w:ascii="宋体" w:hAnsi="宋体" w:eastAsia="宋体" w:cs="宋体"/>
          <w:bCs/>
          <w:color w:val="auto"/>
          <w:kern w:val="0"/>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 发包人负责补偿的范围与金额：</w:t>
      </w:r>
      <w:r>
        <w:rPr>
          <w:rFonts w:hint="eastAsia" w:ascii="宋体" w:hAnsi="宋体" w:eastAsia="宋体" w:cs="宋体"/>
          <w:color w:val="auto"/>
          <w:kern w:val="2"/>
          <w:sz w:val="24"/>
          <w:szCs w:val="24"/>
          <w:highlight w:val="none"/>
          <w:u w:val="single"/>
          <w:lang w:val="zh-CN" w:eastAsia="zh-CN" w:bidi="zh-CN"/>
        </w:rPr>
        <w:t xml:space="preserve"> 由于本工程一切保险均有投标人负责投保，其费用均列入报价，故发包人不承担保险金不足的补偿 </w:t>
      </w:r>
      <w:r>
        <w:rPr>
          <w:rFonts w:hint="eastAsia" w:ascii="宋体" w:hAnsi="宋体" w:eastAsia="宋体" w:cs="宋体"/>
          <w:color w:val="auto"/>
          <w:kern w:val="2"/>
          <w:sz w:val="24"/>
          <w:szCs w:val="24"/>
          <w:highlight w:val="none"/>
          <w:lang w:val="en-US" w:eastAsia="zh-CN" w:bidi="en-US"/>
        </w:rPr>
        <w:t>。</w:t>
      </w:r>
    </w:p>
    <w:p w14:paraId="15E3AFB4">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7" w:name="_Toc28038"/>
      <w:r>
        <w:rPr>
          <w:rFonts w:hint="eastAsia" w:ascii="宋体" w:hAnsi="宋体" w:eastAsia="宋体" w:cs="宋体"/>
          <w:color w:val="auto"/>
          <w:kern w:val="2"/>
          <w:sz w:val="24"/>
          <w:szCs w:val="24"/>
          <w:highlight w:val="none"/>
          <w:lang w:val="en-US" w:eastAsia="zh-CN" w:bidi="ar-SA"/>
        </w:rPr>
        <w:t>21. 不可抗力</w:t>
      </w:r>
      <w:bookmarkEnd w:id="267"/>
    </w:p>
    <w:p w14:paraId="42371B67">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21.1不可抗力的确认</w:t>
      </w:r>
    </w:p>
    <w:p w14:paraId="2D2E5004">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21.1.1</w:t>
      </w:r>
      <w:r>
        <w:rPr>
          <w:rFonts w:hint="eastAsia" w:ascii="宋体" w:hAnsi="宋体" w:eastAsia="宋体" w:cs="宋体"/>
          <w:color w:val="auto"/>
          <w:kern w:val="2"/>
          <w:sz w:val="24"/>
          <w:szCs w:val="24"/>
          <w:highlight w:val="none"/>
          <w:lang w:val="zh-CN" w:eastAsia="zh-CN" w:bidi="zh-CN"/>
        </w:rPr>
        <w:t>不可抗力是指承包人和发包人在订立合同时不可预见，在工程施工过程中不可避免发生并不能克服的自然灾害和社会性突发事件，如地震、海啸、瘟疫、水灾、骚乱、 暴动、战争和本合同专用合同条款第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4款的约定。</w:t>
      </w:r>
    </w:p>
    <w:p w14:paraId="116CE163">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8" w:name="_Toc15187"/>
      <w:r>
        <w:rPr>
          <w:rFonts w:hint="eastAsia" w:ascii="宋体" w:hAnsi="宋体" w:eastAsia="宋体" w:cs="宋体"/>
          <w:color w:val="auto"/>
          <w:kern w:val="2"/>
          <w:sz w:val="24"/>
          <w:szCs w:val="24"/>
          <w:highlight w:val="none"/>
          <w:lang w:val="en-US" w:eastAsia="zh-CN" w:bidi="ar-SA"/>
        </w:rPr>
        <w:t>24. 争议的解决</w:t>
      </w:r>
      <w:bookmarkEnd w:id="268"/>
    </w:p>
    <w:p w14:paraId="2D49E158">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24.1争议的解决方式</w:t>
      </w:r>
    </w:p>
    <w:p w14:paraId="7C68C0A5">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u w:val="single"/>
          <w:lang w:val="en-US" w:eastAsia="zh-CN" w:bidi="zh-CN"/>
        </w:rPr>
      </w:pPr>
      <w:r>
        <w:rPr>
          <w:rFonts w:hint="eastAsia" w:ascii="宋体" w:hAnsi="宋体" w:eastAsia="宋体" w:cs="宋体"/>
          <w:color w:val="auto"/>
          <w:kern w:val="2"/>
          <w:sz w:val="24"/>
          <w:szCs w:val="24"/>
          <w:highlight w:val="none"/>
          <w:lang w:val="en-US" w:eastAsia="zh-CN" w:bidi="zh-CN"/>
        </w:rPr>
        <w:t>合同当事人友好协商解决不成、不愿提请争议评审或不接受争议评审组意见的，约定的合同争议解决方式：</w:t>
      </w:r>
      <w:r>
        <w:rPr>
          <w:rFonts w:hint="eastAsia" w:ascii="宋体" w:hAnsi="宋体" w:eastAsia="宋体" w:cs="宋体"/>
          <w:color w:val="auto"/>
          <w:kern w:val="2"/>
          <w:sz w:val="24"/>
          <w:szCs w:val="24"/>
          <w:highlight w:val="none"/>
          <w:u w:val="single"/>
          <w:lang w:val="en-US" w:eastAsia="zh-CN" w:bidi="zh-CN"/>
        </w:rPr>
        <w:t>向甲方所在地有管辖权的人民法院提起诉讼。</w:t>
      </w:r>
    </w:p>
    <w:p w14:paraId="52201527">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9" w:name="_Toc3549"/>
      <w:r>
        <w:rPr>
          <w:rFonts w:hint="eastAsia" w:ascii="宋体" w:hAnsi="宋体" w:eastAsia="宋体" w:cs="宋体"/>
          <w:color w:val="auto"/>
          <w:kern w:val="2"/>
          <w:sz w:val="24"/>
          <w:szCs w:val="24"/>
          <w:highlight w:val="none"/>
          <w:lang w:val="en-US" w:eastAsia="zh-CN" w:bidi="ar-SA"/>
        </w:rPr>
        <w:t>25. 附加条款</w:t>
      </w:r>
      <w:bookmarkEnd w:id="269"/>
    </w:p>
    <w:p w14:paraId="21447FF3">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25.1对承包人的要求</w:t>
      </w:r>
    </w:p>
    <w:p w14:paraId="030273F7">
      <w:pPr>
        <w:pageBreakBefore w:val="0"/>
        <w:widowControl w:val="0"/>
        <w:numPr>
          <w:ilvl w:val="0"/>
          <w:numId w:val="45"/>
        </w:numPr>
        <w:tabs>
          <w:tab w:val="left" w:pos="70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61833734">
      <w:pPr>
        <w:pageBreakBefore w:val="0"/>
        <w:widowControl w:val="0"/>
        <w:numPr>
          <w:ilvl w:val="0"/>
          <w:numId w:val="45"/>
        </w:numPr>
        <w:tabs>
          <w:tab w:val="left" w:pos="70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遵守国务院《建设工程质量管理条例》，根据水利部、自治区和水利厅的有关质量管理规定，建立健全质量管理机构，结合工程实际制定完善的可操作性强的质量管理制度，施工质量等级达到合同约定等级。</w:t>
      </w:r>
    </w:p>
    <w:p w14:paraId="775623CF">
      <w:pPr>
        <w:pageBreakBefore w:val="0"/>
        <w:widowControl w:val="0"/>
        <w:numPr>
          <w:ilvl w:val="0"/>
          <w:numId w:val="45"/>
        </w:numPr>
        <w:tabs>
          <w:tab w:val="left" w:pos="70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国家《中华人民共和国安全生产法》、《建设工程安全生产管理条例》、自治区安全生产法规和水利水电工程施工安全操作规程的规定建立健全安全管理机构和安全管理制度，采取安全施工保障措施保障工程施工安全。</w:t>
      </w:r>
    </w:p>
    <w:p w14:paraId="3869C10C">
      <w:pPr>
        <w:pageBreakBefore w:val="0"/>
        <w:widowControl w:val="0"/>
        <w:numPr>
          <w:ilvl w:val="0"/>
          <w:numId w:val="45"/>
        </w:numPr>
        <w:tabs>
          <w:tab w:val="left" w:pos="705"/>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按有关施工规程规范及本招标文件技术条款进行组织施工并实施施工过程和移交前工程保护措施。</w:t>
      </w:r>
    </w:p>
    <w:p w14:paraId="3D035DC7">
      <w:pPr>
        <w:pageBreakBefore w:val="0"/>
        <w:widowControl w:val="0"/>
        <w:numPr>
          <w:ilvl w:val="0"/>
          <w:numId w:val="45"/>
        </w:numPr>
        <w:tabs>
          <w:tab w:val="left" w:pos="71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承包人违约有以下情况之一者，发包人有权采取合同规定的以下措施处理，并视情节轻重处予违约金。</w:t>
      </w:r>
    </w:p>
    <w:p w14:paraId="511EB2B8">
      <w:pPr>
        <w:pageBreakBefore w:val="0"/>
        <w:widowControl w:val="0"/>
        <w:numPr>
          <w:ilvl w:val="0"/>
          <w:numId w:val="46"/>
        </w:numPr>
        <w:tabs>
          <w:tab w:val="left" w:pos="883"/>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未经发包人批准，施工期内承包人调走主要施工技术人员(包括建造师、专业工程师)，经发现不及时调回的，违约金额为履约保证金金额的5% ～20% (视情节严重而定)</w:t>
      </w:r>
      <w:r>
        <w:rPr>
          <w:rFonts w:hint="eastAsia" w:ascii="宋体" w:hAnsi="宋体" w:eastAsia="宋体" w:cs="宋体"/>
          <w:color w:val="auto"/>
          <w:kern w:val="2"/>
          <w:sz w:val="24"/>
          <w:szCs w:val="24"/>
          <w:highlight w:val="none"/>
          <w:lang w:val="en-US" w:eastAsia="zh-CN" w:bidi="en-US"/>
        </w:rPr>
        <w:t>。</w:t>
      </w:r>
    </w:p>
    <w:p w14:paraId="4DDD707C">
      <w:pPr>
        <w:pageBreakBefore w:val="0"/>
        <w:widowControl w:val="0"/>
        <w:numPr>
          <w:ilvl w:val="0"/>
          <w:numId w:val="46"/>
        </w:numPr>
        <w:tabs>
          <w:tab w:val="left" w:pos="88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未经发包人批准，施工期内自行调走主要施工机械，经发现不及时调回的，违约金额为履约保证金金额的5% ～20% (视情节严重而定)</w:t>
      </w:r>
      <w:r>
        <w:rPr>
          <w:rFonts w:hint="eastAsia" w:ascii="宋体" w:hAnsi="宋体" w:eastAsia="宋体" w:cs="宋体"/>
          <w:color w:val="auto"/>
          <w:kern w:val="2"/>
          <w:sz w:val="24"/>
          <w:szCs w:val="24"/>
          <w:highlight w:val="none"/>
          <w:lang w:val="en-US" w:eastAsia="zh-CN" w:bidi="en-US"/>
        </w:rPr>
        <w:t>。</w:t>
      </w:r>
    </w:p>
    <w:p w14:paraId="53D166A9">
      <w:pPr>
        <w:pageBreakBefore w:val="0"/>
        <w:widowControl w:val="0"/>
        <w:numPr>
          <w:ilvl w:val="0"/>
          <w:numId w:val="46"/>
        </w:numPr>
        <w:tabs>
          <w:tab w:val="left" w:pos="883"/>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所有以上违约金额均在承包人的履约保证金(包括银行利息)及计量支付款内扣除，承包人履约保证金被扣除后，由发包人从最后一次计量支付时扣相应金额补足履约保证金。</w:t>
      </w:r>
    </w:p>
    <w:p w14:paraId="701571FB">
      <w:pPr>
        <w:pageBreakBefore w:val="0"/>
        <w:widowControl w:val="0"/>
        <w:numPr>
          <w:ilvl w:val="0"/>
          <w:numId w:val="46"/>
        </w:numPr>
        <w:tabs>
          <w:tab w:val="left" w:pos="885"/>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78BE3373">
      <w:pPr>
        <w:pageBreakBefore w:val="0"/>
        <w:widowControl w:val="0"/>
        <w:numPr>
          <w:ilvl w:val="0"/>
          <w:numId w:val="46"/>
        </w:numPr>
        <w:tabs>
          <w:tab w:val="left" w:pos="88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3E73347E">
      <w:pPr>
        <w:pageBreakBefore w:val="0"/>
        <w:widowControl w:val="0"/>
        <w:numPr>
          <w:ilvl w:val="0"/>
          <w:numId w:val="45"/>
        </w:numPr>
        <w:tabs>
          <w:tab w:val="left" w:pos="739"/>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承包人生活设施及施工场地，应自费配备消防设备，防止火灾发生。</w:t>
      </w:r>
    </w:p>
    <w:p w14:paraId="63CA7A23">
      <w:pPr>
        <w:pageBreakBefore w:val="0"/>
        <w:widowControl w:val="0"/>
        <w:numPr>
          <w:ilvl w:val="0"/>
          <w:numId w:val="45"/>
        </w:numPr>
        <w:tabs>
          <w:tab w:val="left" w:pos="719"/>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承包人使用的劳动力均应进行保险，否则不准安排工作，禁止使用童工。</w:t>
      </w:r>
    </w:p>
    <w:p w14:paraId="50FCC93A">
      <w:pPr>
        <w:pageBreakBefore w:val="0"/>
        <w:widowControl w:val="0"/>
        <w:tabs>
          <w:tab w:val="left" w:pos="88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0FE1145C">
      <w:pPr>
        <w:pageBreakBefore w:val="0"/>
        <w:widowControl w:val="0"/>
        <w:tabs>
          <w:tab w:val="left" w:pos="299"/>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25.2发包人所有付款（含预付款）均转入如下承包人单位基本账户（签订施工合同时标明），承包人单位基本账户发生改变时，承包人应书面通知 （法定代表人签字并加盖单位电子公章）发包人。</w:t>
      </w:r>
    </w:p>
    <w:p w14:paraId="24A63F35">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270" w:name="_Toc6814"/>
      <w:r>
        <w:rPr>
          <w:rFonts w:hint="eastAsia" w:ascii="宋体" w:hAnsi="宋体" w:eastAsia="宋体" w:cs="宋体"/>
          <w:b/>
          <w:bCs/>
          <w:color w:val="auto"/>
          <w:kern w:val="44"/>
          <w:sz w:val="44"/>
          <w:szCs w:val="44"/>
          <w:highlight w:val="none"/>
          <w:lang w:val="en-US" w:eastAsia="zh-CN" w:bidi="ar-SA"/>
        </w:rPr>
        <w:t>第五节 合同附件格式</w:t>
      </w:r>
      <w:bookmarkEnd w:id="270"/>
    </w:p>
    <w:p w14:paraId="6E59A193">
      <w:pPr>
        <w:keepNext/>
        <w:keepLines/>
        <w:widowControl w:val="0"/>
        <w:spacing w:before="280" w:after="290" w:line="372" w:lineRule="auto"/>
        <w:jc w:val="both"/>
        <w:outlineLvl w:val="4"/>
        <w:rPr>
          <w:rFonts w:ascii="Times New Roman" w:hAnsi="Times New Roman" w:eastAsia="宋体" w:cs="Times New Roman"/>
          <w:b/>
          <w:color w:val="auto"/>
          <w:kern w:val="2"/>
          <w:sz w:val="28"/>
          <w:szCs w:val="24"/>
          <w:highlight w:val="none"/>
          <w:lang w:val="en-US" w:eastAsia="zh-CN" w:bidi="ar-SA"/>
        </w:rPr>
      </w:pPr>
      <w:r>
        <w:rPr>
          <w:rFonts w:hint="eastAsia" w:ascii="宋体" w:hAnsi="宋体" w:eastAsia="宋体" w:cs="宋体"/>
          <w:b/>
          <w:color w:val="auto"/>
          <w:kern w:val="2"/>
          <w:sz w:val="28"/>
          <w:szCs w:val="24"/>
          <w:highlight w:val="none"/>
          <w:lang w:val="en-US" w:eastAsia="zh-CN" w:bidi="ar-SA"/>
        </w:rPr>
        <w:t>附件一：履约保函</w:t>
      </w:r>
    </w:p>
    <w:p w14:paraId="1AC2D88C">
      <w:pPr>
        <w:widowControl w:val="0"/>
        <w:jc w:val="center"/>
        <w:rPr>
          <w:rFonts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履约保函</w:t>
      </w:r>
    </w:p>
    <w:p w14:paraId="44414A06">
      <w:pPr>
        <w:widowControl w:val="0"/>
        <w:jc w:val="center"/>
        <w:rPr>
          <w:rFonts w:ascii="宋体" w:hAnsi="宋体" w:eastAsia="宋体" w:cs="宋体"/>
          <w:b/>
          <w:color w:val="auto"/>
          <w:kern w:val="2"/>
          <w:sz w:val="21"/>
          <w:szCs w:val="24"/>
          <w:highlight w:val="none"/>
          <w:lang w:val="en-US" w:eastAsia="zh-CN" w:bidi="ar-SA"/>
        </w:rPr>
      </w:pPr>
    </w:p>
    <w:p w14:paraId="4E2C4B4E">
      <w:pPr>
        <w:widowControl w:val="0"/>
        <w:jc w:val="center"/>
        <w:rPr>
          <w:rFonts w:ascii="Times New Roman" w:hAnsi="Times New Roman" w:eastAsia="宋体" w:cs="Times New Roman"/>
          <w:b/>
          <w:color w:val="auto"/>
          <w:kern w:val="2"/>
          <w:sz w:val="21"/>
          <w:szCs w:val="24"/>
          <w:highlight w:val="none"/>
          <w:lang w:val="en-US" w:eastAsia="zh-CN" w:bidi="ar-SA"/>
        </w:rPr>
      </w:pPr>
    </w:p>
    <w:p w14:paraId="53684136">
      <w:pPr>
        <w:widowControl w:val="0"/>
        <w:tabs>
          <w:tab w:val="left" w:pos="1870"/>
        </w:tabs>
        <w:spacing w:after="340" w:line="354" w:lineRule="exact"/>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（发包人名称）：</w:t>
      </w:r>
    </w:p>
    <w:p w14:paraId="385EC5EA">
      <w:pPr>
        <w:widowControl w:val="0"/>
        <w:tabs>
          <w:tab w:val="left" w:pos="847"/>
          <w:tab w:val="left" w:pos="1870"/>
          <w:tab w:val="left" w:pos="3485"/>
          <w:tab w:val="left" w:pos="3554"/>
          <w:tab w:val="left" w:pos="6878"/>
          <w:tab w:val="left" w:pos="8059"/>
        </w:tabs>
        <w:spacing w:line="354" w:lineRule="exact"/>
        <w:ind w:firstLine="42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zh-CN" w:eastAsia="zh-CN" w:bidi="zh-CN"/>
        </w:rPr>
        <w:t xml:space="preserve">鉴于（发包人名称，以下简称“发包人”）接受 </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（承包人名称，以下称“承包人”）于</w:t>
      </w:r>
      <w:r>
        <w:rPr>
          <w:rFonts w:hint="eastAsia" w:ascii="宋体" w:hAnsi="宋体" w:eastAsia="宋体" w:cs="宋体"/>
          <w:color w:val="auto"/>
          <w:kern w:val="2"/>
          <w:sz w:val="20"/>
          <w:szCs w:val="20"/>
          <w:highlight w:val="none"/>
          <w:u w:val="single"/>
          <w:lang w:val="zh-CN" w:eastAsia="zh-CN" w:bidi="zh-CN"/>
        </w:rPr>
        <w:t xml:space="preserve">          </w:t>
      </w:r>
      <w:r>
        <w:rPr>
          <w:rFonts w:hint="eastAsia" w:ascii="宋体" w:hAnsi="宋体" w:eastAsia="宋体" w:cs="宋体"/>
          <w:color w:val="auto"/>
          <w:kern w:val="2"/>
          <w:sz w:val="20"/>
          <w:szCs w:val="20"/>
          <w:highlight w:val="none"/>
          <w:lang w:val="zh-CN" w:eastAsia="zh-CN" w:bidi="zh-CN"/>
        </w:rPr>
        <w:t>年</w:t>
      </w:r>
      <w:r>
        <w:rPr>
          <w:rFonts w:hint="eastAsia" w:ascii="宋体" w:hAnsi="宋体" w:eastAsia="宋体" w:cs="宋体"/>
          <w:color w:val="auto"/>
          <w:kern w:val="2"/>
          <w:sz w:val="20"/>
          <w:szCs w:val="20"/>
          <w:highlight w:val="none"/>
          <w:u w:val="single"/>
          <w:lang w:val="zh-CN" w:eastAsia="zh-CN" w:bidi="zh-CN"/>
        </w:rPr>
        <w:t xml:space="preserve">       </w:t>
      </w:r>
      <w:r>
        <w:rPr>
          <w:rFonts w:hint="eastAsia" w:ascii="宋体" w:hAnsi="宋体" w:eastAsia="宋体" w:cs="宋体"/>
          <w:color w:val="auto"/>
          <w:kern w:val="2"/>
          <w:sz w:val="20"/>
          <w:szCs w:val="20"/>
          <w:highlight w:val="none"/>
          <w:lang w:val="zh-CN" w:eastAsia="zh-CN" w:bidi="zh-CN"/>
        </w:rPr>
        <w:t xml:space="preserve">月 </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日递交的（项目名称）</w:t>
      </w:r>
      <w:r>
        <w:rPr>
          <w:rFonts w:hint="eastAsia" w:ascii="宋体" w:hAnsi="宋体" w:eastAsia="宋体" w:cs="宋体"/>
          <w:color w:val="auto"/>
          <w:kern w:val="2"/>
          <w:sz w:val="20"/>
          <w:szCs w:val="20"/>
          <w:highlight w:val="none"/>
          <w:u w:val="single"/>
          <w:lang w:val="zh-CN" w:eastAsia="zh-CN" w:bidi="zh-CN"/>
        </w:rPr>
        <w:t xml:space="preserve">             </w:t>
      </w:r>
      <w:r>
        <w:rPr>
          <w:rFonts w:hint="eastAsia" w:ascii="宋体" w:hAnsi="宋体" w:eastAsia="宋体" w:cs="宋体"/>
          <w:color w:val="auto"/>
          <w:kern w:val="2"/>
          <w:sz w:val="20"/>
          <w:szCs w:val="20"/>
          <w:highlight w:val="none"/>
          <w:lang w:val="zh-CN" w:eastAsia="zh-CN" w:bidi="zh-CN"/>
        </w:rPr>
        <w:t>（标段名称）的投标文件。我方愿意无条件地、不可撤销地就承包人履行与你方订立的合同，向你方提供担保。</w:t>
      </w:r>
    </w:p>
    <w:p w14:paraId="06C1D7BA">
      <w:pPr>
        <w:widowControl w:val="0"/>
        <w:tabs>
          <w:tab w:val="left" w:pos="733"/>
          <w:tab w:val="left" w:pos="4879"/>
          <w:tab w:val="left" w:pos="7402"/>
        </w:tabs>
        <w:spacing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1.</w:t>
      </w:r>
      <w:r>
        <w:rPr>
          <w:rFonts w:hint="eastAsia" w:ascii="宋体" w:hAnsi="宋体" w:eastAsia="宋体" w:cs="宋体"/>
          <w:color w:val="auto"/>
          <w:kern w:val="2"/>
          <w:sz w:val="20"/>
          <w:szCs w:val="20"/>
          <w:highlight w:val="none"/>
          <w:lang w:val="zh-CN" w:eastAsia="zh-CN" w:bidi="zh-CN"/>
        </w:rPr>
        <w:t>担保金额人民币（大写）</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元（¥</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en-US" w:eastAsia="zh-CN" w:bidi="ar-SA"/>
        </w:rPr>
        <w:t>元）</w:t>
      </w:r>
      <w:r>
        <w:rPr>
          <w:rFonts w:hint="eastAsia" w:ascii="宋体" w:hAnsi="宋体" w:eastAsia="宋体" w:cs="宋体"/>
          <w:color w:val="auto"/>
          <w:kern w:val="2"/>
          <w:sz w:val="20"/>
          <w:szCs w:val="20"/>
          <w:highlight w:val="none"/>
          <w:vertAlign w:val="subscript"/>
          <w:lang w:val="en-US" w:eastAsia="zh-CN" w:bidi="ar-SA"/>
        </w:rPr>
        <w:t>o</w:t>
      </w:r>
    </w:p>
    <w:p w14:paraId="006CDD98">
      <w:pPr>
        <w:widowControl w:val="0"/>
        <w:tabs>
          <w:tab w:val="left" w:pos="697"/>
        </w:tabs>
        <w:spacing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2.</w:t>
      </w:r>
      <w:r>
        <w:rPr>
          <w:rFonts w:hint="eastAsia" w:ascii="宋体" w:hAnsi="宋体" w:eastAsia="宋体" w:cs="宋体"/>
          <w:color w:val="auto"/>
          <w:kern w:val="2"/>
          <w:sz w:val="20"/>
          <w:szCs w:val="20"/>
          <w:highlight w:val="none"/>
          <w:lang w:val="zh-CN" w:eastAsia="zh-CN" w:bidi="zh-CN"/>
        </w:rPr>
        <w:t>担保有效期自发包人与承包人签订的合同生效之日起至发包人签发竣工验收鉴定书之日止。</w:t>
      </w:r>
    </w:p>
    <w:p w14:paraId="62A343AE">
      <w:pPr>
        <w:widowControl w:val="0"/>
        <w:tabs>
          <w:tab w:val="left" w:pos="736"/>
        </w:tabs>
        <w:spacing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3.</w:t>
      </w:r>
      <w:r>
        <w:rPr>
          <w:rFonts w:hint="eastAsia" w:ascii="宋体" w:hAnsi="宋体" w:eastAsia="宋体" w:cs="宋体"/>
          <w:color w:val="auto"/>
          <w:kern w:val="2"/>
          <w:sz w:val="20"/>
          <w:szCs w:val="20"/>
          <w:highlight w:val="none"/>
          <w:lang w:val="zh-CN" w:eastAsia="zh-CN" w:bidi="zh-CN"/>
        </w:rPr>
        <w:t>在本担保有效期内，因承包人违反合同约定的义务给你方造成经济损失时，我方在收到你方以书面形式提出的在担保金额内的赔偿要求后，无条件地在7天内予以支付。</w:t>
      </w:r>
    </w:p>
    <w:p w14:paraId="0B70654D">
      <w:pPr>
        <w:widowControl w:val="0"/>
        <w:tabs>
          <w:tab w:val="left" w:pos="740"/>
        </w:tabs>
        <w:spacing w:after="340"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4.</w:t>
      </w:r>
      <w:r>
        <w:rPr>
          <w:rFonts w:hint="eastAsia" w:ascii="宋体" w:hAnsi="宋体" w:eastAsia="宋体" w:cs="宋体"/>
          <w:color w:val="auto"/>
          <w:kern w:val="2"/>
          <w:sz w:val="20"/>
          <w:szCs w:val="20"/>
          <w:highlight w:val="none"/>
          <w:lang w:val="zh-CN" w:eastAsia="zh-CN" w:bidi="zh-CN"/>
        </w:rPr>
        <w:t>发包人和承包人按《通用合同条款》第15条变更合同时，我方承担本担保规定的义务不变。</w:t>
      </w:r>
    </w:p>
    <w:p w14:paraId="3185529C">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宋体" w:hAnsi="宋体" w:eastAsia="宋体" w:cs="宋体"/>
          <w:color w:val="auto"/>
          <w:kern w:val="2"/>
          <w:sz w:val="20"/>
          <w:szCs w:val="20"/>
          <w:highlight w:val="non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担  保 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（盖单位公章）</w:t>
      </w:r>
      <w:r>
        <w:rPr>
          <w:rFonts w:ascii="Times New Roman" w:hAnsi="Times New Roman" w:eastAsia="宋体" w:cs="Times New Roman"/>
          <w:color w:val="auto"/>
          <w:kern w:val="2"/>
          <w:sz w:val="20"/>
          <w:szCs w:val="24"/>
          <w:highlight w:val="none"/>
          <w:lang w:val="en-US" w:eastAsia="zh-CN" w:bidi="ar-SA"/>
        </w:rPr>
        <w:t xml:space="preserve"> </w:t>
      </w:r>
    </w:p>
    <w:p w14:paraId="2E5E52B2">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定代表人(或委托代理人)：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（签字）</w:t>
      </w:r>
    </w:p>
    <w:p w14:paraId="031F6CFD">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地       址：</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51854191">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邮政编码：</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33E6A444">
      <w:pPr>
        <w:widowControl w:val="0"/>
        <w:jc w:val="right"/>
        <w:rPr>
          <w:rFonts w:ascii="Times New Roman" w:hAnsi="Times New Roman" w:eastAsia="宋体" w:cs="Times New Roman"/>
          <w:color w:val="auto"/>
          <w:kern w:val="2"/>
          <w:sz w:val="20"/>
          <w:szCs w:val="24"/>
          <w:highlight w:val="none"/>
          <w:u w:val="singl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电        话：</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39726E51">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传        真：</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14107C26">
      <w:pPr>
        <w:widowControl w:val="0"/>
        <w:jc w:val="right"/>
        <w:rPr>
          <w:rFonts w:hint="eastAsia" w:ascii="宋体" w:hAnsi="宋体" w:eastAsia="宋体" w:cs="宋体"/>
          <w:color w:val="auto"/>
          <w:kern w:val="2"/>
          <w:sz w:val="20"/>
          <w:szCs w:val="20"/>
          <w:highlight w:val="none"/>
          <w:lang w:val="en-US" w:eastAsia="zh-CN" w:bidi="ar-SA"/>
        </w:rPr>
      </w:pP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年</w:t>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月</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日 </w:t>
      </w:r>
      <w:r>
        <w:rPr>
          <w:rFonts w:hint="eastAsia" w:ascii="宋体" w:hAnsi="宋体" w:eastAsia="宋体" w:cs="宋体"/>
          <w:color w:val="auto"/>
          <w:kern w:val="2"/>
          <w:sz w:val="20"/>
          <w:szCs w:val="20"/>
          <w:highlight w:val="none"/>
          <w:lang w:val="en-US" w:eastAsia="zh-CN" w:bidi="ar-SA"/>
        </w:rPr>
        <w:t xml:space="preserve">    </w:t>
      </w:r>
    </w:p>
    <w:p w14:paraId="0EEF3613">
      <w:pPr>
        <w:widowControl w:val="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zh-CN" w:eastAsia="zh-CN" w:bidi="zh-CN"/>
        </w:rPr>
        <w:t>注：</w:t>
      </w:r>
    </w:p>
    <w:p w14:paraId="4D1E0C33">
      <w:pPr>
        <w:widowControl w:val="0"/>
        <w:tabs>
          <w:tab w:val="left" w:pos="733"/>
        </w:tabs>
        <w:spacing w:line="354" w:lineRule="exact"/>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1.</w:t>
      </w:r>
      <w:r>
        <w:rPr>
          <w:rFonts w:hint="eastAsia" w:ascii="宋体" w:hAnsi="宋体" w:eastAsia="宋体" w:cs="宋体"/>
          <w:color w:val="auto"/>
          <w:kern w:val="2"/>
          <w:sz w:val="20"/>
          <w:szCs w:val="20"/>
          <w:highlight w:val="none"/>
          <w:lang w:val="zh-CN" w:eastAsia="zh-CN" w:bidi="zh-CN"/>
        </w:rPr>
        <w:t>担保人必须是投标人单位基本账户的开户银行。</w:t>
      </w:r>
    </w:p>
    <w:p w14:paraId="5BBE3A5C">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2.</w:t>
      </w:r>
      <w:r>
        <w:rPr>
          <w:rFonts w:hint="eastAsia" w:ascii="宋体" w:hAnsi="宋体" w:eastAsia="宋体" w:cs="宋体"/>
          <w:color w:val="auto"/>
          <w:kern w:val="2"/>
          <w:sz w:val="20"/>
          <w:szCs w:val="20"/>
          <w:highlight w:val="none"/>
          <w:lang w:val="zh-CN" w:eastAsia="zh-CN" w:bidi="zh-CN"/>
        </w:rPr>
        <w:t>委托代理人应附授权委托书。</w:t>
      </w:r>
    </w:p>
    <w:p w14:paraId="7C8D58B1">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7B37C143">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07CBBC77">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213317A1">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3ABFCCE0">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7A46BB27">
      <w:pPr>
        <w:keepNext/>
        <w:keepLines/>
        <w:widowControl w:val="0"/>
        <w:spacing w:before="280" w:after="290" w:line="372" w:lineRule="auto"/>
        <w:jc w:val="both"/>
        <w:outlineLvl w:val="4"/>
        <w:rPr>
          <w:rFonts w:ascii="Times New Roman" w:hAnsi="Times New Roman" w:eastAsia="宋体" w:cs="Times New Roman"/>
          <w:b/>
          <w:color w:val="auto"/>
          <w:kern w:val="2"/>
          <w:sz w:val="28"/>
          <w:szCs w:val="24"/>
          <w:highlight w:val="none"/>
          <w:lang w:val="en-US" w:eastAsia="zh-CN" w:bidi="ar-SA"/>
        </w:rPr>
      </w:pPr>
      <w:r>
        <w:rPr>
          <w:rFonts w:hint="eastAsia" w:ascii="宋体" w:hAnsi="宋体" w:eastAsia="宋体" w:cs="宋体"/>
          <w:b/>
          <w:color w:val="auto"/>
          <w:kern w:val="2"/>
          <w:sz w:val="28"/>
          <w:szCs w:val="24"/>
          <w:highlight w:val="none"/>
          <w:lang w:val="en-US" w:eastAsia="zh-CN" w:bidi="ar-SA"/>
        </w:rPr>
        <w:br w:type="page"/>
      </w:r>
      <w:r>
        <w:rPr>
          <w:rFonts w:hint="eastAsia" w:ascii="宋体" w:hAnsi="宋体" w:eastAsia="宋体" w:cs="宋体"/>
          <w:b/>
          <w:color w:val="auto"/>
          <w:kern w:val="2"/>
          <w:sz w:val="28"/>
          <w:szCs w:val="24"/>
          <w:highlight w:val="none"/>
          <w:lang w:val="en-US" w:eastAsia="zh-CN" w:bidi="ar-SA"/>
        </w:rPr>
        <w:t>附件二：预付款担保函</w:t>
      </w:r>
    </w:p>
    <w:p w14:paraId="67A2938B">
      <w:pPr>
        <w:widowControl w:val="0"/>
        <w:spacing w:before="120" w:beforeLines="50"/>
        <w:jc w:val="center"/>
        <w:rPr>
          <w:rFonts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预付款担保函</w:t>
      </w:r>
    </w:p>
    <w:p w14:paraId="19E9EC4D">
      <w:pPr>
        <w:widowControl w:val="0"/>
        <w:jc w:val="center"/>
        <w:rPr>
          <w:rFonts w:ascii="Times New Roman" w:hAnsi="Times New Roman" w:eastAsia="宋体" w:cs="Times New Roman"/>
          <w:b/>
          <w:color w:val="auto"/>
          <w:kern w:val="2"/>
          <w:sz w:val="21"/>
          <w:szCs w:val="24"/>
          <w:highlight w:val="none"/>
          <w:lang w:val="en-US" w:eastAsia="zh-CN" w:bidi="ar-SA"/>
        </w:rPr>
      </w:pPr>
    </w:p>
    <w:p w14:paraId="4E1783BA">
      <w:pPr>
        <w:widowControl w:val="0"/>
        <w:tabs>
          <w:tab w:val="left" w:pos="1870"/>
        </w:tabs>
        <w:spacing w:after="340"/>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（发包人名称）:</w:t>
      </w:r>
    </w:p>
    <w:p w14:paraId="5A6F0D82">
      <w:pPr>
        <w:widowControl w:val="0"/>
        <w:tabs>
          <w:tab w:val="left" w:pos="1870"/>
          <w:tab w:val="left" w:pos="2707"/>
          <w:tab w:val="left" w:pos="5004"/>
          <w:tab w:val="left" w:pos="5033"/>
          <w:tab w:val="left" w:pos="6163"/>
          <w:tab w:val="left" w:pos="7322"/>
          <w:tab w:val="left" w:pos="8333"/>
        </w:tabs>
        <w:spacing w:after="120" w:line="355" w:lineRule="exact"/>
        <w:ind w:firstLine="420"/>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根据</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（承包人名称，以下称“承包人”）与</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 xml:space="preserve"> （发包人名称，以下简称“发包人”）于</w:t>
      </w:r>
      <w:r>
        <w:rPr>
          <w:rFonts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u w:val="single"/>
          <w:lang w:val="zh-CN" w:eastAsia="zh-CN" w:bidi="zh-CN"/>
        </w:rPr>
        <w:t xml:space="preserve">  </w:t>
      </w:r>
      <w:r>
        <w:rPr>
          <w:rFonts w:ascii="宋体" w:hAnsi="宋体" w:eastAsia="宋体" w:cs="宋体"/>
          <w:color w:val="auto"/>
          <w:kern w:val="2"/>
          <w:sz w:val="20"/>
          <w:szCs w:val="20"/>
          <w:highlight w:val="none"/>
          <w:lang w:val="zh-CN" w:eastAsia="zh-CN" w:bidi="zh-CN"/>
        </w:rPr>
        <w:t>年</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月</w:t>
      </w:r>
      <w:r>
        <w:rPr>
          <w:rFonts w:hint="eastAsia" w:ascii="宋体" w:hAnsi="宋体" w:eastAsia="宋体" w:cs="宋体"/>
          <w:color w:val="auto"/>
          <w:kern w:val="2"/>
          <w:sz w:val="20"/>
          <w:szCs w:val="20"/>
          <w:highlight w:val="none"/>
          <w:u w:val="single"/>
          <w:lang w:val="zh-CN" w:eastAsia="zh-CN" w:bidi="zh-CN"/>
        </w:rPr>
        <w:t xml:space="preserve">        </w:t>
      </w:r>
      <w:r>
        <w:rPr>
          <w:rFonts w:ascii="宋体" w:hAnsi="宋体" w:eastAsia="宋体" w:cs="宋体"/>
          <w:color w:val="auto"/>
          <w:kern w:val="2"/>
          <w:sz w:val="20"/>
          <w:szCs w:val="20"/>
          <w:highlight w:val="none"/>
          <w:lang w:val="zh-CN" w:eastAsia="zh-CN" w:bidi="zh-CN"/>
        </w:rPr>
        <w:t xml:space="preserve">日签订的 </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（项目名称）</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（标段名称）合同协议书，承包人 按约定的金额向发包人提交一份预付款担保，即有权得到发包人支付相等金额的预付款。 我方愿意就你方提供给承包人的预付款提供担保。</w:t>
      </w:r>
    </w:p>
    <w:p w14:paraId="7227BDA7">
      <w:pPr>
        <w:widowControl w:val="0"/>
        <w:numPr>
          <w:ilvl w:val="0"/>
          <w:numId w:val="47"/>
        </w:numPr>
        <w:tabs>
          <w:tab w:val="left" w:pos="719"/>
          <w:tab w:val="left" w:pos="4879"/>
          <w:tab w:val="left" w:pos="7402"/>
        </w:tabs>
        <w:spacing w:line="372" w:lineRule="auto"/>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担保金额人民币（大写）</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元（¥</w:t>
      </w:r>
      <w:r>
        <w:rPr>
          <w:rFonts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en-US" w:eastAsia="zh-CN" w:bidi="ar-SA"/>
        </w:rPr>
        <w:t>）</w:t>
      </w:r>
      <w:r>
        <w:rPr>
          <w:rFonts w:ascii="Times New Roman" w:hAnsi="Times New Roman" w:eastAsia="宋体" w:cs="Times New Roman"/>
          <w:color w:val="auto"/>
          <w:kern w:val="2"/>
          <w:sz w:val="20"/>
          <w:szCs w:val="20"/>
          <w:highlight w:val="none"/>
          <w:vertAlign w:val="subscript"/>
          <w:lang w:val="en-US" w:eastAsia="zh-CN" w:bidi="ar-SA"/>
        </w:rPr>
        <w:t>o</w:t>
      </w:r>
    </w:p>
    <w:p w14:paraId="19D87FCE">
      <w:pPr>
        <w:widowControl w:val="0"/>
        <w:numPr>
          <w:ilvl w:val="0"/>
          <w:numId w:val="47"/>
        </w:numPr>
        <w:tabs>
          <w:tab w:val="left" w:pos="726"/>
        </w:tabs>
        <w:spacing w:line="355" w:lineRule="exact"/>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担保有效期自预付款支付给承包人起生效，至发包人签发的进度付款证书说明已完全扣清止。</w:t>
      </w:r>
    </w:p>
    <w:p w14:paraId="0464B11F">
      <w:pPr>
        <w:widowControl w:val="0"/>
        <w:numPr>
          <w:ilvl w:val="0"/>
          <w:numId w:val="47"/>
        </w:numPr>
        <w:tabs>
          <w:tab w:val="left" w:pos="731"/>
        </w:tabs>
        <w:spacing w:line="355" w:lineRule="exact"/>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在本担保有效期内，因承包人违反合同约定的义务而要求收回预付款时，我方在收到你方的书面通知后，无条件地在</w:t>
      </w:r>
      <w:r>
        <w:rPr>
          <w:rFonts w:ascii="Times New Roman" w:hAnsi="Times New Roman" w:eastAsia="宋体" w:cs="Times New Roman"/>
          <w:color w:val="auto"/>
          <w:kern w:val="2"/>
          <w:sz w:val="20"/>
          <w:szCs w:val="20"/>
          <w:highlight w:val="none"/>
          <w:lang w:val="zh-CN" w:eastAsia="zh-CN" w:bidi="zh-CN"/>
        </w:rPr>
        <w:t>7</w:t>
      </w:r>
      <w:r>
        <w:rPr>
          <w:rFonts w:ascii="宋体" w:hAnsi="宋体" w:eastAsia="宋体" w:cs="宋体"/>
          <w:color w:val="auto"/>
          <w:kern w:val="2"/>
          <w:sz w:val="20"/>
          <w:szCs w:val="20"/>
          <w:highlight w:val="none"/>
          <w:lang w:val="zh-CN" w:eastAsia="zh-CN" w:bidi="zh-CN"/>
        </w:rPr>
        <w:t>天内予以支付。但本担保的担保金额，在任何时候不应超过预付款金额减去发包人按合同约定在向承包人签发的进度付款证书中已扣回的金额。发包人和承包人按《通用合同条款》第</w:t>
      </w:r>
      <w:r>
        <w:rPr>
          <w:rFonts w:ascii="Times New Roman" w:hAnsi="Times New Roman" w:eastAsia="宋体" w:cs="Times New Roman"/>
          <w:color w:val="auto"/>
          <w:kern w:val="2"/>
          <w:sz w:val="20"/>
          <w:szCs w:val="20"/>
          <w:highlight w:val="none"/>
          <w:lang w:val="zh-CN" w:eastAsia="zh-CN" w:bidi="zh-CN"/>
        </w:rPr>
        <w:t>15</w:t>
      </w:r>
      <w:r>
        <w:rPr>
          <w:rFonts w:ascii="宋体" w:hAnsi="宋体" w:eastAsia="宋体" w:cs="宋体"/>
          <w:color w:val="auto"/>
          <w:kern w:val="2"/>
          <w:sz w:val="20"/>
          <w:szCs w:val="20"/>
          <w:highlight w:val="none"/>
          <w:lang w:val="zh-CN" w:eastAsia="zh-CN" w:bidi="zh-CN"/>
        </w:rPr>
        <w:t>条变更合同时，我方承担本担保规定的 义务不变。</w:t>
      </w:r>
    </w:p>
    <w:p w14:paraId="0C767421">
      <w:pPr>
        <w:widowControl w:val="0"/>
        <w:tabs>
          <w:tab w:val="left" w:pos="731"/>
        </w:tabs>
        <w:spacing w:line="355" w:lineRule="exact"/>
        <w:ind w:left="420"/>
        <w:jc w:val="both"/>
        <w:rPr>
          <w:rFonts w:ascii="宋体" w:hAnsi="宋体" w:eastAsia="宋体" w:cs="宋体"/>
          <w:color w:val="auto"/>
          <w:kern w:val="2"/>
          <w:sz w:val="20"/>
          <w:szCs w:val="20"/>
          <w:highlight w:val="none"/>
          <w:lang w:val="zh-CN" w:eastAsia="zh-CN" w:bidi="zh-CN"/>
        </w:rPr>
      </w:pPr>
    </w:p>
    <w:p w14:paraId="6C142343">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担  保 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（盖单位公章）</w:t>
      </w:r>
      <w:r>
        <w:rPr>
          <w:rFonts w:ascii="Times New Roman" w:hAnsi="Times New Roman" w:eastAsia="宋体" w:cs="Times New Roman"/>
          <w:color w:val="auto"/>
          <w:kern w:val="2"/>
          <w:sz w:val="20"/>
          <w:szCs w:val="24"/>
          <w:highlight w:val="none"/>
          <w:lang w:val="en-US" w:eastAsia="zh-CN" w:bidi="ar-SA"/>
        </w:rPr>
        <w:t xml:space="preserve"> </w:t>
      </w:r>
    </w:p>
    <w:p w14:paraId="3B307151">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定代表人(或委托代理人)：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（签字）</w:t>
      </w:r>
    </w:p>
    <w:p w14:paraId="2DBED280">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地       址：</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47F6B3D7">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邮政编码：</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317FF512">
      <w:pPr>
        <w:widowControl w:val="0"/>
        <w:jc w:val="right"/>
        <w:rPr>
          <w:rFonts w:ascii="Times New Roman" w:hAnsi="Times New Roman" w:eastAsia="宋体" w:cs="Times New Roman"/>
          <w:color w:val="auto"/>
          <w:kern w:val="2"/>
          <w:sz w:val="20"/>
          <w:szCs w:val="24"/>
          <w:highlight w:val="none"/>
          <w:u w:val="singl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电        话：</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01EFAA50">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传        真：</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2FB89EBB">
      <w:pPr>
        <w:widowControl w:val="0"/>
        <w:jc w:val="righ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年</w:t>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月</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日 </w:t>
      </w:r>
      <w:r>
        <w:rPr>
          <w:rFonts w:hint="eastAsia" w:ascii="Times New Roman" w:hAnsi="Times New Roman" w:eastAsia="宋体" w:cs="Times New Roman"/>
          <w:color w:val="auto"/>
          <w:kern w:val="2"/>
          <w:sz w:val="21"/>
          <w:szCs w:val="24"/>
          <w:highlight w:val="none"/>
          <w:lang w:val="en-US" w:eastAsia="zh-CN" w:bidi="ar-SA"/>
        </w:rPr>
        <w:t xml:space="preserve">    </w:t>
      </w:r>
    </w:p>
    <w:p w14:paraId="57D1444E">
      <w:pPr>
        <w:widowControl w:val="0"/>
        <w:tabs>
          <w:tab w:val="left" w:pos="726"/>
        </w:tabs>
        <w:spacing w:after="340" w:line="355" w:lineRule="exact"/>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注：</w:t>
      </w:r>
    </w:p>
    <w:p w14:paraId="6924B9BB">
      <w:pPr>
        <w:widowControl w:val="0"/>
        <w:jc w:val="both"/>
        <w:rPr>
          <w:rFonts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zh-CN" w:eastAsia="zh-CN" w:bidi="zh-CN"/>
        </w:rPr>
        <w:t>1．</w:t>
      </w:r>
      <w:r>
        <w:rPr>
          <w:rFonts w:ascii="宋体" w:hAnsi="宋体" w:eastAsia="宋体" w:cs="宋体"/>
          <w:color w:val="auto"/>
          <w:kern w:val="2"/>
          <w:sz w:val="20"/>
          <w:szCs w:val="20"/>
          <w:highlight w:val="none"/>
          <w:lang w:val="zh-CN" w:eastAsia="zh-CN" w:bidi="zh-CN"/>
        </w:rPr>
        <w:t>担保人必须是投标人单位基本账户的开户银行。</w:t>
      </w:r>
    </w:p>
    <w:p w14:paraId="688DAC6B">
      <w:pPr>
        <w:widowControl w:val="0"/>
        <w:snapToGrid w:val="0"/>
        <w:jc w:val="left"/>
        <w:rPr>
          <w:rFonts w:ascii="宋体" w:hAnsi="宋体" w:eastAsia="宋体" w:cs="宋体"/>
          <w:color w:val="auto"/>
          <w:kern w:val="0"/>
          <w:sz w:val="20"/>
          <w:szCs w:val="20"/>
          <w:highlight w:val="none"/>
          <w:lang w:val="zh-CN" w:eastAsia="zh-CN" w:bidi="zh-CN"/>
        </w:rPr>
      </w:pPr>
      <w:r>
        <w:rPr>
          <w:rFonts w:hint="eastAsia" w:ascii="宋体" w:hAnsi="宋体" w:eastAsia="宋体" w:cs="宋体"/>
          <w:color w:val="auto"/>
          <w:kern w:val="0"/>
          <w:sz w:val="20"/>
          <w:szCs w:val="20"/>
          <w:highlight w:val="none"/>
          <w:lang w:val="zh-CN" w:eastAsia="zh-CN" w:bidi="zh-CN"/>
        </w:rPr>
        <w:t>2．</w:t>
      </w:r>
      <w:r>
        <w:rPr>
          <w:rFonts w:ascii="宋体" w:hAnsi="宋体" w:eastAsia="宋体" w:cs="宋体"/>
          <w:color w:val="auto"/>
          <w:kern w:val="0"/>
          <w:sz w:val="20"/>
          <w:szCs w:val="20"/>
          <w:highlight w:val="none"/>
          <w:lang w:val="zh-CN" w:eastAsia="zh-CN" w:bidi="zh-CN"/>
        </w:rPr>
        <w:t>委托代理人应附授权委托书</w:t>
      </w:r>
    </w:p>
    <w:p w14:paraId="1DC99B71">
      <w:pPr>
        <w:widowControl w:val="0"/>
        <w:snapToGrid w:val="0"/>
        <w:jc w:val="left"/>
        <w:rPr>
          <w:rFonts w:ascii="宋体" w:hAnsi="宋体" w:eastAsia="宋体" w:cs="宋体"/>
          <w:color w:val="auto"/>
          <w:kern w:val="0"/>
          <w:sz w:val="20"/>
          <w:szCs w:val="20"/>
          <w:highlight w:val="none"/>
          <w:lang w:val="zh-CN" w:eastAsia="zh-CN" w:bidi="zh-CN"/>
        </w:rPr>
      </w:pPr>
    </w:p>
    <w:p w14:paraId="3276303B">
      <w:pPr>
        <w:widowControl w:val="0"/>
        <w:snapToGrid w:val="0"/>
        <w:jc w:val="left"/>
        <w:rPr>
          <w:rFonts w:ascii="宋体" w:hAnsi="宋体" w:eastAsia="宋体" w:cs="宋体"/>
          <w:color w:val="auto"/>
          <w:kern w:val="0"/>
          <w:sz w:val="20"/>
          <w:szCs w:val="20"/>
          <w:highlight w:val="none"/>
          <w:lang w:val="zh-CN" w:eastAsia="zh-CN" w:bidi="zh-CN"/>
        </w:rPr>
      </w:pPr>
    </w:p>
    <w:p w14:paraId="6E9BCB7B">
      <w:pPr>
        <w:widowControl w:val="0"/>
        <w:snapToGrid w:val="0"/>
        <w:jc w:val="left"/>
        <w:rPr>
          <w:rFonts w:ascii="宋体" w:hAnsi="宋体" w:eastAsia="宋体" w:cs="宋体"/>
          <w:color w:val="auto"/>
          <w:kern w:val="0"/>
          <w:sz w:val="20"/>
          <w:szCs w:val="20"/>
          <w:highlight w:val="none"/>
          <w:lang w:val="zh-CN" w:eastAsia="zh-CN" w:bidi="zh-CN"/>
        </w:rPr>
      </w:pPr>
    </w:p>
    <w:p w14:paraId="27E3B803">
      <w:pPr>
        <w:tabs>
          <w:tab w:val="left" w:pos="299"/>
        </w:tabs>
        <w:spacing w:line="360" w:lineRule="auto"/>
        <w:ind w:firstLine="480" w:firstLineChars="200"/>
        <w:rPr>
          <w:rFonts w:ascii="宋体" w:hAnsi="宋体" w:eastAsia="宋体" w:cs="宋体"/>
          <w:kern w:val="0"/>
          <w:sz w:val="24"/>
          <w:lang w:val="zh-CN" w:bidi="zh-CN"/>
        </w:rPr>
      </w:pPr>
    </w:p>
    <w:p w14:paraId="0754F9B3">
      <w:pPr>
        <w:spacing w:line="360" w:lineRule="auto"/>
        <w:ind w:firstLine="480" w:firstLineChars="200"/>
        <w:rPr>
          <w:rFonts w:ascii="宋体" w:hAnsi="宋体" w:eastAsia="宋体" w:cs="宋体"/>
          <w:sz w:val="24"/>
        </w:rPr>
      </w:pPr>
    </w:p>
    <w:p w14:paraId="76108BC5">
      <w:pPr>
        <w:pStyle w:val="3"/>
        <w:jc w:val="center"/>
        <w:rPr>
          <w:rFonts w:hint="default" w:eastAsia="宋体"/>
          <w:color w:val="auto"/>
          <w:highlight w:val="none"/>
          <w:lang w:val="en-US" w:eastAsia="zh-CN"/>
        </w:rPr>
      </w:pPr>
      <w:r>
        <w:rPr>
          <w:rFonts w:eastAsia="仿宋_GB2312"/>
          <w:sz w:val="30"/>
          <w:szCs w:val="30"/>
        </w:rPr>
        <w:br w:type="page"/>
      </w:r>
      <w:bookmarkStart w:id="271" w:name="_Toc28511"/>
      <w:bookmarkStart w:id="272" w:name="_Toc23153"/>
      <w:bookmarkStart w:id="273" w:name="_Toc18563"/>
      <w:bookmarkStart w:id="274" w:name="_Toc20243"/>
      <w:bookmarkStart w:id="275" w:name="_Toc13697"/>
      <w:bookmarkStart w:id="276" w:name="_Toc13385"/>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271"/>
      <w:bookmarkEnd w:id="272"/>
      <w:bookmarkEnd w:id="273"/>
      <w:bookmarkEnd w:id="274"/>
      <w:bookmarkEnd w:id="275"/>
      <w:bookmarkEnd w:id="276"/>
    </w:p>
    <w:p w14:paraId="773EF695">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6" w:type="default"/>
          <w:footerReference r:id="rId17"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AEA386D">
      <w:pPr>
        <w:pStyle w:val="3"/>
        <w:jc w:val="center"/>
        <w:rPr>
          <w:rFonts w:hint="eastAsia"/>
          <w:color w:val="auto"/>
          <w:highlight w:val="none"/>
        </w:rPr>
      </w:pPr>
      <w:bookmarkStart w:id="277" w:name="_Toc948"/>
      <w:bookmarkStart w:id="278" w:name="_Toc20643"/>
      <w:bookmarkStart w:id="279" w:name="_Toc11341"/>
      <w:bookmarkStart w:id="280" w:name="_Toc6522"/>
      <w:bookmarkStart w:id="281" w:name="_Toc31581"/>
      <w:bookmarkStart w:id="282" w:name="_Toc15913"/>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277"/>
      <w:bookmarkEnd w:id="278"/>
      <w:bookmarkEnd w:id="279"/>
      <w:bookmarkEnd w:id="280"/>
      <w:bookmarkEnd w:id="281"/>
      <w:bookmarkEnd w:id="282"/>
    </w:p>
    <w:p w14:paraId="04576C0D">
      <w:pPr>
        <w:pStyle w:val="26"/>
        <w:rPr>
          <w:rFonts w:hint="eastAsia"/>
          <w:color w:val="auto"/>
          <w:highlight w:val="none"/>
        </w:rPr>
      </w:pPr>
    </w:p>
    <w:p w14:paraId="588FA4F2">
      <w:pPr>
        <w:rPr>
          <w:rFonts w:hint="eastAsia"/>
          <w:color w:val="auto"/>
          <w:highlight w:val="none"/>
        </w:rPr>
      </w:pPr>
    </w:p>
    <w:p w14:paraId="755EE823">
      <w:pPr>
        <w:pStyle w:val="26"/>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FBDB1E1">
      <w:pPr>
        <w:pStyle w:val="3"/>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283" w:name="_Toc7745"/>
      <w:bookmarkStart w:id="284" w:name="_Toc20019"/>
      <w:bookmarkStart w:id="285" w:name="_Toc24715"/>
      <w:bookmarkStart w:id="286" w:name="_Toc5640"/>
      <w:bookmarkStart w:id="287" w:name="_Toc11110"/>
      <w:bookmarkStart w:id="288" w:name="_Toc24083"/>
      <w:bookmarkStart w:id="289" w:name="_Toc1166"/>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283"/>
      <w:bookmarkEnd w:id="284"/>
      <w:bookmarkEnd w:id="285"/>
      <w:bookmarkEnd w:id="286"/>
      <w:bookmarkEnd w:id="287"/>
      <w:bookmarkEnd w:id="288"/>
      <w:bookmarkEnd w:id="289"/>
    </w:p>
    <w:p w14:paraId="27454B8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5D9FACD0">
      <w:pPr>
        <w:pStyle w:val="17"/>
        <w:spacing w:line="360" w:lineRule="auto"/>
        <w:ind w:firstLine="482" w:firstLineChars="200"/>
        <w:contextualSpacing/>
        <w:rPr>
          <w:rFonts w:hint="eastAsia" w:ascii="宋体" w:hAnsi="宋体" w:eastAsia="宋体" w:cs="宋体"/>
          <w:b/>
          <w:bCs/>
          <w:color w:val="auto"/>
          <w:sz w:val="24"/>
          <w:szCs w:val="24"/>
          <w:highlight w:val="none"/>
        </w:rPr>
      </w:pPr>
    </w:p>
    <w:p w14:paraId="672E81BB">
      <w:pPr>
        <w:pStyle w:val="17"/>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71153134">
      <w:pPr>
        <w:pStyle w:val="17"/>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EB42946">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22C61CE">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A9AA44C">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5315A05A">
      <w:pPr>
        <w:pStyle w:val="17"/>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6711B39">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C3A0C4A">
      <w:pPr>
        <w:pStyle w:val="17"/>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21892E36">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B40B9BB">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4CA0D1C6">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070E8C50">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3B1E46F4">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612B5692">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36C4D435">
      <w:pPr>
        <w:pStyle w:val="17"/>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1E314FC4">
      <w:pPr>
        <w:pStyle w:val="17"/>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7EB126A0">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6031BD38">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4ECFB52A">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32A0A6C7">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148EB69A">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5C53B3F">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3944C01E">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74241F88">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p>
    <w:p w14:paraId="7D967363">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44311B69">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p>
    <w:p w14:paraId="5D572232">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56DDF5E">
      <w:pPr>
        <w:pStyle w:val="17"/>
        <w:spacing w:line="360" w:lineRule="auto"/>
        <w:contextualSpacing/>
        <w:rPr>
          <w:rFonts w:hint="eastAsia" w:ascii="宋体" w:hAnsi="宋体" w:eastAsia="宋体" w:cs="宋体"/>
          <w:b/>
          <w:color w:val="auto"/>
          <w:sz w:val="24"/>
          <w:szCs w:val="24"/>
          <w:highlight w:val="none"/>
          <w:lang w:eastAsia="zh-CN"/>
        </w:rPr>
      </w:pPr>
    </w:p>
    <w:p w14:paraId="13E976BE">
      <w:pPr>
        <w:pStyle w:val="17"/>
        <w:spacing w:line="360" w:lineRule="auto"/>
        <w:contextualSpacing/>
        <w:rPr>
          <w:rFonts w:hint="eastAsia" w:ascii="宋体" w:hAnsi="宋体" w:eastAsia="宋体" w:cs="宋体"/>
          <w:b/>
          <w:color w:val="auto"/>
          <w:sz w:val="24"/>
          <w:szCs w:val="24"/>
          <w:highlight w:val="none"/>
          <w:lang w:eastAsia="zh-CN"/>
        </w:rPr>
      </w:pPr>
    </w:p>
    <w:p w14:paraId="1D120D93">
      <w:pPr>
        <w:pStyle w:val="17"/>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75D35FC">
      <w:pPr>
        <w:pStyle w:val="17"/>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41C02724">
      <w:pPr>
        <w:pStyle w:val="17"/>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B583AF">
      <w:pPr>
        <w:pStyle w:val="17"/>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10EFE88C">
      <w:pPr>
        <w:pStyle w:val="17"/>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743278BD">
      <w:pPr>
        <w:pStyle w:val="17"/>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4B1209C3">
      <w:pPr>
        <w:pStyle w:val="17"/>
        <w:snapToGrid w:val="0"/>
        <w:spacing w:line="360" w:lineRule="auto"/>
        <w:rPr>
          <w:rFonts w:hint="eastAsia" w:ascii="宋体" w:hAnsi="宋体" w:eastAsia="宋体" w:cs="宋体"/>
          <w:b/>
          <w:color w:val="auto"/>
          <w:sz w:val="24"/>
          <w:szCs w:val="24"/>
          <w:highlight w:val="none"/>
        </w:rPr>
      </w:pPr>
    </w:p>
    <w:p w14:paraId="1C01EF3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FE4D388">
      <w:pPr>
        <w:pStyle w:val="17"/>
        <w:snapToGrid w:val="0"/>
        <w:spacing w:line="360" w:lineRule="auto"/>
        <w:ind w:firstLine="482" w:firstLineChars="200"/>
        <w:rPr>
          <w:rFonts w:hint="eastAsia" w:ascii="宋体" w:hAnsi="宋体" w:eastAsia="宋体" w:cs="宋体"/>
          <w:b/>
          <w:bCs/>
          <w:color w:val="auto"/>
          <w:sz w:val="24"/>
          <w:szCs w:val="24"/>
          <w:highlight w:val="none"/>
        </w:rPr>
      </w:pPr>
    </w:p>
    <w:p w14:paraId="03903473">
      <w:pPr>
        <w:pStyle w:val="17"/>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08D3E7EC">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BC85733">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0718041">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29651221">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27D836F">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E5950BD">
      <w:pPr>
        <w:pStyle w:val="17"/>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F16E4FB">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D0678DD">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7C87D6C7">
      <w:pPr>
        <w:pStyle w:val="17"/>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1069FC6F">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501997A">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E5964C2">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50B03970">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4519A586">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416D5247">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16F012EE">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D8C516C">
      <w:pPr>
        <w:pStyle w:val="17"/>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159CD41C">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0FEFE010">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4F9E9286">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06EA175E">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0E9B7206">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08325FFB">
      <w:pPr>
        <w:pStyle w:val="17"/>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7C2E63E4">
      <w:pPr>
        <w:pStyle w:val="17"/>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396B2374">
      <w:pPr>
        <w:pStyle w:val="1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068A74B8">
      <w:pPr>
        <w:pStyle w:val="17"/>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46F962F">
      <w:pPr>
        <w:pStyle w:val="17"/>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A70613C">
      <w:pPr>
        <w:pStyle w:val="1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667BB384">
      <w:pPr>
        <w:pStyle w:val="17"/>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3C0B1816">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61F9E8E">
      <w:pPr>
        <w:pStyle w:val="17"/>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903C3E1">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55C6A6EB">
      <w:pPr>
        <w:pStyle w:val="17"/>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54E717A">
      <w:pPr>
        <w:pStyle w:val="17"/>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4A618E7">
      <w:pPr>
        <w:pStyle w:val="17"/>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7375F325">
      <w:pPr>
        <w:pStyle w:val="17"/>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6C448F8C">
      <w:pPr>
        <w:pStyle w:val="17"/>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3FDDA088">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6BB9E11">
      <w:pPr>
        <w:pStyle w:val="17"/>
        <w:spacing w:line="360" w:lineRule="auto"/>
        <w:ind w:left="25" w:leftChars="12" w:firstLine="352" w:firstLineChars="147"/>
        <w:rPr>
          <w:rFonts w:hint="eastAsia" w:ascii="宋体" w:hAnsi="宋体" w:eastAsia="宋体" w:cs="宋体"/>
          <w:color w:val="auto"/>
          <w:sz w:val="24"/>
          <w:szCs w:val="24"/>
          <w:highlight w:val="none"/>
        </w:rPr>
      </w:pPr>
    </w:p>
    <w:p w14:paraId="3293AFB5">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784D0C7F">
      <w:pPr>
        <w:pStyle w:val="17"/>
        <w:spacing w:line="360" w:lineRule="auto"/>
        <w:ind w:left="25" w:leftChars="12" w:firstLine="352" w:firstLineChars="147"/>
        <w:rPr>
          <w:rFonts w:hint="eastAsia" w:ascii="宋体" w:hAnsi="宋体" w:eastAsia="宋体" w:cs="宋体"/>
          <w:color w:val="auto"/>
          <w:sz w:val="24"/>
          <w:szCs w:val="24"/>
          <w:highlight w:val="none"/>
        </w:rPr>
      </w:pPr>
    </w:p>
    <w:p w14:paraId="0DBDFCEA">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9971102">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709DB411">
      <w:pPr>
        <w:pStyle w:val="17"/>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3DA07D01">
      <w:pPr>
        <w:pStyle w:val="17"/>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E40C9E4">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236EA02">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479B1BB3">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19238ECC">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158DCF8C">
      <w:pPr>
        <w:pStyle w:val="17"/>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0FC6983D">
      <w:pPr>
        <w:rPr>
          <w:rFonts w:hint="eastAsia"/>
          <w:color w:val="auto"/>
          <w:highlight w:val="none"/>
        </w:rPr>
      </w:pPr>
    </w:p>
    <w:p w14:paraId="16F103F4">
      <w:pPr>
        <w:rPr>
          <w:rFonts w:hint="eastAsia"/>
          <w:color w:val="auto"/>
          <w:highlight w:val="none"/>
        </w:rPr>
      </w:pPr>
    </w:p>
    <w:p w14:paraId="3E5BA619">
      <w:pPr>
        <w:rPr>
          <w:color w:val="auto"/>
          <w:highlight w:val="none"/>
        </w:rPr>
      </w:pPr>
    </w:p>
    <w:sectPr>
      <w:footerReference r:id="rId20" w:type="first"/>
      <w:headerReference r:id="rId18" w:type="default"/>
      <w:footerReference r:id="rId19"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4EE9779-2446-4D68-B805-7E4FBA1CFEF3}"/>
  </w:font>
  <w:font w:name="黑体">
    <w:panose1 w:val="02010600030101010101"/>
    <w:charset w:val="86"/>
    <w:family w:val="auto"/>
    <w:pitch w:val="default"/>
    <w:sig w:usb0="800002BF" w:usb1="38CF7CFA" w:usb2="00000016" w:usb3="00000000" w:csb0="00040001" w:csb1="00000000"/>
    <w:embedRegular r:id="rId2" w:fontKey="{CDEB1258-1A47-49D3-897C-17A665EAA6EE}"/>
  </w:font>
  <w:font w:name="Courier New">
    <w:panose1 w:val="02070309020205020404"/>
    <w:charset w:val="01"/>
    <w:family w:val="modern"/>
    <w:pitch w:val="default"/>
    <w:sig w:usb0="E0002EFF" w:usb1="C0007843" w:usb2="00000009" w:usb3="00000000" w:csb0="400001FF" w:csb1="FFFF0000"/>
    <w:embedRegular r:id="rId3" w:fontKey="{C2C4BEF8-854A-4C41-ABA0-E61C21381AB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EF9D4783-D6D1-4631-9700-4B66418D2CE8}"/>
  </w:font>
  <w:font w:name="仿宋">
    <w:panose1 w:val="02010609060101010101"/>
    <w:charset w:val="86"/>
    <w:family w:val="modern"/>
    <w:pitch w:val="default"/>
    <w:sig w:usb0="800002BF" w:usb1="38CF7CFA" w:usb2="00000016" w:usb3="00000000" w:csb0="00040001" w:csb1="00000000"/>
    <w:embedRegular r:id="rId5" w:fontKey="{6F217137-E0DF-4957-A935-CDA8EB4B0523}"/>
  </w:font>
  <w:font w:name="Cambria Math">
    <w:panose1 w:val="02040503050406030204"/>
    <w:charset w:val="00"/>
    <w:family w:val="roman"/>
    <w:pitch w:val="default"/>
    <w:sig w:usb0="E00006FF" w:usb1="420024FF" w:usb2="02000000" w:usb3="00000000" w:csb0="2000019F" w:csb1="00000000"/>
    <w:embedRegular r:id="rId6" w:fontKey="{94FD75D2-455F-441E-8B79-03DBFD232B58}"/>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embedRegular r:id="rId7" w:fontKey="{D5630740-2CDF-444A-83EA-CE9039CC73D9}"/>
  </w:font>
  <w:font w:name="华文新魏">
    <w:panose1 w:val="02010800040101010101"/>
    <w:charset w:val="86"/>
    <w:family w:val="auto"/>
    <w:pitch w:val="default"/>
    <w:sig w:usb0="00000001" w:usb1="080F0000" w:usb2="00000000" w:usb3="00000000" w:csb0="00040000" w:csb1="00000000"/>
    <w:embedRegular r:id="rId8" w:fontKey="{31A5961A-3D6B-4FF2-A90D-A2F7F8AD319B}"/>
  </w:font>
  <w:font w:name="Arial Unicode MS">
    <w:altName w:val="宋体"/>
    <w:panose1 w:val="020B0604020202020204"/>
    <w:charset w:val="86"/>
    <w:family w:val="swiss"/>
    <w:pitch w:val="default"/>
    <w:sig w:usb0="00000000" w:usb1="00000000" w:usb2="0000003F" w:usb3="00000000" w:csb0="603F01FF" w:csb1="FFFF0000"/>
    <w:embedRegular r:id="rId9" w:fontKey="{63856B5B-8121-4815-A8B7-B95CBD3A48E4}"/>
  </w:font>
  <w:font w:name="微软雅黑">
    <w:panose1 w:val="020B0503020204020204"/>
    <w:charset w:val="86"/>
    <w:family w:val="auto"/>
    <w:pitch w:val="default"/>
    <w:sig w:usb0="80000287" w:usb1="2ACF3C50" w:usb2="00000016" w:usb3="00000000" w:csb0="0004001F" w:csb1="00000000"/>
    <w:embedRegular r:id="rId10" w:fontKey="{275D8636-A219-4392-BF59-9E488AF6951B}"/>
  </w:font>
  <w:font w:name="Tahoma">
    <w:panose1 w:val="020B0604030504040204"/>
    <w:charset w:val="00"/>
    <w:family w:val="auto"/>
    <w:pitch w:val="default"/>
    <w:sig w:usb0="E1002EFF" w:usb1="C000605B" w:usb2="00000029" w:usb3="00000000" w:csb0="200101FF" w:csb1="20280000"/>
    <w:embedRegular r:id="rId11" w:fontKey="{AA5226FC-ED12-4E5E-867D-93742DD8AA6B}"/>
  </w:font>
  <w:font w:name="新宋体">
    <w:panose1 w:val="02010609030101010101"/>
    <w:charset w:val="86"/>
    <w:family w:val="modern"/>
    <w:pitch w:val="default"/>
    <w:sig w:usb0="00000203" w:usb1="288F0000" w:usb2="00000006" w:usb3="00000000" w:csb0="00040001" w:csb1="00000000"/>
    <w:embedRegular r:id="rId12" w:fontKey="{74F4026B-FFD8-49FD-96D9-BA39C2181D75}"/>
  </w:font>
  <w:font w:name="楷体_GB2312">
    <w:panose1 w:val="02010609030101010101"/>
    <w:charset w:val="86"/>
    <w:family w:val="modern"/>
    <w:pitch w:val="default"/>
    <w:sig w:usb0="00000001" w:usb1="080E0000" w:usb2="00000000" w:usb3="00000000" w:csb0="00040000" w:csb1="00000000"/>
    <w:embedRegular r:id="rId13" w:fontKey="{8384A031-1B85-4633-A206-8F3D85105244}"/>
  </w:font>
  <w:font w:name="Wingdings 2">
    <w:altName w:val="Wingdings"/>
    <w:panose1 w:val="05020102010507070707"/>
    <w:charset w:val="02"/>
    <w:family w:val="roman"/>
    <w:pitch w:val="default"/>
    <w:sig w:usb0="00000000" w:usb1="00000000" w:usb2="00000000" w:usb3="00000000" w:csb0="80000000" w:csb1="00000000"/>
    <w:embedRegular r:id="rId14" w:fontKey="{A647AB39-BB19-4431-9C36-82B69CEBEF32}"/>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F623">
    <w:pPr>
      <w:pStyle w:val="21"/>
      <w:tabs>
        <w:tab w:val="center" w:pos="4439"/>
        <w:tab w:val="clear" w:pos="4153"/>
      </w:tabs>
      <w:jc w:val="both"/>
    </w:pPr>
  </w:p>
  <w:p w14:paraId="560AB213">
    <w:pPr>
      <w:pStyle w:val="2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B6DF7">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08A44">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80</w:t>
                          </w:r>
                          <w:r>
                            <w:rPr>
                              <w:rFonts w:ascii="Times New Roman" w:hAnsi="Times New Roman"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ufaQ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i59pDgCAABxBAAADgAAAAAAAAABACAAAAAfAQAAZHJzL2Uyb0RvYy54&#10;bWxQSwUGAAAAAAYABgBZAQAAyQUAAAAA&#10;">
              <v:fill on="f" focussize="0,0"/>
              <v:stroke on="f" weight="0.5pt"/>
              <v:imagedata o:title=""/>
              <o:lock v:ext="edit" aspectratio="f"/>
              <v:textbox inset="0mm,0mm,0mm,0mm" style="mso-fit-shape-to-text:t;">
                <w:txbxContent>
                  <w:p w14:paraId="44A08A44">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80</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AF3ED">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7DF22A">
                          <w:pPr>
                            <w:pStyle w:val="21"/>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147DF22A">
                    <w:pPr>
                      <w:pStyle w:val="21"/>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7C329">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97815" cy="1733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97815" cy="173355"/>
                      </a:xfrm>
                      <a:prstGeom prst="rect">
                        <a:avLst/>
                      </a:prstGeom>
                      <a:noFill/>
                      <a:ln>
                        <a:noFill/>
                      </a:ln>
                    </wps:spPr>
                    <wps:txbx>
                      <w:txbxContent>
                        <w:p w14:paraId="40F51347">
                          <w:pPr>
                            <w:pStyle w:val="21"/>
                            <w:jc w:val="center"/>
                          </w:pPr>
                          <w:r>
                            <w:fldChar w:fldCharType="begin"/>
                          </w:r>
                          <w:r>
                            <w:instrText xml:space="preserve"> PAGE  \* MERGEFORMAT </w:instrText>
                          </w:r>
                          <w:r>
                            <w:fldChar w:fldCharType="separate"/>
                          </w:r>
                          <w:r>
                            <w:t>90</w:t>
                          </w:r>
                          <w: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top:0pt;height:13.65pt;width:23.45pt;mso-position-horizontal:center;mso-position-horizontal-relative:margin;z-index:251659264;mso-width-relative:page;mso-height-relative:page;" filled="f" stroked="f" coordsize="21600,21600" o:gfxdata="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a8YbtQAAAADAQAADwAAAAAAAAABACAAAAAiAAAAZHJz&#10;L2Rvd25yZXYueG1sUEsBAhQAFAAAAAgAh07iQAqz+p3PAQAAmQMAAA4AAAAAAAAAAQAgAAAAIwEA&#10;AGRycy9lMm9Eb2MueG1sUEsFBgAAAAAGAAYAWQEAAGQFAAAAAA==&#10;">
              <v:fill on="f" focussize="0,0"/>
              <v:stroke on="f"/>
              <v:imagedata o:title=""/>
              <o:lock v:ext="edit" aspectratio="f"/>
              <v:textbox inset="0mm,0mm,0mm,0mm">
                <w:txbxContent>
                  <w:p w14:paraId="40F51347">
                    <w:pPr>
                      <w:pStyle w:val="21"/>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0F06041A">
    <w:pPr>
      <w:pStyle w:val="21"/>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4C033">
    <w:pPr>
      <w:pStyle w:val="2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226FA0">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4226FA0">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6B7E9">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C8D9">
    <w:pPr>
      <w:pStyle w:val="21"/>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A1CE780"/>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5A1CE780"/>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BA4D">
    <w:pPr>
      <w:pStyle w:val="21"/>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C74B8C6">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3C74B8C6">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5CFD6514">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252D6">
    <w:pPr>
      <w:pStyle w:val="21"/>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0E95092">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20E95092">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28B5D48F">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F96C">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DB43D3">
                          <w:pPr>
                            <w:pStyle w:val="21"/>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2DB43D3">
                    <w:pPr>
                      <w:pStyle w:val="21"/>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7ACB1">
    <w:pPr>
      <w:pStyle w:val="2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930ECF9">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1930ECF9">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0B5D0091">
    <w:pPr>
      <w:pStyle w:val="2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0AB30">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EA20F">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79</w:t>
                          </w:r>
                          <w:r>
                            <w:rPr>
                              <w:rFonts w:ascii="Times New Roman" w:hAnsi="Times New Roman"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azzc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OlpXH6ru&#10;AebQsrDVO8tjmiiVt6tjgLRJ8ShQpwo6FQ+YxNSzfmviqP95TlGP/xT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RWs83NwIAAHEEAAAOAAAAAAAAAAEAIAAAAB8BAABkcnMvZTJvRG9jLnht&#10;bFBLBQYAAAAABgAGAFkBAADIBQAAAAA=&#10;">
              <v:fill on="f" focussize="0,0"/>
              <v:stroke on="f" weight="0.5pt"/>
              <v:imagedata o:title=""/>
              <o:lock v:ext="edit" aspectratio="f"/>
              <v:textbox inset="0mm,0mm,0mm,0mm" style="mso-fit-shape-to-text:t;">
                <w:txbxContent>
                  <w:p w14:paraId="5FDEA20F">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79</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8D4D7">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7A463">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w:t>
                          </w:r>
                          <w:r>
                            <w:rPr>
                              <w:rFonts w:ascii="Times New Roman" w:hAnsi="Times New Roman"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21F7A463">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F64D8">
    <w:pPr>
      <w:pStyle w:val="22"/>
      <w:rPr>
        <w:color w:val="auto"/>
      </w:rPr>
    </w:pPr>
    <w:r>
      <w:rPr>
        <w:rFonts w:hint="eastAsia"/>
        <w:color w:val="auto"/>
      </w:rPr>
      <w:t>南宁市政府采购竞争性磋商文件（项目编号：NNZC2026-C2-230046-JHGC）</w:t>
    </w:r>
  </w:p>
  <w:p w14:paraId="280199CC">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2470B">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0FE73">
    <w:pPr>
      <w:pStyle w:val="22"/>
      <w:rPr>
        <w:color w:val="auto"/>
      </w:rPr>
    </w:pPr>
    <w:r>
      <w:rPr>
        <w:rFonts w:hint="eastAsia"/>
        <w:color w:val="auto"/>
      </w:rPr>
      <w:t>南宁市政府采购竞争性磋商文件（项目编号：NNZC2026-C2-230046-JHGC）</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3D10">
    <w:pPr>
      <w:pStyle w:val="22"/>
      <w:rPr>
        <w:color w:val="auto"/>
      </w:rPr>
    </w:pPr>
    <w:r>
      <w:rPr>
        <w:rFonts w:hint="eastAsia"/>
        <w:color w:val="auto"/>
      </w:rPr>
      <w:t>南宁市政府采购竞争性磋商采购文件（项目编号：NNZC2026-C2-230046-JHGC）</w:t>
    </w:r>
  </w:p>
  <w:p w14:paraId="656D4462">
    <w:pPr>
      <w:pStyle w:val="2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D6DB4">
    <w:pPr>
      <w:pStyle w:val="22"/>
    </w:pPr>
    <w:r>
      <w:rPr>
        <w:rFonts w:hint="eastAsia"/>
        <w:color w:val="auto"/>
      </w:rPr>
      <w:t>南宁市政府采购竞争性磋商采购文件（项目编号：NNZC2026-C2-230046-JHGC）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4"/>
    <w:multiLevelType w:val="singleLevel"/>
    <w:tmpl w:val="00000004"/>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4">
    <w:nsid w:val="00000005"/>
    <w:multiLevelType w:val="singleLevel"/>
    <w:tmpl w:val="00000005"/>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5">
    <w:nsid w:val="00000006"/>
    <w:multiLevelType w:val="singleLevel"/>
    <w:tmpl w:val="00000006"/>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6">
    <w:nsid w:val="00000007"/>
    <w:multiLevelType w:val="singleLevel"/>
    <w:tmpl w:val="00000007"/>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7">
    <w:nsid w:val="00000008"/>
    <w:multiLevelType w:val="singleLevel"/>
    <w:tmpl w:val="00000008"/>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8">
    <w:nsid w:val="00000009"/>
    <w:multiLevelType w:val="singleLevel"/>
    <w:tmpl w:val="00000009"/>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9">
    <w:nsid w:val="0000000A"/>
    <w:multiLevelType w:val="singleLevel"/>
    <w:tmpl w:val="0000000A"/>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000000C"/>
    <w:multiLevelType w:val="singleLevel"/>
    <w:tmpl w:val="0000000C"/>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2">
    <w:nsid w:val="0000000D"/>
    <w:multiLevelType w:val="singleLevel"/>
    <w:tmpl w:val="0000000D"/>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3">
    <w:nsid w:val="0000000E"/>
    <w:multiLevelType w:val="singleLevel"/>
    <w:tmpl w:val="0000000E"/>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4">
    <w:nsid w:val="0000000F"/>
    <w:multiLevelType w:val="singleLevel"/>
    <w:tmpl w:val="0000000F"/>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5">
    <w:nsid w:val="00000010"/>
    <w:multiLevelType w:val="singleLevel"/>
    <w:tmpl w:val="00000010"/>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6">
    <w:nsid w:val="00000011"/>
    <w:multiLevelType w:val="singleLevel"/>
    <w:tmpl w:val="00000011"/>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7">
    <w:nsid w:val="00000012"/>
    <w:multiLevelType w:val="singleLevel"/>
    <w:tmpl w:val="00000012"/>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8">
    <w:nsid w:val="00000013"/>
    <w:multiLevelType w:val="singleLevel"/>
    <w:tmpl w:val="00000013"/>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9">
    <w:nsid w:val="00000014"/>
    <w:multiLevelType w:val="singleLevel"/>
    <w:tmpl w:val="00000014"/>
    <w:lvl w:ilvl="0" w:tentative="0">
      <w:start w:val="1"/>
      <w:numFmt w:val="decimalEnclosedCircle"/>
      <w:lvlText w:val="%1"/>
      <w:lvlJc w:val="left"/>
      <w:rPr>
        <w:rFonts w:ascii="宋体" w:hAnsi="宋体" w:eastAsia="宋体" w:cs="宋体"/>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0">
    <w:nsid w:val="00000015"/>
    <w:multiLevelType w:val="singleLevel"/>
    <w:tmpl w:val="00000015"/>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1">
    <w:nsid w:val="00000016"/>
    <w:multiLevelType w:val="singleLevel"/>
    <w:tmpl w:val="00000016"/>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2">
    <w:nsid w:val="00000017"/>
    <w:multiLevelType w:val="singleLevel"/>
    <w:tmpl w:val="00000017"/>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3">
    <w:nsid w:val="00000018"/>
    <w:multiLevelType w:val="singleLevel"/>
    <w:tmpl w:val="00000018"/>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en-US" w:eastAsia="en-US" w:bidi="en-US"/>
      </w:rPr>
    </w:lvl>
  </w:abstractNum>
  <w:abstractNum w:abstractNumId="24">
    <w:nsid w:val="00000019"/>
    <w:multiLevelType w:val="singleLevel"/>
    <w:tmpl w:val="00000019"/>
    <w:lvl w:ilvl="0" w:tentative="0">
      <w:start w:val="22"/>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FFFFFF"/>
        <w:lang w:val="en-US" w:eastAsia="en-US" w:bidi="en-US"/>
      </w:rPr>
    </w:lvl>
  </w:abstractNum>
  <w:abstractNum w:abstractNumId="25">
    <w:nsid w:val="0000001A"/>
    <w:multiLevelType w:val="singleLevel"/>
    <w:tmpl w:val="0000001A"/>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6">
    <w:nsid w:val="0000001B"/>
    <w:multiLevelType w:val="singleLevel"/>
    <w:tmpl w:val="0000001B"/>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7">
    <w:nsid w:val="0000001C"/>
    <w:multiLevelType w:val="singleLevel"/>
    <w:tmpl w:val="0000001C"/>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8">
    <w:nsid w:val="0000001D"/>
    <w:multiLevelType w:val="singleLevel"/>
    <w:tmpl w:val="0000001D"/>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9">
    <w:nsid w:val="0000001E"/>
    <w:multiLevelType w:val="singleLevel"/>
    <w:tmpl w:val="0000001E"/>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0">
    <w:nsid w:val="00000020"/>
    <w:multiLevelType w:val="singleLevel"/>
    <w:tmpl w:val="00000020"/>
    <w:lvl w:ilvl="0" w:tentative="0">
      <w:start w:val="2"/>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1">
    <w:nsid w:val="00000021"/>
    <w:multiLevelType w:val="singleLevel"/>
    <w:tmpl w:val="00000021"/>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2">
    <w:nsid w:val="00000022"/>
    <w:multiLevelType w:val="singleLevel"/>
    <w:tmpl w:val="00000022"/>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3">
    <w:nsid w:val="00000023"/>
    <w:multiLevelType w:val="singleLevel"/>
    <w:tmpl w:val="00000023"/>
    <w:lvl w:ilvl="0" w:tentative="0">
      <w:start w:val="1"/>
      <w:numFmt w:val="decimalEnclosedCircle"/>
      <w:lvlText w:val="%1"/>
      <w:lvlJc w:val="left"/>
      <w:rPr>
        <w:rFonts w:ascii="宋体" w:hAnsi="宋体" w:eastAsia="宋体" w:cs="宋体"/>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4">
    <w:nsid w:val="00000024"/>
    <w:multiLevelType w:val="singleLevel"/>
    <w:tmpl w:val="00000024"/>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5">
    <w:nsid w:val="00000025"/>
    <w:multiLevelType w:val="singleLevel"/>
    <w:tmpl w:val="00000025"/>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6">
    <w:nsid w:val="00000026"/>
    <w:multiLevelType w:val="singleLevel"/>
    <w:tmpl w:val="00000026"/>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7">
    <w:nsid w:val="00000027"/>
    <w:multiLevelType w:val="singleLevel"/>
    <w:tmpl w:val="00000027"/>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8">
    <w:nsid w:val="00000028"/>
    <w:multiLevelType w:val="singleLevel"/>
    <w:tmpl w:val="00000028"/>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9">
    <w:nsid w:val="00000029"/>
    <w:multiLevelType w:val="singleLevel"/>
    <w:tmpl w:val="00000029"/>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40">
    <w:nsid w:val="0000002A"/>
    <w:multiLevelType w:val="singleLevel"/>
    <w:tmpl w:val="0000002A"/>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41">
    <w:nsid w:val="0000002B"/>
    <w:multiLevelType w:val="singleLevel"/>
    <w:tmpl w:val="0000002B"/>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42">
    <w:nsid w:val="163D9E49"/>
    <w:multiLevelType w:val="singleLevel"/>
    <w:tmpl w:val="163D9E49"/>
    <w:lvl w:ilvl="0" w:tentative="0">
      <w:start w:val="4"/>
      <w:numFmt w:val="decimal"/>
      <w:suff w:val="space"/>
      <w:lvlText w:val="%1."/>
      <w:lvlJc w:val="left"/>
    </w:lvl>
  </w:abstractNum>
  <w:abstractNum w:abstractNumId="43">
    <w:nsid w:val="22A42B04"/>
    <w:multiLevelType w:val="singleLevel"/>
    <w:tmpl w:val="22A42B04"/>
    <w:lvl w:ilvl="0" w:tentative="0">
      <w:start w:val="1"/>
      <w:numFmt w:val="decimal"/>
      <w:pStyle w:val="10"/>
      <w:lvlText w:val="%1."/>
      <w:lvlJc w:val="left"/>
      <w:pPr>
        <w:tabs>
          <w:tab w:val="left" w:pos="360"/>
        </w:tabs>
        <w:ind w:left="360" w:hanging="360"/>
      </w:pPr>
    </w:lvl>
  </w:abstractNum>
  <w:abstractNum w:abstractNumId="44">
    <w:nsid w:val="77633241"/>
    <w:multiLevelType w:val="singleLevel"/>
    <w:tmpl w:val="7763324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num w:numId="1">
    <w:abstractNumId w:val="4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41"/>
  </w:num>
  <w:num w:numId="6">
    <w:abstractNumId w:val="10"/>
  </w:num>
  <w:num w:numId="7">
    <w:abstractNumId w:val="35"/>
  </w:num>
  <w:num w:numId="8">
    <w:abstractNumId w:val="4"/>
  </w:num>
  <w:num w:numId="9">
    <w:abstractNumId w:val="15"/>
  </w:num>
  <w:num w:numId="10">
    <w:abstractNumId w:val="25"/>
  </w:num>
  <w:num w:numId="11">
    <w:abstractNumId w:val="34"/>
  </w:num>
  <w:num w:numId="12">
    <w:abstractNumId w:val="1"/>
  </w:num>
  <w:num w:numId="13">
    <w:abstractNumId w:val="2"/>
  </w:num>
  <w:num w:numId="14">
    <w:abstractNumId w:val="21"/>
  </w:num>
  <w:num w:numId="15">
    <w:abstractNumId w:val="8"/>
  </w:num>
  <w:num w:numId="16">
    <w:abstractNumId w:val="11"/>
  </w:num>
  <w:num w:numId="17">
    <w:abstractNumId w:val="20"/>
  </w:num>
  <w:num w:numId="18">
    <w:abstractNumId w:val="40"/>
  </w:num>
  <w:num w:numId="19">
    <w:abstractNumId w:val="18"/>
  </w:num>
  <w:num w:numId="20">
    <w:abstractNumId w:val="39"/>
  </w:num>
  <w:num w:numId="21">
    <w:abstractNumId w:val="26"/>
  </w:num>
  <w:num w:numId="22">
    <w:abstractNumId w:val="3"/>
  </w:num>
  <w:num w:numId="23">
    <w:abstractNumId w:val="22"/>
  </w:num>
  <w:num w:numId="24">
    <w:abstractNumId w:val="7"/>
  </w:num>
  <w:num w:numId="25">
    <w:abstractNumId w:val="29"/>
  </w:num>
  <w:num w:numId="26">
    <w:abstractNumId w:val="38"/>
  </w:num>
  <w:num w:numId="27">
    <w:abstractNumId w:val="13"/>
  </w:num>
  <w:num w:numId="28">
    <w:abstractNumId w:val="5"/>
  </w:num>
  <w:num w:numId="29">
    <w:abstractNumId w:val="28"/>
  </w:num>
  <w:num w:numId="30">
    <w:abstractNumId w:val="32"/>
  </w:num>
  <w:num w:numId="31">
    <w:abstractNumId w:val="36"/>
  </w:num>
  <w:num w:numId="32">
    <w:abstractNumId w:val="37"/>
  </w:num>
  <w:num w:numId="33">
    <w:abstractNumId w:val="27"/>
  </w:num>
  <w:num w:numId="34">
    <w:abstractNumId w:val="17"/>
  </w:num>
  <w:num w:numId="35">
    <w:abstractNumId w:val="6"/>
  </w:num>
  <w:num w:numId="36">
    <w:abstractNumId w:val="24"/>
  </w:num>
  <w:num w:numId="37">
    <w:abstractNumId w:val="31"/>
  </w:num>
  <w:num w:numId="38">
    <w:abstractNumId w:val="16"/>
  </w:num>
  <w:num w:numId="39">
    <w:abstractNumId w:val="14"/>
  </w:num>
  <w:num w:numId="40">
    <w:abstractNumId w:val="33"/>
  </w:num>
  <w:num w:numId="41">
    <w:abstractNumId w:val="19"/>
  </w:num>
  <w:num w:numId="42">
    <w:abstractNumId w:val="12"/>
  </w:num>
  <w:num w:numId="43">
    <w:abstractNumId w:val="30"/>
  </w:num>
  <w:num w:numId="44">
    <w:abstractNumId w:val="0"/>
  </w:num>
  <w:num w:numId="45">
    <w:abstractNumId w:val="23"/>
  </w:num>
  <w:num w:numId="46">
    <w:abstractNumId w:val="9"/>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4NGIyZGRmMTQ4NGViN2ZiNDMyZTgxMjI2YjNmNjcifQ=="/>
  </w:docVars>
  <w:rsids>
    <w:rsidRoot w:val="4A792BC1"/>
    <w:rsid w:val="003A6B66"/>
    <w:rsid w:val="00A67D58"/>
    <w:rsid w:val="01D702EE"/>
    <w:rsid w:val="022E0279"/>
    <w:rsid w:val="028E4F47"/>
    <w:rsid w:val="02B80216"/>
    <w:rsid w:val="0305205A"/>
    <w:rsid w:val="031501B1"/>
    <w:rsid w:val="03B814DC"/>
    <w:rsid w:val="03ED4337"/>
    <w:rsid w:val="0442423B"/>
    <w:rsid w:val="04646080"/>
    <w:rsid w:val="04A02AB6"/>
    <w:rsid w:val="053503B2"/>
    <w:rsid w:val="064F4F9D"/>
    <w:rsid w:val="0927769E"/>
    <w:rsid w:val="0A0C3321"/>
    <w:rsid w:val="0B195A81"/>
    <w:rsid w:val="0B5E4333"/>
    <w:rsid w:val="0B7D0DF1"/>
    <w:rsid w:val="0C41127C"/>
    <w:rsid w:val="0CA32483"/>
    <w:rsid w:val="0E0D43CC"/>
    <w:rsid w:val="0E372937"/>
    <w:rsid w:val="0E7B0A75"/>
    <w:rsid w:val="0EB1117F"/>
    <w:rsid w:val="0F1609AB"/>
    <w:rsid w:val="0F8F00B0"/>
    <w:rsid w:val="0FD83CA6"/>
    <w:rsid w:val="10BA7FBF"/>
    <w:rsid w:val="11173876"/>
    <w:rsid w:val="112847B9"/>
    <w:rsid w:val="11534786"/>
    <w:rsid w:val="11AE74B8"/>
    <w:rsid w:val="13043EDE"/>
    <w:rsid w:val="14554682"/>
    <w:rsid w:val="164E59A4"/>
    <w:rsid w:val="18324737"/>
    <w:rsid w:val="18406443"/>
    <w:rsid w:val="18485D36"/>
    <w:rsid w:val="188B3EA1"/>
    <w:rsid w:val="196D545F"/>
    <w:rsid w:val="19B412DF"/>
    <w:rsid w:val="1B4B2B35"/>
    <w:rsid w:val="1B54323F"/>
    <w:rsid w:val="1D867E58"/>
    <w:rsid w:val="1D8B2357"/>
    <w:rsid w:val="1F901EA7"/>
    <w:rsid w:val="21877D9E"/>
    <w:rsid w:val="227B299A"/>
    <w:rsid w:val="22C32593"/>
    <w:rsid w:val="23C43E61"/>
    <w:rsid w:val="241A3470"/>
    <w:rsid w:val="2431093C"/>
    <w:rsid w:val="252D5589"/>
    <w:rsid w:val="25BE5AC8"/>
    <w:rsid w:val="25CC2EDF"/>
    <w:rsid w:val="26A7481C"/>
    <w:rsid w:val="28D5118E"/>
    <w:rsid w:val="28D554E0"/>
    <w:rsid w:val="2C2D1DFD"/>
    <w:rsid w:val="2C4939B2"/>
    <w:rsid w:val="2CC91D5E"/>
    <w:rsid w:val="2CD81465"/>
    <w:rsid w:val="2E556795"/>
    <w:rsid w:val="2F1B5F91"/>
    <w:rsid w:val="2F4F5906"/>
    <w:rsid w:val="3153052A"/>
    <w:rsid w:val="315A1842"/>
    <w:rsid w:val="31F91ADC"/>
    <w:rsid w:val="3267783E"/>
    <w:rsid w:val="33342978"/>
    <w:rsid w:val="3345560D"/>
    <w:rsid w:val="33A474CF"/>
    <w:rsid w:val="33BC3893"/>
    <w:rsid w:val="3565754B"/>
    <w:rsid w:val="35FA7C22"/>
    <w:rsid w:val="36956DC4"/>
    <w:rsid w:val="36DF1C32"/>
    <w:rsid w:val="376E466E"/>
    <w:rsid w:val="37ED732A"/>
    <w:rsid w:val="38B1344E"/>
    <w:rsid w:val="39870694"/>
    <w:rsid w:val="39F720AB"/>
    <w:rsid w:val="3A747564"/>
    <w:rsid w:val="3B1F25AF"/>
    <w:rsid w:val="3D200751"/>
    <w:rsid w:val="3D5D5B5E"/>
    <w:rsid w:val="3D6176CB"/>
    <w:rsid w:val="3EFF6AAC"/>
    <w:rsid w:val="3F470381"/>
    <w:rsid w:val="3F6057F8"/>
    <w:rsid w:val="40C625AD"/>
    <w:rsid w:val="43127AF9"/>
    <w:rsid w:val="432A1A6E"/>
    <w:rsid w:val="43516F22"/>
    <w:rsid w:val="43FC4759"/>
    <w:rsid w:val="441928C8"/>
    <w:rsid w:val="443006B8"/>
    <w:rsid w:val="45C02C36"/>
    <w:rsid w:val="46075FDC"/>
    <w:rsid w:val="46BE7ED5"/>
    <w:rsid w:val="48081CE6"/>
    <w:rsid w:val="49656BC0"/>
    <w:rsid w:val="4A050C18"/>
    <w:rsid w:val="4A792BC1"/>
    <w:rsid w:val="4AE21B38"/>
    <w:rsid w:val="4B614574"/>
    <w:rsid w:val="4BA01A18"/>
    <w:rsid w:val="4BAC74BE"/>
    <w:rsid w:val="4D542930"/>
    <w:rsid w:val="4DAC0452"/>
    <w:rsid w:val="4EBD48A0"/>
    <w:rsid w:val="4F7479F9"/>
    <w:rsid w:val="4F7E2B86"/>
    <w:rsid w:val="4FDE6BE1"/>
    <w:rsid w:val="50D94BAC"/>
    <w:rsid w:val="51894D3E"/>
    <w:rsid w:val="51A77922"/>
    <w:rsid w:val="52490566"/>
    <w:rsid w:val="528F54AF"/>
    <w:rsid w:val="535950B1"/>
    <w:rsid w:val="536B0AA5"/>
    <w:rsid w:val="54120E10"/>
    <w:rsid w:val="5417068B"/>
    <w:rsid w:val="58005F43"/>
    <w:rsid w:val="5928560F"/>
    <w:rsid w:val="59E84938"/>
    <w:rsid w:val="5AAA6FB5"/>
    <w:rsid w:val="5C06444B"/>
    <w:rsid w:val="5CE72757"/>
    <w:rsid w:val="5CE868B8"/>
    <w:rsid w:val="5CED4182"/>
    <w:rsid w:val="5DA35C00"/>
    <w:rsid w:val="5E785BA8"/>
    <w:rsid w:val="5FDB4F12"/>
    <w:rsid w:val="61555AB1"/>
    <w:rsid w:val="61B21B87"/>
    <w:rsid w:val="62052439"/>
    <w:rsid w:val="621A502B"/>
    <w:rsid w:val="6239745E"/>
    <w:rsid w:val="63042A79"/>
    <w:rsid w:val="65B90E14"/>
    <w:rsid w:val="666F593F"/>
    <w:rsid w:val="66B81126"/>
    <w:rsid w:val="67375865"/>
    <w:rsid w:val="683F2481"/>
    <w:rsid w:val="68E85E7D"/>
    <w:rsid w:val="691A77E9"/>
    <w:rsid w:val="698C4A89"/>
    <w:rsid w:val="6B58607A"/>
    <w:rsid w:val="6C6A210E"/>
    <w:rsid w:val="6D110330"/>
    <w:rsid w:val="6D723464"/>
    <w:rsid w:val="6D9D661A"/>
    <w:rsid w:val="6DDB7D5E"/>
    <w:rsid w:val="6E637A73"/>
    <w:rsid w:val="6E946696"/>
    <w:rsid w:val="6E9772F9"/>
    <w:rsid w:val="708B319F"/>
    <w:rsid w:val="721970A7"/>
    <w:rsid w:val="7390022E"/>
    <w:rsid w:val="74890D53"/>
    <w:rsid w:val="74A371BD"/>
    <w:rsid w:val="750E6C6B"/>
    <w:rsid w:val="75FA4D6A"/>
    <w:rsid w:val="76000C45"/>
    <w:rsid w:val="762416C6"/>
    <w:rsid w:val="765F4709"/>
    <w:rsid w:val="773E5288"/>
    <w:rsid w:val="77DA4BE2"/>
    <w:rsid w:val="798C478A"/>
    <w:rsid w:val="79BE48A5"/>
    <w:rsid w:val="7A374E51"/>
    <w:rsid w:val="7B60505B"/>
    <w:rsid w:val="7D807FDA"/>
    <w:rsid w:val="7FA5302A"/>
    <w:rsid w:val="7FB02A19"/>
    <w:rsid w:val="7FE93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sz w:val="32"/>
      <w:szCs w:val="32"/>
    </w:rPr>
  </w:style>
  <w:style w:type="paragraph" w:styleId="6">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6"/>
    <w:next w:val="8"/>
    <w:qFormat/>
    <w:uiPriority w:val="0"/>
    <w:pPr>
      <w:keepNext/>
      <w:keepLines/>
      <w:spacing w:before="280" w:after="290" w:line="372" w:lineRule="auto"/>
      <w:outlineLvl w:val="4"/>
    </w:pPr>
    <w:rPr>
      <w:sz w:val="28"/>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customStyle="1" w:styleId="2">
    <w:name w:val="正文-公1"/>
    <w:basedOn w:val="1"/>
    <w:qFormat/>
    <w:uiPriority w:val="0"/>
    <w:pPr>
      <w:ind w:firstLine="200" w:firstLineChars="200"/>
      <w:jc w:val="left"/>
    </w:pPr>
    <w:rPr>
      <w:rFonts w:eastAsia="仿宋_GB2312"/>
    </w:rPr>
  </w:style>
  <w:style w:type="paragraph" w:styleId="8">
    <w:name w:val="Normal Indent"/>
    <w:basedOn w:val="1"/>
    <w:unhideWhenUsed/>
    <w:qFormat/>
    <w:uiPriority w:val="99"/>
    <w:pPr>
      <w:ind w:firstLine="420"/>
    </w:pPr>
    <w:rPr>
      <w:szCs w:val="20"/>
    </w:rPr>
  </w:style>
  <w:style w:type="paragraph" w:styleId="9">
    <w:name w:val="index 8"/>
    <w:basedOn w:val="1"/>
    <w:next w:val="1"/>
    <w:qFormat/>
    <w:uiPriority w:val="0"/>
    <w:pPr>
      <w:tabs>
        <w:tab w:val="left" w:pos="540"/>
        <w:tab w:val="left" w:pos="900"/>
      </w:tabs>
      <w:jc w:val="center"/>
    </w:pPr>
    <w:rPr>
      <w:rFonts w:hAnsi="宋体" w:cs="宋体"/>
      <w:color w:val="000000"/>
      <w:sz w:val="32"/>
      <w:szCs w:val="32"/>
    </w:rPr>
  </w:style>
  <w:style w:type="paragraph" w:styleId="10">
    <w:name w:val="List Number"/>
    <w:basedOn w:val="1"/>
    <w:qFormat/>
    <w:uiPriority w:val="0"/>
    <w:pPr>
      <w:numPr>
        <w:ilvl w:val="0"/>
        <w:numId w:val="1"/>
      </w:numPr>
    </w:pPr>
  </w:style>
  <w:style w:type="paragraph" w:styleId="11">
    <w:name w:val="annotation text"/>
    <w:basedOn w:val="1"/>
    <w:unhideWhenUsed/>
    <w:qFormat/>
    <w:uiPriority w:val="99"/>
    <w:pPr>
      <w:jc w:val="left"/>
    </w:pPr>
  </w:style>
  <w:style w:type="paragraph" w:styleId="12">
    <w:name w:val="Body Text 3"/>
    <w:basedOn w:val="1"/>
    <w:qFormat/>
    <w:uiPriority w:val="99"/>
    <w:pPr>
      <w:spacing w:after="120"/>
    </w:pPr>
    <w:rPr>
      <w:sz w:val="16"/>
      <w:szCs w:val="16"/>
    </w:rPr>
  </w:style>
  <w:style w:type="paragraph" w:styleId="13">
    <w:name w:val="Body Text"/>
    <w:basedOn w:val="1"/>
    <w:unhideWhenUsed/>
    <w:qFormat/>
    <w:uiPriority w:val="99"/>
    <w:pPr>
      <w:spacing w:after="120"/>
    </w:pPr>
  </w:style>
  <w:style w:type="paragraph" w:styleId="14">
    <w:name w:val="Body Text Indent"/>
    <w:basedOn w:val="1"/>
    <w:unhideWhenUsed/>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8"/>
    <w:unhideWhenUsed/>
    <w:qFormat/>
    <w:uiPriority w:val="99"/>
    <w:rPr>
      <w:rFonts w:ascii="宋体" w:hAnsi="Courier New"/>
      <w:kern w:val="0"/>
      <w:sz w:val="20"/>
      <w:szCs w:val="21"/>
    </w:rPr>
  </w:style>
  <w:style w:type="paragraph" w:customStyle="1" w:styleId="18">
    <w:name w:val="正文_2_0"/>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页脚_2"/>
    <w:basedOn w:val="18"/>
    <w:unhideWhenUsed/>
    <w:qFormat/>
    <w:uiPriority w:val="99"/>
    <w:pPr>
      <w:tabs>
        <w:tab w:val="center" w:pos="4153"/>
        <w:tab w:val="right" w:pos="8306"/>
      </w:tabs>
      <w:snapToGrid w:val="0"/>
      <w:jc w:val="left"/>
    </w:pPr>
    <w:rPr>
      <w:sz w:val="18"/>
      <w:szCs w:val="18"/>
    </w:rPr>
  </w:style>
  <w:style w:type="paragraph" w:styleId="20">
    <w:name w:val="Date"/>
    <w:basedOn w:val="1"/>
    <w:next w:val="1"/>
    <w:unhideWhenUsed/>
    <w:qFormat/>
    <w:uiPriority w:val="99"/>
    <w:pPr>
      <w:ind w:left="100" w:leftChars="2500"/>
    </w:pPr>
  </w:style>
  <w:style w:type="paragraph" w:styleId="21">
    <w:name w:val="footer"/>
    <w:basedOn w:val="1"/>
    <w:unhideWhenUsed/>
    <w:qFormat/>
    <w:uiPriority w:val="0"/>
    <w:pPr>
      <w:tabs>
        <w:tab w:val="center" w:pos="4153"/>
        <w:tab w:val="right" w:pos="8306"/>
      </w:tabs>
      <w:snapToGrid w:val="0"/>
      <w:jc w:val="left"/>
    </w:pPr>
    <w:rPr>
      <w:kern w:val="0"/>
      <w:sz w:val="18"/>
      <w:szCs w:val="18"/>
    </w:rPr>
  </w:style>
  <w:style w:type="paragraph" w:styleId="22">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unhideWhenUsed/>
    <w:qFormat/>
    <w:uiPriority w:val="39"/>
  </w:style>
  <w:style w:type="paragraph" w:styleId="24">
    <w:name w:val="List"/>
    <w:basedOn w:val="1"/>
    <w:unhideWhenUsed/>
    <w:qFormat/>
    <w:uiPriority w:val="99"/>
    <w:pPr>
      <w:ind w:left="200" w:hanging="200" w:hangingChars="200"/>
      <w:contextualSpacing/>
    </w:pPr>
  </w:style>
  <w:style w:type="paragraph" w:styleId="25">
    <w:name w:val="table of figures"/>
    <w:basedOn w:val="1"/>
    <w:next w:val="1"/>
    <w:qFormat/>
    <w:uiPriority w:val="0"/>
    <w:pPr>
      <w:ind w:leftChars="200" w:hanging="200" w:hangingChars="200"/>
    </w:pPr>
    <w:rPr>
      <w:rFonts w:ascii="Times New Roman" w:hAnsi="Times New Roman" w:eastAsia="宋体" w:cs="Times New Roman"/>
    </w:rPr>
  </w:style>
  <w:style w:type="paragraph" w:styleId="26">
    <w:name w:val="toc 2"/>
    <w:basedOn w:val="1"/>
    <w:next w:val="1"/>
    <w:unhideWhenUsed/>
    <w:qFormat/>
    <w:uiPriority w:val="39"/>
    <w:pPr>
      <w:tabs>
        <w:tab w:val="right" w:leader="dot" w:pos="8296"/>
      </w:tabs>
      <w:ind w:left="420" w:leftChars="200"/>
    </w:pPr>
  </w:style>
  <w:style w:type="paragraph" w:styleId="27">
    <w:name w:val="Body Text First Indent 2"/>
    <w:basedOn w:val="14"/>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qFormat/>
    <w:uiPriority w:val="0"/>
  </w:style>
  <w:style w:type="character" w:styleId="32">
    <w:name w:val="Hyperlink"/>
    <w:unhideWhenUsed/>
    <w:qFormat/>
    <w:uiPriority w:val="99"/>
    <w:rPr>
      <w:color w:val="0000FF"/>
      <w:u w:val="single"/>
    </w:rPr>
  </w:style>
  <w:style w:type="paragraph" w:customStyle="1" w:styleId="33">
    <w:name w:val="表格文字"/>
    <w:basedOn w:val="14"/>
    <w:qFormat/>
    <w:uiPriority w:val="0"/>
    <w:pPr>
      <w:spacing w:before="60" w:after="60" w:line="240" w:lineRule="auto"/>
      <w:ind w:firstLine="0"/>
    </w:pPr>
    <w:rPr>
      <w:rFonts w:ascii="Times New Roman" w:hAnsi="Times New Roman"/>
      <w:szCs w:val="24"/>
    </w:rPr>
  </w:style>
  <w:style w:type="paragraph" w:customStyle="1" w:styleId="34">
    <w:name w:val="正文2"/>
    <w:basedOn w:val="1"/>
    <w:qFormat/>
    <w:uiPriority w:val="0"/>
    <w:pPr>
      <w:adjustRightInd w:val="0"/>
      <w:spacing w:before="156" w:line="360" w:lineRule="auto"/>
      <w:ind w:firstLine="510" w:firstLineChars="200"/>
    </w:pPr>
    <w:rPr>
      <w:kern w:val="0"/>
      <w:sz w:val="24"/>
      <w:szCs w:val="20"/>
    </w:rPr>
  </w:style>
  <w:style w:type="paragraph" w:customStyle="1" w:styleId="3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10"/>
    <w:qFormat/>
    <w:uiPriority w:val="0"/>
    <w:rPr>
      <w:rFonts w:hint="default" w:ascii="Times New Roman" w:hAnsi="Times New Roman" w:cs="Times New Roman"/>
    </w:rPr>
  </w:style>
  <w:style w:type="paragraph" w:customStyle="1" w:styleId="40">
    <w:name w:val="正文_2"/>
    <w:basedOn w:val="41"/>
    <w:next w:val="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3"/>
    <w:basedOn w:val="1"/>
    <w:qFormat/>
    <w:uiPriority w:val="0"/>
    <w:rPr>
      <w:szCs w:val="22"/>
    </w:rPr>
  </w:style>
  <w:style w:type="paragraph" w:customStyle="1" w:styleId="42">
    <w:name w:val="标题 2_1"/>
    <w:basedOn w:val="40"/>
    <w:next w:val="18"/>
    <w:qFormat/>
    <w:uiPriority w:val="99"/>
    <w:pPr>
      <w:keepNext/>
      <w:keepLines/>
      <w:spacing w:before="60" w:after="60" w:line="413" w:lineRule="auto"/>
      <w:outlineLvl w:val="1"/>
    </w:pPr>
    <w:rPr>
      <w:rFonts w:ascii="Arial" w:hAnsi="Arial" w:eastAsia="黑体"/>
      <w:b/>
      <w:bCs/>
      <w:szCs w:val="32"/>
    </w:rPr>
  </w:style>
  <w:style w:type="paragraph" w:customStyle="1" w:styleId="43">
    <w:name w:val="表格文字115"/>
    <w:basedOn w:val="1"/>
    <w:qFormat/>
    <w:uiPriority w:val="0"/>
    <w:pPr>
      <w:spacing w:before="25" w:after="25"/>
      <w:jc w:val="left"/>
    </w:pPr>
    <w:rPr>
      <w:bCs/>
      <w:spacing w:val="10"/>
      <w:kern w:val="0"/>
      <w:sz w:val="24"/>
    </w:rPr>
  </w:style>
  <w:style w:type="paragraph" w:customStyle="1" w:styleId="44">
    <w:name w:val="Normal Indent1"/>
    <w:basedOn w:val="1"/>
    <w:qFormat/>
    <w:uiPriority w:val="0"/>
    <w:pPr>
      <w:spacing w:line="660" w:lineRule="exact"/>
      <w:ind w:firstLine="720"/>
    </w:pPr>
    <w:rPr>
      <w:rFonts w:eastAsia="Cambria Math"/>
      <w:sz w:val="36"/>
      <w:szCs w:val="36"/>
    </w:rPr>
  </w:style>
  <w:style w:type="paragraph" w:customStyle="1" w:styleId="45">
    <w:name w:val="font5"/>
    <w:basedOn w:val="1"/>
    <w:qFormat/>
    <w:uiPriority w:val="0"/>
    <w:pPr>
      <w:widowControl/>
      <w:spacing w:before="100" w:beforeAutospacing="1" w:after="100" w:afterAutospacing="1"/>
      <w:jc w:val="left"/>
    </w:pPr>
    <w:rPr>
      <w:kern w:val="0"/>
      <w:sz w:val="24"/>
      <w:szCs w:val="20"/>
    </w:rPr>
  </w:style>
  <w:style w:type="paragraph" w:customStyle="1" w:styleId="46">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7">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8">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9">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2">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0"/>
      <w:szCs w:val="20"/>
      <w:lang w:val="en-US" w:eastAsia="en-US" w:bidi="ar-SA"/>
    </w:rPr>
  </w:style>
  <w:style w:type="paragraph" w:customStyle="1" w:styleId="53">
    <w:name w:val="Body text|1"/>
    <w:basedOn w:val="1"/>
    <w:qFormat/>
    <w:uiPriority w:val="0"/>
    <w:pPr>
      <w:spacing w:line="360" w:lineRule="auto"/>
      <w:ind w:firstLine="400"/>
    </w:pPr>
    <w:rPr>
      <w:rFonts w:ascii="宋体" w:hAnsi="宋体" w:cs="宋体"/>
      <w:kern w:val="0"/>
      <w:sz w:val="20"/>
      <w:szCs w:val="20"/>
      <w:lang w:val="zh-CN" w:bidi="zh-CN"/>
    </w:rPr>
  </w:style>
  <w:style w:type="paragraph" w:customStyle="1" w:styleId="54">
    <w:name w:val="Body text|1_1"/>
    <w:basedOn w:val="18"/>
    <w:qFormat/>
    <w:uiPriority w:val="0"/>
    <w:pPr>
      <w:spacing w:line="360" w:lineRule="auto"/>
      <w:ind w:firstLine="400"/>
    </w:pPr>
    <w:rPr>
      <w:rFonts w:ascii="宋体" w:hAnsi="宋体" w:eastAsia="宋体" w:cs="宋体"/>
      <w:color w:val="auto"/>
      <w:kern w:val="2"/>
      <w:sz w:val="20"/>
      <w:szCs w:val="20"/>
      <w:lang w:val="zh-CN" w:eastAsia="zh-CN" w:bidi="zh-CN"/>
    </w:rPr>
  </w:style>
  <w:style w:type="paragraph" w:customStyle="1" w:styleId="55">
    <w:name w:val="纯文本_0"/>
    <w:basedOn w:val="40"/>
    <w:qFormat/>
    <w:uiPriority w:val="0"/>
    <w:rPr>
      <w:rFonts w:ascii="宋体" w:hAnsi="Courier New"/>
      <w:kern w:val="0"/>
      <w:sz w:val="20"/>
      <w:szCs w:val="24"/>
    </w:rPr>
  </w:style>
  <w:style w:type="paragraph" w:customStyle="1" w:styleId="56">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2_0_0"/>
    <w:basedOn w:val="49"/>
    <w:qFormat/>
    <w:uiPriority w:val="0"/>
    <w:rPr>
      <w:rFonts w:ascii="Calibri" w:hAnsi="Calibri" w:cs="Calibri"/>
    </w:rPr>
  </w:style>
  <w:style w:type="paragraph" w:customStyle="1" w:styleId="58">
    <w:name w:val="正文_3_0_0"/>
    <w:basedOn w:val="56"/>
    <w:qFormat/>
    <w:uiPriority w:val="0"/>
    <w:pPr>
      <w:widowControl w:val="0"/>
      <w:jc w:val="both"/>
    </w:pPr>
    <w:rPr>
      <w:rFonts w:ascii="Calibri" w:hAnsi="Calibri"/>
      <w:kern w:val="2"/>
      <w:sz w:val="21"/>
      <w:szCs w:val="22"/>
      <w:lang w:val="en-US" w:eastAsia="zh-CN" w:bidi="ar-SA"/>
    </w:rPr>
  </w:style>
  <w:style w:type="character" w:customStyle="1" w:styleId="59">
    <w:name w:val="NormalCharacter"/>
    <w:qFormat/>
    <w:uiPriority w:val="0"/>
    <w:rPr>
      <w:rFonts w:ascii="Times New Roman" w:hAnsi="Times New Roman" w:eastAsia="宋体" w:cs="Times New Roman"/>
      <w:kern w:val="2"/>
      <w:sz w:val="21"/>
      <w:szCs w:val="24"/>
      <w:lang w:val="en-US" w:eastAsia="zh-CN" w:bidi="ar-SA"/>
    </w:rPr>
  </w:style>
  <w:style w:type="paragraph" w:customStyle="1" w:styleId="60">
    <w:name w:val="Other|1"/>
    <w:basedOn w:val="1"/>
    <w:autoRedefine/>
    <w:qFormat/>
    <w:uiPriority w:val="0"/>
    <w:pPr>
      <w:spacing w:line="263" w:lineRule="exact"/>
    </w:pPr>
    <w:rPr>
      <w:rFonts w:ascii="宋体" w:hAnsi="宋体" w:eastAsia="宋体" w:cs="宋体"/>
      <w:color w:val="auto"/>
      <w:kern w:val="2"/>
      <w:sz w:val="18"/>
      <w:szCs w:val="1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wmf"/><Relationship Id="rId25" Type="http://schemas.openxmlformats.org/officeDocument/2006/relationships/oleObject" Target="embeddings/oleObject3.bin"/><Relationship Id="rId24" Type="http://schemas.openxmlformats.org/officeDocument/2006/relationships/oleObject" Target="embeddings/oleObject2.bin"/><Relationship Id="rId23" Type="http://schemas.openxmlformats.org/officeDocument/2006/relationships/image" Target="media/image1.w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header" Target="header4.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155</Pages>
  <Words>3447</Words>
  <Characters>4074</Characters>
  <Lines>0</Lines>
  <Paragraphs>0</Paragraphs>
  <TotalTime>42</TotalTime>
  <ScaleCrop>false</ScaleCrop>
  <LinksUpToDate>false</LinksUpToDate>
  <CharactersWithSpaces>4112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Administrator</cp:lastModifiedBy>
  <cp:lastPrinted>2025-10-23T09:27:00Z</cp:lastPrinted>
  <dcterms:modified xsi:type="dcterms:W3CDTF">2026-06-29T01:15:58Z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680F253A605F47549AD934292168F848_11</vt:lpwstr>
  </property>
  <property fmtid="{D5CDD505-2E9C-101B-9397-08002B2CF9AE}" pid="4" name="KSOTemplateDocerSaveRecord">
    <vt:lpwstr>eyJoZGlkIjoiNWJjNzg2OGM1MTNlOTMwNmZkYThkY2E2MmFhMTk0NjMiLCJ1c2VySWQiOiIyODIxMDU4MDMifQ==</vt:lpwstr>
  </property>
</Properties>
</file>