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58C17">
      <w:pPr>
        <w:pageBreakBefore w:val="0"/>
        <w:kinsoku/>
        <w:wordWrap/>
        <w:topLinePunct w:val="0"/>
        <w:bidi w:val="0"/>
        <w:spacing w:line="312" w:lineRule="auto"/>
        <w:jc w:val="center"/>
        <w:rPr>
          <w:rFonts w:hint="eastAsia" w:ascii="宋体" w:hAnsi="宋体" w:eastAsia="宋体" w:cs="宋体"/>
          <w:color w:val="auto"/>
          <w:sz w:val="52"/>
          <w:szCs w:val="52"/>
          <w:lang w:eastAsia="zh-CN"/>
        </w:rPr>
      </w:pPr>
      <w:r>
        <w:rPr>
          <w:rFonts w:hint="eastAsia" w:ascii="宋体" w:hAnsi="宋体" w:eastAsia="宋体" w:cs="宋体"/>
          <w:color w:val="auto"/>
          <w:sz w:val="52"/>
          <w:szCs w:val="52"/>
          <w:lang w:eastAsia="zh-CN"/>
        </w:rPr>
        <w:t>南宁品正建设咨询有限责任公司</w:t>
      </w:r>
    </w:p>
    <w:p w14:paraId="70C7ECB3">
      <w:pPr>
        <w:pageBreakBefore w:val="0"/>
        <w:kinsoku/>
        <w:wordWrap/>
        <w:topLinePunct w:val="0"/>
        <w:bidi w:val="0"/>
        <w:spacing w:line="312" w:lineRule="auto"/>
        <w:jc w:val="center"/>
        <w:rPr>
          <w:rFonts w:hint="eastAsia" w:ascii="宋体" w:hAnsi="宋体" w:eastAsia="宋体" w:cs="宋体"/>
          <w:color w:val="auto"/>
          <w:sz w:val="48"/>
          <w:szCs w:val="48"/>
        </w:rPr>
      </w:pPr>
    </w:p>
    <w:p w14:paraId="45D9FE85">
      <w:pPr>
        <w:pageBreakBefore w:val="0"/>
        <w:kinsoku/>
        <w:wordWrap/>
        <w:topLinePunct w:val="0"/>
        <w:bidi w:val="0"/>
        <w:spacing w:line="312" w:lineRule="auto"/>
        <w:jc w:val="center"/>
        <w:rPr>
          <w:rFonts w:hint="eastAsia" w:ascii="宋体" w:hAnsi="宋体" w:eastAsia="宋体" w:cs="宋体"/>
          <w:color w:val="auto"/>
        </w:rPr>
      </w:pPr>
    </w:p>
    <w:p w14:paraId="516FBD38">
      <w:pPr>
        <w:keepNext/>
        <w:keepLines/>
        <w:pageBreakBefore w:val="0"/>
        <w:widowControl w:val="0"/>
        <w:kinsoku/>
        <w:wordWrap/>
        <w:topLinePunct w:val="0"/>
        <w:bidi w:val="0"/>
        <w:spacing w:before="340" w:after="330" w:line="312" w:lineRule="auto"/>
        <w:jc w:val="center"/>
        <w:outlineLvl w:val="9"/>
        <w:rPr>
          <w:rFonts w:hint="eastAsia" w:ascii="宋体" w:hAnsi="宋体" w:eastAsia="宋体" w:cs="宋体"/>
          <w:b/>
          <w:bCs/>
          <w:color w:val="auto"/>
          <w:kern w:val="44"/>
          <w:sz w:val="44"/>
          <w:szCs w:val="44"/>
          <w:lang w:val="en-US" w:eastAsia="zh-CN" w:bidi="ar-SA"/>
        </w:rPr>
      </w:pPr>
      <w:r>
        <w:rPr>
          <w:rFonts w:hint="eastAsia" w:ascii="宋体" w:hAnsi="宋体" w:eastAsia="宋体" w:cs="宋体"/>
          <w:b/>
          <w:bCs/>
          <w:color w:val="auto"/>
          <w:kern w:val="44"/>
          <w:sz w:val="44"/>
          <w:szCs w:val="44"/>
          <w:lang w:val="en-US" w:eastAsia="zh-CN" w:bidi="ar-SA"/>
        </w:rPr>
        <w:drawing>
          <wp:inline distT="0" distB="0" distL="114300" distR="114300">
            <wp:extent cx="2580640" cy="1761490"/>
            <wp:effectExtent l="0" t="0" r="10160" b="10160"/>
            <wp:docPr id="1" name="图片 2"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标"/>
                    <pic:cNvPicPr>
                      <a:picLocks noChangeAspect="1"/>
                    </pic:cNvPicPr>
                  </pic:nvPicPr>
                  <pic:blipFill>
                    <a:blip r:embed="rId12"/>
                    <a:stretch>
                      <a:fillRect/>
                    </a:stretch>
                  </pic:blipFill>
                  <pic:spPr>
                    <a:xfrm>
                      <a:off x="0" y="0"/>
                      <a:ext cx="2580640" cy="1761490"/>
                    </a:xfrm>
                    <a:prstGeom prst="rect">
                      <a:avLst/>
                    </a:prstGeom>
                    <a:noFill/>
                    <a:ln>
                      <a:noFill/>
                    </a:ln>
                  </pic:spPr>
                </pic:pic>
              </a:graphicData>
            </a:graphic>
          </wp:inline>
        </w:drawing>
      </w:r>
    </w:p>
    <w:p w14:paraId="28158C24">
      <w:pPr>
        <w:keepNext/>
        <w:keepLines/>
        <w:pageBreakBefore w:val="0"/>
        <w:widowControl w:val="0"/>
        <w:kinsoku/>
        <w:wordWrap/>
        <w:topLinePunct w:val="0"/>
        <w:bidi w:val="0"/>
        <w:spacing w:before="340" w:after="330" w:line="312" w:lineRule="auto"/>
        <w:jc w:val="both"/>
        <w:outlineLvl w:val="9"/>
        <w:rPr>
          <w:rFonts w:hint="eastAsia" w:ascii="宋体" w:hAnsi="宋体" w:eastAsia="宋体" w:cs="宋体"/>
          <w:b/>
          <w:bCs/>
          <w:color w:val="auto"/>
          <w:kern w:val="44"/>
          <w:sz w:val="44"/>
          <w:szCs w:val="44"/>
          <w:lang w:val="en-US" w:eastAsia="zh-CN" w:bidi="ar-SA"/>
        </w:rPr>
      </w:pPr>
    </w:p>
    <w:p w14:paraId="682FF24C">
      <w:pPr>
        <w:pageBreakBefore w:val="0"/>
        <w:kinsoku/>
        <w:wordWrap/>
        <w:topLinePunct w:val="0"/>
        <w:bidi w:val="0"/>
        <w:spacing w:line="312" w:lineRule="auto"/>
        <w:rPr>
          <w:rFonts w:hint="eastAsia" w:ascii="宋体" w:hAnsi="宋体" w:eastAsia="宋体" w:cs="宋体"/>
          <w:color w:val="auto"/>
        </w:rPr>
      </w:pPr>
    </w:p>
    <w:p w14:paraId="74D90760">
      <w:pPr>
        <w:pageBreakBefore w:val="0"/>
        <w:kinsoku/>
        <w:wordWrap/>
        <w:topLinePunct w:val="0"/>
        <w:bidi w:val="0"/>
        <w:spacing w:line="312" w:lineRule="auto"/>
        <w:jc w:val="center"/>
        <w:rPr>
          <w:rFonts w:hint="eastAsia" w:ascii="宋体" w:hAnsi="宋体" w:eastAsia="宋体" w:cs="宋体"/>
          <w:b/>
          <w:bCs/>
          <w:color w:val="auto"/>
          <w:sz w:val="84"/>
        </w:rPr>
      </w:pPr>
      <w:r>
        <w:rPr>
          <w:rFonts w:hint="eastAsia" w:ascii="宋体" w:hAnsi="宋体" w:eastAsia="宋体" w:cs="宋体"/>
          <w:b/>
          <w:bCs/>
          <w:color w:val="auto"/>
          <w:sz w:val="84"/>
        </w:rPr>
        <w:t>竞争性磋商文件</w:t>
      </w:r>
    </w:p>
    <w:p w14:paraId="39F7FE7B">
      <w:pPr>
        <w:pageBreakBefore w:val="0"/>
        <w:kinsoku/>
        <w:wordWrap/>
        <w:topLinePunct w:val="0"/>
        <w:bidi w:val="0"/>
        <w:spacing w:line="312" w:lineRule="auto"/>
        <w:jc w:val="center"/>
        <w:rPr>
          <w:rFonts w:hint="eastAsia" w:ascii="宋体" w:hAnsi="宋体" w:eastAsia="宋体" w:cs="宋体"/>
          <w:color w:val="auto"/>
        </w:rPr>
      </w:pPr>
    </w:p>
    <w:p w14:paraId="61B64998">
      <w:pPr>
        <w:pageBreakBefore w:val="0"/>
        <w:kinsoku/>
        <w:wordWrap/>
        <w:topLinePunct w:val="0"/>
        <w:bidi w:val="0"/>
        <w:spacing w:line="312" w:lineRule="auto"/>
        <w:jc w:val="center"/>
        <w:rPr>
          <w:rFonts w:hint="eastAsia" w:ascii="宋体" w:hAnsi="宋体" w:eastAsia="宋体" w:cs="宋体"/>
          <w:color w:val="auto"/>
        </w:rPr>
      </w:pPr>
    </w:p>
    <w:p w14:paraId="6459E3CC">
      <w:pPr>
        <w:pStyle w:val="19"/>
        <w:pageBreakBefore w:val="0"/>
        <w:kinsoku/>
        <w:wordWrap/>
        <w:topLinePunct w:val="0"/>
        <w:bidi w:val="0"/>
        <w:spacing w:line="312" w:lineRule="auto"/>
        <w:ind w:left="0" w:leftChars="0"/>
        <w:rPr>
          <w:rFonts w:hint="eastAsia" w:ascii="宋体" w:hAnsi="宋体" w:eastAsia="宋体" w:cs="宋体"/>
          <w:color w:val="auto"/>
        </w:rPr>
      </w:pPr>
    </w:p>
    <w:p w14:paraId="39F8C377">
      <w:pPr>
        <w:pStyle w:val="19"/>
        <w:pageBreakBefore w:val="0"/>
        <w:kinsoku/>
        <w:wordWrap/>
        <w:topLinePunct w:val="0"/>
        <w:bidi w:val="0"/>
        <w:spacing w:line="312" w:lineRule="auto"/>
        <w:ind w:left="0" w:leftChars="0" w:firstLine="0" w:firstLineChars="0"/>
        <w:jc w:val="center"/>
        <w:rPr>
          <w:rFonts w:hint="eastAsia" w:ascii="宋体" w:hAnsi="宋体" w:eastAsia="宋体" w:cs="宋体"/>
          <w:b/>
          <w:color w:val="auto"/>
          <w:sz w:val="30"/>
          <w:szCs w:val="30"/>
          <w:u w:val="single"/>
          <w:lang w:eastAsia="zh-CN"/>
        </w:rPr>
      </w:pPr>
      <w:r>
        <w:rPr>
          <w:rFonts w:hint="eastAsia" w:ascii="宋体" w:hAnsi="宋体" w:eastAsia="宋体" w:cs="宋体"/>
          <w:b/>
          <w:color w:val="auto"/>
          <w:sz w:val="30"/>
          <w:szCs w:val="30"/>
        </w:rPr>
        <w:t>项目名称：</w:t>
      </w:r>
      <w:r>
        <w:rPr>
          <w:rFonts w:hint="eastAsia" w:ascii="宋体" w:hAnsi="宋体" w:cs="宋体"/>
          <w:b/>
          <w:color w:val="auto"/>
          <w:sz w:val="30"/>
          <w:szCs w:val="30"/>
          <w:lang w:eastAsia="zh-CN"/>
        </w:rPr>
        <w:t>苍梧六堡茶2026年推介展销项目</w:t>
      </w:r>
    </w:p>
    <w:p w14:paraId="1D618D50">
      <w:pPr>
        <w:pStyle w:val="19"/>
        <w:pageBreakBefore w:val="0"/>
        <w:kinsoku/>
        <w:wordWrap/>
        <w:topLinePunct w:val="0"/>
        <w:bidi w:val="0"/>
        <w:spacing w:line="312" w:lineRule="auto"/>
        <w:ind w:left="0" w:leftChars="0" w:firstLine="1858" w:firstLineChars="617"/>
        <w:jc w:val="both"/>
        <w:rPr>
          <w:rFonts w:hint="eastAsia" w:ascii="宋体" w:hAnsi="宋体" w:eastAsia="宋体" w:cs="宋体"/>
          <w:color w:val="auto"/>
          <w:sz w:val="30"/>
          <w:szCs w:val="30"/>
          <w:highlight w:val="yellow"/>
          <w:lang w:eastAsia="zh-CN"/>
        </w:rPr>
      </w:pPr>
      <w:r>
        <w:rPr>
          <w:rFonts w:hint="eastAsia" w:ascii="宋体" w:hAnsi="宋体" w:eastAsia="宋体" w:cs="宋体"/>
          <w:b/>
          <w:color w:val="auto"/>
          <w:sz w:val="30"/>
          <w:szCs w:val="30"/>
        </w:rPr>
        <w:t>项目编号：</w:t>
      </w:r>
      <w:r>
        <w:rPr>
          <w:rFonts w:hint="eastAsia" w:ascii="宋体" w:hAnsi="宋体" w:cs="宋体"/>
          <w:b/>
          <w:color w:val="auto"/>
          <w:sz w:val="30"/>
          <w:szCs w:val="30"/>
          <w:lang w:eastAsia="zh-CN"/>
        </w:rPr>
        <w:t>WZZC2026-C3-210051-NNPZ</w:t>
      </w:r>
    </w:p>
    <w:p w14:paraId="6E5AA3BE">
      <w:pPr>
        <w:pageBreakBefore w:val="0"/>
        <w:kinsoku/>
        <w:wordWrap/>
        <w:topLinePunct w:val="0"/>
        <w:bidi w:val="0"/>
        <w:spacing w:line="312" w:lineRule="auto"/>
        <w:jc w:val="center"/>
        <w:rPr>
          <w:rFonts w:hint="eastAsia" w:ascii="宋体" w:hAnsi="宋体" w:eastAsia="宋体" w:cs="宋体"/>
          <w:color w:val="auto"/>
          <w:sz w:val="32"/>
        </w:rPr>
      </w:pPr>
    </w:p>
    <w:p w14:paraId="3864225D">
      <w:pPr>
        <w:pageBreakBefore w:val="0"/>
        <w:kinsoku/>
        <w:wordWrap/>
        <w:topLinePunct w:val="0"/>
        <w:bidi w:val="0"/>
        <w:spacing w:line="312" w:lineRule="auto"/>
        <w:rPr>
          <w:rFonts w:hint="eastAsia" w:ascii="宋体" w:hAnsi="宋体" w:eastAsia="宋体" w:cs="宋体"/>
          <w:color w:val="auto"/>
          <w:sz w:val="32"/>
        </w:rPr>
      </w:pPr>
    </w:p>
    <w:p w14:paraId="3A54FB65">
      <w:pPr>
        <w:pageBreakBefore w:val="0"/>
        <w:kinsoku/>
        <w:wordWrap/>
        <w:topLinePunct w:val="0"/>
        <w:bidi w:val="0"/>
        <w:spacing w:line="312" w:lineRule="auto"/>
        <w:rPr>
          <w:rFonts w:hint="eastAsia" w:ascii="宋体" w:hAnsi="宋体" w:eastAsia="宋体" w:cs="宋体"/>
          <w:b w:val="0"/>
          <w:bCs/>
          <w:color w:val="auto"/>
          <w:sz w:val="32"/>
          <w:szCs w:val="32"/>
        </w:rPr>
      </w:pPr>
      <w:r>
        <w:rPr>
          <w:rFonts w:hint="eastAsia" w:ascii="宋体" w:hAnsi="宋体" w:eastAsia="宋体" w:cs="宋体"/>
          <w:b/>
          <w:color w:val="auto"/>
          <w:sz w:val="32"/>
          <w:szCs w:val="32"/>
        </w:rPr>
        <w:t xml:space="preserve">      </w:t>
      </w:r>
      <w:r>
        <w:rPr>
          <w:rFonts w:hint="eastAsia" w:ascii="宋体" w:hAnsi="宋体" w:eastAsia="宋体" w:cs="宋体"/>
          <w:b w:val="0"/>
          <w:bCs/>
          <w:color w:val="auto"/>
          <w:sz w:val="32"/>
          <w:szCs w:val="32"/>
        </w:rPr>
        <w:t xml:space="preserve"> 采   购   </w:t>
      </w:r>
      <w:r>
        <w:rPr>
          <w:rFonts w:hint="eastAsia" w:ascii="宋体" w:hAnsi="宋体" w:eastAsia="宋体" w:cs="宋体"/>
          <w:b w:val="0"/>
          <w:bCs/>
          <w:color w:val="auto"/>
          <w:spacing w:val="2"/>
          <w:sz w:val="32"/>
          <w:szCs w:val="32"/>
        </w:rPr>
        <w:t>人</w:t>
      </w:r>
      <w:r>
        <w:rPr>
          <w:rFonts w:hint="eastAsia" w:ascii="宋体" w:hAnsi="宋体" w:eastAsia="宋体" w:cs="宋体"/>
          <w:b w:val="0"/>
          <w:bCs/>
          <w:color w:val="auto"/>
          <w:sz w:val="32"/>
          <w:szCs w:val="32"/>
        </w:rPr>
        <w:t>:</w:t>
      </w:r>
      <w:r>
        <w:rPr>
          <w:rFonts w:hint="eastAsia" w:ascii="宋体" w:hAnsi="宋体" w:cs="宋体"/>
          <w:b w:val="0"/>
          <w:bCs/>
          <w:color w:val="auto"/>
          <w:sz w:val="32"/>
          <w:szCs w:val="32"/>
          <w:lang w:eastAsia="zh-CN"/>
        </w:rPr>
        <w:t>苍梧县茶产业发展局</w:t>
      </w:r>
    </w:p>
    <w:p w14:paraId="2EF164F7">
      <w:pPr>
        <w:pageBreakBefore w:val="0"/>
        <w:kinsoku/>
        <w:wordWrap/>
        <w:topLinePunct w:val="0"/>
        <w:bidi w:val="0"/>
        <w:spacing w:line="312" w:lineRule="auto"/>
        <w:ind w:firstLine="1104" w:firstLineChars="345"/>
        <w:rPr>
          <w:rFonts w:hint="eastAsia" w:ascii="宋体" w:hAnsi="宋体" w:eastAsia="宋体" w:cs="宋体"/>
          <w:b w:val="0"/>
          <w:bCs/>
          <w:color w:val="auto"/>
          <w:spacing w:val="10"/>
          <w:kern w:val="0"/>
          <w:sz w:val="32"/>
          <w:szCs w:val="32"/>
          <w:lang w:eastAsia="zh-CN"/>
        </w:rPr>
      </w:pPr>
      <w:r>
        <w:rPr>
          <w:rFonts w:hint="eastAsia" w:ascii="宋体" w:hAnsi="宋体" w:eastAsia="宋体" w:cs="宋体"/>
          <w:b w:val="0"/>
          <w:bCs/>
          <w:color w:val="auto"/>
          <w:sz w:val="32"/>
          <w:szCs w:val="32"/>
        </w:rPr>
        <w:t>采购</w:t>
      </w:r>
      <w:r>
        <w:rPr>
          <w:rFonts w:hint="eastAsia" w:ascii="宋体" w:hAnsi="宋体" w:eastAsia="宋体" w:cs="宋体"/>
          <w:b w:val="0"/>
          <w:bCs/>
          <w:color w:val="auto"/>
          <w:spacing w:val="2"/>
          <w:sz w:val="32"/>
          <w:szCs w:val="32"/>
        </w:rPr>
        <w:t>代理机</w:t>
      </w:r>
      <w:r>
        <w:rPr>
          <w:rFonts w:hint="eastAsia" w:ascii="宋体" w:hAnsi="宋体" w:eastAsia="宋体" w:cs="宋体"/>
          <w:b w:val="0"/>
          <w:bCs/>
          <w:color w:val="auto"/>
          <w:sz w:val="32"/>
          <w:szCs w:val="32"/>
        </w:rPr>
        <w:t>构:</w:t>
      </w:r>
      <w:r>
        <w:rPr>
          <w:rFonts w:hint="eastAsia" w:ascii="宋体" w:hAnsi="宋体" w:eastAsia="宋体" w:cs="宋体"/>
          <w:b w:val="0"/>
          <w:bCs/>
          <w:color w:val="auto"/>
          <w:spacing w:val="10"/>
          <w:kern w:val="0"/>
          <w:sz w:val="32"/>
          <w:szCs w:val="32"/>
          <w:lang w:eastAsia="zh-CN"/>
        </w:rPr>
        <w:t>南宁品正建设咨询有限责任公司</w:t>
      </w:r>
    </w:p>
    <w:p w14:paraId="237CACEB">
      <w:pPr>
        <w:pageBreakBefore w:val="0"/>
        <w:kinsoku/>
        <w:wordWrap/>
        <w:topLinePunct w:val="0"/>
        <w:bidi w:val="0"/>
        <w:spacing w:line="312" w:lineRule="auto"/>
        <w:ind w:left="0" w:leftChars="0" w:firstLine="1104" w:firstLineChars="0"/>
        <w:jc w:val="both"/>
        <w:rPr>
          <w:rFonts w:hint="eastAsia" w:ascii="宋体" w:hAnsi="宋体" w:eastAsia="宋体"/>
          <w:b/>
          <w:color w:val="auto"/>
          <w:sz w:val="44"/>
          <w:szCs w:val="44"/>
          <w:highlight w:val="none"/>
          <w:lang w:eastAsia="zh-CN"/>
        </w:rPr>
        <w:sectPr>
          <w:headerReference r:id="rId4" w:type="first"/>
          <w:footerReference r:id="rId6" w:type="first"/>
          <w:headerReference r:id="rId3" w:type="default"/>
          <w:footerReference r:id="rId5" w:type="default"/>
          <w:pgSz w:w="11906" w:h="16838"/>
          <w:pgMar w:top="1440" w:right="1080" w:bottom="1440" w:left="1080" w:header="851" w:footer="992" w:gutter="0"/>
          <w:pgNumType w:fmt="decimal" w:start="0"/>
          <w:cols w:space="720" w:num="1"/>
          <w:titlePg/>
          <w:docGrid w:type="lines" w:linePitch="312" w:charSpace="0"/>
        </w:sectPr>
      </w:pPr>
      <w:r>
        <w:rPr>
          <w:rFonts w:hint="eastAsia" w:ascii="宋体" w:hAnsi="宋体" w:eastAsia="宋体" w:cs="宋体"/>
          <w:b w:val="0"/>
          <w:bCs/>
          <w:color w:val="auto"/>
          <w:sz w:val="32"/>
          <w:szCs w:val="32"/>
        </w:rPr>
        <w:t>日        期</w:t>
      </w:r>
      <w:r>
        <w:rPr>
          <w:rFonts w:hint="eastAsia" w:ascii="宋体" w:hAnsi="宋体" w:eastAsia="宋体" w:cs="宋体"/>
          <w:b/>
          <w:bCs w:val="0"/>
          <w:color w:val="auto"/>
          <w:sz w:val="32"/>
          <w:szCs w:val="32"/>
        </w:rPr>
        <w:t>：</w:t>
      </w:r>
      <w:r>
        <w:rPr>
          <w:rFonts w:hint="eastAsia" w:ascii="宋体" w:hAnsi="宋体" w:eastAsia="宋体" w:cs="宋体"/>
          <w:b w:val="0"/>
          <w:bCs/>
          <w:color w:val="auto"/>
          <w:spacing w:val="-8"/>
          <w:sz w:val="32"/>
          <w:lang w:val="en-US" w:eastAsia="zh-CN"/>
        </w:rPr>
        <w:t>202</w:t>
      </w:r>
      <w:r>
        <w:rPr>
          <w:rFonts w:hint="eastAsia" w:ascii="宋体" w:hAnsi="宋体" w:cs="宋体"/>
          <w:b w:val="0"/>
          <w:bCs/>
          <w:color w:val="auto"/>
          <w:spacing w:val="-8"/>
          <w:sz w:val="32"/>
          <w:lang w:val="en-US" w:eastAsia="zh-CN"/>
        </w:rPr>
        <w:t>6</w:t>
      </w:r>
      <w:r>
        <w:rPr>
          <w:rFonts w:hint="eastAsia" w:ascii="宋体" w:hAnsi="宋体" w:eastAsia="宋体" w:cs="宋体"/>
          <w:b w:val="0"/>
          <w:bCs/>
          <w:color w:val="auto"/>
          <w:spacing w:val="-8"/>
          <w:sz w:val="32"/>
        </w:rPr>
        <w:t>年</w:t>
      </w:r>
      <w:r>
        <w:rPr>
          <w:rFonts w:hint="eastAsia" w:ascii="宋体" w:hAnsi="宋体" w:eastAsia="宋体" w:cs="宋体"/>
          <w:b w:val="0"/>
          <w:bCs/>
          <w:color w:val="auto"/>
          <w:spacing w:val="-8"/>
          <w:sz w:val="32"/>
          <w:lang w:val="en-US" w:eastAsia="zh-CN"/>
        </w:rPr>
        <w:t>0</w:t>
      </w:r>
      <w:r>
        <w:rPr>
          <w:rFonts w:hint="eastAsia" w:ascii="宋体" w:hAnsi="宋体" w:cs="宋体"/>
          <w:b w:val="0"/>
          <w:bCs/>
          <w:color w:val="auto"/>
          <w:spacing w:val="-8"/>
          <w:sz w:val="32"/>
          <w:lang w:val="en-US" w:eastAsia="zh-CN"/>
        </w:rPr>
        <w:t>5</w:t>
      </w:r>
      <w:r>
        <w:rPr>
          <w:rFonts w:hint="eastAsia" w:ascii="宋体" w:hAnsi="宋体" w:eastAsia="宋体" w:cs="宋体"/>
          <w:b w:val="0"/>
          <w:bCs/>
          <w:color w:val="auto"/>
          <w:spacing w:val="-8"/>
          <w:sz w:val="32"/>
        </w:rPr>
        <w:t>月</w:t>
      </w:r>
    </w:p>
    <w:p w14:paraId="65BD1E6C">
      <w:pPr>
        <w:pStyle w:val="23"/>
        <w:pageBreakBefore w:val="0"/>
        <w:tabs>
          <w:tab w:val="right" w:leader="dot" w:pos="8879"/>
          <w:tab w:val="clear" w:pos="8296"/>
        </w:tabs>
        <w:kinsoku/>
        <w:wordWrap/>
        <w:topLinePunct w:val="0"/>
        <w:bidi w:val="0"/>
        <w:spacing w:line="312"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fldChar w:fldCharType="begin"/>
      </w:r>
      <w:r>
        <w:rPr>
          <w:rFonts w:hint="eastAsia" w:ascii="宋体" w:hAnsi="宋体" w:eastAsia="宋体" w:cs="宋体"/>
          <w:b/>
          <w:color w:val="auto"/>
          <w:sz w:val="21"/>
          <w:szCs w:val="21"/>
          <w:highlight w:val="none"/>
        </w:rPr>
        <w:instrText xml:space="preserve"> TOC \o "1-3" \h \z \u </w:instrText>
      </w:r>
      <w:r>
        <w:rPr>
          <w:rFonts w:hint="eastAsia" w:ascii="宋体" w:hAnsi="宋体" w:eastAsia="宋体" w:cs="宋体"/>
          <w:b/>
          <w:color w:val="auto"/>
          <w:sz w:val="21"/>
          <w:szCs w:val="21"/>
          <w:highlight w:val="none"/>
        </w:rPr>
        <w:fldChar w:fldCharType="separate"/>
      </w:r>
    </w:p>
    <w:p w14:paraId="03041805">
      <w:pPr>
        <w:pageBreakBefore w:val="0"/>
        <w:kinsoku/>
        <w:wordWrap/>
        <w:topLinePunct w:val="0"/>
        <w:bidi w:val="0"/>
        <w:spacing w:line="312" w:lineRule="auto"/>
        <w:rPr>
          <w:rFonts w:hint="eastAsia" w:ascii="宋体" w:hAnsi="宋体" w:eastAsia="宋体" w:cs="宋体"/>
          <w:color w:val="auto"/>
          <w:sz w:val="21"/>
          <w:szCs w:val="21"/>
          <w:highlight w:val="none"/>
        </w:rPr>
      </w:pPr>
    </w:p>
    <w:sdt>
      <w:sdtPr>
        <w:rPr>
          <w:rFonts w:ascii="宋体" w:hAnsi="宋体" w:eastAsia="宋体" w:cs="Times New Roman"/>
          <w:kern w:val="2"/>
          <w:sz w:val="21"/>
          <w:szCs w:val="24"/>
          <w:lang w:val="en-US" w:eastAsia="zh-CN" w:bidi="ar-SA"/>
        </w:rPr>
        <w:id w:val="147472179"/>
        <w15:color w:val="DBDBDB"/>
        <w:docPartObj>
          <w:docPartGallery w:val="Table of Contents"/>
          <w:docPartUnique/>
        </w:docPartObj>
      </w:sdtPr>
      <w:sdtEndPr>
        <w:rPr>
          <w:rFonts w:hint="eastAsia" w:ascii="宋体" w:hAnsi="宋体" w:eastAsia="宋体" w:cs="宋体"/>
          <w:color w:val="auto"/>
          <w:kern w:val="2"/>
          <w:sz w:val="21"/>
          <w:szCs w:val="21"/>
          <w:highlight w:val="none"/>
          <w:lang w:val="en-US" w:eastAsia="zh-CN" w:bidi="ar-SA"/>
        </w:rPr>
      </w:sdtEndPr>
      <w:sdtContent>
        <w:p w14:paraId="0C9C49AE">
          <w:pPr>
            <w:spacing w:before="0" w:beforeLines="0" w:after="0" w:afterLines="0" w:line="240" w:lineRule="auto"/>
            <w:ind w:left="0" w:leftChars="0" w:right="0" w:rightChars="0" w:firstLine="0" w:firstLineChars="0"/>
            <w:jc w:val="center"/>
            <w:rPr>
              <w:rStyle w:val="52"/>
            </w:rPr>
          </w:pPr>
          <w:r>
            <w:rPr>
              <w:rStyle w:val="52"/>
            </w:rPr>
            <w:t>目录</w:t>
          </w:r>
        </w:p>
        <w:p w14:paraId="6CDC7ECC">
          <w:pPr>
            <w:pStyle w:val="22"/>
            <w:tabs>
              <w:tab w:val="right" w:leader="dot" w:pos="9071"/>
            </w:tabs>
            <w:rPr>
              <w:rFonts w:hint="eastAsia" w:ascii="宋体" w:hAnsi="宋体" w:eastAsia="宋体" w:cs="宋体"/>
              <w:color w:val="auto"/>
              <w:kern w:val="2"/>
              <w:sz w:val="21"/>
              <w:szCs w:val="21"/>
              <w:highlight w:val="none"/>
              <w:lang w:val="en-US" w:eastAsia="zh-CN" w:bidi="ar-SA"/>
            </w:rPr>
          </w:pPr>
        </w:p>
        <w:p w14:paraId="650958A9">
          <w:pPr>
            <w:pStyle w:val="22"/>
            <w:tabs>
              <w:tab w:val="right" w:leader="dot" w:pos="9071"/>
            </w:tabs>
            <w:rPr>
              <w:sz w:val="28"/>
              <w:szCs w:val="28"/>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TOC \o "1-1" \h \u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kern w:val="2"/>
              <w:sz w:val="28"/>
              <w:szCs w:val="28"/>
              <w:highlight w:val="none"/>
              <w:lang w:val="en-US" w:eastAsia="zh-CN" w:bidi="ar-SA"/>
            </w:rPr>
            <w:instrText xml:space="preserve"> HYPERLINK \l _Toc2558 </w:instrText>
          </w:r>
          <w:r>
            <w:rPr>
              <w:rFonts w:hint="eastAsia" w:ascii="宋体" w:hAnsi="宋体" w:eastAsia="宋体" w:cs="宋体"/>
              <w:kern w:val="2"/>
              <w:sz w:val="28"/>
              <w:szCs w:val="28"/>
              <w:highlight w:val="none"/>
              <w:lang w:val="en-US" w:eastAsia="zh-CN" w:bidi="ar-SA"/>
            </w:rPr>
            <w:fldChar w:fldCharType="separate"/>
          </w:r>
          <w:r>
            <w:rPr>
              <w:rFonts w:hint="eastAsia"/>
              <w:sz w:val="28"/>
              <w:szCs w:val="28"/>
              <w:highlight w:val="none"/>
              <w:lang w:val="en-US" w:eastAsia="zh-CN"/>
            </w:rPr>
            <w:t>第一章 竞争性磋商公告</w:t>
          </w:r>
          <w:r>
            <w:rPr>
              <w:sz w:val="28"/>
              <w:szCs w:val="28"/>
            </w:rPr>
            <w:tab/>
          </w:r>
          <w:r>
            <w:rPr>
              <w:sz w:val="28"/>
              <w:szCs w:val="28"/>
            </w:rPr>
            <w:fldChar w:fldCharType="begin"/>
          </w:r>
          <w:r>
            <w:rPr>
              <w:sz w:val="28"/>
              <w:szCs w:val="28"/>
            </w:rPr>
            <w:instrText xml:space="preserve"> PAGEREF _Toc2558 \h </w:instrText>
          </w:r>
          <w:r>
            <w:rPr>
              <w:sz w:val="28"/>
              <w:szCs w:val="28"/>
            </w:rPr>
            <w:fldChar w:fldCharType="separate"/>
          </w:r>
          <w:r>
            <w:rPr>
              <w:sz w:val="28"/>
              <w:szCs w:val="28"/>
            </w:rPr>
            <w:t>1</w:t>
          </w:r>
          <w:r>
            <w:rPr>
              <w:sz w:val="28"/>
              <w:szCs w:val="28"/>
            </w:rPr>
            <w:fldChar w:fldCharType="end"/>
          </w:r>
          <w:r>
            <w:rPr>
              <w:rFonts w:hint="eastAsia" w:ascii="宋体" w:hAnsi="宋体" w:eastAsia="宋体" w:cs="宋体"/>
              <w:color w:val="auto"/>
              <w:kern w:val="2"/>
              <w:sz w:val="28"/>
              <w:szCs w:val="28"/>
              <w:highlight w:val="none"/>
              <w:lang w:val="en-US" w:eastAsia="zh-CN" w:bidi="ar-SA"/>
            </w:rPr>
            <w:fldChar w:fldCharType="end"/>
          </w:r>
        </w:p>
        <w:p w14:paraId="4F4E161D">
          <w:pPr>
            <w:pStyle w:val="22"/>
            <w:tabs>
              <w:tab w:val="right" w:leader="dot" w:pos="9071"/>
            </w:tabs>
            <w:rPr>
              <w:sz w:val="28"/>
              <w:szCs w:val="28"/>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kern w:val="2"/>
              <w:sz w:val="28"/>
              <w:szCs w:val="28"/>
              <w:highlight w:val="none"/>
              <w:lang w:val="en-US" w:eastAsia="zh-CN" w:bidi="ar-SA"/>
            </w:rPr>
            <w:instrText xml:space="preserve"> HYPERLINK \l _Toc7803 </w:instrText>
          </w:r>
          <w:r>
            <w:rPr>
              <w:rFonts w:hint="eastAsia" w:ascii="宋体" w:hAnsi="宋体" w:eastAsia="宋体" w:cs="宋体"/>
              <w:kern w:val="2"/>
              <w:sz w:val="28"/>
              <w:szCs w:val="28"/>
              <w:highlight w:val="none"/>
              <w:lang w:val="en-US" w:eastAsia="zh-CN" w:bidi="ar-SA"/>
            </w:rPr>
            <w:fldChar w:fldCharType="separate"/>
          </w:r>
          <w:r>
            <w:rPr>
              <w:rFonts w:hint="eastAsia"/>
              <w:sz w:val="28"/>
              <w:szCs w:val="28"/>
              <w:highlight w:val="none"/>
            </w:rPr>
            <w:t>第二章 供应商须知</w:t>
          </w:r>
          <w:r>
            <w:rPr>
              <w:sz w:val="28"/>
              <w:szCs w:val="28"/>
            </w:rPr>
            <w:tab/>
          </w:r>
          <w:r>
            <w:rPr>
              <w:sz w:val="28"/>
              <w:szCs w:val="28"/>
            </w:rPr>
            <w:fldChar w:fldCharType="begin"/>
          </w:r>
          <w:r>
            <w:rPr>
              <w:sz w:val="28"/>
              <w:szCs w:val="28"/>
            </w:rPr>
            <w:instrText xml:space="preserve"> PAGEREF _Toc7803 \h </w:instrText>
          </w:r>
          <w:r>
            <w:rPr>
              <w:sz w:val="28"/>
              <w:szCs w:val="28"/>
            </w:rPr>
            <w:fldChar w:fldCharType="separate"/>
          </w:r>
          <w:r>
            <w:rPr>
              <w:sz w:val="28"/>
              <w:szCs w:val="28"/>
            </w:rPr>
            <w:t>5</w:t>
          </w:r>
          <w:r>
            <w:rPr>
              <w:sz w:val="28"/>
              <w:szCs w:val="28"/>
            </w:rPr>
            <w:fldChar w:fldCharType="end"/>
          </w:r>
          <w:r>
            <w:rPr>
              <w:rFonts w:hint="eastAsia" w:ascii="宋体" w:hAnsi="宋体" w:eastAsia="宋体" w:cs="宋体"/>
              <w:color w:val="auto"/>
              <w:kern w:val="2"/>
              <w:sz w:val="28"/>
              <w:szCs w:val="28"/>
              <w:highlight w:val="none"/>
              <w:lang w:val="en-US" w:eastAsia="zh-CN" w:bidi="ar-SA"/>
            </w:rPr>
            <w:fldChar w:fldCharType="end"/>
          </w:r>
        </w:p>
        <w:p w14:paraId="27512D3B">
          <w:pPr>
            <w:pStyle w:val="22"/>
            <w:tabs>
              <w:tab w:val="right" w:leader="dot" w:pos="9071"/>
            </w:tabs>
            <w:rPr>
              <w:sz w:val="28"/>
              <w:szCs w:val="28"/>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kern w:val="2"/>
              <w:sz w:val="28"/>
              <w:szCs w:val="28"/>
              <w:highlight w:val="none"/>
              <w:lang w:val="en-US" w:eastAsia="zh-CN" w:bidi="ar-SA"/>
            </w:rPr>
            <w:instrText xml:space="preserve"> HYPERLINK \l _Toc876 </w:instrText>
          </w:r>
          <w:r>
            <w:rPr>
              <w:rFonts w:hint="eastAsia" w:ascii="宋体" w:hAnsi="宋体" w:eastAsia="宋体" w:cs="宋体"/>
              <w:kern w:val="2"/>
              <w:sz w:val="28"/>
              <w:szCs w:val="28"/>
              <w:highlight w:val="none"/>
              <w:lang w:val="en-US" w:eastAsia="zh-CN" w:bidi="ar-SA"/>
            </w:rPr>
            <w:fldChar w:fldCharType="separate"/>
          </w:r>
          <w:r>
            <w:rPr>
              <w:rFonts w:hint="eastAsia"/>
              <w:sz w:val="28"/>
              <w:szCs w:val="28"/>
            </w:rPr>
            <w:t xml:space="preserve">第三章 </w:t>
          </w:r>
          <w:r>
            <w:rPr>
              <w:rFonts w:hint="eastAsia"/>
              <w:sz w:val="28"/>
              <w:szCs w:val="28"/>
              <w:highlight w:val="none"/>
            </w:rPr>
            <w:t>采购需求</w:t>
          </w:r>
          <w:r>
            <w:rPr>
              <w:sz w:val="28"/>
              <w:szCs w:val="28"/>
            </w:rPr>
            <w:tab/>
          </w:r>
          <w:r>
            <w:rPr>
              <w:sz w:val="28"/>
              <w:szCs w:val="28"/>
            </w:rPr>
            <w:fldChar w:fldCharType="begin"/>
          </w:r>
          <w:r>
            <w:rPr>
              <w:sz w:val="28"/>
              <w:szCs w:val="28"/>
            </w:rPr>
            <w:instrText xml:space="preserve"> PAGEREF _Toc876 \h </w:instrText>
          </w:r>
          <w:r>
            <w:rPr>
              <w:sz w:val="28"/>
              <w:szCs w:val="28"/>
            </w:rPr>
            <w:fldChar w:fldCharType="separate"/>
          </w:r>
          <w:r>
            <w:rPr>
              <w:sz w:val="28"/>
              <w:szCs w:val="28"/>
            </w:rPr>
            <w:t>21</w:t>
          </w:r>
          <w:r>
            <w:rPr>
              <w:sz w:val="28"/>
              <w:szCs w:val="28"/>
            </w:rPr>
            <w:fldChar w:fldCharType="end"/>
          </w:r>
          <w:r>
            <w:rPr>
              <w:rFonts w:hint="eastAsia" w:ascii="宋体" w:hAnsi="宋体" w:eastAsia="宋体" w:cs="宋体"/>
              <w:color w:val="auto"/>
              <w:kern w:val="2"/>
              <w:sz w:val="28"/>
              <w:szCs w:val="28"/>
              <w:highlight w:val="none"/>
              <w:lang w:val="en-US" w:eastAsia="zh-CN" w:bidi="ar-SA"/>
            </w:rPr>
            <w:fldChar w:fldCharType="end"/>
          </w:r>
        </w:p>
        <w:p w14:paraId="4B76D8F2">
          <w:pPr>
            <w:pStyle w:val="22"/>
            <w:tabs>
              <w:tab w:val="right" w:leader="dot" w:pos="9071"/>
            </w:tabs>
            <w:rPr>
              <w:sz w:val="28"/>
              <w:szCs w:val="28"/>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kern w:val="2"/>
              <w:sz w:val="28"/>
              <w:szCs w:val="28"/>
              <w:highlight w:val="none"/>
              <w:lang w:val="en-US" w:eastAsia="zh-CN" w:bidi="ar-SA"/>
            </w:rPr>
            <w:instrText xml:space="preserve"> HYPERLINK \l _Toc6447 </w:instrText>
          </w:r>
          <w:r>
            <w:rPr>
              <w:rFonts w:hint="eastAsia" w:ascii="宋体" w:hAnsi="宋体" w:eastAsia="宋体" w:cs="宋体"/>
              <w:kern w:val="2"/>
              <w:sz w:val="28"/>
              <w:szCs w:val="28"/>
              <w:highlight w:val="none"/>
              <w:lang w:val="en-US" w:eastAsia="zh-CN" w:bidi="ar-SA"/>
            </w:rPr>
            <w:fldChar w:fldCharType="separate"/>
          </w:r>
          <w:r>
            <w:rPr>
              <w:rFonts w:hint="eastAsia" w:ascii="宋体" w:hAnsi="宋体" w:eastAsia="宋体" w:cs="宋体"/>
              <w:sz w:val="28"/>
              <w:szCs w:val="28"/>
            </w:rPr>
            <w:t>第</w:t>
          </w:r>
          <w:r>
            <w:rPr>
              <w:rFonts w:hint="eastAsia" w:ascii="宋体" w:hAnsi="宋体" w:cs="宋体"/>
              <w:sz w:val="28"/>
              <w:szCs w:val="28"/>
              <w:lang w:val="en-US" w:eastAsia="zh-CN"/>
            </w:rPr>
            <w:t>四</w:t>
          </w:r>
          <w:r>
            <w:rPr>
              <w:rFonts w:hint="eastAsia" w:ascii="宋体" w:hAnsi="宋体" w:eastAsia="宋体" w:cs="宋体"/>
              <w:sz w:val="28"/>
              <w:szCs w:val="28"/>
            </w:rPr>
            <w:t xml:space="preserve">章 </w:t>
          </w:r>
          <w:r>
            <w:rPr>
              <w:rFonts w:hint="eastAsia" w:ascii="宋体" w:hAnsi="宋体" w:eastAsia="宋体" w:cs="宋体"/>
              <w:sz w:val="28"/>
              <w:szCs w:val="28"/>
              <w:lang w:eastAsia="zh-CN"/>
            </w:rPr>
            <w:t>评审</w:t>
          </w:r>
          <w:r>
            <w:rPr>
              <w:rFonts w:hint="eastAsia" w:ascii="宋体" w:hAnsi="宋体" w:eastAsia="宋体" w:cs="宋体"/>
              <w:sz w:val="28"/>
              <w:szCs w:val="28"/>
            </w:rPr>
            <w:t>方法和成交标准</w:t>
          </w:r>
          <w:r>
            <w:rPr>
              <w:sz w:val="28"/>
              <w:szCs w:val="28"/>
            </w:rPr>
            <w:tab/>
          </w:r>
          <w:r>
            <w:rPr>
              <w:sz w:val="28"/>
              <w:szCs w:val="28"/>
            </w:rPr>
            <w:fldChar w:fldCharType="begin"/>
          </w:r>
          <w:r>
            <w:rPr>
              <w:sz w:val="28"/>
              <w:szCs w:val="28"/>
            </w:rPr>
            <w:instrText xml:space="preserve"> PAGEREF _Toc6447 \h </w:instrText>
          </w:r>
          <w:r>
            <w:rPr>
              <w:sz w:val="28"/>
              <w:szCs w:val="28"/>
            </w:rPr>
            <w:fldChar w:fldCharType="separate"/>
          </w:r>
          <w:r>
            <w:rPr>
              <w:sz w:val="28"/>
              <w:szCs w:val="28"/>
            </w:rPr>
            <w:t>24</w:t>
          </w:r>
          <w:r>
            <w:rPr>
              <w:sz w:val="28"/>
              <w:szCs w:val="28"/>
            </w:rPr>
            <w:fldChar w:fldCharType="end"/>
          </w:r>
          <w:r>
            <w:rPr>
              <w:rFonts w:hint="eastAsia" w:ascii="宋体" w:hAnsi="宋体" w:eastAsia="宋体" w:cs="宋体"/>
              <w:color w:val="auto"/>
              <w:kern w:val="2"/>
              <w:sz w:val="28"/>
              <w:szCs w:val="28"/>
              <w:highlight w:val="none"/>
              <w:lang w:val="en-US" w:eastAsia="zh-CN" w:bidi="ar-SA"/>
            </w:rPr>
            <w:fldChar w:fldCharType="end"/>
          </w:r>
        </w:p>
        <w:p w14:paraId="792473D2">
          <w:pPr>
            <w:pStyle w:val="22"/>
            <w:tabs>
              <w:tab w:val="right" w:leader="dot" w:pos="9071"/>
            </w:tabs>
            <w:rPr>
              <w:sz w:val="28"/>
              <w:szCs w:val="28"/>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kern w:val="2"/>
              <w:sz w:val="28"/>
              <w:szCs w:val="28"/>
              <w:highlight w:val="none"/>
              <w:lang w:val="en-US" w:eastAsia="zh-CN" w:bidi="ar-SA"/>
            </w:rPr>
            <w:instrText xml:space="preserve"> HYPERLINK \l _Toc15054 </w:instrText>
          </w:r>
          <w:r>
            <w:rPr>
              <w:rFonts w:hint="eastAsia" w:ascii="宋体" w:hAnsi="宋体" w:eastAsia="宋体" w:cs="宋体"/>
              <w:kern w:val="2"/>
              <w:sz w:val="28"/>
              <w:szCs w:val="28"/>
              <w:highlight w:val="none"/>
              <w:lang w:val="en-US" w:eastAsia="zh-CN" w:bidi="ar-SA"/>
            </w:rPr>
            <w:fldChar w:fldCharType="separate"/>
          </w:r>
          <w:r>
            <w:rPr>
              <w:rFonts w:hint="eastAsia"/>
              <w:sz w:val="28"/>
              <w:szCs w:val="28"/>
              <w:highlight w:val="none"/>
            </w:rPr>
            <w:t>第</w:t>
          </w:r>
          <w:r>
            <w:rPr>
              <w:rFonts w:hint="eastAsia"/>
              <w:sz w:val="28"/>
              <w:szCs w:val="28"/>
              <w:highlight w:val="none"/>
              <w:lang w:val="en-US" w:eastAsia="zh-CN"/>
            </w:rPr>
            <w:t>五</w:t>
          </w:r>
          <w:r>
            <w:rPr>
              <w:rFonts w:hint="eastAsia"/>
              <w:sz w:val="28"/>
              <w:szCs w:val="28"/>
              <w:highlight w:val="none"/>
            </w:rPr>
            <w:t>章 响应文件格式</w:t>
          </w:r>
          <w:r>
            <w:rPr>
              <w:sz w:val="28"/>
              <w:szCs w:val="28"/>
            </w:rPr>
            <w:tab/>
          </w:r>
          <w:r>
            <w:rPr>
              <w:sz w:val="28"/>
              <w:szCs w:val="28"/>
            </w:rPr>
            <w:fldChar w:fldCharType="begin"/>
          </w:r>
          <w:r>
            <w:rPr>
              <w:sz w:val="28"/>
              <w:szCs w:val="28"/>
            </w:rPr>
            <w:instrText xml:space="preserve"> PAGEREF _Toc15054 \h </w:instrText>
          </w:r>
          <w:r>
            <w:rPr>
              <w:sz w:val="28"/>
              <w:szCs w:val="28"/>
            </w:rPr>
            <w:fldChar w:fldCharType="separate"/>
          </w:r>
          <w:r>
            <w:rPr>
              <w:sz w:val="28"/>
              <w:szCs w:val="28"/>
            </w:rPr>
            <w:t>31</w:t>
          </w:r>
          <w:r>
            <w:rPr>
              <w:sz w:val="28"/>
              <w:szCs w:val="28"/>
            </w:rPr>
            <w:fldChar w:fldCharType="end"/>
          </w:r>
          <w:r>
            <w:rPr>
              <w:rFonts w:hint="eastAsia" w:ascii="宋体" w:hAnsi="宋体" w:eastAsia="宋体" w:cs="宋体"/>
              <w:color w:val="auto"/>
              <w:kern w:val="2"/>
              <w:sz w:val="28"/>
              <w:szCs w:val="28"/>
              <w:highlight w:val="none"/>
              <w:lang w:val="en-US" w:eastAsia="zh-CN" w:bidi="ar-SA"/>
            </w:rPr>
            <w:fldChar w:fldCharType="end"/>
          </w:r>
        </w:p>
        <w:p w14:paraId="7AE34010">
          <w:pPr>
            <w:pStyle w:val="22"/>
            <w:tabs>
              <w:tab w:val="right" w:leader="dot" w:pos="9071"/>
            </w:tabs>
            <w:rPr>
              <w:sz w:val="28"/>
              <w:szCs w:val="28"/>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kern w:val="2"/>
              <w:sz w:val="28"/>
              <w:szCs w:val="28"/>
              <w:highlight w:val="none"/>
              <w:lang w:val="en-US" w:eastAsia="zh-CN" w:bidi="ar-SA"/>
            </w:rPr>
            <w:instrText xml:space="preserve"> HYPERLINK \l _Toc32227 </w:instrText>
          </w:r>
          <w:r>
            <w:rPr>
              <w:rFonts w:hint="eastAsia" w:ascii="宋体" w:hAnsi="宋体" w:eastAsia="宋体" w:cs="宋体"/>
              <w:kern w:val="2"/>
              <w:sz w:val="28"/>
              <w:szCs w:val="28"/>
              <w:highlight w:val="none"/>
              <w:lang w:val="en-US" w:eastAsia="zh-CN" w:bidi="ar-SA"/>
            </w:rPr>
            <w:fldChar w:fldCharType="separate"/>
          </w:r>
          <w:r>
            <w:rPr>
              <w:rFonts w:hint="eastAsia"/>
              <w:sz w:val="28"/>
              <w:szCs w:val="28"/>
              <w:highlight w:val="none"/>
            </w:rPr>
            <w:t xml:space="preserve">第六章 </w:t>
          </w:r>
          <w:r>
            <w:rPr>
              <w:rFonts w:hint="eastAsia"/>
              <w:sz w:val="28"/>
              <w:szCs w:val="28"/>
              <w:highlight w:val="none"/>
              <w:lang w:val="en-US" w:eastAsia="zh-CN"/>
            </w:rPr>
            <w:t>拟签订的</w:t>
          </w:r>
          <w:r>
            <w:rPr>
              <w:rFonts w:hint="eastAsia"/>
              <w:sz w:val="28"/>
              <w:szCs w:val="28"/>
              <w:highlight w:val="none"/>
            </w:rPr>
            <w:t>合同文本</w:t>
          </w:r>
          <w:r>
            <w:rPr>
              <w:sz w:val="28"/>
              <w:szCs w:val="28"/>
            </w:rPr>
            <w:tab/>
          </w:r>
          <w:r>
            <w:rPr>
              <w:sz w:val="28"/>
              <w:szCs w:val="28"/>
            </w:rPr>
            <w:fldChar w:fldCharType="begin"/>
          </w:r>
          <w:r>
            <w:rPr>
              <w:sz w:val="28"/>
              <w:szCs w:val="28"/>
            </w:rPr>
            <w:instrText xml:space="preserve"> PAGEREF _Toc32227 \h </w:instrText>
          </w:r>
          <w:r>
            <w:rPr>
              <w:sz w:val="28"/>
              <w:szCs w:val="28"/>
            </w:rPr>
            <w:fldChar w:fldCharType="separate"/>
          </w:r>
          <w:r>
            <w:rPr>
              <w:sz w:val="28"/>
              <w:szCs w:val="28"/>
            </w:rPr>
            <w:t>53</w:t>
          </w:r>
          <w:r>
            <w:rPr>
              <w:sz w:val="28"/>
              <w:szCs w:val="28"/>
            </w:rPr>
            <w:fldChar w:fldCharType="end"/>
          </w:r>
          <w:r>
            <w:rPr>
              <w:rFonts w:hint="eastAsia" w:ascii="宋体" w:hAnsi="宋体" w:eastAsia="宋体" w:cs="宋体"/>
              <w:color w:val="auto"/>
              <w:kern w:val="2"/>
              <w:sz w:val="28"/>
              <w:szCs w:val="28"/>
              <w:highlight w:val="none"/>
              <w:lang w:val="en-US" w:eastAsia="zh-CN" w:bidi="ar-SA"/>
            </w:rPr>
            <w:fldChar w:fldCharType="end"/>
          </w:r>
        </w:p>
        <w:p w14:paraId="0B8A6F18">
          <w:pPr>
            <w:pStyle w:val="13"/>
            <w:pageBreakBefore w:val="0"/>
            <w:kinsoku/>
            <w:wordWrap/>
            <w:topLinePunct w:val="0"/>
            <w:bidi w:val="0"/>
            <w:spacing w:line="312"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8"/>
              <w:szCs w:val="28"/>
              <w:highlight w:val="none"/>
              <w:lang w:val="en-US" w:eastAsia="zh-CN" w:bidi="ar-SA"/>
            </w:rPr>
            <w:fldChar w:fldCharType="end"/>
          </w:r>
        </w:p>
      </w:sdtContent>
    </w:sdt>
    <w:p w14:paraId="797B8E70">
      <w:pPr>
        <w:pStyle w:val="13"/>
        <w:pageBreakBefore w:val="0"/>
        <w:kinsoku/>
        <w:wordWrap/>
        <w:topLinePunct w:val="0"/>
        <w:bidi w:val="0"/>
        <w:spacing w:line="312" w:lineRule="auto"/>
        <w:rPr>
          <w:rFonts w:hint="eastAsia" w:ascii="宋体" w:hAnsi="宋体" w:eastAsia="宋体" w:cs="宋体"/>
          <w:color w:val="auto"/>
          <w:kern w:val="2"/>
          <w:sz w:val="21"/>
          <w:szCs w:val="21"/>
          <w:highlight w:val="none"/>
          <w:lang w:val="en-US" w:eastAsia="zh-CN" w:bidi="ar-SA"/>
        </w:rPr>
      </w:pPr>
    </w:p>
    <w:p w14:paraId="170F0C32">
      <w:pPr>
        <w:pStyle w:val="13"/>
        <w:pageBreakBefore w:val="0"/>
        <w:kinsoku/>
        <w:wordWrap/>
        <w:topLinePunct w:val="0"/>
        <w:bidi w:val="0"/>
        <w:spacing w:line="312" w:lineRule="auto"/>
        <w:rPr>
          <w:rFonts w:hint="eastAsia" w:ascii="宋体" w:hAnsi="宋体" w:eastAsia="宋体" w:cs="宋体"/>
          <w:color w:val="auto"/>
          <w:sz w:val="21"/>
          <w:szCs w:val="21"/>
          <w:highlight w:val="none"/>
        </w:rPr>
      </w:pPr>
    </w:p>
    <w:p w14:paraId="063892B6">
      <w:pPr>
        <w:pageBreakBefore w:val="0"/>
        <w:kinsoku/>
        <w:wordWrap/>
        <w:topLinePunct w:val="0"/>
        <w:bidi w:val="0"/>
        <w:spacing w:line="312" w:lineRule="auto"/>
        <w:rPr>
          <w:rFonts w:hint="eastAsia" w:ascii="宋体" w:hAnsi="宋体" w:eastAsia="宋体" w:cs="宋体"/>
          <w:color w:val="auto"/>
          <w:sz w:val="21"/>
          <w:szCs w:val="21"/>
          <w:highlight w:val="none"/>
        </w:rPr>
      </w:pPr>
    </w:p>
    <w:p w14:paraId="2DC1C52B">
      <w:pPr>
        <w:pStyle w:val="13"/>
        <w:pageBreakBefore w:val="0"/>
        <w:kinsoku/>
        <w:wordWrap/>
        <w:topLinePunct w:val="0"/>
        <w:bidi w:val="0"/>
        <w:spacing w:line="312" w:lineRule="auto"/>
        <w:rPr>
          <w:rFonts w:hint="eastAsia" w:ascii="宋体" w:hAnsi="宋体" w:eastAsia="宋体" w:cs="宋体"/>
          <w:color w:val="auto"/>
          <w:sz w:val="21"/>
          <w:szCs w:val="21"/>
          <w:highlight w:val="none"/>
        </w:rPr>
      </w:pPr>
    </w:p>
    <w:p w14:paraId="7D4087E5">
      <w:pPr>
        <w:pageBreakBefore w:val="0"/>
        <w:kinsoku/>
        <w:wordWrap/>
        <w:topLinePunct w:val="0"/>
        <w:bidi w:val="0"/>
        <w:spacing w:line="312" w:lineRule="auto"/>
        <w:rPr>
          <w:rFonts w:hint="eastAsia" w:ascii="宋体" w:hAnsi="宋体" w:eastAsia="宋体" w:cs="宋体"/>
          <w:color w:val="auto"/>
          <w:sz w:val="21"/>
          <w:szCs w:val="21"/>
          <w:highlight w:val="none"/>
        </w:rPr>
      </w:pPr>
    </w:p>
    <w:p w14:paraId="43A2DCCE">
      <w:pPr>
        <w:pStyle w:val="13"/>
        <w:pageBreakBefore w:val="0"/>
        <w:kinsoku/>
        <w:wordWrap/>
        <w:topLinePunct w:val="0"/>
        <w:bidi w:val="0"/>
        <w:spacing w:line="312" w:lineRule="auto"/>
        <w:rPr>
          <w:rFonts w:hint="eastAsia" w:ascii="宋体" w:hAnsi="宋体" w:eastAsia="宋体" w:cs="宋体"/>
          <w:color w:val="auto"/>
          <w:sz w:val="21"/>
          <w:szCs w:val="21"/>
          <w:highlight w:val="none"/>
        </w:rPr>
      </w:pPr>
    </w:p>
    <w:p w14:paraId="3D465041">
      <w:pPr>
        <w:pageBreakBefore w:val="0"/>
        <w:kinsoku/>
        <w:wordWrap/>
        <w:topLinePunct w:val="0"/>
        <w:bidi w:val="0"/>
        <w:spacing w:line="312" w:lineRule="auto"/>
        <w:rPr>
          <w:rFonts w:hint="eastAsia" w:ascii="宋体" w:hAnsi="宋体" w:eastAsia="宋体" w:cs="宋体"/>
          <w:color w:val="auto"/>
          <w:sz w:val="21"/>
          <w:szCs w:val="21"/>
          <w:highlight w:val="none"/>
        </w:rPr>
      </w:pPr>
    </w:p>
    <w:p w14:paraId="7EE5280E">
      <w:pPr>
        <w:pStyle w:val="13"/>
        <w:pageBreakBefore w:val="0"/>
        <w:kinsoku/>
        <w:wordWrap/>
        <w:topLinePunct w:val="0"/>
        <w:bidi w:val="0"/>
        <w:spacing w:line="312" w:lineRule="auto"/>
        <w:rPr>
          <w:rFonts w:hint="eastAsia" w:ascii="宋体" w:hAnsi="宋体" w:eastAsia="宋体" w:cs="宋体"/>
          <w:color w:val="auto"/>
          <w:sz w:val="21"/>
          <w:szCs w:val="21"/>
          <w:highlight w:val="none"/>
        </w:rPr>
      </w:pPr>
    </w:p>
    <w:p w14:paraId="4A7C81BA">
      <w:pPr>
        <w:pageBreakBefore w:val="0"/>
        <w:kinsoku/>
        <w:wordWrap/>
        <w:topLinePunct w:val="0"/>
        <w:bidi w:val="0"/>
        <w:spacing w:line="312" w:lineRule="auto"/>
        <w:rPr>
          <w:rFonts w:hint="eastAsia" w:ascii="宋体" w:hAnsi="宋体" w:eastAsia="宋体" w:cs="宋体"/>
          <w:color w:val="auto"/>
          <w:sz w:val="21"/>
          <w:szCs w:val="21"/>
          <w:highlight w:val="none"/>
        </w:rPr>
      </w:pPr>
    </w:p>
    <w:p w14:paraId="643BFE1B">
      <w:pPr>
        <w:pStyle w:val="13"/>
        <w:pageBreakBefore w:val="0"/>
        <w:kinsoku/>
        <w:wordWrap/>
        <w:topLinePunct w:val="0"/>
        <w:bidi w:val="0"/>
        <w:spacing w:line="312" w:lineRule="auto"/>
        <w:rPr>
          <w:rFonts w:hint="eastAsia" w:ascii="宋体" w:hAnsi="宋体" w:eastAsia="宋体" w:cs="宋体"/>
          <w:color w:val="auto"/>
          <w:sz w:val="21"/>
          <w:szCs w:val="21"/>
          <w:highlight w:val="none"/>
        </w:rPr>
      </w:pPr>
    </w:p>
    <w:p w14:paraId="68F82674">
      <w:pPr>
        <w:pageBreakBefore w:val="0"/>
        <w:kinsoku/>
        <w:wordWrap/>
        <w:topLinePunct w:val="0"/>
        <w:bidi w:val="0"/>
        <w:spacing w:line="312" w:lineRule="auto"/>
        <w:rPr>
          <w:rFonts w:hint="eastAsia" w:ascii="宋体" w:hAnsi="宋体" w:eastAsia="宋体" w:cs="宋体"/>
          <w:color w:val="auto"/>
          <w:sz w:val="21"/>
          <w:szCs w:val="21"/>
          <w:highlight w:val="none"/>
        </w:rPr>
      </w:pPr>
    </w:p>
    <w:p w14:paraId="45DBD098">
      <w:pPr>
        <w:pStyle w:val="13"/>
        <w:pageBreakBefore w:val="0"/>
        <w:kinsoku/>
        <w:wordWrap/>
        <w:topLinePunct w:val="0"/>
        <w:bidi w:val="0"/>
        <w:spacing w:line="312" w:lineRule="auto"/>
        <w:rPr>
          <w:rFonts w:hint="eastAsia" w:ascii="宋体" w:hAnsi="宋体" w:eastAsia="宋体" w:cs="宋体"/>
          <w:color w:val="auto"/>
          <w:sz w:val="21"/>
          <w:szCs w:val="21"/>
          <w:highlight w:val="none"/>
        </w:rPr>
      </w:pPr>
    </w:p>
    <w:p w14:paraId="5BA66032">
      <w:pPr>
        <w:pageBreakBefore w:val="0"/>
        <w:kinsoku/>
        <w:wordWrap/>
        <w:topLinePunct w:val="0"/>
        <w:bidi w:val="0"/>
        <w:spacing w:line="312" w:lineRule="auto"/>
        <w:rPr>
          <w:rFonts w:hint="eastAsia" w:ascii="宋体" w:hAnsi="宋体" w:eastAsia="宋体" w:cs="宋体"/>
          <w:color w:val="auto"/>
          <w:sz w:val="21"/>
          <w:szCs w:val="21"/>
          <w:highlight w:val="none"/>
        </w:rPr>
      </w:pPr>
    </w:p>
    <w:p w14:paraId="19618AE1">
      <w:pPr>
        <w:pStyle w:val="13"/>
        <w:pageBreakBefore w:val="0"/>
        <w:kinsoku/>
        <w:wordWrap/>
        <w:topLinePunct w:val="0"/>
        <w:bidi w:val="0"/>
        <w:spacing w:line="312" w:lineRule="auto"/>
        <w:rPr>
          <w:rFonts w:hint="eastAsia" w:ascii="宋体" w:hAnsi="宋体" w:eastAsia="宋体" w:cs="宋体"/>
          <w:color w:val="auto"/>
          <w:sz w:val="21"/>
          <w:szCs w:val="21"/>
          <w:highlight w:val="none"/>
        </w:rPr>
      </w:pPr>
    </w:p>
    <w:p w14:paraId="001780EB">
      <w:pPr>
        <w:pageBreakBefore w:val="0"/>
        <w:kinsoku/>
        <w:wordWrap/>
        <w:topLinePunct w:val="0"/>
        <w:bidi w:val="0"/>
        <w:spacing w:line="312" w:lineRule="auto"/>
        <w:rPr>
          <w:rFonts w:hint="eastAsia" w:ascii="宋体" w:hAnsi="宋体" w:eastAsia="宋体" w:cs="宋体"/>
          <w:color w:val="auto"/>
          <w:sz w:val="21"/>
          <w:szCs w:val="21"/>
          <w:highlight w:val="none"/>
        </w:rPr>
      </w:pPr>
    </w:p>
    <w:p w14:paraId="215A8C22">
      <w:pPr>
        <w:pStyle w:val="13"/>
        <w:pageBreakBefore w:val="0"/>
        <w:kinsoku/>
        <w:wordWrap/>
        <w:topLinePunct w:val="0"/>
        <w:bidi w:val="0"/>
        <w:spacing w:line="312" w:lineRule="auto"/>
        <w:rPr>
          <w:rFonts w:hint="eastAsia" w:ascii="宋体" w:hAnsi="宋体" w:eastAsia="宋体" w:cs="宋体"/>
          <w:color w:val="auto"/>
          <w:sz w:val="21"/>
          <w:szCs w:val="21"/>
          <w:highlight w:val="none"/>
        </w:rPr>
      </w:pPr>
    </w:p>
    <w:p w14:paraId="5BD1E173">
      <w:pPr>
        <w:pStyle w:val="4"/>
        <w:keepNext/>
        <w:keepLines/>
        <w:pageBreakBefore w:val="0"/>
        <w:widowControl w:val="0"/>
        <w:kinsoku/>
        <w:wordWrap/>
        <w:overflowPunct/>
        <w:topLinePunct w:val="0"/>
        <w:autoSpaceDE/>
        <w:autoSpaceDN/>
        <w:bidi w:val="0"/>
        <w:adjustRightInd/>
        <w:snapToGrid/>
        <w:spacing w:before="200" w:after="200" w:line="360" w:lineRule="auto"/>
        <w:jc w:val="center"/>
        <w:textAlignment w:val="auto"/>
        <w:outlineLvl w:val="0"/>
        <w:rPr>
          <w:rFonts w:hint="eastAsia"/>
          <w:color w:val="auto"/>
          <w:highlight w:val="none"/>
          <w:lang w:val="en-US" w:eastAsia="zh-CN"/>
        </w:rPr>
      </w:pPr>
      <w:r>
        <w:rPr>
          <w:rFonts w:hint="eastAsia" w:ascii="宋体" w:hAnsi="宋体" w:eastAsia="宋体" w:cs="宋体"/>
          <w:color w:val="auto"/>
          <w:sz w:val="21"/>
          <w:szCs w:val="21"/>
          <w:highlight w:val="none"/>
        </w:rPr>
        <w:fldChar w:fldCharType="end"/>
      </w:r>
      <w:bookmarkStart w:id="0" w:name="_Toc16252"/>
      <w:bookmarkStart w:id="1" w:name="_Toc2558"/>
      <w:bookmarkStart w:id="2" w:name="_Hlk37430271"/>
      <w:r>
        <w:rPr>
          <w:rFonts w:hint="eastAsia"/>
          <w:color w:val="auto"/>
          <w:highlight w:val="none"/>
          <w:lang w:val="en-US" w:eastAsia="zh-CN"/>
        </w:rPr>
        <w:t>第一章 竞争性磋商公告</w:t>
      </w:r>
      <w:bookmarkEnd w:id="0"/>
      <w:bookmarkEnd w:id="1"/>
    </w:p>
    <w:p w14:paraId="5FA77C0F">
      <w:pPr>
        <w:pBdr>
          <w:top w:val="single" w:color="auto" w:sz="4" w:space="1"/>
          <w:left w:val="single" w:color="auto" w:sz="4" w:space="4"/>
          <w:bottom w:val="single" w:color="auto" w:sz="4" w:space="1"/>
          <w:right w:val="single" w:color="auto" w:sz="4" w:space="4"/>
        </w:pBd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项目概况</w:t>
      </w:r>
    </w:p>
    <w:p w14:paraId="2C66A36B">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lang w:val="en-US" w:eastAsia="zh-CN"/>
        </w:rPr>
        <w:t>苍梧六堡茶2026年推介展销项目</w:t>
      </w:r>
      <w:r>
        <w:rPr>
          <w:rFonts w:hint="eastAsia" w:asciiTheme="minorEastAsia" w:hAnsiTheme="minorEastAsia" w:eastAsiaTheme="minorEastAsia" w:cstheme="minorEastAsia"/>
          <w:color w:val="auto"/>
          <w:szCs w:val="21"/>
          <w:highlight w:val="none"/>
        </w:rPr>
        <w:t>采购项目的潜在供应商应在“</w:t>
      </w:r>
      <w:r>
        <w:rPr>
          <w:rFonts w:hint="eastAsia" w:asciiTheme="minorEastAsia" w:hAnsiTheme="minorEastAsia" w:eastAsiaTheme="minorEastAsia" w:cstheme="minorEastAsia"/>
          <w:color w:val="auto"/>
          <w:szCs w:val="21"/>
          <w:highlight w:val="none"/>
          <w:lang w:eastAsia="zh-CN"/>
        </w:rPr>
        <w:t>广西政府采购云平台</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https://www.gcy.zfcg.gxzf.gov.cn/</w:t>
      </w:r>
      <w:r>
        <w:rPr>
          <w:rFonts w:hint="eastAsia" w:asciiTheme="minorEastAsia" w:hAnsiTheme="minorEastAsia" w:eastAsiaTheme="minorEastAsia" w:cstheme="minorEastAsia"/>
          <w:color w:val="auto"/>
          <w:szCs w:val="21"/>
          <w:highlight w:val="none"/>
        </w:rPr>
        <w:t>）获取采购文件，并于202</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lang w:val="en-US" w:eastAsia="zh-CN"/>
        </w:rPr>
        <w:t>05月18</w:t>
      </w:r>
      <w:r>
        <w:rPr>
          <w:rFonts w:hint="eastAsia" w:asciiTheme="minorEastAsia" w:hAnsiTheme="minorEastAsia" w:eastAsiaTheme="minorEastAsia" w:cstheme="minorEastAsia"/>
          <w:color w:val="auto"/>
          <w:szCs w:val="21"/>
          <w:highlight w:val="none"/>
        </w:rPr>
        <w:t>日</w:t>
      </w:r>
      <w:r>
        <w:rPr>
          <w:rFonts w:hint="eastAsia" w:asciiTheme="minorEastAsia" w:hAnsiTheme="minorEastAsia" w:eastAsiaTheme="minorEastAsia" w:cstheme="minorEastAsia"/>
          <w:color w:val="auto"/>
          <w:szCs w:val="21"/>
          <w:highlight w:val="none"/>
          <w:lang w:val="en-US" w:eastAsia="zh-CN"/>
        </w:rPr>
        <w:t>09：30</w:t>
      </w:r>
      <w:r>
        <w:rPr>
          <w:rFonts w:hint="eastAsia" w:asciiTheme="minorEastAsia" w:hAnsiTheme="minorEastAsia" w:eastAsiaTheme="minorEastAsia" w:cstheme="minorEastAsia"/>
          <w:bCs/>
          <w:color w:val="auto"/>
          <w:szCs w:val="21"/>
          <w:highlight w:val="none"/>
        </w:rPr>
        <w:t>（北京时间）前</w:t>
      </w:r>
      <w:r>
        <w:rPr>
          <w:rFonts w:hint="eastAsia" w:asciiTheme="minorEastAsia" w:hAnsiTheme="minorEastAsia" w:eastAsiaTheme="minorEastAsia" w:cstheme="minorEastAsia"/>
          <w:bCs/>
          <w:color w:val="auto"/>
          <w:szCs w:val="21"/>
          <w:highlight w:val="none"/>
          <w:lang w:val="en-US" w:eastAsia="zh-CN"/>
        </w:rPr>
        <w:t>提交</w:t>
      </w:r>
      <w:r>
        <w:rPr>
          <w:rFonts w:hint="eastAsia" w:asciiTheme="minorEastAsia" w:hAnsiTheme="minorEastAsia" w:eastAsiaTheme="minorEastAsia" w:cstheme="minorEastAsia"/>
          <w:bCs/>
          <w:color w:val="auto"/>
          <w:szCs w:val="21"/>
          <w:highlight w:val="none"/>
        </w:rPr>
        <w:t>响应文件</w:t>
      </w:r>
      <w:r>
        <w:rPr>
          <w:rFonts w:hint="eastAsia" w:asciiTheme="minorEastAsia" w:hAnsiTheme="minorEastAsia" w:eastAsiaTheme="minorEastAsia" w:cstheme="minorEastAsia"/>
          <w:color w:val="auto"/>
          <w:szCs w:val="21"/>
          <w:highlight w:val="none"/>
        </w:rPr>
        <w:t>。</w:t>
      </w:r>
    </w:p>
    <w:bookmarkEnd w:id="2"/>
    <w:p w14:paraId="3E0D640F">
      <w:pPr>
        <w:pStyle w:val="4"/>
        <w:spacing w:before="0" w:after="0" w:line="360" w:lineRule="auto"/>
        <w:ind w:firstLine="482" w:firstLineChars="200"/>
        <w:outlineLvl w:val="0"/>
        <w:rPr>
          <w:rFonts w:hint="eastAsia" w:asciiTheme="minorEastAsia" w:hAnsiTheme="minorEastAsia" w:eastAsiaTheme="minorEastAsia" w:cstheme="minorEastAsia"/>
          <w:bCs w:val="0"/>
          <w:color w:val="auto"/>
          <w:sz w:val="24"/>
          <w:szCs w:val="24"/>
          <w:highlight w:val="none"/>
        </w:rPr>
      </w:pPr>
      <w:bookmarkStart w:id="3" w:name="_Toc35393629"/>
      <w:bookmarkStart w:id="4" w:name="_Toc28359012"/>
      <w:bookmarkStart w:id="5" w:name="_Toc35393798"/>
      <w:bookmarkStart w:id="6" w:name="_Toc28359089"/>
      <w:bookmarkStart w:id="7" w:name="_Toc44229878"/>
      <w:bookmarkStart w:id="8" w:name="_Toc1531"/>
      <w:r>
        <w:rPr>
          <w:rFonts w:hint="eastAsia" w:asciiTheme="minorEastAsia" w:hAnsiTheme="minorEastAsia" w:eastAsiaTheme="minorEastAsia" w:cstheme="minorEastAsia"/>
          <w:bCs w:val="0"/>
          <w:color w:val="auto"/>
          <w:sz w:val="24"/>
          <w:szCs w:val="24"/>
          <w:highlight w:val="none"/>
        </w:rPr>
        <w:t>一、项目基本情况</w:t>
      </w:r>
      <w:bookmarkEnd w:id="3"/>
      <w:bookmarkEnd w:id="4"/>
      <w:bookmarkEnd w:id="5"/>
      <w:bookmarkEnd w:id="6"/>
      <w:bookmarkEnd w:id="7"/>
      <w:bookmarkEnd w:id="8"/>
    </w:p>
    <w:p w14:paraId="777FACF3">
      <w:pPr>
        <w:spacing w:line="360" w:lineRule="auto"/>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项目编号：</w:t>
      </w:r>
      <w:r>
        <w:rPr>
          <w:rFonts w:hint="eastAsia" w:asciiTheme="minorEastAsia" w:hAnsiTheme="minorEastAsia" w:eastAsiaTheme="minorEastAsia" w:cstheme="minorEastAsia"/>
          <w:color w:val="auto"/>
          <w:szCs w:val="21"/>
          <w:highlight w:val="none"/>
          <w:lang w:eastAsia="zh-CN"/>
        </w:rPr>
        <w:t>WZZC2026-C3-210051-NNPZ</w:t>
      </w:r>
      <w:r>
        <w:rPr>
          <w:rFonts w:hint="eastAsia" w:asciiTheme="minorEastAsia" w:hAnsiTheme="minorEastAsia" w:eastAsiaTheme="minorEastAsia" w:cstheme="minorEastAsia"/>
          <w:color w:val="auto"/>
          <w:szCs w:val="21"/>
          <w:highlight w:val="none"/>
          <w:lang w:val="en-US" w:eastAsia="zh-CN"/>
        </w:rPr>
        <w:tab/>
      </w:r>
    </w:p>
    <w:p w14:paraId="5AD49F51">
      <w:pPr>
        <w:spacing w:line="360" w:lineRule="auto"/>
        <w:ind w:firstLine="420" w:firstLineChars="200"/>
        <w:rPr>
          <w:rFonts w:hint="eastAsia" w:asciiTheme="minorEastAsia" w:hAnsiTheme="minorEastAsia" w:eastAsiaTheme="minorEastAsia" w:cstheme="minorEastAsia"/>
          <w:color w:val="auto"/>
          <w:szCs w:val="21"/>
          <w:highlight w:val="none"/>
          <w:u w:val="single"/>
          <w:lang w:val="en-US" w:eastAsia="zh-CN"/>
        </w:rPr>
      </w:pPr>
      <w:r>
        <w:rPr>
          <w:rFonts w:hint="eastAsia" w:asciiTheme="minorEastAsia" w:hAnsiTheme="minorEastAsia" w:eastAsiaTheme="minorEastAsia" w:cstheme="minorEastAsia"/>
          <w:color w:val="auto"/>
          <w:szCs w:val="21"/>
          <w:highlight w:val="none"/>
        </w:rPr>
        <w:t>项目名称：</w:t>
      </w:r>
      <w:r>
        <w:rPr>
          <w:rFonts w:hint="eastAsia" w:asciiTheme="minorEastAsia" w:hAnsiTheme="minorEastAsia" w:eastAsiaTheme="minorEastAsia" w:cstheme="minorEastAsia"/>
          <w:color w:val="auto"/>
          <w:szCs w:val="21"/>
          <w:highlight w:val="none"/>
          <w:lang w:val="en-US" w:eastAsia="zh-CN"/>
        </w:rPr>
        <w:t>苍梧六堡茶2026年推介展销项目</w:t>
      </w:r>
    </w:p>
    <w:p w14:paraId="6B74003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采购方式：竞争性磋商</w:t>
      </w:r>
    </w:p>
    <w:p w14:paraId="46403675">
      <w:pPr>
        <w:spacing w:line="360" w:lineRule="auto"/>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预算总金额（元）：</w:t>
      </w:r>
      <w:r>
        <w:rPr>
          <w:rFonts w:hint="eastAsia" w:asciiTheme="minorEastAsia" w:hAnsiTheme="minorEastAsia" w:eastAsiaTheme="minorEastAsia" w:cstheme="minorEastAsia"/>
          <w:color w:val="auto"/>
          <w:szCs w:val="21"/>
          <w:highlight w:val="none"/>
          <w:lang w:val="en-US" w:eastAsia="zh-CN"/>
        </w:rPr>
        <w:t>2000000.00</w:t>
      </w:r>
    </w:p>
    <w:p w14:paraId="210C4F2A">
      <w:pPr>
        <w:spacing w:line="360" w:lineRule="auto"/>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采购需求：</w:t>
      </w:r>
    </w:p>
    <w:p w14:paraId="7BE7B0C8">
      <w:pPr>
        <w:spacing w:line="360" w:lineRule="auto"/>
        <w:ind w:left="420" w:leftChars="200" w:firstLine="0" w:firstLineChars="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标项名称:苍梧六堡茶2026年推介展销项目</w:t>
      </w:r>
    </w:p>
    <w:p w14:paraId="467F077E">
      <w:pPr>
        <w:spacing w:line="360" w:lineRule="auto"/>
        <w:ind w:left="420" w:leftChars="200" w:firstLine="0" w:firstLineChars="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数量:1项</w:t>
      </w:r>
    </w:p>
    <w:p w14:paraId="6CF61D76">
      <w:pPr>
        <w:spacing w:line="360" w:lineRule="auto"/>
        <w:ind w:left="420" w:leftChars="200" w:firstLine="0" w:firstLineChars="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预算金额（元）:2000000.00</w:t>
      </w:r>
    </w:p>
    <w:p w14:paraId="6681756C">
      <w:pPr>
        <w:spacing w:line="360" w:lineRule="auto"/>
        <w:ind w:left="420" w:leftChars="200" w:firstLine="0" w:firstLineChars="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简要规格描述或项目基本概况介绍、用途：</w:t>
      </w:r>
      <w:r>
        <w:rPr>
          <w:rFonts w:hint="eastAsia" w:asciiTheme="minorEastAsia" w:hAnsiTheme="minorEastAsia" w:eastAsiaTheme="minorEastAsia" w:cstheme="minorEastAsia"/>
          <w:color w:val="000000"/>
          <w:sz w:val="21"/>
          <w:szCs w:val="21"/>
        </w:rPr>
        <w:t>组织苍梧县六堡茶企业在全国各地组织参加六堡茶推广展销活动</w:t>
      </w:r>
      <w:r>
        <w:rPr>
          <w:rFonts w:hint="eastAsia" w:asciiTheme="minorEastAsia" w:hAnsiTheme="minorEastAsia" w:eastAsiaTheme="minorEastAsia" w:cstheme="minorEastAsia"/>
          <w:color w:val="auto"/>
          <w:szCs w:val="21"/>
          <w:highlight w:val="none"/>
          <w:lang w:val="en-US" w:eastAsia="zh-CN"/>
        </w:rPr>
        <w:t>。</w:t>
      </w:r>
    </w:p>
    <w:p w14:paraId="7F71B2C2">
      <w:pPr>
        <w:spacing w:line="360" w:lineRule="auto"/>
        <w:ind w:firstLine="420" w:firstLineChars="200"/>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最高限价（如有）：2000000.00元</w:t>
      </w:r>
    </w:p>
    <w:p w14:paraId="34EFDE0C">
      <w:pPr>
        <w:spacing w:line="360" w:lineRule="auto"/>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合同履约期限：</w:t>
      </w:r>
      <w:r>
        <w:rPr>
          <w:rFonts w:hint="eastAsia" w:asciiTheme="minorEastAsia" w:hAnsiTheme="minorEastAsia" w:eastAsiaTheme="minorEastAsia" w:cstheme="minorEastAsia"/>
          <w:kern w:val="0"/>
          <w:sz w:val="21"/>
          <w:szCs w:val="21"/>
        </w:rPr>
        <w:t>自签订合同之日起至202</w:t>
      </w:r>
      <w:r>
        <w:rPr>
          <w:rFonts w:hint="eastAsia" w:asciiTheme="minorEastAsia" w:hAnsiTheme="minorEastAsia" w:eastAsiaTheme="minorEastAsia" w:cstheme="minorEastAsia"/>
          <w:kern w:val="0"/>
          <w:sz w:val="21"/>
          <w:szCs w:val="21"/>
          <w:lang w:val="en-US" w:eastAsia="zh-CN"/>
        </w:rPr>
        <w:t>6</w:t>
      </w:r>
      <w:r>
        <w:rPr>
          <w:rFonts w:hint="eastAsia" w:asciiTheme="minorEastAsia" w:hAnsiTheme="minorEastAsia" w:eastAsiaTheme="minorEastAsia" w:cstheme="minorEastAsia"/>
          <w:kern w:val="0"/>
          <w:sz w:val="21"/>
          <w:szCs w:val="21"/>
        </w:rPr>
        <w:t>年12月31日前完成产品展销活动</w:t>
      </w:r>
      <w:r>
        <w:rPr>
          <w:rFonts w:hint="eastAsia" w:asciiTheme="minorEastAsia" w:hAnsiTheme="minorEastAsia" w:eastAsiaTheme="minorEastAsia" w:cstheme="minorEastAsia"/>
          <w:kern w:val="0"/>
          <w:sz w:val="21"/>
          <w:szCs w:val="21"/>
          <w:lang w:eastAsia="zh-CN"/>
        </w:rPr>
        <w:t>。</w:t>
      </w:r>
    </w:p>
    <w:p w14:paraId="7A494D11">
      <w:pPr>
        <w:spacing w:line="360" w:lineRule="auto"/>
        <w:ind w:left="420" w:leftChars="200" w:firstLine="0" w:firstLineChars="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本标项（否）接受联合体投标</w:t>
      </w:r>
    </w:p>
    <w:p w14:paraId="3964349D">
      <w:pPr>
        <w:spacing w:line="360" w:lineRule="auto"/>
        <w:ind w:left="420" w:leftChars="200" w:firstLine="0" w:firstLineChars="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备注：</w:t>
      </w:r>
    </w:p>
    <w:p w14:paraId="48FED91F">
      <w:pPr>
        <w:pStyle w:val="4"/>
        <w:spacing w:before="0" w:after="0" w:line="360" w:lineRule="auto"/>
        <w:ind w:firstLine="482" w:firstLineChars="200"/>
        <w:outlineLvl w:val="0"/>
        <w:rPr>
          <w:rFonts w:hint="eastAsia" w:asciiTheme="minorEastAsia" w:hAnsiTheme="minorEastAsia" w:eastAsiaTheme="minorEastAsia" w:cstheme="minorEastAsia"/>
          <w:bCs w:val="0"/>
          <w:color w:val="auto"/>
          <w:sz w:val="24"/>
          <w:szCs w:val="24"/>
          <w:highlight w:val="none"/>
        </w:rPr>
      </w:pPr>
      <w:bookmarkStart w:id="9" w:name="_Toc28359090"/>
      <w:bookmarkStart w:id="10" w:name="_Toc35393630"/>
      <w:bookmarkStart w:id="11" w:name="_Toc35393799"/>
      <w:bookmarkStart w:id="12" w:name="_Toc28359013"/>
      <w:bookmarkStart w:id="13" w:name="_Toc21544"/>
      <w:bookmarkStart w:id="14" w:name="_Toc44229879"/>
      <w:r>
        <w:rPr>
          <w:rFonts w:hint="eastAsia" w:asciiTheme="minorEastAsia" w:hAnsiTheme="minorEastAsia" w:eastAsiaTheme="minorEastAsia" w:cstheme="minorEastAsia"/>
          <w:bCs w:val="0"/>
          <w:color w:val="auto"/>
          <w:sz w:val="24"/>
          <w:szCs w:val="24"/>
          <w:highlight w:val="none"/>
        </w:rPr>
        <w:t>二、申请人的资格要求：</w:t>
      </w:r>
      <w:bookmarkEnd w:id="9"/>
      <w:bookmarkEnd w:id="10"/>
      <w:bookmarkEnd w:id="11"/>
      <w:bookmarkEnd w:id="12"/>
      <w:bookmarkEnd w:id="13"/>
      <w:bookmarkEnd w:id="14"/>
    </w:p>
    <w:p w14:paraId="00B07C43">
      <w:pPr>
        <w:spacing w:line="360" w:lineRule="auto"/>
        <w:ind w:firstLine="420" w:firstLineChars="200"/>
        <w:outlineLvl w:val="9"/>
        <w:rPr>
          <w:rFonts w:hint="eastAsia" w:asciiTheme="minorEastAsia" w:hAnsiTheme="minorEastAsia" w:eastAsiaTheme="minorEastAsia" w:cstheme="minorEastAsia"/>
          <w:color w:val="auto"/>
          <w:szCs w:val="21"/>
          <w:highlight w:val="none"/>
        </w:rPr>
      </w:pPr>
      <w:bookmarkStart w:id="15" w:name="_Toc28359091"/>
      <w:bookmarkStart w:id="16" w:name="_Toc35393631"/>
      <w:bookmarkStart w:id="17" w:name="_Toc28359014"/>
      <w:bookmarkStart w:id="18" w:name="_Toc44229880"/>
      <w:bookmarkStart w:id="19" w:name="_Toc35393800"/>
      <w:r>
        <w:rPr>
          <w:rFonts w:hint="eastAsia" w:asciiTheme="minorEastAsia" w:hAnsiTheme="minorEastAsia" w:eastAsiaTheme="minorEastAsia" w:cstheme="minorEastAsia"/>
          <w:color w:val="auto"/>
          <w:szCs w:val="21"/>
          <w:highlight w:val="none"/>
        </w:rPr>
        <w:t>1.满足《中华人民共和国政府采购法》第二十二条规定；</w:t>
      </w:r>
    </w:p>
    <w:p w14:paraId="0C04DC7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落实政府采购政策需满足的资格要求：专门面向中小企业采购的项目（供应商应为中小微企业或监狱企业或残疾人福利性单位)。</w:t>
      </w:r>
    </w:p>
    <w:p w14:paraId="3D7358A9">
      <w:pPr>
        <w:spacing w:line="360" w:lineRule="auto"/>
        <w:ind w:firstLine="420" w:firstLineChars="200"/>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3.本项目的特定资格要求：分标1：无</w:t>
      </w:r>
    </w:p>
    <w:p w14:paraId="45DE0FFC">
      <w:pPr>
        <w:pStyle w:val="4"/>
        <w:spacing w:before="0" w:after="0" w:line="360" w:lineRule="auto"/>
        <w:ind w:firstLine="482" w:firstLineChars="200"/>
        <w:outlineLvl w:val="0"/>
        <w:rPr>
          <w:rFonts w:hint="eastAsia" w:asciiTheme="minorEastAsia" w:hAnsiTheme="minorEastAsia" w:eastAsiaTheme="minorEastAsia" w:cstheme="minorEastAsia"/>
          <w:bCs w:val="0"/>
          <w:color w:val="auto"/>
          <w:sz w:val="24"/>
          <w:szCs w:val="24"/>
          <w:highlight w:val="none"/>
        </w:rPr>
      </w:pPr>
      <w:bookmarkStart w:id="20" w:name="_Toc418"/>
      <w:r>
        <w:rPr>
          <w:rFonts w:hint="eastAsia" w:asciiTheme="minorEastAsia" w:hAnsiTheme="minorEastAsia" w:eastAsiaTheme="minorEastAsia" w:cstheme="minorEastAsia"/>
          <w:bCs w:val="0"/>
          <w:color w:val="auto"/>
          <w:sz w:val="24"/>
          <w:szCs w:val="24"/>
          <w:highlight w:val="none"/>
        </w:rPr>
        <w:t>三、</w:t>
      </w:r>
      <w:bookmarkEnd w:id="15"/>
      <w:bookmarkEnd w:id="16"/>
      <w:bookmarkEnd w:id="17"/>
      <w:bookmarkEnd w:id="18"/>
      <w:bookmarkEnd w:id="19"/>
      <w:r>
        <w:rPr>
          <w:rFonts w:hint="eastAsia" w:asciiTheme="minorEastAsia" w:hAnsiTheme="minorEastAsia" w:eastAsiaTheme="minorEastAsia" w:cstheme="minorEastAsia"/>
          <w:bCs w:val="0"/>
          <w:color w:val="auto"/>
          <w:sz w:val="24"/>
          <w:szCs w:val="24"/>
          <w:highlight w:val="none"/>
        </w:rPr>
        <w:t>获取采购文件</w:t>
      </w:r>
      <w:bookmarkEnd w:id="20"/>
    </w:p>
    <w:p w14:paraId="6F225758">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时间：202</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lang w:val="en-US" w:eastAsia="zh-CN"/>
        </w:rPr>
        <w:t>05月06</w:t>
      </w:r>
      <w:r>
        <w:rPr>
          <w:rFonts w:hint="eastAsia" w:asciiTheme="minorEastAsia" w:hAnsiTheme="minorEastAsia" w:eastAsiaTheme="minorEastAsia" w:cstheme="minorEastAsia"/>
          <w:color w:val="auto"/>
          <w:szCs w:val="21"/>
          <w:highlight w:val="none"/>
        </w:rPr>
        <w:t>日至202</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lang w:val="en-US" w:eastAsia="zh-CN"/>
        </w:rPr>
        <w:t>05月12</w:t>
      </w:r>
      <w:r>
        <w:rPr>
          <w:rFonts w:hint="eastAsia" w:asciiTheme="minorEastAsia" w:hAnsiTheme="minorEastAsia" w:eastAsiaTheme="minorEastAsia" w:cstheme="minorEastAsia"/>
          <w:color w:val="auto"/>
          <w:szCs w:val="21"/>
          <w:highlight w:val="none"/>
        </w:rPr>
        <w:t>日，每天上午00:00至12:00，下午12:00至23:59（北京时间，法定节假日除外）</w:t>
      </w:r>
    </w:p>
    <w:p w14:paraId="4C3DE60B">
      <w:pPr>
        <w:pStyle w:val="2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36"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地点（网址）：“</w:t>
      </w:r>
      <w:r>
        <w:rPr>
          <w:rFonts w:hint="eastAsia" w:ascii="宋体" w:hAnsi="宋体" w:eastAsia="宋体" w:cs="宋体"/>
          <w:i w:val="0"/>
          <w:iCs w:val="0"/>
          <w:caps w:val="0"/>
          <w:color w:val="000000"/>
          <w:spacing w:val="0"/>
          <w:sz w:val="21"/>
          <w:szCs w:val="21"/>
          <w:lang w:eastAsia="zh-CN"/>
        </w:rPr>
        <w:t>广西政府采购云平台</w:t>
      </w:r>
      <w:r>
        <w:rPr>
          <w:rFonts w:hint="eastAsia" w:ascii="宋体" w:hAnsi="宋体" w:eastAsia="宋体" w:cs="宋体"/>
          <w:i w:val="0"/>
          <w:iCs w:val="0"/>
          <w:caps w:val="0"/>
          <w:color w:val="000000"/>
          <w:spacing w:val="0"/>
          <w:sz w:val="21"/>
          <w:szCs w:val="21"/>
        </w:rPr>
        <w:t>”（</w:t>
      </w:r>
      <w:r>
        <w:rPr>
          <w:rFonts w:hint="eastAsia" w:ascii="宋体" w:hAnsi="宋体" w:cs="宋体"/>
          <w:i w:val="0"/>
          <w:iCs w:val="0"/>
          <w:caps w:val="0"/>
          <w:color w:val="000000"/>
          <w:spacing w:val="0"/>
          <w:sz w:val="21"/>
          <w:szCs w:val="21"/>
          <w:lang w:eastAsia="zh-CN"/>
        </w:rPr>
        <w:t>https://www.gcy.zfcg.gxzf.gov.cn/</w:t>
      </w:r>
      <w:r>
        <w:rPr>
          <w:rFonts w:hint="eastAsia" w:ascii="宋体" w:hAnsi="宋体" w:eastAsia="宋体" w:cs="宋体"/>
          <w:i w:val="0"/>
          <w:iCs w:val="0"/>
          <w:caps w:val="0"/>
          <w:color w:val="000000"/>
          <w:spacing w:val="0"/>
          <w:sz w:val="21"/>
          <w:szCs w:val="21"/>
        </w:rPr>
        <w:t>） </w:t>
      </w:r>
    </w:p>
    <w:p w14:paraId="04FA1E3A">
      <w:pPr>
        <w:pStyle w:val="2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36"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方式：供应商登录广西政府采购云平台https://www.gcy.zfcg.gxzf.gov.cn/在线申请获取采购文件（进入“项目采购”应用，在获取采购文件菜单中选择项目，申请获取采购文件）。 </w:t>
      </w:r>
    </w:p>
    <w:p w14:paraId="583F97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i w:val="0"/>
          <w:iCs w:val="0"/>
          <w:caps w:val="0"/>
          <w:color w:val="000000"/>
          <w:spacing w:val="0"/>
          <w:sz w:val="21"/>
          <w:szCs w:val="21"/>
        </w:rPr>
        <w:t>售价（元）：0</w:t>
      </w:r>
    </w:p>
    <w:p w14:paraId="190EE5F6">
      <w:pPr>
        <w:pStyle w:val="4"/>
        <w:spacing w:before="0" w:after="0" w:line="360" w:lineRule="auto"/>
        <w:ind w:firstLine="482" w:firstLineChars="200"/>
        <w:outlineLvl w:val="0"/>
        <w:rPr>
          <w:rFonts w:hint="eastAsia" w:asciiTheme="minorEastAsia" w:hAnsiTheme="minorEastAsia" w:eastAsiaTheme="minorEastAsia" w:cstheme="minorEastAsia"/>
          <w:bCs w:val="0"/>
          <w:color w:val="auto"/>
          <w:sz w:val="24"/>
          <w:szCs w:val="24"/>
          <w:highlight w:val="none"/>
        </w:rPr>
      </w:pPr>
      <w:bookmarkStart w:id="21" w:name="_Toc28359092"/>
      <w:bookmarkStart w:id="22" w:name="_Toc35393801"/>
      <w:bookmarkStart w:id="23" w:name="_Toc44229881"/>
      <w:bookmarkStart w:id="24" w:name="_Toc35393632"/>
      <w:bookmarkStart w:id="25" w:name="_Toc28359015"/>
      <w:bookmarkStart w:id="26" w:name="_Toc21985"/>
      <w:r>
        <w:rPr>
          <w:rFonts w:hint="eastAsia" w:asciiTheme="minorEastAsia" w:hAnsiTheme="minorEastAsia" w:eastAsiaTheme="minorEastAsia" w:cstheme="minorEastAsia"/>
          <w:bCs w:val="0"/>
          <w:color w:val="auto"/>
          <w:sz w:val="24"/>
          <w:szCs w:val="24"/>
          <w:highlight w:val="none"/>
        </w:rPr>
        <w:t>四、</w:t>
      </w:r>
      <w:bookmarkEnd w:id="21"/>
      <w:bookmarkEnd w:id="22"/>
      <w:bookmarkEnd w:id="23"/>
      <w:bookmarkEnd w:id="24"/>
      <w:bookmarkEnd w:id="25"/>
      <w:r>
        <w:rPr>
          <w:rFonts w:hint="eastAsia" w:asciiTheme="minorEastAsia" w:hAnsiTheme="minorEastAsia" w:eastAsiaTheme="minorEastAsia" w:cstheme="minorEastAsia"/>
          <w:bCs w:val="0"/>
          <w:color w:val="auto"/>
          <w:sz w:val="24"/>
          <w:szCs w:val="24"/>
          <w:highlight w:val="none"/>
        </w:rPr>
        <w:t>响应文件提交</w:t>
      </w:r>
      <w:bookmarkEnd w:id="26"/>
    </w:p>
    <w:p w14:paraId="39498D0D">
      <w:pPr>
        <w:spacing w:line="360" w:lineRule="auto"/>
        <w:ind w:firstLine="420" w:firstLineChars="200"/>
        <w:rPr>
          <w:rFonts w:hint="eastAsia" w:asciiTheme="minorEastAsia" w:hAnsiTheme="minorEastAsia" w:eastAsiaTheme="minorEastAsia" w:cstheme="minorEastAsia"/>
          <w:bCs/>
          <w:color w:val="auto"/>
          <w:szCs w:val="21"/>
          <w:highlight w:val="none"/>
          <w:u w:val="single"/>
        </w:rPr>
      </w:pPr>
      <w:r>
        <w:rPr>
          <w:rFonts w:hint="eastAsia" w:asciiTheme="minorEastAsia" w:hAnsiTheme="minorEastAsia" w:eastAsiaTheme="minorEastAsia" w:cstheme="minorEastAsia"/>
          <w:bCs/>
          <w:color w:val="auto"/>
          <w:szCs w:val="21"/>
          <w:highlight w:val="none"/>
          <w:u w:val="none"/>
        </w:rPr>
        <w:t>截止时间：</w:t>
      </w:r>
      <w:r>
        <w:rPr>
          <w:rFonts w:hint="eastAsia" w:asciiTheme="minorEastAsia" w:hAnsiTheme="minorEastAsia" w:eastAsiaTheme="minorEastAsia" w:cstheme="minorEastAsia"/>
          <w:color w:val="auto"/>
          <w:szCs w:val="21"/>
          <w:highlight w:val="none"/>
        </w:rPr>
        <w:t>202</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lang w:val="en-US" w:eastAsia="zh-CN"/>
        </w:rPr>
        <w:t>05月18</w:t>
      </w:r>
      <w:r>
        <w:rPr>
          <w:rFonts w:hint="eastAsia" w:asciiTheme="minorEastAsia" w:hAnsiTheme="minorEastAsia" w:eastAsiaTheme="minorEastAsia" w:cstheme="minorEastAsia"/>
          <w:color w:val="auto"/>
          <w:szCs w:val="21"/>
          <w:highlight w:val="none"/>
        </w:rPr>
        <w:t>日</w:t>
      </w:r>
      <w:r>
        <w:rPr>
          <w:rFonts w:hint="eastAsia" w:asciiTheme="minorEastAsia" w:hAnsiTheme="minorEastAsia" w:eastAsiaTheme="minorEastAsia" w:cstheme="minorEastAsia"/>
          <w:color w:val="auto"/>
          <w:szCs w:val="21"/>
          <w:highlight w:val="none"/>
          <w:u w:val="none"/>
          <w:lang w:val="en-US" w:eastAsia="zh-CN"/>
        </w:rPr>
        <w:t xml:space="preserve">09：30 </w:t>
      </w:r>
      <w:r>
        <w:rPr>
          <w:rFonts w:hint="eastAsia" w:asciiTheme="minorEastAsia" w:hAnsiTheme="minorEastAsia" w:eastAsiaTheme="minorEastAsia" w:cstheme="minorEastAsia"/>
          <w:bCs/>
          <w:color w:val="auto"/>
          <w:szCs w:val="21"/>
          <w:highlight w:val="none"/>
          <w:u w:val="none"/>
        </w:rPr>
        <w:t>（北京时间）</w:t>
      </w:r>
    </w:p>
    <w:p w14:paraId="4EAB6082">
      <w:pPr>
        <w:spacing w:line="360" w:lineRule="auto"/>
        <w:ind w:firstLine="420" w:firstLineChars="200"/>
        <w:rPr>
          <w:rFonts w:hint="eastAsia" w:asciiTheme="minorEastAsia" w:hAnsiTheme="minorEastAsia" w:eastAsiaTheme="minorEastAsia" w:cstheme="minorEastAsia"/>
          <w:bCs/>
          <w:color w:val="auto"/>
          <w:szCs w:val="21"/>
          <w:highlight w:val="none"/>
          <w:u w:val="single"/>
        </w:rPr>
      </w:pPr>
      <w:r>
        <w:rPr>
          <w:rFonts w:hint="eastAsia" w:asciiTheme="minorEastAsia" w:hAnsiTheme="minorEastAsia" w:eastAsiaTheme="minorEastAsia" w:cstheme="minorEastAsia"/>
          <w:bCs/>
          <w:color w:val="auto"/>
          <w:szCs w:val="21"/>
          <w:highlight w:val="none"/>
          <w:u w:val="none"/>
        </w:rPr>
        <w:t>地点（网址）：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A认证编制、加密响应文件后在响应截止时间前上传至广西政府采购云平台，供应商在广西政府采购云平台提交电子版响应文件时，请填写参加远程截标活动经办人联系方式。</w:t>
      </w:r>
    </w:p>
    <w:p w14:paraId="4847191D">
      <w:pPr>
        <w:pStyle w:val="4"/>
        <w:spacing w:before="0" w:after="0" w:line="360" w:lineRule="auto"/>
        <w:ind w:firstLine="482" w:firstLineChars="200"/>
        <w:outlineLvl w:val="0"/>
        <w:rPr>
          <w:rFonts w:hint="eastAsia" w:asciiTheme="minorEastAsia" w:hAnsiTheme="minorEastAsia" w:eastAsiaTheme="minorEastAsia" w:cstheme="minorEastAsia"/>
          <w:bCs w:val="0"/>
          <w:color w:val="auto"/>
          <w:sz w:val="24"/>
          <w:szCs w:val="24"/>
          <w:highlight w:val="none"/>
        </w:rPr>
      </w:pPr>
      <w:bookmarkStart w:id="27" w:name="_Toc44229882"/>
      <w:bookmarkStart w:id="28" w:name="_Toc28359093"/>
      <w:bookmarkStart w:id="29" w:name="_Toc35393802"/>
      <w:bookmarkStart w:id="30" w:name="_Toc28359016"/>
      <w:bookmarkStart w:id="31" w:name="_Toc5391"/>
      <w:bookmarkStart w:id="32" w:name="_Toc35393633"/>
      <w:r>
        <w:rPr>
          <w:rFonts w:hint="eastAsia" w:asciiTheme="minorEastAsia" w:hAnsiTheme="minorEastAsia" w:eastAsiaTheme="minorEastAsia" w:cstheme="minorEastAsia"/>
          <w:bCs w:val="0"/>
          <w:color w:val="auto"/>
          <w:sz w:val="24"/>
          <w:szCs w:val="24"/>
          <w:highlight w:val="none"/>
        </w:rPr>
        <w:t>五、响应文件开启</w:t>
      </w:r>
      <w:bookmarkEnd w:id="27"/>
      <w:bookmarkEnd w:id="28"/>
      <w:bookmarkEnd w:id="29"/>
      <w:bookmarkEnd w:id="30"/>
      <w:bookmarkEnd w:id="31"/>
      <w:bookmarkEnd w:id="32"/>
    </w:p>
    <w:p w14:paraId="5D50F4CA">
      <w:pPr>
        <w:spacing w:line="360" w:lineRule="auto"/>
        <w:ind w:firstLine="420" w:firstLineChars="200"/>
        <w:rPr>
          <w:rFonts w:hint="eastAsia" w:asciiTheme="minorEastAsia" w:hAnsiTheme="minorEastAsia" w:eastAsiaTheme="minorEastAsia" w:cstheme="minorEastAsia"/>
          <w:bCs/>
          <w:color w:val="auto"/>
          <w:szCs w:val="21"/>
          <w:highlight w:val="none"/>
          <w:u w:val="none"/>
        </w:rPr>
      </w:pPr>
      <w:r>
        <w:rPr>
          <w:rFonts w:hint="eastAsia" w:asciiTheme="minorEastAsia" w:hAnsiTheme="minorEastAsia" w:eastAsiaTheme="minorEastAsia" w:cstheme="minorEastAsia"/>
          <w:bCs/>
          <w:color w:val="auto"/>
          <w:szCs w:val="21"/>
          <w:highlight w:val="none"/>
          <w:u w:val="none"/>
        </w:rPr>
        <w:t>开启时间：</w:t>
      </w:r>
      <w:r>
        <w:rPr>
          <w:rFonts w:hint="eastAsia" w:asciiTheme="minorEastAsia" w:hAnsiTheme="minorEastAsia" w:eastAsiaTheme="minorEastAsia" w:cstheme="minorEastAsia"/>
          <w:color w:val="auto"/>
          <w:szCs w:val="21"/>
          <w:highlight w:val="none"/>
        </w:rPr>
        <w:t>202</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lang w:val="en-US" w:eastAsia="zh-CN"/>
        </w:rPr>
        <w:t>05月18</w:t>
      </w:r>
      <w:r>
        <w:rPr>
          <w:rFonts w:hint="eastAsia" w:asciiTheme="minorEastAsia" w:hAnsiTheme="minorEastAsia" w:eastAsiaTheme="minorEastAsia" w:cstheme="minorEastAsia"/>
          <w:color w:val="auto"/>
          <w:szCs w:val="21"/>
          <w:highlight w:val="none"/>
        </w:rPr>
        <w:t>日</w:t>
      </w:r>
      <w:r>
        <w:rPr>
          <w:rFonts w:hint="eastAsia" w:asciiTheme="minorEastAsia" w:hAnsiTheme="minorEastAsia" w:eastAsiaTheme="minorEastAsia" w:cstheme="minorEastAsia"/>
          <w:color w:val="auto"/>
          <w:szCs w:val="21"/>
          <w:highlight w:val="none"/>
          <w:u w:val="none"/>
          <w:lang w:val="en-US" w:eastAsia="zh-CN"/>
        </w:rPr>
        <w:t>09：30</w:t>
      </w:r>
      <w:r>
        <w:rPr>
          <w:rFonts w:hint="eastAsia" w:asciiTheme="minorEastAsia" w:hAnsiTheme="minorEastAsia" w:eastAsiaTheme="minorEastAsia" w:cstheme="minorEastAsia"/>
          <w:bCs/>
          <w:color w:val="auto"/>
          <w:szCs w:val="21"/>
          <w:highlight w:val="none"/>
          <w:u w:val="none"/>
        </w:rPr>
        <w:t>（北京时间）；</w:t>
      </w:r>
    </w:p>
    <w:p w14:paraId="60F9C9D5">
      <w:pPr>
        <w:spacing w:line="360" w:lineRule="auto"/>
        <w:ind w:firstLine="420" w:firstLineChars="200"/>
        <w:rPr>
          <w:rFonts w:hint="eastAsia" w:asciiTheme="minorEastAsia" w:hAnsiTheme="minorEastAsia" w:eastAsiaTheme="minorEastAsia" w:cstheme="minorEastAsia"/>
          <w:bCs/>
          <w:color w:val="auto"/>
          <w:szCs w:val="21"/>
          <w:highlight w:val="none"/>
          <w:u w:val="none"/>
        </w:rPr>
      </w:pPr>
      <w:r>
        <w:rPr>
          <w:rFonts w:hint="eastAsia" w:asciiTheme="minorEastAsia" w:hAnsiTheme="minorEastAsia" w:eastAsiaTheme="minorEastAsia" w:cstheme="minorEastAsia"/>
          <w:bCs/>
          <w:color w:val="auto"/>
          <w:szCs w:val="21"/>
          <w:highlight w:val="none"/>
          <w:u w:val="none"/>
        </w:rPr>
        <w:t>地点：广西政府采购云平台电子开标大厅</w:t>
      </w:r>
    </w:p>
    <w:p w14:paraId="19C1D1C5">
      <w:pPr>
        <w:pStyle w:val="4"/>
        <w:spacing w:before="0" w:after="0" w:line="360" w:lineRule="auto"/>
        <w:ind w:firstLine="482" w:firstLineChars="200"/>
        <w:outlineLvl w:val="0"/>
        <w:rPr>
          <w:rFonts w:hint="eastAsia" w:asciiTheme="minorEastAsia" w:hAnsiTheme="minorEastAsia" w:eastAsiaTheme="minorEastAsia" w:cstheme="minorEastAsia"/>
          <w:bCs w:val="0"/>
          <w:color w:val="auto"/>
          <w:sz w:val="24"/>
          <w:szCs w:val="24"/>
          <w:highlight w:val="none"/>
        </w:rPr>
      </w:pPr>
      <w:bookmarkStart w:id="33" w:name="_Toc28359017"/>
      <w:bookmarkStart w:id="34" w:name="_Toc28359094"/>
      <w:bookmarkStart w:id="35" w:name="_Toc35393634"/>
      <w:bookmarkStart w:id="36" w:name="_Toc35393803"/>
      <w:bookmarkStart w:id="37" w:name="_Toc28143"/>
      <w:bookmarkStart w:id="38" w:name="_Toc44229883"/>
      <w:r>
        <w:rPr>
          <w:rFonts w:hint="eastAsia" w:asciiTheme="minorEastAsia" w:hAnsiTheme="minorEastAsia" w:eastAsiaTheme="minorEastAsia" w:cstheme="minorEastAsia"/>
          <w:bCs w:val="0"/>
          <w:color w:val="auto"/>
          <w:sz w:val="24"/>
          <w:szCs w:val="24"/>
          <w:highlight w:val="none"/>
        </w:rPr>
        <w:t>六、公告期限</w:t>
      </w:r>
      <w:bookmarkEnd w:id="33"/>
      <w:bookmarkEnd w:id="34"/>
      <w:bookmarkEnd w:id="35"/>
      <w:bookmarkEnd w:id="36"/>
      <w:bookmarkEnd w:id="37"/>
      <w:bookmarkEnd w:id="38"/>
    </w:p>
    <w:p w14:paraId="1499F694">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自本公告发布之日起5个工作日。</w:t>
      </w:r>
    </w:p>
    <w:p w14:paraId="21D7C92D">
      <w:pPr>
        <w:pStyle w:val="4"/>
        <w:spacing w:before="0" w:after="0" w:line="360" w:lineRule="auto"/>
        <w:ind w:firstLine="482" w:firstLineChars="200"/>
        <w:outlineLvl w:val="0"/>
        <w:rPr>
          <w:rFonts w:hint="eastAsia" w:asciiTheme="minorEastAsia" w:hAnsiTheme="minorEastAsia" w:eastAsiaTheme="minorEastAsia" w:cstheme="minorEastAsia"/>
          <w:bCs w:val="0"/>
          <w:color w:val="auto"/>
          <w:sz w:val="24"/>
          <w:szCs w:val="24"/>
          <w:highlight w:val="none"/>
        </w:rPr>
      </w:pPr>
      <w:bookmarkStart w:id="39" w:name="_Toc387"/>
      <w:bookmarkStart w:id="40" w:name="_Toc35393804"/>
      <w:bookmarkStart w:id="41" w:name="_Toc35393635"/>
      <w:bookmarkStart w:id="42" w:name="_Toc44229884"/>
      <w:r>
        <w:rPr>
          <w:rFonts w:hint="eastAsia" w:asciiTheme="minorEastAsia" w:hAnsiTheme="minorEastAsia" w:eastAsiaTheme="minorEastAsia" w:cstheme="minorEastAsia"/>
          <w:bCs w:val="0"/>
          <w:color w:val="auto"/>
          <w:sz w:val="24"/>
          <w:szCs w:val="24"/>
          <w:highlight w:val="none"/>
        </w:rPr>
        <w:t>七、其他补充事宜</w:t>
      </w:r>
      <w:bookmarkEnd w:id="39"/>
      <w:bookmarkEnd w:id="40"/>
      <w:bookmarkEnd w:id="41"/>
      <w:bookmarkEnd w:id="42"/>
    </w:p>
    <w:p w14:paraId="5EC2C888">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1.磋商保证金：本项目不需要缴纳磋商保证金</w:t>
      </w:r>
    </w:p>
    <w:p w14:paraId="15EA6492">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rPr>
        <w:t>单位负责人为同一人或者存在直接控股、管理关系的不同</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，不得参加同一合同项下的政府采购活动。为本项目提供过整体设计、规范编</w:t>
      </w:r>
      <w:bookmarkStart w:id="206" w:name="_GoBack"/>
      <w:bookmarkEnd w:id="206"/>
      <w:r>
        <w:rPr>
          <w:rFonts w:hint="eastAsia" w:asciiTheme="minorEastAsia" w:hAnsiTheme="minorEastAsia" w:eastAsiaTheme="minorEastAsia" w:cstheme="minorEastAsia"/>
          <w:color w:val="auto"/>
          <w:kern w:val="0"/>
          <w:szCs w:val="21"/>
          <w:highlight w:val="none"/>
        </w:rPr>
        <w:t>制或者项目管理、监理、检测等服务的</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，不得再参加本项目上述服务以外的其他采购活动。</w:t>
      </w:r>
    </w:p>
    <w:p w14:paraId="2B1DECF9">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，不得参与政府采购活动。</w:t>
      </w:r>
    </w:p>
    <w:p w14:paraId="7B5A8D38">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4</w:t>
      </w:r>
      <w:r>
        <w:rPr>
          <w:rFonts w:hint="eastAsia" w:asciiTheme="minorEastAsia" w:hAnsiTheme="minorEastAsia" w:eastAsiaTheme="minorEastAsia" w:cstheme="minorEastAsia"/>
          <w:color w:val="auto"/>
          <w:kern w:val="0"/>
          <w:szCs w:val="21"/>
          <w:highlight w:val="none"/>
        </w:rPr>
        <w:t>.网上查询地址</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中国政府采购网、广西壮族自治区政府采购网、梧州市政府采购网。</w:t>
      </w:r>
    </w:p>
    <w:p w14:paraId="40372794">
      <w:pPr>
        <w:spacing w:line="360" w:lineRule="auto"/>
        <w:ind w:firstLine="420" w:firstLineChars="200"/>
        <w:outlineLvl w:val="9"/>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本项目需要落实的政府采购政策</w:t>
      </w:r>
    </w:p>
    <w:p w14:paraId="63AEBAC0">
      <w:pPr>
        <w:spacing w:line="360" w:lineRule="auto"/>
        <w:ind w:firstLine="315" w:firstLineChars="15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（1）政府采购促进中小企业发展。</w:t>
      </w:r>
    </w:p>
    <w:p w14:paraId="13C69FAF">
      <w:pPr>
        <w:spacing w:line="360" w:lineRule="auto"/>
        <w:ind w:firstLine="315" w:firstLineChars="15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（2）政府采购支持采用本国产品的政策。</w:t>
      </w:r>
    </w:p>
    <w:p w14:paraId="1F5F8B53">
      <w:pPr>
        <w:spacing w:line="360" w:lineRule="auto"/>
        <w:ind w:firstLine="315" w:firstLineChars="15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（3）强制采购节能产品；优先采购节能产品、环境标志产品。</w:t>
      </w:r>
    </w:p>
    <w:p w14:paraId="3CA1C607">
      <w:pPr>
        <w:spacing w:line="360" w:lineRule="auto"/>
        <w:ind w:firstLine="315" w:firstLineChars="15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（4）政府采购促进残疾人就业政策。</w:t>
      </w:r>
    </w:p>
    <w:p w14:paraId="0C2F9F49">
      <w:pPr>
        <w:spacing w:line="360" w:lineRule="auto"/>
        <w:ind w:firstLine="315" w:firstLineChars="15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（5）政府采购支持监狱企业发展。</w:t>
      </w:r>
    </w:p>
    <w:p w14:paraId="0483BED5">
      <w:pPr>
        <w:spacing w:line="360" w:lineRule="auto"/>
        <w:ind w:firstLine="315" w:firstLineChars="150"/>
        <w:outlineLvl w:val="9"/>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6.</w:t>
      </w:r>
      <w:r>
        <w:rPr>
          <w:rFonts w:hint="eastAsia" w:asciiTheme="minorEastAsia" w:hAnsiTheme="minorEastAsia" w:eastAsiaTheme="minorEastAsia" w:cstheme="minorEastAsia"/>
          <w:color w:val="auto"/>
          <w:kern w:val="0"/>
          <w:szCs w:val="21"/>
          <w:highlight w:val="none"/>
        </w:rPr>
        <w:t>在线投标（电子投标）说明</w:t>
      </w:r>
    </w:p>
    <w:p w14:paraId="2B800224">
      <w:pPr>
        <w:spacing w:line="360" w:lineRule="auto"/>
        <w:ind w:firstLine="315" w:firstLineChars="15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（1）本项目为全流程电子化采购项目，通过广西政府采购云平台（</w:t>
      </w:r>
      <w:r>
        <w:rPr>
          <w:rFonts w:hint="eastAsia" w:asciiTheme="minorEastAsia" w:hAnsiTheme="minorEastAsia" w:eastAsiaTheme="minorEastAsia" w:cstheme="minorEastAsia"/>
          <w:color w:val="auto"/>
          <w:kern w:val="0"/>
          <w:szCs w:val="21"/>
          <w:highlight w:val="none"/>
          <w:lang w:eastAsia="zh-CN"/>
        </w:rPr>
        <w:t>https://www.gcy.zfcg.gxzf.gov.cn/</w:t>
      </w:r>
      <w:r>
        <w:rPr>
          <w:rFonts w:hint="eastAsia" w:asciiTheme="minorEastAsia" w:hAnsiTheme="minorEastAsia" w:eastAsiaTheme="minorEastAsia" w:cstheme="minorEastAsia"/>
          <w:color w:val="auto"/>
          <w:kern w:val="0"/>
          <w:szCs w:val="21"/>
          <w:highlight w:val="none"/>
        </w:rPr>
        <w:t>）实行在线电子竞标，供应商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71776D2F">
      <w:pPr>
        <w:spacing w:line="360" w:lineRule="auto"/>
        <w:ind w:firstLine="315" w:firstLineChars="15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客服热线：95763）。</w:t>
      </w:r>
    </w:p>
    <w:p w14:paraId="7739FB17">
      <w:pPr>
        <w:spacing w:line="360" w:lineRule="auto"/>
        <w:ind w:firstLine="315" w:firstLineChars="15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5FECB1B6">
      <w:pPr>
        <w:spacing w:line="360" w:lineRule="auto"/>
        <w:ind w:firstLine="315" w:firstLineChars="15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（4）供应商需要在具备有摄像头及语音功能且互联网网络状况良好的电脑登录广西政府采购云平台远程开标大厅参与本次磋商，否则后果自负。</w:t>
      </w:r>
    </w:p>
    <w:p w14:paraId="56970788">
      <w:pPr>
        <w:pStyle w:val="4"/>
        <w:spacing w:before="0" w:after="0" w:line="360" w:lineRule="auto"/>
        <w:ind w:firstLine="482" w:firstLineChars="200"/>
        <w:outlineLvl w:val="0"/>
        <w:rPr>
          <w:rFonts w:hint="eastAsia" w:asciiTheme="minorEastAsia" w:hAnsiTheme="minorEastAsia" w:eastAsiaTheme="minorEastAsia" w:cstheme="minorEastAsia"/>
          <w:bCs w:val="0"/>
          <w:color w:val="auto"/>
          <w:sz w:val="24"/>
          <w:szCs w:val="24"/>
          <w:highlight w:val="none"/>
        </w:rPr>
      </w:pPr>
      <w:bookmarkStart w:id="43" w:name="_Toc35393636"/>
      <w:bookmarkStart w:id="44" w:name="_Toc28359018"/>
      <w:bookmarkStart w:id="45" w:name="_Toc28359095"/>
      <w:bookmarkStart w:id="46" w:name="_Toc35393805"/>
      <w:bookmarkStart w:id="47" w:name="_Toc2014"/>
      <w:bookmarkStart w:id="48" w:name="_Toc44229885"/>
      <w:r>
        <w:rPr>
          <w:rFonts w:hint="eastAsia" w:asciiTheme="minorEastAsia" w:hAnsiTheme="minorEastAsia" w:eastAsiaTheme="minorEastAsia" w:cstheme="minorEastAsia"/>
          <w:bCs w:val="0"/>
          <w:color w:val="auto"/>
          <w:sz w:val="24"/>
          <w:szCs w:val="24"/>
          <w:highlight w:val="none"/>
          <w:lang w:val="en-US" w:eastAsia="zh-CN"/>
        </w:rPr>
        <w:t>八</w:t>
      </w:r>
      <w:r>
        <w:rPr>
          <w:rFonts w:hint="eastAsia" w:asciiTheme="minorEastAsia" w:hAnsiTheme="minorEastAsia" w:eastAsiaTheme="minorEastAsia" w:cstheme="minorEastAsia"/>
          <w:bCs w:val="0"/>
          <w:color w:val="auto"/>
          <w:sz w:val="24"/>
          <w:szCs w:val="24"/>
          <w:highlight w:val="none"/>
        </w:rPr>
        <w:t>、凡对本次采购提出询问，请按以下方式联系。</w:t>
      </w:r>
      <w:bookmarkEnd w:id="43"/>
      <w:bookmarkEnd w:id="44"/>
      <w:bookmarkEnd w:id="45"/>
      <w:bookmarkEnd w:id="46"/>
      <w:bookmarkEnd w:id="47"/>
      <w:bookmarkEnd w:id="48"/>
    </w:p>
    <w:p w14:paraId="55499685">
      <w:pPr>
        <w:spacing w:line="360" w:lineRule="auto"/>
        <w:ind w:firstLine="420" w:firstLineChars="200"/>
        <w:outlineLvl w:val="1"/>
        <w:rPr>
          <w:rFonts w:hint="eastAsia" w:asciiTheme="minorEastAsia" w:hAnsiTheme="minorEastAsia" w:eastAsiaTheme="minorEastAsia" w:cstheme="minorEastAsia"/>
          <w:color w:val="auto"/>
          <w:kern w:val="0"/>
          <w:szCs w:val="21"/>
          <w:highlight w:val="none"/>
        </w:rPr>
      </w:pPr>
      <w:bookmarkStart w:id="49" w:name="_Toc28359096"/>
      <w:bookmarkStart w:id="50" w:name="_Toc35393637"/>
      <w:bookmarkStart w:id="51" w:name="_Toc28359019"/>
      <w:bookmarkStart w:id="52" w:name="_Toc35393806"/>
      <w:r>
        <w:rPr>
          <w:rFonts w:hint="eastAsia" w:asciiTheme="minorEastAsia" w:hAnsiTheme="minorEastAsia" w:eastAsiaTheme="minorEastAsia" w:cstheme="minorEastAsia"/>
          <w:color w:val="auto"/>
          <w:kern w:val="0"/>
          <w:szCs w:val="21"/>
          <w:highlight w:val="none"/>
        </w:rPr>
        <w:t>1.采购人信息</w:t>
      </w:r>
      <w:bookmarkEnd w:id="49"/>
      <w:bookmarkEnd w:id="50"/>
      <w:bookmarkEnd w:id="51"/>
      <w:bookmarkEnd w:id="52"/>
    </w:p>
    <w:p w14:paraId="595FFF90">
      <w:pPr>
        <w:spacing w:line="360" w:lineRule="auto"/>
        <w:ind w:firstLine="420" w:firstLineChars="200"/>
        <w:jc w:val="left"/>
        <w:rPr>
          <w:rFonts w:hint="eastAsia" w:asciiTheme="minorEastAsia" w:hAnsiTheme="minorEastAsia" w:eastAsiaTheme="minorEastAsia" w:cstheme="minorEastAsia"/>
          <w:color w:val="auto"/>
          <w:szCs w:val="21"/>
          <w:highlight w:val="none"/>
          <w:u w:val="none"/>
          <w:lang w:val="en-US" w:eastAsia="zh-CN"/>
        </w:rPr>
      </w:pPr>
      <w:r>
        <w:rPr>
          <w:rFonts w:hint="eastAsia" w:asciiTheme="minorEastAsia" w:hAnsiTheme="minorEastAsia" w:eastAsiaTheme="minorEastAsia" w:cstheme="minorEastAsia"/>
          <w:color w:val="auto"/>
          <w:szCs w:val="21"/>
          <w:highlight w:val="none"/>
          <w:u w:val="none"/>
        </w:rPr>
        <w:t>名    称：</w:t>
      </w:r>
      <w:r>
        <w:rPr>
          <w:rFonts w:hint="eastAsia" w:asciiTheme="minorEastAsia" w:hAnsiTheme="minorEastAsia" w:eastAsiaTheme="minorEastAsia" w:cstheme="minorEastAsia"/>
          <w:color w:val="auto"/>
          <w:szCs w:val="21"/>
          <w:highlight w:val="none"/>
          <w:u w:val="none"/>
          <w:lang w:val="en-US" w:eastAsia="zh-CN"/>
        </w:rPr>
        <w:t>苍梧县茶产业发展局</w:t>
      </w:r>
    </w:p>
    <w:p w14:paraId="2543F901">
      <w:pPr>
        <w:spacing w:line="360" w:lineRule="auto"/>
        <w:ind w:firstLine="420" w:firstLineChars="200"/>
        <w:jc w:val="left"/>
        <w:rPr>
          <w:rFonts w:hint="eastAsia" w:asciiTheme="minorEastAsia" w:hAnsiTheme="minorEastAsia" w:eastAsiaTheme="minorEastAsia" w:cstheme="minorEastAsia"/>
          <w:color w:val="auto"/>
          <w:szCs w:val="21"/>
          <w:highlight w:val="none"/>
          <w:u w:val="none"/>
          <w:lang w:val="en-US" w:eastAsia="zh-CN"/>
        </w:rPr>
      </w:pPr>
      <w:r>
        <w:rPr>
          <w:rFonts w:hint="eastAsia" w:asciiTheme="minorEastAsia" w:hAnsiTheme="minorEastAsia" w:eastAsiaTheme="minorEastAsia" w:cstheme="minorEastAsia"/>
          <w:color w:val="auto"/>
          <w:szCs w:val="21"/>
          <w:highlight w:val="none"/>
          <w:u w:val="none"/>
        </w:rPr>
        <w:t>地    址：</w:t>
      </w:r>
      <w:r>
        <w:rPr>
          <w:rFonts w:hint="eastAsia" w:asciiTheme="minorEastAsia" w:hAnsiTheme="minorEastAsia" w:eastAsiaTheme="minorEastAsia" w:cstheme="minorEastAsia"/>
          <w:color w:val="auto"/>
          <w:szCs w:val="21"/>
          <w:highlight w:val="none"/>
          <w:u w:val="none"/>
          <w:lang w:eastAsia="zh-CN"/>
        </w:rPr>
        <w:t>苍梧县新县城科创中心</w:t>
      </w:r>
    </w:p>
    <w:p w14:paraId="5C875E45">
      <w:pPr>
        <w:spacing w:line="360" w:lineRule="auto"/>
        <w:ind w:firstLine="420" w:firstLineChars="200"/>
        <w:jc w:val="left"/>
        <w:rPr>
          <w:rFonts w:hint="eastAsia" w:asciiTheme="minorEastAsia" w:hAnsiTheme="minorEastAsia" w:eastAsiaTheme="minorEastAsia" w:cstheme="minorEastAsia"/>
          <w:color w:val="auto"/>
          <w:szCs w:val="21"/>
          <w:highlight w:val="none"/>
          <w:u w:val="none"/>
          <w:lang w:val="en-US" w:eastAsia="zh-CN"/>
        </w:rPr>
      </w:pPr>
      <w:r>
        <w:rPr>
          <w:rFonts w:hint="eastAsia" w:asciiTheme="minorEastAsia" w:hAnsiTheme="minorEastAsia" w:eastAsiaTheme="minorEastAsia" w:cstheme="minorEastAsia"/>
          <w:color w:val="auto"/>
          <w:szCs w:val="21"/>
          <w:highlight w:val="none"/>
          <w:u w:val="none"/>
          <w:lang w:val="en-US" w:eastAsia="zh-CN"/>
        </w:rPr>
        <w:t>联 系 人：罗亚密</w:t>
      </w:r>
    </w:p>
    <w:p w14:paraId="601604B3">
      <w:pPr>
        <w:spacing w:line="360" w:lineRule="auto"/>
        <w:ind w:firstLine="420" w:firstLineChars="200"/>
        <w:jc w:val="left"/>
        <w:rPr>
          <w:rFonts w:hint="default" w:asciiTheme="minorEastAsia" w:hAnsiTheme="minorEastAsia" w:eastAsiaTheme="minorEastAsia" w:cstheme="minorEastAsia"/>
          <w:color w:val="auto"/>
          <w:szCs w:val="21"/>
          <w:highlight w:val="none"/>
          <w:u w:val="none"/>
          <w:lang w:val="en-US" w:eastAsia="zh-CN"/>
        </w:rPr>
      </w:pPr>
      <w:r>
        <w:rPr>
          <w:rFonts w:hint="eastAsia" w:asciiTheme="minorEastAsia" w:hAnsiTheme="minorEastAsia" w:eastAsiaTheme="minorEastAsia" w:cstheme="minorEastAsia"/>
          <w:color w:val="auto"/>
          <w:szCs w:val="21"/>
          <w:highlight w:val="none"/>
          <w:u w:val="none"/>
        </w:rPr>
        <w:t>联系方式：</w:t>
      </w:r>
      <w:r>
        <w:rPr>
          <w:rFonts w:hint="eastAsia" w:asciiTheme="minorEastAsia" w:hAnsiTheme="minorEastAsia" w:eastAsiaTheme="minorEastAsia" w:cstheme="minorEastAsia"/>
          <w:color w:val="auto"/>
          <w:szCs w:val="21"/>
          <w:highlight w:val="none"/>
          <w:u w:val="none"/>
          <w:lang w:val="en-US" w:eastAsia="zh-CN"/>
        </w:rPr>
        <w:t>0774-2682219</w:t>
      </w:r>
    </w:p>
    <w:p w14:paraId="1848B4FB">
      <w:pPr>
        <w:spacing w:line="360" w:lineRule="auto"/>
        <w:ind w:firstLine="420" w:firstLineChars="200"/>
        <w:outlineLvl w:val="1"/>
        <w:rPr>
          <w:rFonts w:hint="eastAsia" w:asciiTheme="minorEastAsia" w:hAnsiTheme="minorEastAsia" w:eastAsiaTheme="minorEastAsia" w:cstheme="minorEastAsia"/>
          <w:color w:val="auto"/>
          <w:kern w:val="0"/>
          <w:szCs w:val="21"/>
          <w:highlight w:val="none"/>
        </w:rPr>
      </w:pPr>
      <w:bookmarkStart w:id="53" w:name="_Toc35393638"/>
      <w:bookmarkStart w:id="54" w:name="_Toc28359097"/>
      <w:bookmarkStart w:id="55" w:name="_Toc35393807"/>
      <w:bookmarkStart w:id="56" w:name="_Toc28359020"/>
      <w:r>
        <w:rPr>
          <w:rFonts w:hint="eastAsia" w:asciiTheme="minorEastAsia" w:hAnsiTheme="minorEastAsia" w:eastAsiaTheme="minorEastAsia" w:cstheme="minorEastAsia"/>
          <w:color w:val="auto"/>
          <w:kern w:val="0"/>
          <w:szCs w:val="21"/>
          <w:highlight w:val="none"/>
        </w:rPr>
        <w:t>2.采购代理机构信息</w:t>
      </w:r>
      <w:bookmarkEnd w:id="53"/>
      <w:bookmarkEnd w:id="54"/>
      <w:bookmarkEnd w:id="55"/>
      <w:bookmarkEnd w:id="56"/>
    </w:p>
    <w:p w14:paraId="4AE78873">
      <w:pPr>
        <w:spacing w:line="360" w:lineRule="auto"/>
        <w:ind w:firstLine="420" w:firstLineChars="200"/>
        <w:rPr>
          <w:rFonts w:hint="eastAsia" w:asciiTheme="minorEastAsia" w:hAnsiTheme="minorEastAsia" w:eastAsiaTheme="minorEastAsia" w:cstheme="minorEastAsia"/>
          <w:color w:val="auto"/>
          <w:szCs w:val="21"/>
          <w:highlight w:val="none"/>
          <w:u w:val="none"/>
          <w:lang w:eastAsia="zh-CN"/>
        </w:rPr>
      </w:pPr>
      <w:r>
        <w:rPr>
          <w:rFonts w:hint="eastAsia" w:asciiTheme="minorEastAsia" w:hAnsiTheme="minorEastAsia" w:eastAsiaTheme="minorEastAsia" w:cstheme="minorEastAsia"/>
          <w:color w:val="auto"/>
          <w:szCs w:val="21"/>
          <w:highlight w:val="none"/>
          <w:u w:val="none"/>
        </w:rPr>
        <w:t>名    称：</w:t>
      </w:r>
      <w:r>
        <w:rPr>
          <w:rFonts w:hint="eastAsia" w:asciiTheme="minorEastAsia" w:hAnsiTheme="minorEastAsia" w:eastAsiaTheme="minorEastAsia" w:cstheme="minorEastAsia"/>
          <w:color w:val="auto"/>
          <w:szCs w:val="21"/>
          <w:highlight w:val="none"/>
          <w:u w:val="none"/>
          <w:lang w:eastAsia="zh-CN"/>
        </w:rPr>
        <w:t>南宁品正建设咨询有限责任公司</w:t>
      </w:r>
    </w:p>
    <w:p w14:paraId="7D6CF50C">
      <w:pPr>
        <w:spacing w:line="360" w:lineRule="auto"/>
        <w:ind w:firstLine="420" w:firstLineChars="200"/>
        <w:rPr>
          <w:rFonts w:hint="eastAsia" w:asciiTheme="minorEastAsia" w:hAnsiTheme="minorEastAsia" w:eastAsiaTheme="minorEastAsia" w:cstheme="minorEastAsia"/>
          <w:color w:val="auto"/>
          <w:szCs w:val="21"/>
          <w:highlight w:val="none"/>
          <w:u w:val="none"/>
          <w:lang w:eastAsia="zh-CN"/>
        </w:rPr>
      </w:pPr>
      <w:r>
        <w:rPr>
          <w:rFonts w:hint="eastAsia" w:asciiTheme="minorEastAsia" w:hAnsiTheme="minorEastAsia" w:eastAsiaTheme="minorEastAsia" w:cstheme="minorEastAsia"/>
          <w:color w:val="auto"/>
          <w:szCs w:val="21"/>
          <w:highlight w:val="none"/>
          <w:u w:val="none"/>
        </w:rPr>
        <w:t>地　　址：</w:t>
      </w:r>
      <w:r>
        <w:rPr>
          <w:rFonts w:hint="eastAsia" w:asciiTheme="minorEastAsia" w:hAnsiTheme="minorEastAsia" w:eastAsiaTheme="minorEastAsia" w:cstheme="minorEastAsia"/>
          <w:color w:val="auto"/>
          <w:szCs w:val="21"/>
          <w:highlight w:val="none"/>
          <w:u w:val="none"/>
          <w:lang w:eastAsia="zh-CN"/>
        </w:rPr>
        <w:t>苍梧县石桥镇金龙华庭B538号</w:t>
      </w:r>
    </w:p>
    <w:p w14:paraId="1427602C">
      <w:pPr>
        <w:spacing w:line="360" w:lineRule="auto"/>
        <w:ind w:firstLine="420" w:firstLineChars="200"/>
        <w:rPr>
          <w:rFonts w:hint="default" w:asciiTheme="minorEastAsia" w:hAnsiTheme="minorEastAsia" w:eastAsiaTheme="minorEastAsia" w:cstheme="minorEastAsia"/>
          <w:color w:val="auto"/>
          <w:szCs w:val="21"/>
          <w:highlight w:val="none"/>
          <w:u w:val="none"/>
          <w:lang w:val="en-US" w:eastAsia="zh-CN"/>
        </w:rPr>
      </w:pPr>
      <w:r>
        <w:rPr>
          <w:rFonts w:hint="eastAsia" w:asciiTheme="minorEastAsia" w:hAnsiTheme="minorEastAsia" w:eastAsiaTheme="minorEastAsia" w:cstheme="minorEastAsia"/>
          <w:color w:val="auto"/>
          <w:szCs w:val="21"/>
          <w:highlight w:val="none"/>
          <w:u w:val="none"/>
          <w:lang w:val="en-US" w:eastAsia="zh-CN"/>
        </w:rPr>
        <w:t>联 系 人：潘炜</w:t>
      </w:r>
    </w:p>
    <w:p w14:paraId="68A23F29">
      <w:pPr>
        <w:spacing w:line="360" w:lineRule="auto"/>
        <w:ind w:firstLine="420" w:firstLineChars="200"/>
        <w:rPr>
          <w:rFonts w:hint="default" w:asciiTheme="minorEastAsia" w:hAnsiTheme="minorEastAsia" w:eastAsiaTheme="minorEastAsia" w:cstheme="minorEastAsia"/>
          <w:color w:val="auto"/>
          <w:szCs w:val="21"/>
          <w:highlight w:val="none"/>
          <w:u w:val="none"/>
          <w:lang w:val="en-US" w:eastAsia="zh-CN"/>
        </w:rPr>
      </w:pPr>
      <w:r>
        <w:rPr>
          <w:rFonts w:hint="eastAsia" w:asciiTheme="minorEastAsia" w:hAnsiTheme="minorEastAsia" w:eastAsiaTheme="minorEastAsia" w:cstheme="minorEastAsia"/>
          <w:color w:val="auto"/>
          <w:szCs w:val="21"/>
          <w:highlight w:val="none"/>
          <w:u w:val="none"/>
        </w:rPr>
        <w:t>联系方式：0774-</w:t>
      </w:r>
      <w:r>
        <w:rPr>
          <w:rFonts w:hint="eastAsia" w:asciiTheme="minorEastAsia" w:hAnsiTheme="minorEastAsia" w:eastAsiaTheme="minorEastAsia" w:cstheme="minorEastAsia"/>
          <w:color w:val="auto"/>
          <w:szCs w:val="21"/>
          <w:highlight w:val="none"/>
          <w:u w:val="none"/>
          <w:lang w:val="en-US" w:eastAsia="zh-CN"/>
        </w:rPr>
        <w:t>3894488</w:t>
      </w:r>
    </w:p>
    <w:p w14:paraId="175D5F4D">
      <w:pPr>
        <w:spacing w:line="360" w:lineRule="auto"/>
        <w:ind w:firstLine="420" w:firstLineChars="200"/>
        <w:rPr>
          <w:rFonts w:hint="eastAsia" w:asciiTheme="minorEastAsia" w:hAnsiTheme="minorEastAsia" w:eastAsiaTheme="minorEastAsia" w:cstheme="minorEastAsia"/>
          <w:color w:val="auto"/>
          <w:szCs w:val="21"/>
          <w:highlight w:val="none"/>
          <w:u w:val="single"/>
        </w:rPr>
      </w:pPr>
    </w:p>
    <w:p w14:paraId="6F48A225">
      <w:pPr>
        <w:spacing w:line="360" w:lineRule="auto"/>
        <w:ind w:firstLine="630" w:firstLineChars="300"/>
        <w:jc w:val="right"/>
        <w:rPr>
          <w:rFonts w:hint="eastAsia" w:asciiTheme="minorEastAsia" w:hAnsiTheme="minorEastAsia" w:eastAsiaTheme="minorEastAsia" w:cstheme="minorEastAsia"/>
          <w:color w:val="auto"/>
          <w:szCs w:val="21"/>
          <w:highlight w:val="none"/>
          <w:u w:val="single"/>
          <w:lang w:eastAsia="zh-CN"/>
        </w:rPr>
      </w:pPr>
      <w:r>
        <w:rPr>
          <w:rFonts w:hint="eastAsia" w:asciiTheme="minorEastAsia" w:hAnsiTheme="minorEastAsia" w:eastAsiaTheme="minorEastAsia" w:cstheme="minorEastAsia"/>
          <w:color w:val="auto"/>
          <w:szCs w:val="21"/>
          <w:highlight w:val="none"/>
          <w:lang w:eastAsia="zh-CN"/>
        </w:rPr>
        <w:t>南宁品正建设咨询有限责任公司</w:t>
      </w:r>
    </w:p>
    <w:p w14:paraId="628AB471">
      <w:pPr>
        <w:keepNext w:val="0"/>
        <w:keepLines w:val="0"/>
        <w:pageBreakBefore w:val="0"/>
        <w:widowControl w:val="0"/>
        <w:kinsoku/>
        <w:wordWrap/>
        <w:overflowPunct/>
        <w:topLinePunct w:val="0"/>
        <w:autoSpaceDE/>
        <w:autoSpaceDN/>
        <w:bidi w:val="0"/>
        <w:adjustRightInd/>
        <w:snapToGrid/>
        <w:spacing w:line="264" w:lineRule="auto"/>
        <w:ind w:firstLine="438" w:firstLineChars="209"/>
        <w:jc w:val="right"/>
        <w:textAlignment w:val="auto"/>
        <w:rPr>
          <w:rFonts w:hint="eastAsia" w:asciiTheme="minorEastAsia" w:hAnsiTheme="minorEastAsia" w:eastAsiaTheme="minorEastAsia" w:cstheme="minorEastAsia"/>
          <w:b/>
          <w:color w:val="000000"/>
          <w:lang w:eastAsia="zh-CN"/>
        </w:rPr>
      </w:pPr>
      <w:r>
        <w:rPr>
          <w:rFonts w:hint="eastAsia" w:asciiTheme="minorEastAsia" w:hAnsiTheme="minorEastAsia" w:eastAsiaTheme="minorEastAsia" w:cstheme="minorEastAsia"/>
          <w:color w:val="auto"/>
          <w:szCs w:val="21"/>
          <w:highlight w:val="none"/>
        </w:rPr>
        <w:t>202</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lang w:val="en-US" w:eastAsia="zh-CN"/>
        </w:rPr>
        <w:t>05月06</w:t>
      </w:r>
      <w:r>
        <w:rPr>
          <w:rFonts w:hint="eastAsia" w:asciiTheme="minorEastAsia" w:hAnsiTheme="minorEastAsia" w:eastAsiaTheme="minorEastAsia" w:cstheme="minorEastAsia"/>
          <w:color w:val="auto"/>
          <w:szCs w:val="21"/>
          <w:highlight w:val="none"/>
        </w:rPr>
        <w:t>日</w:t>
      </w:r>
    </w:p>
    <w:p w14:paraId="5CADB7DA">
      <w:pPr>
        <w:spacing w:line="360" w:lineRule="auto"/>
        <w:jc w:val="right"/>
        <w:rPr>
          <w:rStyle w:val="35"/>
          <w:rFonts w:hint="eastAsia" w:asciiTheme="minorEastAsia" w:hAnsiTheme="minorEastAsia" w:eastAsiaTheme="minorEastAsia" w:cstheme="minorEastAsia"/>
          <w:color w:val="000000"/>
          <w:sz w:val="36"/>
          <w:szCs w:val="36"/>
        </w:rPr>
        <w:sectPr>
          <w:footerReference r:id="rId7" w:type="default"/>
          <w:pgSz w:w="11905" w:h="16838"/>
          <w:pgMar w:top="1417" w:right="1417" w:bottom="1417" w:left="1417" w:header="850" w:footer="992" w:gutter="0"/>
          <w:pgNumType w:fmt="decimal" w:start="1"/>
          <w:cols w:space="720" w:num="1"/>
          <w:rtlGutter w:val="0"/>
          <w:docGrid w:type="lines" w:linePitch="318" w:charSpace="0"/>
        </w:sectPr>
      </w:pPr>
    </w:p>
    <w:p w14:paraId="6EB06363">
      <w:pPr>
        <w:pStyle w:val="4"/>
        <w:pageBreakBefore w:val="0"/>
        <w:kinsoku/>
        <w:wordWrap/>
        <w:topLinePunct w:val="0"/>
        <w:bidi w:val="0"/>
        <w:spacing w:before="0" w:beforeAutospacing="0" w:after="0" w:afterAutospacing="0" w:line="312" w:lineRule="auto"/>
        <w:jc w:val="center"/>
        <w:outlineLvl w:val="0"/>
        <w:rPr>
          <w:rFonts w:hint="eastAsia"/>
          <w:color w:val="auto"/>
          <w:highlight w:val="none"/>
        </w:rPr>
      </w:pPr>
      <w:bookmarkStart w:id="57" w:name="_Toc31383"/>
      <w:bookmarkStart w:id="58" w:name="_Toc7803"/>
      <w:r>
        <w:rPr>
          <w:rFonts w:hint="eastAsia"/>
          <w:color w:val="auto"/>
          <w:highlight w:val="none"/>
        </w:rPr>
        <w:t>第二章 供应商须知</w:t>
      </w:r>
      <w:bookmarkEnd w:id="57"/>
      <w:bookmarkEnd w:id="58"/>
    </w:p>
    <w:p w14:paraId="7FA3D6E5">
      <w:pPr>
        <w:pageBreakBefore w:val="0"/>
        <w:kinsoku/>
        <w:wordWrap/>
        <w:topLinePunct w:val="0"/>
        <w:bidi w:val="0"/>
        <w:spacing w:beforeAutospacing="0" w:line="312" w:lineRule="auto"/>
        <w:jc w:val="center"/>
        <w:outlineLvl w:val="0"/>
        <w:rPr>
          <w:rFonts w:hint="eastAsia" w:ascii="宋体" w:hAnsi="宋体"/>
          <w:b/>
          <w:color w:val="auto"/>
          <w:sz w:val="32"/>
          <w:szCs w:val="32"/>
          <w:highlight w:val="none"/>
        </w:rPr>
      </w:pPr>
      <w:bookmarkStart w:id="59" w:name="_Toc22222"/>
      <w:r>
        <w:rPr>
          <w:rFonts w:hint="eastAsia" w:ascii="宋体" w:hAnsi="宋体"/>
          <w:b/>
          <w:color w:val="auto"/>
          <w:sz w:val="32"/>
          <w:szCs w:val="32"/>
          <w:highlight w:val="none"/>
        </w:rPr>
        <w:t>供应商须知前附表</w:t>
      </w:r>
      <w:bookmarkEnd w:id="59"/>
    </w:p>
    <w:p w14:paraId="49EBDCAC">
      <w:pPr>
        <w:pageBreakBefore w:val="0"/>
        <w:kinsoku/>
        <w:wordWrap/>
        <w:topLinePunct w:val="0"/>
        <w:bidi w:val="0"/>
        <w:spacing w:line="312" w:lineRule="auto"/>
        <w:jc w:val="center"/>
        <w:rPr>
          <w:rFonts w:hint="eastAsia" w:ascii="宋体" w:hAnsi="宋体"/>
          <w:b/>
          <w:color w:val="auto"/>
          <w:sz w:val="32"/>
          <w:szCs w:val="32"/>
          <w:highlight w:val="none"/>
        </w:rPr>
      </w:pPr>
    </w:p>
    <w:tbl>
      <w:tblPr>
        <w:tblStyle w:val="29"/>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2F2C6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14:paraId="01A61C99">
            <w:pPr>
              <w:pageBreakBefore w:val="0"/>
              <w:kinsoku/>
              <w:wordWrap/>
              <w:topLinePunct w:val="0"/>
              <w:bidi w:val="0"/>
              <w:spacing w:line="312"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7912" w:type="dxa"/>
            <w:noWrap w:val="0"/>
            <w:vAlign w:val="top"/>
          </w:tcPr>
          <w:p w14:paraId="7C0453E9">
            <w:pPr>
              <w:pageBreakBefore w:val="0"/>
              <w:kinsoku/>
              <w:wordWrap/>
              <w:topLinePunct w:val="0"/>
              <w:bidi w:val="0"/>
              <w:spacing w:line="312"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65051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9D9DD50">
            <w:pPr>
              <w:pageBreakBefore w:val="0"/>
              <w:kinsoku/>
              <w:wordWrap/>
              <w:topLinePunct w:val="0"/>
              <w:bidi w:val="0"/>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912" w:type="dxa"/>
            <w:noWrap w:val="0"/>
            <w:vAlign w:val="center"/>
          </w:tcPr>
          <w:p w14:paraId="6E64D1A4">
            <w:pPr>
              <w:pageBreakBefore w:val="0"/>
              <w:kinsoku/>
              <w:wordWrap/>
              <w:topLinePunct w:val="0"/>
              <w:bidi w:val="0"/>
              <w:spacing w:line="312" w:lineRule="auto"/>
              <w:rPr>
                <w:rFonts w:hint="eastAsia" w:ascii="宋体" w:hAnsi="宋体" w:cs="宋体"/>
                <w:color w:val="auto"/>
                <w:szCs w:val="21"/>
                <w:highlight w:val="none"/>
              </w:rPr>
            </w:pPr>
            <w:r>
              <w:rPr>
                <w:rFonts w:hint="eastAsia" w:ascii="宋体" w:hAnsi="宋体" w:cs="宋体"/>
                <w:bCs/>
                <w:color w:val="auto"/>
                <w:szCs w:val="21"/>
                <w:highlight w:val="none"/>
              </w:rPr>
              <w:t>供应商的资格条件</w:t>
            </w:r>
            <w:r>
              <w:rPr>
                <w:rFonts w:hint="eastAsia" w:ascii="宋体" w:hAnsi="宋体" w:cs="宋体"/>
                <w:color w:val="auto"/>
                <w:szCs w:val="21"/>
                <w:highlight w:val="none"/>
              </w:rPr>
              <w:t>：详见竞争性磋商公告</w:t>
            </w:r>
          </w:p>
        </w:tc>
      </w:tr>
      <w:tr w14:paraId="5DDC9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8535440">
            <w:pPr>
              <w:pageBreakBefore w:val="0"/>
              <w:kinsoku/>
              <w:wordWrap/>
              <w:topLinePunct w:val="0"/>
              <w:bidi w:val="0"/>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7912" w:type="dxa"/>
            <w:noWrap w:val="0"/>
            <w:vAlign w:val="center"/>
          </w:tcPr>
          <w:p w14:paraId="39795F89">
            <w:pPr>
              <w:pageBreakBefore w:val="0"/>
              <w:kinsoku/>
              <w:wordWrap/>
              <w:topLinePunct w:val="0"/>
              <w:bidi w:val="0"/>
              <w:spacing w:line="312" w:lineRule="auto"/>
              <w:rPr>
                <w:rFonts w:hint="eastAsia" w:ascii="宋体" w:hAnsi="宋体" w:cs="宋体"/>
                <w:color w:val="auto"/>
                <w:szCs w:val="21"/>
                <w:highlight w:val="none"/>
              </w:rPr>
            </w:pPr>
            <w:r>
              <w:rPr>
                <w:rFonts w:hint="eastAsia" w:ascii="宋体" w:hAnsi="宋体" w:cs="宋体"/>
                <w:color w:val="auto"/>
                <w:szCs w:val="21"/>
                <w:highlight w:val="none"/>
              </w:rPr>
              <w:t>是否接受联合体竞标: 详见竞争性磋商公告</w:t>
            </w:r>
          </w:p>
        </w:tc>
      </w:tr>
      <w:tr w14:paraId="52846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D9BB265">
            <w:pPr>
              <w:pageBreakBefore w:val="0"/>
              <w:kinsoku/>
              <w:wordWrap/>
              <w:topLinePunct w:val="0"/>
              <w:bidi w:val="0"/>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7912" w:type="dxa"/>
            <w:noWrap w:val="0"/>
            <w:vAlign w:val="center"/>
          </w:tcPr>
          <w:p w14:paraId="78416CBD">
            <w:pPr>
              <w:pStyle w:val="11"/>
              <w:pageBreakBefore w:val="0"/>
              <w:kinsoku/>
              <w:wordWrap/>
              <w:topLinePunct w:val="0"/>
              <w:bidi w:val="0"/>
              <w:spacing w:line="312" w:lineRule="auto"/>
              <w:rPr>
                <w:rFonts w:hint="eastAsia" w:ascii="宋体" w:hAnsi="宋体" w:cs="宋体"/>
                <w:color w:val="auto"/>
                <w:szCs w:val="21"/>
                <w:highlight w:val="none"/>
                <w:lang w:val="en-US" w:eastAsia="zh-CN"/>
              </w:rPr>
            </w:pPr>
            <w:r>
              <w:rPr>
                <w:rFonts w:hint="eastAsia" w:ascii="宋体" w:hAnsi="宋体"/>
                <w:color w:val="auto"/>
                <w:szCs w:val="21"/>
                <w:highlight w:val="none"/>
                <w:lang w:val="en-US" w:eastAsia="zh-CN"/>
              </w:rPr>
              <w:t>不允许分包</w:t>
            </w:r>
          </w:p>
        </w:tc>
      </w:tr>
      <w:tr w14:paraId="25183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0816358">
            <w:pPr>
              <w:pageBreakBefore w:val="0"/>
              <w:kinsoku/>
              <w:wordWrap/>
              <w:topLinePunct w:val="0"/>
              <w:bidi w:val="0"/>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noWrap w:val="0"/>
            <w:vAlign w:val="center"/>
          </w:tcPr>
          <w:p w14:paraId="3B548911">
            <w:pPr>
              <w:pageBreakBefore w:val="0"/>
              <w:kinsoku/>
              <w:wordWrap/>
              <w:topLinePunct w:val="0"/>
              <w:bidi w:val="0"/>
              <w:snapToGrid w:val="0"/>
              <w:spacing w:line="312" w:lineRule="auto"/>
              <w:jc w:val="left"/>
              <w:rPr>
                <w:rFonts w:hint="eastAsia"/>
                <w:color w:val="auto"/>
              </w:rPr>
            </w:pPr>
            <w:r>
              <w:rPr>
                <w:rFonts w:hint="eastAsia"/>
                <w:color w:val="auto"/>
              </w:rPr>
              <w:t>资格证明文件</w:t>
            </w:r>
          </w:p>
          <w:p w14:paraId="6882B891">
            <w:pPr>
              <w:pageBreakBefore w:val="0"/>
              <w:kinsoku/>
              <w:wordWrap/>
              <w:topLinePunct w:val="0"/>
              <w:bidi w:val="0"/>
              <w:spacing w:line="312" w:lineRule="auto"/>
              <w:rPr>
                <w:rFonts w:hint="eastAsia"/>
                <w:color w:val="auto"/>
              </w:rPr>
            </w:pPr>
            <w:r>
              <w:rPr>
                <w:rFonts w:hint="eastAsia"/>
                <w:color w:val="auto"/>
                <w:lang w:val="en-US" w:eastAsia="zh-CN"/>
              </w:rPr>
              <w:t>1</w:t>
            </w:r>
            <w:r>
              <w:rPr>
                <w:rFonts w:hint="eastAsia"/>
                <w:color w:val="auto"/>
              </w:rPr>
              <w:t>.</w:t>
            </w: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法定代表人身份证明书及法定代表人有效身份证正反面</w:t>
            </w:r>
            <w:r>
              <w:rPr>
                <w:rFonts w:hint="eastAsia"/>
                <w:color w:val="auto"/>
                <w:lang w:val="en-US" w:eastAsia="zh-CN"/>
              </w:rPr>
              <w:t>复印</w:t>
            </w:r>
            <w:r>
              <w:rPr>
                <w:rFonts w:hint="eastAsia"/>
                <w:color w:val="auto"/>
              </w:rPr>
              <w:t>件（格式后附）；</w:t>
            </w:r>
            <w:r>
              <w:rPr>
                <w:rFonts w:hint="eastAsia"/>
                <w:b/>
                <w:bCs/>
                <w:color w:val="auto"/>
              </w:rPr>
              <w:t>（除自然人竞标外必须提供，否则响应文件按无效响应处理）</w:t>
            </w:r>
            <w:r>
              <w:rPr>
                <w:rFonts w:hint="eastAsia"/>
                <w:b w:val="0"/>
                <w:bCs w:val="0"/>
                <w:color w:val="auto"/>
                <w:lang w:eastAsia="zh-CN"/>
              </w:rPr>
              <w:t>（</w:t>
            </w:r>
            <w:r>
              <w:rPr>
                <w:rFonts w:hint="eastAsia"/>
                <w:b w:val="0"/>
                <w:bCs w:val="0"/>
                <w:color w:val="auto"/>
                <w:lang w:val="en-US" w:eastAsia="zh-CN"/>
              </w:rPr>
              <w:t>2</w:t>
            </w:r>
            <w:r>
              <w:rPr>
                <w:rFonts w:hint="eastAsia"/>
                <w:b w:val="0"/>
                <w:bCs w:val="0"/>
                <w:color w:val="auto"/>
                <w:lang w:eastAsia="zh-CN"/>
              </w:rPr>
              <w:t>）</w:t>
            </w:r>
            <w:r>
              <w:rPr>
                <w:rFonts w:hint="eastAsia"/>
                <w:color w:val="auto"/>
              </w:rPr>
              <w:t>法定代表人授权委托书及委托代理人有效身份证正反面</w:t>
            </w:r>
            <w:r>
              <w:rPr>
                <w:rFonts w:hint="eastAsia"/>
                <w:color w:val="auto"/>
                <w:lang w:val="en-US" w:eastAsia="zh-CN"/>
              </w:rPr>
              <w:t>复印</w:t>
            </w:r>
            <w:r>
              <w:rPr>
                <w:rFonts w:hint="eastAsia"/>
                <w:color w:val="auto"/>
              </w:rPr>
              <w:t>件（格式后附）；</w:t>
            </w:r>
            <w:r>
              <w:rPr>
                <w:rFonts w:hint="eastAsia"/>
                <w:b/>
                <w:bCs/>
                <w:color w:val="auto"/>
              </w:rPr>
              <w:t>（委托时必须提供，否则响应文件按无效响应处理）</w:t>
            </w:r>
          </w:p>
          <w:p w14:paraId="7C82853B">
            <w:pPr>
              <w:pStyle w:val="11"/>
              <w:pageBreakBefore w:val="0"/>
              <w:kinsoku/>
              <w:wordWrap/>
              <w:topLinePunct w:val="0"/>
              <w:bidi w:val="0"/>
              <w:spacing w:line="312" w:lineRule="auto"/>
              <w:rPr>
                <w:rFonts w:hint="eastAsia"/>
                <w:b/>
                <w:bCs/>
                <w:color w:val="auto"/>
                <w:lang w:val="en-US" w:eastAsia="zh-CN"/>
              </w:rPr>
            </w:pPr>
            <w:r>
              <w:rPr>
                <w:rFonts w:hint="eastAsia"/>
                <w:color w:val="auto"/>
                <w:lang w:val="en-US" w:eastAsia="zh-CN"/>
              </w:rPr>
              <w:t>2.供应商为法人或者其他组织的提供其营业执照等证明文件（如营业执照或者事业单位法人证书或者执业许可证等），供应商为自然人的提供其身份证复印件</w:t>
            </w:r>
            <w:r>
              <w:rPr>
                <w:rFonts w:hint="eastAsia"/>
                <w:b w:val="0"/>
                <w:bCs w:val="0"/>
                <w:color w:val="auto"/>
                <w:lang w:val="en-US" w:eastAsia="zh-CN"/>
              </w:rPr>
              <w:t>；</w:t>
            </w:r>
            <w:r>
              <w:rPr>
                <w:rFonts w:hint="eastAsia"/>
                <w:b/>
                <w:bCs/>
                <w:color w:val="auto"/>
                <w:lang w:val="en-US" w:eastAsia="zh-CN"/>
              </w:rPr>
              <w:t>（必须提供，否则响应文件按无效响应处理）</w:t>
            </w:r>
          </w:p>
          <w:p w14:paraId="2D63BED1">
            <w:pPr>
              <w:pageBreakBefore w:val="0"/>
              <w:kinsoku/>
              <w:wordWrap/>
              <w:topLinePunct w:val="0"/>
              <w:bidi w:val="0"/>
              <w:snapToGrid w:val="0"/>
              <w:spacing w:line="312" w:lineRule="auto"/>
              <w:jc w:val="left"/>
              <w:rPr>
                <w:rFonts w:hint="eastAsia"/>
                <w:b/>
                <w:bCs/>
                <w:color w:val="auto"/>
              </w:rPr>
            </w:pPr>
            <w:r>
              <w:rPr>
                <w:rFonts w:hint="eastAsia"/>
                <w:color w:val="auto"/>
                <w:lang w:val="en-US" w:eastAsia="zh-CN"/>
              </w:rPr>
              <w:t>3</w:t>
            </w:r>
            <w:r>
              <w:rPr>
                <w:rFonts w:hint="eastAsia"/>
                <w:color w:val="auto"/>
              </w:rPr>
              <w:t>.供应商依法缴纳税收的相关材料（</w:t>
            </w:r>
            <w:r>
              <w:rPr>
                <w:rFonts w:hint="eastAsia"/>
                <w:color w:val="auto"/>
                <w:lang w:val="en-US" w:eastAsia="zh-CN"/>
              </w:rPr>
              <w:t>2026年01月至截标前任意</w:t>
            </w:r>
            <w:r>
              <w:rPr>
                <w:rFonts w:hint="eastAsia"/>
                <w:color w:val="auto"/>
              </w:rPr>
              <w:t xml:space="preserve"> </w:t>
            </w:r>
            <w:r>
              <w:rPr>
                <w:rFonts w:hint="eastAsia"/>
                <w:color w:val="auto"/>
                <w:lang w:val="en-US" w:eastAsia="zh-CN"/>
              </w:rPr>
              <w:t>1</w:t>
            </w:r>
            <w:r>
              <w:rPr>
                <w:rFonts w:hint="eastAsia"/>
                <w:color w:val="auto"/>
              </w:rPr>
              <w:t xml:space="preserve"> 个月的依法缴纳税收的凭据复印件；依法免税的供应商，必须提供相应文件证明其依法免税。</w:t>
            </w:r>
            <w:r>
              <w:rPr>
                <w:rFonts w:hint="eastAsia" w:ascii="宋体" w:hAnsi="宋体" w:cs="宋体"/>
                <w:color w:val="auto"/>
                <w:szCs w:val="21"/>
              </w:rPr>
              <w:t>从</w:t>
            </w:r>
            <w:r>
              <w:rPr>
                <w:color w:val="auto"/>
                <w:szCs w:val="21"/>
              </w:rPr>
              <w:t>成立</w:t>
            </w:r>
            <w:r>
              <w:rPr>
                <w:rFonts w:hint="eastAsia"/>
                <w:color w:val="auto"/>
                <w:szCs w:val="21"/>
              </w:rPr>
              <w:t>之日起</w:t>
            </w:r>
            <w:r>
              <w:rPr>
                <w:rFonts w:hint="eastAsia" w:ascii="宋体" w:hAnsi="宋体" w:cs="宋体"/>
                <w:color w:val="auto"/>
                <w:szCs w:val="21"/>
              </w:rPr>
              <w:t>到响应文件提交截止时间止不足要求月数的，只需提供从</w:t>
            </w:r>
            <w:r>
              <w:rPr>
                <w:color w:val="auto"/>
                <w:szCs w:val="21"/>
              </w:rPr>
              <w:t>成立</w:t>
            </w:r>
            <w:r>
              <w:rPr>
                <w:rFonts w:hint="eastAsia"/>
                <w:color w:val="auto"/>
                <w:szCs w:val="21"/>
              </w:rPr>
              <w:t>之日起</w:t>
            </w:r>
            <w:r>
              <w:rPr>
                <w:rFonts w:hint="eastAsia" w:ascii="宋体" w:hAnsi="宋体" w:cs="宋体"/>
                <w:color w:val="auto"/>
                <w:szCs w:val="21"/>
              </w:rPr>
              <w:t>的依法缴纳税收</w:t>
            </w:r>
            <w:r>
              <w:rPr>
                <w:rFonts w:hint="eastAsia"/>
                <w:color w:val="auto"/>
              </w:rPr>
              <w:t>相应证明文件</w:t>
            </w:r>
            <w:r>
              <w:rPr>
                <w:rFonts w:hint="eastAsia" w:ascii="宋体" w:hAnsi="宋体" w:cs="宋体"/>
                <w:color w:val="auto"/>
                <w:szCs w:val="21"/>
              </w:rPr>
              <w:t>）</w:t>
            </w:r>
            <w:r>
              <w:rPr>
                <w:rFonts w:hint="eastAsia"/>
                <w:color w:val="auto"/>
              </w:rPr>
              <w:t>；</w:t>
            </w:r>
            <w:r>
              <w:rPr>
                <w:rFonts w:hint="eastAsia"/>
                <w:b/>
                <w:bCs/>
                <w:color w:val="auto"/>
              </w:rPr>
              <w:t>（必须提供，否则响应文件按无效响应处理）</w:t>
            </w:r>
          </w:p>
          <w:p w14:paraId="63A580D8">
            <w:pPr>
              <w:pageBreakBefore w:val="0"/>
              <w:kinsoku/>
              <w:wordWrap/>
              <w:topLinePunct w:val="0"/>
              <w:bidi w:val="0"/>
              <w:snapToGrid w:val="0"/>
              <w:spacing w:line="312" w:lineRule="auto"/>
              <w:jc w:val="left"/>
              <w:rPr>
                <w:rFonts w:hint="eastAsia"/>
                <w:b/>
                <w:bCs/>
                <w:color w:val="auto"/>
              </w:rPr>
            </w:pPr>
            <w:r>
              <w:rPr>
                <w:rFonts w:hint="eastAsia"/>
                <w:color w:val="auto"/>
                <w:lang w:val="en-US" w:eastAsia="zh-CN"/>
              </w:rPr>
              <w:t>4</w:t>
            </w:r>
            <w:r>
              <w:rPr>
                <w:rFonts w:hint="eastAsia"/>
                <w:color w:val="auto"/>
              </w:rPr>
              <w:t>.供应商依法缴纳社会保障资金的相关材料[</w:t>
            </w:r>
            <w:r>
              <w:rPr>
                <w:rFonts w:hint="eastAsia"/>
                <w:color w:val="auto"/>
                <w:lang w:val="en-US" w:eastAsia="zh-CN"/>
              </w:rPr>
              <w:t>2026年01月至至截标前任意</w:t>
            </w:r>
            <w:r>
              <w:rPr>
                <w:rFonts w:hint="eastAsia"/>
                <w:color w:val="auto"/>
              </w:rPr>
              <w:t xml:space="preserve"> </w:t>
            </w:r>
            <w:r>
              <w:rPr>
                <w:rFonts w:hint="eastAsia"/>
                <w:color w:val="auto"/>
                <w:lang w:val="en-US" w:eastAsia="zh-CN"/>
              </w:rPr>
              <w:t>1</w:t>
            </w:r>
            <w:r>
              <w:rPr>
                <w:rFonts w:hint="eastAsia"/>
                <w:color w:val="auto"/>
              </w:rPr>
              <w:t xml:space="preserve"> 个月的依法缴纳社会保障资金的缴费凭证（专用收据或者社会保险缴纳清单）复印件；依法不需要缴纳社会保障资金的供应商，必须提供相应文件证明不需要缴纳社会保障资金。</w:t>
            </w:r>
            <w:r>
              <w:rPr>
                <w:rFonts w:hint="eastAsia" w:ascii="宋体" w:hAnsi="宋体" w:cs="宋体"/>
                <w:color w:val="auto"/>
                <w:szCs w:val="21"/>
              </w:rPr>
              <w:t>从</w:t>
            </w:r>
            <w:r>
              <w:rPr>
                <w:color w:val="auto"/>
                <w:szCs w:val="21"/>
              </w:rPr>
              <w:t>成立</w:t>
            </w:r>
            <w:r>
              <w:rPr>
                <w:rFonts w:hint="eastAsia"/>
                <w:color w:val="auto"/>
                <w:szCs w:val="21"/>
              </w:rPr>
              <w:t>之日起</w:t>
            </w:r>
            <w:r>
              <w:rPr>
                <w:rFonts w:hint="eastAsia" w:ascii="宋体" w:hAnsi="宋体" w:cs="宋体"/>
                <w:color w:val="auto"/>
                <w:szCs w:val="21"/>
              </w:rPr>
              <w:t>到响应文件提交截止时间止不足要求月数的只需提供从</w:t>
            </w:r>
            <w:r>
              <w:rPr>
                <w:color w:val="auto"/>
                <w:szCs w:val="21"/>
              </w:rPr>
              <w:t>成立</w:t>
            </w:r>
            <w:r>
              <w:rPr>
                <w:rFonts w:hint="eastAsia"/>
                <w:color w:val="auto"/>
                <w:szCs w:val="21"/>
              </w:rPr>
              <w:t>之日起</w:t>
            </w:r>
            <w:r>
              <w:rPr>
                <w:rFonts w:hint="eastAsia" w:ascii="宋体" w:hAnsi="宋体" w:cs="宋体"/>
                <w:color w:val="auto"/>
                <w:szCs w:val="21"/>
              </w:rPr>
              <w:t>的依法缴纳社会保障资金的</w:t>
            </w:r>
            <w:r>
              <w:rPr>
                <w:rFonts w:hint="eastAsia"/>
                <w:color w:val="auto"/>
              </w:rPr>
              <w:t>相应证明文件</w:t>
            </w:r>
            <w:r>
              <w:rPr>
                <w:rFonts w:hint="eastAsia" w:ascii="宋体" w:hAnsi="宋体" w:cs="宋体"/>
                <w:color w:val="auto"/>
                <w:szCs w:val="21"/>
              </w:rPr>
              <w:t>]</w:t>
            </w:r>
            <w:r>
              <w:rPr>
                <w:rFonts w:hint="eastAsia"/>
                <w:color w:val="auto"/>
              </w:rPr>
              <w:t>；</w:t>
            </w:r>
            <w:r>
              <w:rPr>
                <w:rFonts w:hint="eastAsia"/>
                <w:b/>
                <w:bCs/>
                <w:color w:val="auto"/>
              </w:rPr>
              <w:t>（必须提供，否则响应文件按无效响应处理）</w:t>
            </w:r>
          </w:p>
          <w:p w14:paraId="36C61E39">
            <w:pPr>
              <w:keepNext w:val="0"/>
              <w:keepLines w:val="0"/>
              <w:pageBreakBefore w:val="0"/>
              <w:widowControl/>
              <w:suppressLineNumbers w:val="0"/>
              <w:kinsoku/>
              <w:wordWrap/>
              <w:topLinePunct w:val="0"/>
              <w:bidi w:val="0"/>
              <w:spacing w:line="312" w:lineRule="auto"/>
              <w:jc w:val="left"/>
              <w:rPr>
                <w:rFonts w:hint="eastAsia" w:ascii="Times New Roman" w:hAnsi="Times New Roman" w:eastAsia="宋体" w:cs="Times New Roman"/>
                <w:b/>
                <w:bCs/>
                <w:color w:val="auto"/>
              </w:rPr>
            </w:pPr>
            <w:r>
              <w:rPr>
                <w:rFonts w:hint="eastAsia"/>
                <w:color w:val="auto"/>
                <w:lang w:val="en-US" w:eastAsia="zh-CN"/>
              </w:rPr>
              <w:t>5</w:t>
            </w:r>
            <w:r>
              <w:rPr>
                <w:rFonts w:hint="eastAsia"/>
                <w:color w:val="auto"/>
              </w:rPr>
              <w:t>.</w:t>
            </w:r>
            <w:r>
              <w:rPr>
                <w:rFonts w:hint="eastAsia" w:ascii="Times New Roman" w:hAnsi="Times New Roman" w:eastAsia="宋体" w:cs="Times New Roman"/>
                <w:color w:val="auto"/>
                <w:lang w:val="en-US" w:eastAsia="zh-CN"/>
              </w:rPr>
              <w:t>供应商</w:t>
            </w:r>
            <w:r>
              <w:rPr>
                <w:rFonts w:hint="eastAsia" w:ascii="Times New Roman" w:hAnsi="Times New Roman" w:eastAsia="宋体" w:cs="Times New Roman"/>
                <w:color w:val="auto"/>
              </w:rPr>
              <w:t>财务状况报告（</w:t>
            </w:r>
            <w:r>
              <w:rPr>
                <w:rFonts w:hint="eastAsia" w:cs="Times New Roman"/>
                <w:color w:val="auto"/>
                <w:u w:val="single"/>
                <w:lang w:val="en-US" w:eastAsia="zh-CN"/>
              </w:rPr>
              <w:t>2024</w:t>
            </w:r>
            <w:r>
              <w:rPr>
                <w:rFonts w:hint="eastAsia" w:ascii="Times New Roman" w:hAnsi="Times New Roman" w:eastAsia="宋体" w:cs="Times New Roman"/>
                <w:color w:val="auto"/>
                <w:u w:val="single"/>
              </w:rPr>
              <w:t>年度</w:t>
            </w:r>
            <w:r>
              <w:rPr>
                <w:rFonts w:hint="eastAsia" w:cs="Times New Roman"/>
                <w:color w:val="auto"/>
                <w:u w:val="single"/>
                <w:lang w:val="en-US" w:eastAsia="zh-CN"/>
              </w:rPr>
              <w:t>或2025年度</w:t>
            </w:r>
            <w:r>
              <w:rPr>
                <w:rFonts w:hint="eastAsia" w:ascii="Times New Roman" w:hAnsi="Times New Roman" w:eastAsia="宋体" w:cs="Times New Roman"/>
                <w:color w:val="auto"/>
              </w:rPr>
              <w:t>财务</w:t>
            </w:r>
            <w:r>
              <w:rPr>
                <w:rFonts w:hint="eastAsia" w:ascii="Times New Roman" w:hAnsi="Times New Roman" w:eastAsia="宋体" w:cs="Times New Roman"/>
                <w:color w:val="auto"/>
                <w:lang w:val="en-US" w:eastAsia="zh-CN"/>
              </w:rPr>
              <w:t>报表</w:t>
            </w:r>
            <w:r>
              <w:rPr>
                <w:rFonts w:hint="eastAsia" w:ascii="Times New Roman" w:hAnsi="Times New Roman" w:eastAsia="宋体" w:cs="Times New Roman"/>
                <w:color w:val="auto"/>
              </w:rPr>
              <w:t>复印件或者银行出具的资信证明</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供应商属于</w:t>
            </w:r>
            <w:r>
              <w:rPr>
                <w:rFonts w:hint="eastAsia" w:ascii="Times New Roman" w:hAnsi="Times New Roman" w:eastAsia="宋体" w:cs="Times New Roman"/>
                <w:color w:val="auto"/>
              </w:rPr>
              <w:t>成立时间在规定年度之后的</w:t>
            </w:r>
            <w:r>
              <w:rPr>
                <w:rFonts w:hint="eastAsia" w:ascii="Times New Roman" w:hAnsi="Times New Roman" w:eastAsia="宋体" w:cs="Times New Roman"/>
                <w:color w:val="auto"/>
                <w:lang w:val="en-US" w:eastAsia="zh-CN"/>
              </w:rPr>
              <w:t>法人或其他组织</w:t>
            </w:r>
            <w:r>
              <w:rPr>
                <w:rFonts w:hint="eastAsia" w:ascii="Times New Roman" w:hAnsi="Times New Roman" w:eastAsia="宋体" w:cs="Times New Roman"/>
                <w:color w:val="auto"/>
              </w:rPr>
              <w:t>，需提供成立之日起至响应文件提交截止时间前的月报表或银行出具的资信证明</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资信证明</w:t>
            </w:r>
            <w:r>
              <w:rPr>
                <w:rFonts w:hint="eastAsia" w:ascii="Times New Roman" w:hAnsi="Times New Roman" w:eastAsia="宋体" w:cs="Times New Roman"/>
                <w:color w:val="auto"/>
              </w:rPr>
              <w:t>应在有效期内，未注明有效期的，</w:t>
            </w:r>
            <w:r>
              <w:rPr>
                <w:rFonts w:hint="eastAsia" w:ascii="Times New Roman" w:hAnsi="Times New Roman" w:eastAsia="宋体" w:cs="Times New Roman"/>
                <w:color w:val="auto"/>
                <w:lang w:val="en-US" w:eastAsia="zh-CN"/>
              </w:rPr>
              <w:t>银行</w:t>
            </w:r>
            <w:r>
              <w:rPr>
                <w:rFonts w:hint="eastAsia" w:ascii="Times New Roman" w:hAnsi="Times New Roman" w:eastAsia="宋体" w:cs="Times New Roman"/>
                <w:color w:val="auto"/>
              </w:rPr>
              <w:t>出具时间至响应文件提交截止时间不超过一年）；</w:t>
            </w:r>
            <w:r>
              <w:rPr>
                <w:rFonts w:hint="eastAsia" w:ascii="Times New Roman" w:hAnsi="Times New Roman" w:eastAsia="宋体" w:cs="Times New Roman"/>
                <w:b/>
                <w:bCs/>
                <w:color w:val="auto"/>
              </w:rPr>
              <w:t>（</w:t>
            </w:r>
            <w:r>
              <w:rPr>
                <w:rFonts w:hint="eastAsia" w:ascii="Times New Roman" w:hAnsi="Times New Roman" w:eastAsia="宋体" w:cs="Times New Roman"/>
                <w:b/>
                <w:bCs/>
                <w:color w:val="auto"/>
                <w:lang w:val="en-US" w:eastAsia="zh-CN"/>
              </w:rPr>
              <w:t>除自然人外</w:t>
            </w:r>
            <w:r>
              <w:rPr>
                <w:rFonts w:hint="eastAsia" w:ascii="Times New Roman" w:hAnsi="Times New Roman" w:eastAsia="宋体" w:cs="Times New Roman"/>
                <w:b/>
                <w:bCs/>
                <w:color w:val="auto"/>
              </w:rPr>
              <w:t>必须提供，否则响应文件按无效响应处理）</w:t>
            </w:r>
          </w:p>
          <w:p w14:paraId="6FBF2505">
            <w:pPr>
              <w:pStyle w:val="8"/>
              <w:spacing w:line="360" w:lineRule="auto"/>
              <w:ind w:left="0" w:leftChars="0" w:firstLine="0" w:firstLineChars="0"/>
              <w:rPr>
                <w:rFonts w:hint="eastAsia" w:ascii="Times New Roman" w:hAnsi="Times New Roman" w:cs="Times New Roman"/>
                <w:b w:val="0"/>
                <w:bCs w:val="0"/>
                <w:color w:val="000000"/>
                <w:kern w:val="2"/>
                <w:sz w:val="21"/>
                <w:szCs w:val="24"/>
                <w:lang w:val="en-US" w:eastAsia="zh-CN" w:bidi="ar-SA"/>
              </w:rPr>
            </w:pPr>
            <w:r>
              <w:rPr>
                <w:rFonts w:hint="eastAsia" w:cs="Times New Roman"/>
                <w:b w:val="0"/>
                <w:bCs w:val="0"/>
                <w:color w:val="000000"/>
                <w:kern w:val="2"/>
                <w:sz w:val="21"/>
                <w:szCs w:val="24"/>
                <w:lang w:val="en-US" w:eastAsia="zh-CN" w:bidi="ar-SA"/>
              </w:rPr>
              <w:t>6</w:t>
            </w:r>
            <w:r>
              <w:rPr>
                <w:rFonts w:hint="eastAsia" w:ascii="Times New Roman" w:hAnsi="Times New Roman" w:cs="Times New Roman"/>
                <w:b w:val="0"/>
                <w:bCs w:val="0"/>
                <w:color w:val="000000"/>
                <w:kern w:val="2"/>
                <w:sz w:val="21"/>
                <w:szCs w:val="24"/>
                <w:lang w:val="en-US" w:eastAsia="zh-CN" w:bidi="ar-SA"/>
              </w:rPr>
              <w:t>.供应商直接控股、管理关系信息表（格式后附）；</w:t>
            </w:r>
            <w:r>
              <w:rPr>
                <w:rFonts w:hint="eastAsia" w:ascii="Times New Roman" w:hAnsi="Times New Roman" w:cs="Times New Roman"/>
                <w:b/>
                <w:bCs/>
                <w:color w:val="000000"/>
                <w:kern w:val="2"/>
                <w:sz w:val="21"/>
                <w:szCs w:val="24"/>
                <w:lang w:val="en-US" w:eastAsia="zh-CN" w:bidi="ar-SA"/>
              </w:rPr>
              <w:t>（必须提供，否则响应文件按无效处理）</w:t>
            </w:r>
          </w:p>
          <w:p w14:paraId="62E57CBB">
            <w:pPr>
              <w:pStyle w:val="8"/>
              <w:spacing w:line="360" w:lineRule="auto"/>
              <w:ind w:left="0" w:leftChars="0" w:firstLine="0" w:firstLineChars="0"/>
              <w:rPr>
                <w:rFonts w:hint="default"/>
                <w:b/>
                <w:bCs/>
                <w:color w:val="000000"/>
                <w:lang w:val="en-US" w:eastAsia="zh-CN"/>
              </w:rPr>
            </w:pPr>
            <w:r>
              <w:rPr>
                <w:rFonts w:hint="eastAsia" w:cs="Times New Roman"/>
                <w:b w:val="0"/>
                <w:bCs w:val="0"/>
                <w:color w:val="000000"/>
                <w:kern w:val="2"/>
                <w:sz w:val="21"/>
                <w:szCs w:val="24"/>
                <w:lang w:val="en-US" w:eastAsia="zh-CN" w:bidi="ar-SA"/>
              </w:rPr>
              <w:t>7</w:t>
            </w:r>
            <w:r>
              <w:rPr>
                <w:rFonts w:hint="eastAsia" w:ascii="Times New Roman" w:hAnsi="Times New Roman" w:eastAsia="宋体" w:cs="Times New Roman"/>
                <w:b w:val="0"/>
                <w:bCs w:val="0"/>
                <w:color w:val="000000"/>
                <w:kern w:val="2"/>
                <w:sz w:val="21"/>
                <w:szCs w:val="24"/>
                <w:lang w:val="en-US" w:eastAsia="zh-CN" w:bidi="ar-SA"/>
              </w:rPr>
              <w:t>.</w:t>
            </w:r>
            <w:r>
              <w:rPr>
                <w:rFonts w:hint="eastAsia" w:ascii="宋体" w:hAnsi="宋体" w:cs="宋体"/>
                <w:color w:val="auto"/>
                <w:szCs w:val="21"/>
                <w:lang w:val="en-US" w:eastAsia="zh-CN"/>
              </w:rPr>
              <w:t>中小企业声明函（格式后附）（本项目属于专门面向中小企业采购的项目，供应商应为中小微企业或监狱企业或残疾人福利性单位，并根据《政府采购促进中小企业发展管理办法》（财库[2020] 46号）中《中小企业声明函》格式要求填报及提供声明函原件或《残疾人福利性单位声明函》原件或属于监狱企业的证明文件复印件。）；</w:t>
            </w:r>
            <w:r>
              <w:rPr>
                <w:rFonts w:hint="eastAsia"/>
                <w:b/>
                <w:bCs/>
                <w:color w:val="000000"/>
                <w:lang w:val="en-US" w:eastAsia="zh-CN"/>
              </w:rPr>
              <w:t>（</w:t>
            </w:r>
            <w:r>
              <w:rPr>
                <w:rFonts w:hint="eastAsia"/>
                <w:b/>
                <w:bCs/>
                <w:color w:val="000000"/>
              </w:rPr>
              <w:t>必须提供，否则响应文件按无效响应处理</w:t>
            </w:r>
            <w:r>
              <w:rPr>
                <w:rFonts w:hint="eastAsia"/>
                <w:b/>
                <w:bCs/>
                <w:color w:val="000000"/>
                <w:lang w:val="en-US" w:eastAsia="zh-CN"/>
              </w:rPr>
              <w:t>）</w:t>
            </w:r>
          </w:p>
          <w:p w14:paraId="630244FD">
            <w:pPr>
              <w:pageBreakBefore w:val="0"/>
              <w:kinsoku/>
              <w:wordWrap/>
              <w:topLinePunct w:val="0"/>
              <w:bidi w:val="0"/>
              <w:snapToGrid w:val="0"/>
              <w:spacing w:line="312" w:lineRule="auto"/>
              <w:jc w:val="left"/>
              <w:rPr>
                <w:rFonts w:hint="eastAsia"/>
                <w:color w:val="auto"/>
              </w:rPr>
            </w:pPr>
            <w:r>
              <w:rPr>
                <w:rFonts w:hint="eastAsia"/>
                <w:color w:val="auto"/>
                <w:lang w:val="en-US" w:eastAsia="zh-CN"/>
              </w:rPr>
              <w:t>8</w:t>
            </w:r>
            <w:r>
              <w:rPr>
                <w:rFonts w:hint="eastAsia"/>
                <w:color w:val="auto"/>
              </w:rPr>
              <w:t>.竞标声明（格式后附）；</w:t>
            </w:r>
            <w:r>
              <w:rPr>
                <w:rFonts w:hint="eastAsia"/>
                <w:b/>
                <w:bCs/>
                <w:color w:val="auto"/>
              </w:rPr>
              <w:t>（必须提供，否则响应文件按无效响应处理）</w:t>
            </w:r>
          </w:p>
          <w:p w14:paraId="030C201B">
            <w:pPr>
              <w:pageBreakBefore w:val="0"/>
              <w:kinsoku/>
              <w:wordWrap/>
              <w:topLinePunct w:val="0"/>
              <w:bidi w:val="0"/>
              <w:snapToGrid w:val="0"/>
              <w:spacing w:line="312" w:lineRule="auto"/>
              <w:jc w:val="left"/>
              <w:rPr>
                <w:rFonts w:hint="eastAsia"/>
                <w:color w:val="auto"/>
              </w:rPr>
            </w:pPr>
            <w:r>
              <w:rPr>
                <w:rFonts w:hint="eastAsia"/>
                <w:color w:val="auto"/>
                <w:lang w:val="en-US" w:eastAsia="zh-CN"/>
              </w:rPr>
              <w:t>9</w:t>
            </w:r>
            <w:r>
              <w:rPr>
                <w:rFonts w:hint="eastAsia"/>
                <w:color w:val="auto"/>
              </w:rPr>
              <w:t>.除磋商文件规定必须提供以外，供应商认为需要提供的其他证明材料；</w:t>
            </w:r>
          </w:p>
          <w:p w14:paraId="1CA4061D">
            <w:pPr>
              <w:pageBreakBefore w:val="0"/>
              <w:kinsoku/>
              <w:wordWrap/>
              <w:topLinePunct w:val="0"/>
              <w:bidi w:val="0"/>
              <w:snapToGrid w:val="0"/>
              <w:spacing w:line="360" w:lineRule="auto"/>
              <w:jc w:val="left"/>
              <w:rPr>
                <w:rFonts w:hint="eastAsia"/>
                <w:b/>
                <w:bCs/>
                <w:color w:val="000000"/>
              </w:rPr>
            </w:pPr>
            <w:r>
              <w:rPr>
                <w:rFonts w:hint="eastAsia"/>
                <w:b/>
                <w:bCs/>
                <w:color w:val="000000"/>
              </w:rPr>
              <w:t>注：</w:t>
            </w:r>
          </w:p>
          <w:p w14:paraId="6F9A52C6">
            <w:pPr>
              <w:pageBreakBefore w:val="0"/>
              <w:kinsoku/>
              <w:wordWrap/>
              <w:overflowPunct/>
              <w:topLinePunct w:val="0"/>
              <w:bidi w:val="0"/>
              <w:snapToGrid w:val="0"/>
              <w:spacing w:line="300" w:lineRule="auto"/>
              <w:ind w:firstLine="413" w:firstLineChars="196"/>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1.以上标明“必须提供”的材料属于复印件的，必须加盖供应商</w:t>
            </w:r>
            <w:r>
              <w:rPr>
                <w:rFonts w:hint="eastAsia" w:ascii="宋体" w:hAnsi="宋体" w:eastAsia="宋体" w:cs="宋体"/>
                <w:b/>
                <w:color w:val="auto"/>
                <w:szCs w:val="21"/>
                <w:highlight w:val="none"/>
              </w:rPr>
              <w:t>CA</w:t>
            </w:r>
            <w:r>
              <w:rPr>
                <w:rFonts w:hint="eastAsia" w:ascii="宋体" w:hAnsi="宋体" w:eastAsia="宋体" w:cs="宋体"/>
                <w:b/>
                <w:bCs/>
                <w:color w:val="000000"/>
                <w:sz w:val="21"/>
                <w:szCs w:val="21"/>
                <w:lang w:val="en-US" w:eastAsia="zh-CN"/>
              </w:rPr>
              <w:t>签章</w:t>
            </w:r>
            <w:r>
              <w:rPr>
                <w:rFonts w:hint="eastAsia" w:ascii="宋体" w:hAnsi="宋体" w:eastAsia="宋体" w:cs="宋体"/>
                <w:b/>
                <w:bCs/>
                <w:color w:val="000000"/>
                <w:sz w:val="21"/>
                <w:szCs w:val="21"/>
              </w:rPr>
              <w:t>，否则响应文件按无效响应处理。</w:t>
            </w:r>
          </w:p>
          <w:p w14:paraId="487BBB1D">
            <w:pPr>
              <w:pageBreakBefore w:val="0"/>
              <w:kinsoku/>
              <w:wordWrap/>
              <w:overflowPunct/>
              <w:topLinePunct w:val="0"/>
              <w:bidi w:val="0"/>
              <w:snapToGrid w:val="0"/>
              <w:spacing w:line="300" w:lineRule="auto"/>
              <w:ind w:firstLine="422" w:firstLineChars="200"/>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2.竞标声明必须由法定代表人在规定签章处签字并加盖供应商</w:t>
            </w:r>
            <w:r>
              <w:rPr>
                <w:rFonts w:hint="eastAsia" w:ascii="宋体" w:hAnsi="宋体" w:eastAsia="宋体" w:cs="宋体"/>
                <w:b/>
                <w:bCs/>
                <w:color w:val="000000"/>
                <w:sz w:val="21"/>
                <w:szCs w:val="21"/>
                <w:lang w:val="en-US" w:eastAsia="zh-CN"/>
              </w:rPr>
              <w:t>CA签章</w:t>
            </w:r>
            <w:r>
              <w:rPr>
                <w:rFonts w:hint="eastAsia" w:ascii="宋体" w:hAnsi="宋体" w:eastAsia="宋体" w:cs="宋体"/>
                <w:b/>
                <w:bCs/>
                <w:color w:val="000000"/>
                <w:sz w:val="21"/>
                <w:szCs w:val="21"/>
              </w:rPr>
              <w:t>，否则响应文件按无效响应处理。</w:t>
            </w:r>
          </w:p>
          <w:p w14:paraId="76006905">
            <w:pPr>
              <w:pageBreakBefore w:val="0"/>
              <w:kinsoku/>
              <w:wordWrap/>
              <w:overflowPunct/>
              <w:topLinePunct w:val="0"/>
              <w:bidi w:val="0"/>
              <w:snapToGrid w:val="0"/>
              <w:spacing w:beforeAutospacing="0" w:line="300" w:lineRule="auto"/>
              <w:ind w:firstLine="422" w:firstLineChars="200"/>
              <w:jc w:val="left"/>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3.电子投标响应文件中所须加盖公章部分均采用CA签章。若竞争性磋商文件中有专门标注的某关联点，并要求供应商在电子投标系统中作出投标响应的，如供应商未对关联点进行响应或者在响应文件其它内容进行描述，造成电子评审不能查询的责任由供应商自行承担。</w:t>
            </w:r>
          </w:p>
          <w:p w14:paraId="1BF00E50">
            <w:pPr>
              <w:pStyle w:val="3"/>
              <w:keepNext/>
              <w:keepLines/>
              <w:pageBreakBefore w:val="0"/>
              <w:widowControl w:val="0"/>
              <w:kinsoku/>
              <w:wordWrap/>
              <w:overflowPunct/>
              <w:topLinePunct w:val="0"/>
              <w:autoSpaceDE/>
              <w:autoSpaceDN/>
              <w:bidi w:val="0"/>
              <w:adjustRightInd/>
              <w:snapToGrid/>
              <w:spacing w:before="0" w:after="0" w:line="312" w:lineRule="auto"/>
              <w:ind w:firstLine="422" w:firstLineChars="200"/>
              <w:textAlignment w:val="auto"/>
              <w:outlineLvl w:val="9"/>
              <w:rPr>
                <w:rFonts w:hint="eastAsia"/>
                <w:color w:val="auto"/>
                <w:lang w:val="en-US" w:eastAsia="zh-CN"/>
              </w:rPr>
            </w:pP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.以上材料未附格式的，由供应商自行拟定。</w:t>
            </w:r>
          </w:p>
        </w:tc>
      </w:tr>
      <w:tr w14:paraId="7798A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1" w:hRule="atLeast"/>
          <w:jc w:val="center"/>
        </w:trPr>
        <w:tc>
          <w:tcPr>
            <w:tcW w:w="992" w:type="dxa"/>
            <w:vMerge w:val="restart"/>
            <w:noWrap w:val="0"/>
            <w:vAlign w:val="center"/>
          </w:tcPr>
          <w:p w14:paraId="444C6A1E">
            <w:pPr>
              <w:pageBreakBefore w:val="0"/>
              <w:kinsoku/>
              <w:wordWrap/>
              <w:topLinePunct w:val="0"/>
              <w:bidi w:val="0"/>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w:t>
            </w:r>
            <w:r>
              <w:rPr>
                <w:rFonts w:ascii="宋体" w:hAnsi="宋体" w:cs="宋体"/>
                <w:color w:val="auto"/>
                <w:szCs w:val="21"/>
                <w:highlight w:val="none"/>
              </w:rPr>
              <w:t>2</w:t>
            </w:r>
          </w:p>
        </w:tc>
        <w:tc>
          <w:tcPr>
            <w:tcW w:w="7912" w:type="dxa"/>
            <w:noWrap w:val="0"/>
            <w:vAlign w:val="center"/>
          </w:tcPr>
          <w:p w14:paraId="00EA0F55">
            <w:pPr>
              <w:pStyle w:val="3"/>
              <w:keepNext/>
              <w:keepLines/>
              <w:pageBreakBefore w:val="0"/>
              <w:widowControl w:val="0"/>
              <w:kinsoku/>
              <w:wordWrap/>
              <w:overflowPunct/>
              <w:topLinePunct w:val="0"/>
              <w:autoSpaceDE/>
              <w:autoSpaceDN/>
              <w:bidi w:val="0"/>
              <w:adjustRightInd/>
              <w:snapToGrid/>
              <w:spacing w:before="103" w:beforeLines="33" w:beforeAutospacing="0" w:after="0" w:line="312" w:lineRule="auto"/>
              <w:jc w:val="left"/>
              <w:textAlignment w:val="auto"/>
              <w:outlineLvl w:val="9"/>
              <w:rPr>
                <w:rFonts w:hint="eastAsia"/>
                <w:b/>
                <w:bCs/>
                <w:color w:val="auto"/>
                <w:sz w:val="21"/>
                <w:szCs w:val="21"/>
              </w:rPr>
            </w:pPr>
            <w:r>
              <w:rPr>
                <w:rFonts w:hint="eastAsia"/>
                <w:b/>
                <w:bCs/>
                <w:color w:val="auto"/>
                <w:sz w:val="21"/>
                <w:szCs w:val="21"/>
              </w:rPr>
              <w:t>报价文件</w:t>
            </w:r>
          </w:p>
          <w:p w14:paraId="2F5309EB">
            <w:pPr>
              <w:pageBreakBefore w:val="0"/>
              <w:kinsoku/>
              <w:wordWrap/>
              <w:topLinePunct w:val="0"/>
              <w:bidi w:val="0"/>
              <w:spacing w:after="108" w:afterLines="34" w:afterAutospacing="0" w:line="312" w:lineRule="auto"/>
              <w:rPr>
                <w:rFonts w:hint="eastAsia"/>
                <w:b/>
                <w:bCs/>
                <w:color w:val="auto"/>
              </w:rPr>
            </w:pPr>
            <w:r>
              <w:rPr>
                <w:rFonts w:hint="eastAsia"/>
                <w:color w:val="auto"/>
                <w:lang w:val="en-US" w:eastAsia="zh-CN"/>
              </w:rPr>
              <w:t>1</w:t>
            </w:r>
            <w:r>
              <w:rPr>
                <w:rFonts w:hint="eastAsia"/>
                <w:color w:val="auto"/>
              </w:rPr>
              <w:t>.竞标报价表（格式后附）；</w:t>
            </w:r>
            <w:r>
              <w:rPr>
                <w:rFonts w:hint="eastAsia"/>
                <w:b/>
                <w:bCs/>
                <w:color w:val="auto"/>
              </w:rPr>
              <w:t>（必须提供，否则响应文件按无效响应处理）</w:t>
            </w:r>
          </w:p>
          <w:p w14:paraId="65EB0BD8">
            <w:pPr>
              <w:pageBreakBefore w:val="0"/>
              <w:kinsoku/>
              <w:wordWrap/>
              <w:topLinePunct w:val="0"/>
              <w:bidi w:val="0"/>
              <w:spacing w:after="108" w:afterLines="34" w:afterAutospacing="0" w:line="312" w:lineRule="auto"/>
              <w:rPr>
                <w:rFonts w:hint="default"/>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.供应商认为需要提供的其他有关资料。</w:t>
            </w:r>
          </w:p>
        </w:tc>
      </w:tr>
      <w:tr w14:paraId="244CD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0"/>
            <w:vAlign w:val="center"/>
          </w:tcPr>
          <w:p w14:paraId="45A4AB70">
            <w:pPr>
              <w:pageBreakBefore w:val="0"/>
              <w:kinsoku/>
              <w:wordWrap/>
              <w:topLinePunct w:val="0"/>
              <w:bidi w:val="0"/>
              <w:spacing w:line="312" w:lineRule="auto"/>
              <w:jc w:val="center"/>
              <w:rPr>
                <w:rFonts w:hint="eastAsia" w:ascii="宋体" w:hAnsi="宋体" w:cs="宋体"/>
                <w:color w:val="auto"/>
                <w:szCs w:val="21"/>
                <w:highlight w:val="none"/>
              </w:rPr>
            </w:pPr>
          </w:p>
        </w:tc>
        <w:tc>
          <w:tcPr>
            <w:tcW w:w="7912" w:type="dxa"/>
            <w:noWrap w:val="0"/>
            <w:vAlign w:val="center"/>
          </w:tcPr>
          <w:p w14:paraId="46C044C2">
            <w:pPr>
              <w:pageBreakBefore w:val="0"/>
              <w:kinsoku/>
              <w:wordWrap/>
              <w:topLinePunct w:val="0"/>
              <w:bidi w:val="0"/>
              <w:spacing w:before="159" w:beforeLines="50" w:beforeAutospacing="0" w:line="312" w:lineRule="auto"/>
              <w:rPr>
                <w:rFonts w:hint="eastAsia"/>
                <w:color w:val="auto"/>
              </w:rPr>
            </w:pPr>
            <w:r>
              <w:rPr>
                <w:rFonts w:hint="eastAsia"/>
                <w:color w:val="auto"/>
              </w:rPr>
              <w:t>商务技术文件</w:t>
            </w:r>
          </w:p>
          <w:p w14:paraId="63357E41">
            <w:pPr>
              <w:pageBreakBefore w:val="0"/>
              <w:kinsoku/>
              <w:wordWrap/>
              <w:topLinePunct w:val="0"/>
              <w:bidi w:val="0"/>
              <w:spacing w:line="312" w:lineRule="auto"/>
              <w:rPr>
                <w:rFonts w:hint="eastAsia"/>
                <w:b/>
                <w:bCs/>
                <w:color w:val="auto"/>
                <w:lang w:val="en-US" w:eastAsia="zh-CN"/>
              </w:rPr>
            </w:pPr>
            <w:r>
              <w:rPr>
                <w:rFonts w:hint="eastAsia"/>
                <w:color w:val="auto"/>
                <w:lang w:val="en-US" w:eastAsia="zh-CN"/>
              </w:rPr>
              <w:t>1.</w:t>
            </w:r>
            <w:r>
              <w:rPr>
                <w:rFonts w:hint="eastAsia"/>
                <w:color w:val="auto"/>
              </w:rPr>
              <w:t>无串通竞标行为的承诺函（格式后附）；</w:t>
            </w:r>
            <w:r>
              <w:rPr>
                <w:rFonts w:hint="eastAsia"/>
                <w:b/>
                <w:bCs/>
                <w:color w:val="auto"/>
              </w:rPr>
              <w:t>（必须提供，否则响应文件按无效响应处理）</w:t>
            </w:r>
          </w:p>
          <w:p w14:paraId="7A492D68">
            <w:pPr>
              <w:pageBreakBefore w:val="0"/>
              <w:kinsoku/>
              <w:wordWrap/>
              <w:topLinePunct w:val="0"/>
              <w:bidi w:val="0"/>
              <w:spacing w:line="312" w:lineRule="auto"/>
              <w:rPr>
                <w:rFonts w:hint="eastAsia"/>
                <w:color w:val="auto"/>
              </w:rPr>
            </w:pPr>
            <w:r>
              <w:rPr>
                <w:rFonts w:hint="eastAsia"/>
                <w:color w:val="auto"/>
                <w:lang w:val="en-US" w:eastAsia="zh-CN"/>
              </w:rPr>
              <w:t>2</w:t>
            </w:r>
            <w:r>
              <w:rPr>
                <w:rFonts w:hint="eastAsia"/>
                <w:color w:val="auto"/>
              </w:rPr>
              <w:t>.商务条款偏离表（格式后附）；</w:t>
            </w:r>
            <w:r>
              <w:rPr>
                <w:rFonts w:hint="eastAsia"/>
                <w:b/>
                <w:bCs/>
                <w:color w:val="auto"/>
              </w:rPr>
              <w:t>（必须提供，否则响应文件按无效响应处理）</w:t>
            </w:r>
          </w:p>
          <w:p w14:paraId="0E117A1B">
            <w:pPr>
              <w:pageBreakBefore w:val="0"/>
              <w:kinsoku/>
              <w:wordWrap/>
              <w:topLinePunct w:val="0"/>
              <w:bidi w:val="0"/>
              <w:spacing w:line="312" w:lineRule="auto"/>
              <w:rPr>
                <w:rFonts w:hint="eastAsia"/>
                <w:color w:val="auto"/>
              </w:rPr>
            </w:pPr>
            <w:r>
              <w:rPr>
                <w:rFonts w:hint="eastAsia"/>
                <w:color w:val="auto"/>
                <w:lang w:val="en-US" w:eastAsia="zh-CN"/>
              </w:rPr>
              <w:t>3</w:t>
            </w:r>
            <w:r>
              <w:rPr>
                <w:rFonts w:hint="eastAsia"/>
                <w:color w:val="auto"/>
              </w:rPr>
              <w:t>.</w:t>
            </w:r>
            <w:r>
              <w:rPr>
                <w:rFonts w:hint="eastAsia" w:ascii="宋体" w:hAnsi="宋体" w:eastAsia="宋体" w:cs="宋体"/>
                <w:b w:val="0"/>
                <w:bCs w:val="0"/>
                <w:sz w:val="21"/>
                <w:szCs w:val="21"/>
                <w:lang w:val="en-US" w:eastAsia="zh-CN"/>
              </w:rPr>
              <w:t>技术</w:t>
            </w:r>
            <w:r>
              <w:rPr>
                <w:rFonts w:hint="eastAsia" w:ascii="宋体" w:hAnsi="宋体" w:cs="宋体"/>
                <w:b w:val="0"/>
                <w:bCs w:val="0"/>
                <w:sz w:val="21"/>
                <w:szCs w:val="21"/>
                <w:lang w:val="en-US" w:eastAsia="zh-CN"/>
              </w:rPr>
              <w:t>方案</w:t>
            </w:r>
            <w:r>
              <w:rPr>
                <w:rFonts w:hint="eastAsia"/>
                <w:color w:val="auto"/>
              </w:rPr>
              <w:t>；</w:t>
            </w:r>
            <w:r>
              <w:rPr>
                <w:rFonts w:hint="eastAsia"/>
                <w:b/>
                <w:bCs/>
                <w:color w:val="auto"/>
              </w:rPr>
              <w:t>（必须提供，否则响应文件按无效响应处理）</w:t>
            </w:r>
          </w:p>
          <w:p w14:paraId="555C04A4">
            <w:pPr>
              <w:pageBreakBefore w:val="0"/>
              <w:kinsoku/>
              <w:wordWrap/>
              <w:topLinePunct w:val="0"/>
              <w:bidi w:val="0"/>
              <w:spacing w:line="312" w:lineRule="auto"/>
              <w:rPr>
                <w:color w:val="auto"/>
              </w:rPr>
            </w:pPr>
            <w:r>
              <w:rPr>
                <w:rFonts w:hint="eastAsia"/>
                <w:color w:val="auto"/>
                <w:lang w:val="en-US" w:eastAsia="zh-CN"/>
              </w:rPr>
              <w:t>4</w:t>
            </w:r>
            <w:r>
              <w:rPr>
                <w:rFonts w:hint="eastAsia"/>
                <w:color w:val="auto"/>
              </w:rPr>
              <w:t>.</w:t>
            </w:r>
            <w:r>
              <w:rPr>
                <w:rFonts w:hint="eastAsia"/>
                <w:color w:val="auto"/>
                <w:lang w:val="en-US" w:eastAsia="zh-CN"/>
              </w:rPr>
              <w:t>技术</w:t>
            </w:r>
            <w:r>
              <w:rPr>
                <w:rFonts w:hint="eastAsia"/>
                <w:color w:val="auto"/>
              </w:rPr>
              <w:t>需求偏离表（格式后附）；</w:t>
            </w:r>
            <w:r>
              <w:rPr>
                <w:rFonts w:hint="eastAsia"/>
                <w:b/>
                <w:bCs/>
                <w:color w:val="auto"/>
              </w:rPr>
              <w:t>（必须提供，否则响应文件按无效响应处理）</w:t>
            </w:r>
          </w:p>
          <w:p w14:paraId="46D454FE">
            <w:pPr>
              <w:pageBreakBefore w:val="0"/>
              <w:kinsoku/>
              <w:wordWrap/>
              <w:topLinePunct w:val="0"/>
              <w:bidi w:val="0"/>
              <w:spacing w:line="312" w:lineRule="auto"/>
              <w:rPr>
                <w:rFonts w:hint="eastAsia"/>
                <w:color w:val="auto"/>
              </w:rPr>
            </w:pPr>
            <w:r>
              <w:rPr>
                <w:rFonts w:hint="eastAsia"/>
                <w:color w:val="auto"/>
                <w:lang w:val="en-US" w:eastAsia="zh-CN"/>
              </w:rPr>
              <w:t>5</w:t>
            </w:r>
            <w:r>
              <w:rPr>
                <w:rFonts w:hint="eastAsia"/>
                <w:color w:val="auto"/>
              </w:rPr>
              <w:t>.项目实施人员一览表（格式自拟）；</w:t>
            </w:r>
            <w:r>
              <w:rPr>
                <w:rFonts w:hint="eastAsia"/>
                <w:b/>
                <w:bCs/>
                <w:color w:val="auto"/>
              </w:rPr>
              <w:t>（必须提供，否则响应文件按无效响应处理）</w:t>
            </w:r>
          </w:p>
          <w:p w14:paraId="496B0819">
            <w:pPr>
              <w:pageBreakBefore w:val="0"/>
              <w:kinsoku/>
              <w:wordWrap/>
              <w:topLinePunct w:val="0"/>
              <w:bidi w:val="0"/>
              <w:spacing w:line="312" w:lineRule="auto"/>
              <w:rPr>
                <w:rFonts w:hint="eastAsia"/>
                <w:color w:val="auto"/>
              </w:rPr>
            </w:pPr>
            <w:r>
              <w:rPr>
                <w:rFonts w:hint="eastAsia"/>
                <w:color w:val="auto"/>
                <w:lang w:val="en-US" w:eastAsia="zh-CN"/>
              </w:rPr>
              <w:t>6</w:t>
            </w:r>
            <w:r>
              <w:rPr>
                <w:rFonts w:hint="eastAsia"/>
                <w:color w:val="auto"/>
              </w:rPr>
              <w:t>.对应采购需求的</w:t>
            </w:r>
            <w:r>
              <w:rPr>
                <w:rFonts w:hint="eastAsia"/>
                <w:color w:val="auto"/>
                <w:lang w:val="en-US" w:eastAsia="zh-CN"/>
              </w:rPr>
              <w:t>技术</w:t>
            </w:r>
            <w:r>
              <w:rPr>
                <w:rFonts w:hint="eastAsia"/>
                <w:color w:val="auto"/>
              </w:rPr>
              <w:t>需求、商务条款提供的其他文件资料；</w:t>
            </w:r>
          </w:p>
          <w:p w14:paraId="3EF93A52">
            <w:pPr>
              <w:pageBreakBefore w:val="0"/>
              <w:kinsoku/>
              <w:wordWrap/>
              <w:topLinePunct w:val="0"/>
              <w:bidi w:val="0"/>
              <w:spacing w:line="312" w:lineRule="auto"/>
              <w:rPr>
                <w:rFonts w:hint="eastAsia"/>
                <w:color w:val="auto"/>
              </w:rPr>
            </w:pPr>
            <w:r>
              <w:rPr>
                <w:rFonts w:hint="eastAsia"/>
                <w:color w:val="auto"/>
                <w:lang w:val="en-US" w:eastAsia="zh-CN"/>
              </w:rPr>
              <w:t>7</w:t>
            </w:r>
            <w:r>
              <w:rPr>
                <w:rFonts w:hint="eastAsia"/>
                <w:color w:val="auto"/>
              </w:rPr>
              <w:t>.供应商认为需要提供的其他有关资料。</w:t>
            </w:r>
          </w:p>
          <w:p w14:paraId="218B4A62">
            <w:pPr>
              <w:pageBreakBefore w:val="0"/>
              <w:kinsoku/>
              <w:wordWrap/>
              <w:topLinePunct w:val="0"/>
              <w:bidi w:val="0"/>
              <w:snapToGrid w:val="0"/>
              <w:spacing w:line="312" w:lineRule="auto"/>
              <w:jc w:val="left"/>
              <w:rPr>
                <w:rFonts w:hint="eastAsia"/>
                <w:b/>
                <w:bCs/>
                <w:color w:val="auto"/>
              </w:rPr>
            </w:pPr>
            <w:r>
              <w:rPr>
                <w:rFonts w:hint="eastAsia"/>
                <w:b/>
                <w:bCs/>
                <w:color w:val="auto"/>
              </w:rPr>
              <w:t xml:space="preserve">注： </w:t>
            </w:r>
          </w:p>
          <w:p w14:paraId="24ACD49B">
            <w:pPr>
              <w:pStyle w:val="3"/>
              <w:keepNext/>
              <w:keepLines/>
              <w:pageBreakBefore w:val="0"/>
              <w:widowControl w:val="0"/>
              <w:kinsoku/>
              <w:wordWrap/>
              <w:overflowPunct/>
              <w:topLinePunct w:val="0"/>
              <w:autoSpaceDE/>
              <w:autoSpaceDN/>
              <w:bidi w:val="0"/>
              <w:adjustRightInd/>
              <w:snapToGrid/>
              <w:spacing w:before="0" w:after="0" w:line="312" w:lineRule="auto"/>
              <w:ind w:firstLine="422" w:firstLineChars="200"/>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.以上标明“必须提供”的材料属于</w:t>
            </w:r>
            <w:r>
              <w:rPr>
                <w:rFonts w:hint="eastAsia" w:asciiTheme="minorEastAsia" w:hAnsiTheme="minorEastAsia" w:eastAsiaTheme="minorEastAsia" w:cstheme="minorEastAsia"/>
                <w:color w:val="auto"/>
                <w:sz w:val="21"/>
                <w:szCs w:val="21"/>
                <w:lang w:val="en-US" w:eastAsia="zh-CN"/>
              </w:rPr>
              <w:t>复印件</w:t>
            </w:r>
            <w:r>
              <w:rPr>
                <w:rFonts w:hint="eastAsia" w:asciiTheme="minorEastAsia" w:hAnsiTheme="minorEastAsia" w:eastAsiaTheme="minorEastAsia" w:cstheme="minorEastAsia"/>
                <w:color w:val="auto"/>
                <w:sz w:val="21"/>
                <w:szCs w:val="21"/>
              </w:rPr>
              <w:t>的，必须加盖供应商</w:t>
            </w:r>
            <w:r>
              <w:rPr>
                <w:rFonts w:hint="eastAsia" w:asciiTheme="minorEastAsia" w:hAnsiTheme="minorEastAsia" w:eastAsiaTheme="minorEastAsia" w:cstheme="minorEastAsia"/>
                <w:color w:val="auto"/>
                <w:sz w:val="21"/>
                <w:szCs w:val="21"/>
                <w:lang w:val="en-US" w:eastAsia="zh-CN"/>
              </w:rPr>
              <w:t>电子签章</w:t>
            </w:r>
            <w:r>
              <w:rPr>
                <w:rFonts w:hint="eastAsia" w:asciiTheme="minorEastAsia" w:hAnsiTheme="minorEastAsia" w:eastAsiaTheme="minorEastAsia" w:cstheme="minorEastAsia"/>
                <w:color w:val="auto"/>
                <w:sz w:val="21"/>
                <w:szCs w:val="21"/>
              </w:rPr>
              <w:t>，否则响应文件按无效响应处理。</w:t>
            </w:r>
          </w:p>
          <w:p w14:paraId="563BF840">
            <w:pPr>
              <w:pStyle w:val="3"/>
              <w:keepNext/>
              <w:keepLines/>
              <w:pageBreakBefore w:val="0"/>
              <w:widowControl w:val="0"/>
              <w:kinsoku/>
              <w:wordWrap/>
              <w:overflowPunct/>
              <w:topLinePunct w:val="0"/>
              <w:autoSpaceDE/>
              <w:autoSpaceDN/>
              <w:bidi w:val="0"/>
              <w:adjustRightInd/>
              <w:snapToGrid/>
              <w:spacing w:before="0" w:after="0" w:line="312" w:lineRule="auto"/>
              <w:ind w:firstLine="422" w:firstLineChars="200"/>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电子投标响应文件中所须加盖公章部分均采用CA签章。若竞争性磋商文件中有专门标注的某关联点，并要求供应商在电子投标系统中作出投标响应的，如供应商未对关联点进行响应或者在响应文件其它内容进行描述，造成电子评审不能查询的责任由供应商自行承担。</w:t>
            </w:r>
          </w:p>
          <w:p w14:paraId="58135D44">
            <w:pPr>
              <w:pStyle w:val="3"/>
              <w:keepNext/>
              <w:keepLines/>
              <w:pageBreakBefore w:val="0"/>
              <w:widowControl w:val="0"/>
              <w:kinsoku/>
              <w:wordWrap/>
              <w:overflowPunct/>
              <w:topLinePunct w:val="0"/>
              <w:autoSpaceDE/>
              <w:autoSpaceDN/>
              <w:bidi w:val="0"/>
              <w:adjustRightInd/>
              <w:snapToGrid/>
              <w:spacing w:before="0" w:after="0" w:line="312" w:lineRule="auto"/>
              <w:ind w:firstLine="422" w:firstLineChars="200"/>
              <w:textAlignment w:val="auto"/>
              <w:outlineLvl w:val="9"/>
              <w:rPr>
                <w:rFonts w:hint="eastAsia"/>
                <w:color w:val="auto"/>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.以上材料未附格式的，由供应商自行拟定。</w:t>
            </w:r>
          </w:p>
        </w:tc>
      </w:tr>
      <w:tr w14:paraId="69F7A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8" w:hRule="atLeast"/>
          <w:jc w:val="center"/>
        </w:trPr>
        <w:tc>
          <w:tcPr>
            <w:tcW w:w="992" w:type="dxa"/>
            <w:noWrap w:val="0"/>
            <w:vAlign w:val="center"/>
          </w:tcPr>
          <w:p w14:paraId="237A1801">
            <w:pPr>
              <w:pageBreakBefore w:val="0"/>
              <w:kinsoku/>
              <w:wordWrap/>
              <w:topLinePunct w:val="0"/>
              <w:bidi w:val="0"/>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7912" w:type="dxa"/>
            <w:noWrap w:val="0"/>
            <w:vAlign w:val="center"/>
          </w:tcPr>
          <w:p w14:paraId="26168FFF">
            <w:pPr>
              <w:pageBreakBefore w:val="0"/>
              <w:kinsoku/>
              <w:wordWrap/>
              <w:topLinePunct w:val="0"/>
              <w:bidi w:val="0"/>
              <w:snapToGrid w:val="0"/>
              <w:spacing w:line="312" w:lineRule="auto"/>
              <w:jc w:val="left"/>
              <w:rPr>
                <w:rFonts w:hint="eastAsia" w:ascii="宋体" w:hAnsi="宋体"/>
                <w:b/>
                <w:color w:val="auto"/>
                <w:szCs w:val="21"/>
                <w:highlight w:val="none"/>
              </w:rPr>
            </w:pPr>
            <w:r>
              <w:rPr>
                <w:rFonts w:hint="eastAsia"/>
                <w:color w:val="auto"/>
                <w:highlight w:val="none"/>
              </w:rPr>
              <w:t>竞标报价</w:t>
            </w:r>
            <w:r>
              <w:rPr>
                <w:rFonts w:hint="eastAsia" w:hAnsi="宋体"/>
                <w:color w:val="auto"/>
                <w:sz w:val="21"/>
                <w:highlight w:val="none"/>
              </w:rPr>
              <w:t>应包含顺利实施和完成服务所发生的各项劳务费、技术服务费、前期调查及资料收集、审查、评审、公示、设备、交通、通讯、办公场地、管理费、税费和利润及通过审批等所有费用和政策性文件规定及合同包含的所有风险、责任等各项应有的费用，除非上述费用在合同中另有说明。合同期内，费用不再调整</w:t>
            </w:r>
            <w:r>
              <w:rPr>
                <w:rFonts w:hint="eastAsia"/>
                <w:color w:val="auto"/>
                <w:highlight w:val="none"/>
              </w:rPr>
              <w:t>。</w:t>
            </w:r>
          </w:p>
        </w:tc>
      </w:tr>
      <w:tr w14:paraId="6B873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3DEE781">
            <w:pPr>
              <w:pageBreakBefore w:val="0"/>
              <w:kinsoku/>
              <w:wordWrap/>
              <w:topLinePunct w:val="0"/>
              <w:bidi w:val="0"/>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noWrap w:val="0"/>
            <w:vAlign w:val="center"/>
          </w:tcPr>
          <w:p w14:paraId="6F4F0DAC">
            <w:pPr>
              <w:pStyle w:val="10"/>
              <w:pageBreakBefore w:val="0"/>
              <w:widowControl w:val="0"/>
              <w:tabs>
                <w:tab w:val="clear" w:pos="454"/>
              </w:tabs>
              <w:kinsoku/>
              <w:wordWrap/>
              <w:topLinePunct w:val="0"/>
              <w:bidi w:val="0"/>
              <w:snapToGrid w:val="0"/>
              <w:spacing w:afterLines="0" w:line="312" w:lineRule="auto"/>
              <w:ind w:left="283"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none"/>
                <w:lang w:val="en-US" w:eastAsia="zh-CN"/>
              </w:rPr>
              <w:t>60</w:t>
            </w:r>
            <w:r>
              <w:rPr>
                <w:rFonts w:hint="eastAsia" w:ascii="宋体" w:hAnsi="宋体" w:cs="宋体"/>
                <w:color w:val="auto"/>
                <w:kern w:val="2"/>
                <w:sz w:val="21"/>
                <w:szCs w:val="21"/>
                <w:highlight w:val="none"/>
              </w:rPr>
              <w:t>日。</w:t>
            </w:r>
          </w:p>
        </w:tc>
      </w:tr>
      <w:tr w14:paraId="19776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4C5711D">
            <w:pPr>
              <w:pageBreakBefore w:val="0"/>
              <w:kinsoku/>
              <w:wordWrap/>
              <w:topLinePunct w:val="0"/>
              <w:bidi w:val="0"/>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7912" w:type="dxa"/>
            <w:noWrap w:val="0"/>
            <w:vAlign w:val="center"/>
          </w:tcPr>
          <w:p w14:paraId="5C566C3D">
            <w:pPr>
              <w:keepNext w:val="0"/>
              <w:keepLines w:val="0"/>
              <w:pageBreakBefore w:val="0"/>
              <w:widowControl w:val="0"/>
              <w:kinsoku/>
              <w:wordWrap/>
              <w:overflowPunct/>
              <w:topLinePunct w:val="0"/>
              <w:autoSpaceDE w:val="0"/>
              <w:autoSpaceDN w:val="0"/>
              <w:bidi w:val="0"/>
              <w:adjustRightInd/>
              <w:snapToGrid w:val="0"/>
              <w:spacing w:line="240" w:lineRule="auto"/>
              <w:textAlignment w:val="bottom"/>
              <w:rPr>
                <w:rFonts w:hint="eastAsia" w:ascii="宋体" w:hAnsi="宋体" w:eastAsia="宋体" w:cs="宋体"/>
                <w:sz w:val="21"/>
                <w:szCs w:val="21"/>
              </w:rPr>
            </w:pPr>
            <w:r>
              <w:rPr>
                <w:rFonts w:hint="eastAsia" w:ascii="宋体" w:hAnsi="宋体" w:eastAsia="宋体" w:cs="宋体"/>
                <w:color w:val="auto"/>
                <w:sz w:val="21"/>
                <w:szCs w:val="21"/>
                <w:highlight w:val="none"/>
              </w:rPr>
              <w:t>☑</w:t>
            </w:r>
            <w:r>
              <w:rPr>
                <w:rFonts w:hint="eastAsia" w:ascii="宋体" w:hAnsi="宋体" w:eastAsia="宋体" w:cs="宋体"/>
                <w:sz w:val="21"/>
                <w:szCs w:val="21"/>
              </w:rPr>
              <w:t>本项目不收取磋商保证金。</w:t>
            </w:r>
          </w:p>
          <w:p w14:paraId="3A39236A">
            <w:pPr>
              <w:keepNext w:val="0"/>
              <w:keepLines w:val="0"/>
              <w:pageBreakBefore w:val="0"/>
              <w:widowControl w:val="0"/>
              <w:kinsoku/>
              <w:wordWrap/>
              <w:overflowPunct/>
              <w:topLinePunct w:val="0"/>
              <w:bidi w:val="0"/>
              <w:adjustRightInd/>
              <w:snapToGrid w:val="0"/>
              <w:spacing w:line="240" w:lineRule="auto"/>
              <w:rPr>
                <w:rFonts w:hint="eastAsia" w:ascii="宋体" w:hAnsi="宋体" w:eastAsia="宋体" w:cs="宋体"/>
                <w:sz w:val="21"/>
                <w:szCs w:val="21"/>
              </w:rPr>
            </w:pPr>
            <w:r>
              <w:rPr>
                <w:rFonts w:hint="eastAsia" w:ascii="宋体" w:hAnsi="宋体" w:eastAsia="宋体" w:cs="宋体"/>
                <w:sz w:val="21"/>
                <w:szCs w:val="21"/>
              </w:rPr>
              <w:t>□本项目收取磋商保证金，具体规定如下：</w:t>
            </w:r>
          </w:p>
          <w:p w14:paraId="083A2979">
            <w:pPr>
              <w:pStyle w:val="6"/>
              <w:keepNext w:val="0"/>
              <w:keepLines w:val="0"/>
              <w:pageBreakBefore w:val="0"/>
              <w:widowControl w:val="0"/>
              <w:kinsoku/>
              <w:wordWrap/>
              <w:overflowPunct/>
              <w:topLinePunct w:val="0"/>
              <w:bidi w:val="0"/>
              <w:adjustRightInd/>
              <w:snapToGrid w:val="0"/>
              <w:spacing w:line="240" w:lineRule="auto"/>
              <w:ind w:left="0" w:leftChars="0" w:firstLine="210" w:firstLineChars="100"/>
              <w:outlineLvl w:val="9"/>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1.磋商保证金（人民币）：0.00元（须足额交纳）</w:t>
            </w:r>
          </w:p>
          <w:p w14:paraId="28220531">
            <w:pPr>
              <w:pStyle w:val="6"/>
              <w:keepNext w:val="0"/>
              <w:keepLines w:val="0"/>
              <w:pageBreakBefore w:val="0"/>
              <w:widowControl w:val="0"/>
              <w:kinsoku/>
              <w:wordWrap/>
              <w:overflowPunct/>
              <w:topLinePunct w:val="0"/>
              <w:bidi w:val="0"/>
              <w:adjustRightInd/>
              <w:snapToGrid w:val="0"/>
              <w:spacing w:line="240" w:lineRule="auto"/>
              <w:ind w:left="0" w:leftChars="0" w:firstLine="210" w:firstLineChars="100"/>
              <w:outlineLvl w:val="9"/>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磋商保证金的提交方式：银行转账/电汇、网上支付、支票、汇票、本票或者金融机构、担保机构出具的保函等非现金形式提交。采用金融结构、担保机构出具的保函，必须为无条件保函，保函有效期不得低于磋商有效期。）</w:t>
            </w:r>
          </w:p>
          <w:p w14:paraId="2EFE1DC0">
            <w:pPr>
              <w:pStyle w:val="6"/>
              <w:keepNext w:val="0"/>
              <w:keepLines w:val="0"/>
              <w:pageBreakBefore w:val="0"/>
              <w:widowControl w:val="0"/>
              <w:kinsoku/>
              <w:wordWrap/>
              <w:overflowPunct/>
              <w:topLinePunct w:val="0"/>
              <w:bidi w:val="0"/>
              <w:adjustRightInd/>
              <w:snapToGrid w:val="0"/>
              <w:spacing w:line="240" w:lineRule="auto"/>
              <w:ind w:left="0" w:leftChars="0" w:firstLine="210" w:firstLineChars="100"/>
              <w:outlineLvl w:val="9"/>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3.递交方式：</w:t>
            </w:r>
          </w:p>
          <w:p w14:paraId="09B821D1">
            <w:pPr>
              <w:pStyle w:val="6"/>
              <w:keepNext w:val="0"/>
              <w:keepLines w:val="0"/>
              <w:pageBreakBefore w:val="0"/>
              <w:widowControl w:val="0"/>
              <w:kinsoku/>
              <w:wordWrap/>
              <w:overflowPunct/>
              <w:topLinePunct w:val="0"/>
              <w:bidi w:val="0"/>
              <w:adjustRightInd/>
              <w:snapToGrid w:val="0"/>
              <w:spacing w:line="240" w:lineRule="auto"/>
              <w:ind w:left="0" w:leftChars="0" w:firstLine="210" w:firstLineChars="100"/>
              <w:outlineLvl w:val="9"/>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（1）以转账或电汇或网上支付等方式提交的，应从对公账户转出，并应当在响应文件提交截止时间前足额到达指定账户，在用途或备注栏注明事由“</w:t>
            </w:r>
            <w:r>
              <w:rPr>
                <w:rFonts w:hint="eastAsia" w:ascii="宋体" w:hAnsi="宋体" w:eastAsia="宋体" w:cs="宋体"/>
                <w:color w:val="000000"/>
                <w:kern w:val="2"/>
                <w:sz w:val="21"/>
                <w:szCs w:val="21"/>
                <w:highlight w:val="none"/>
                <w:u w:val="single"/>
                <w:lang w:val="en-US" w:eastAsia="zh-CN" w:bidi="ar-SA"/>
              </w:rPr>
              <w:t>项目名称或项目编号+磋商保证金(如有分标，须列出分标号)</w:t>
            </w:r>
            <w:r>
              <w:rPr>
                <w:rFonts w:hint="eastAsia" w:ascii="宋体" w:hAnsi="宋体" w:eastAsia="宋体" w:cs="宋体"/>
                <w:color w:val="000000"/>
                <w:kern w:val="2"/>
                <w:sz w:val="21"/>
                <w:szCs w:val="21"/>
                <w:highlight w:val="none"/>
                <w:lang w:val="en-US" w:eastAsia="zh-CN" w:bidi="ar-SA"/>
              </w:rPr>
              <w:t>”信息。</w:t>
            </w:r>
          </w:p>
          <w:p w14:paraId="207A29B8">
            <w:pPr>
              <w:pStyle w:val="6"/>
              <w:keepNext w:val="0"/>
              <w:keepLines w:val="0"/>
              <w:pageBreakBefore w:val="0"/>
              <w:widowControl w:val="0"/>
              <w:kinsoku/>
              <w:wordWrap/>
              <w:overflowPunct/>
              <w:topLinePunct w:val="0"/>
              <w:bidi w:val="0"/>
              <w:adjustRightInd/>
              <w:snapToGrid w:val="0"/>
              <w:spacing w:line="240" w:lineRule="auto"/>
              <w:ind w:firstLine="680" w:firstLineChars="0"/>
              <w:outlineLvl w:val="9"/>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开户名称：/</w:t>
            </w:r>
          </w:p>
          <w:p w14:paraId="5F0F76A4">
            <w:pPr>
              <w:pStyle w:val="6"/>
              <w:keepNext w:val="0"/>
              <w:keepLines w:val="0"/>
              <w:pageBreakBefore w:val="0"/>
              <w:widowControl w:val="0"/>
              <w:kinsoku/>
              <w:wordWrap/>
              <w:overflowPunct/>
              <w:topLinePunct w:val="0"/>
              <w:bidi w:val="0"/>
              <w:adjustRightInd/>
              <w:snapToGrid w:val="0"/>
              <w:spacing w:line="240" w:lineRule="auto"/>
              <w:ind w:firstLine="680" w:firstLineChars="0"/>
              <w:outlineLvl w:val="9"/>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开户银行：/</w:t>
            </w:r>
          </w:p>
          <w:p w14:paraId="5CA76AFA">
            <w:pPr>
              <w:pStyle w:val="6"/>
              <w:keepNext w:val="0"/>
              <w:keepLines w:val="0"/>
              <w:pageBreakBefore w:val="0"/>
              <w:widowControl w:val="0"/>
              <w:kinsoku/>
              <w:wordWrap/>
              <w:overflowPunct/>
              <w:topLinePunct w:val="0"/>
              <w:bidi w:val="0"/>
              <w:adjustRightInd/>
              <w:snapToGrid w:val="0"/>
              <w:spacing w:line="240" w:lineRule="auto"/>
              <w:ind w:firstLine="680" w:firstLineChars="0"/>
              <w:outlineLvl w:val="9"/>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银行帐号：/</w:t>
            </w:r>
          </w:p>
          <w:p w14:paraId="0A76AA7A">
            <w:pPr>
              <w:pStyle w:val="6"/>
              <w:keepNext w:val="0"/>
              <w:keepLines w:val="0"/>
              <w:pageBreakBefore w:val="0"/>
              <w:widowControl w:val="0"/>
              <w:kinsoku/>
              <w:wordWrap/>
              <w:overflowPunct/>
              <w:topLinePunct w:val="0"/>
              <w:bidi w:val="0"/>
              <w:adjustRightInd/>
              <w:snapToGrid w:val="0"/>
              <w:spacing w:line="240" w:lineRule="auto"/>
              <w:ind w:left="0" w:leftChars="0" w:firstLine="210" w:firstLineChars="100"/>
              <w:outlineLvl w:val="9"/>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采用支票、汇票、本票或者金融、担保机构出具的保函方式的，应将支票、汇票、本票或者金融、担保机构出具的保函等原件扫描件作为磋商保证金提交凭证，放置于响应文件中，并应在响应文件提交截止时间前提交票据或保函原件(可邮寄)，否则响应文件按无效处理。提交(邮寄)地址及收件人详见竞争性磋商公告，拒收到付邮件，通过邮寄方式送达的，请合理安排邮寄时间。</w:t>
            </w:r>
          </w:p>
          <w:p w14:paraId="2917BF0B">
            <w:pPr>
              <w:pStyle w:val="6"/>
              <w:keepNext w:val="0"/>
              <w:keepLines w:val="0"/>
              <w:pageBreakBefore w:val="0"/>
              <w:widowControl w:val="0"/>
              <w:kinsoku/>
              <w:wordWrap/>
              <w:overflowPunct/>
              <w:topLinePunct w:val="0"/>
              <w:bidi w:val="0"/>
              <w:adjustRightInd/>
              <w:snapToGrid w:val="0"/>
              <w:spacing w:line="240" w:lineRule="auto"/>
              <w:ind w:left="0" w:leftChars="0" w:firstLine="210" w:firstLineChars="100"/>
              <w:outlineLvl w:val="9"/>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4.备注：</w:t>
            </w:r>
          </w:p>
          <w:p w14:paraId="631D79EB">
            <w:pPr>
              <w:pStyle w:val="6"/>
              <w:keepNext w:val="0"/>
              <w:keepLines w:val="0"/>
              <w:pageBreakBefore w:val="0"/>
              <w:widowControl w:val="0"/>
              <w:kinsoku/>
              <w:wordWrap/>
              <w:overflowPunct/>
              <w:topLinePunct w:val="0"/>
              <w:bidi w:val="0"/>
              <w:adjustRightInd/>
              <w:snapToGrid w:val="0"/>
              <w:spacing w:line="240" w:lineRule="auto"/>
              <w:ind w:left="0" w:leftChars="0" w:firstLine="210" w:firstLineChars="100"/>
              <w:outlineLvl w:val="9"/>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（1）磋商保证金在响应文件提交截止时间后提交的，或者不按规定提交方式交纳的，或者未足额交纳的(包含保函额度不足的)，视为无效磋商保证金。</w:t>
            </w:r>
          </w:p>
          <w:p w14:paraId="0A8428B0">
            <w:pPr>
              <w:pStyle w:val="6"/>
              <w:keepNext w:val="0"/>
              <w:keepLines w:val="0"/>
              <w:pageBreakBefore w:val="0"/>
              <w:widowControl w:val="0"/>
              <w:kinsoku/>
              <w:wordWrap/>
              <w:overflowPunct/>
              <w:topLinePunct w:val="0"/>
              <w:bidi w:val="0"/>
              <w:adjustRightInd/>
              <w:snapToGrid w:val="0"/>
              <w:spacing w:line="240" w:lineRule="auto"/>
              <w:ind w:left="0" w:leftChars="0" w:firstLine="210" w:firstLineChars="100"/>
              <w:outlineLvl w:val="9"/>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（2）供应商采用现钞方式、非供应商账户或者从个人账户转出的磋商保证金，视为无效磋商保证金。</w:t>
            </w:r>
          </w:p>
          <w:p w14:paraId="5DCAB6A9">
            <w:pPr>
              <w:pStyle w:val="6"/>
              <w:keepNext w:val="0"/>
              <w:keepLines w:val="0"/>
              <w:pageBreakBefore w:val="0"/>
              <w:widowControl w:val="0"/>
              <w:kinsoku/>
              <w:wordWrap/>
              <w:overflowPunct/>
              <w:topLinePunct w:val="0"/>
              <w:bidi w:val="0"/>
              <w:adjustRightInd/>
              <w:snapToGrid w:val="0"/>
              <w:spacing w:line="240" w:lineRule="auto"/>
              <w:ind w:left="0" w:leftChars="0" w:firstLine="210" w:firstLineChars="100"/>
              <w:outlineLvl w:val="9"/>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（3）支票、汇票或者本票出现无效或者背书情形的，视为无效磋商保证金。</w:t>
            </w:r>
          </w:p>
          <w:p w14:paraId="36BA7F5E">
            <w:pPr>
              <w:pStyle w:val="6"/>
              <w:keepNext w:val="0"/>
              <w:keepLines w:val="0"/>
              <w:pageBreakBefore w:val="0"/>
              <w:widowControl w:val="0"/>
              <w:kinsoku/>
              <w:wordWrap/>
              <w:overflowPunct/>
              <w:topLinePunct w:val="0"/>
              <w:bidi w:val="0"/>
              <w:adjustRightInd/>
              <w:snapToGrid w:val="0"/>
              <w:spacing w:line="240" w:lineRule="auto"/>
              <w:ind w:left="0" w:leftChars="0" w:firstLine="210" w:firstLineChars="100"/>
              <w:outlineLvl w:val="9"/>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（4）保函有效期低于磋商有效期的，视为无效磋商保证金。</w:t>
            </w:r>
          </w:p>
          <w:p w14:paraId="7784B356">
            <w:pPr>
              <w:pStyle w:val="6"/>
              <w:keepNext w:val="0"/>
              <w:keepLines w:val="0"/>
              <w:pageBreakBefore w:val="0"/>
              <w:widowControl w:val="0"/>
              <w:kinsoku/>
              <w:wordWrap/>
              <w:overflowPunct/>
              <w:topLinePunct w:val="0"/>
              <w:bidi w:val="0"/>
              <w:adjustRightInd/>
              <w:snapToGrid w:val="0"/>
              <w:spacing w:line="240" w:lineRule="auto"/>
              <w:ind w:left="0" w:leftChars="0" w:firstLine="210" w:firstLineChars="100"/>
              <w:outlineLvl w:val="9"/>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（5）采用金融、担保机构出具保函的，必须为无条件保函，否则视为无效磋商保证金。</w:t>
            </w:r>
          </w:p>
          <w:p w14:paraId="6D807FF8">
            <w:pPr>
              <w:pageBreakBefore w:val="0"/>
              <w:kinsoku/>
              <w:wordWrap/>
              <w:topLinePunct w:val="0"/>
              <w:bidi w:val="0"/>
              <w:snapToGrid w:val="0"/>
              <w:spacing w:line="312" w:lineRule="auto"/>
              <w:rPr>
                <w:rFonts w:hint="eastAsia" w:ascii="宋体" w:hAnsi="宋体" w:cs="宋体"/>
                <w:color w:val="auto"/>
                <w:szCs w:val="21"/>
                <w:highlight w:val="none"/>
              </w:rPr>
            </w:pPr>
            <w:r>
              <w:rPr>
                <w:rFonts w:hint="eastAsia" w:ascii="宋体" w:hAnsi="宋体" w:eastAsia="宋体" w:cs="宋体"/>
                <w:color w:val="000000"/>
                <w:kern w:val="2"/>
                <w:sz w:val="21"/>
                <w:szCs w:val="21"/>
                <w:highlight w:val="none"/>
                <w:lang w:val="en-US" w:eastAsia="zh-CN" w:bidi="ar-SA"/>
              </w:rPr>
              <w:t>（6）经查实，供应商提供虚假保证金证明材料的，采购人报政府采购监督管理部门处理。</w:t>
            </w:r>
          </w:p>
        </w:tc>
      </w:tr>
      <w:tr w14:paraId="3C257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jc w:val="center"/>
        </w:trPr>
        <w:tc>
          <w:tcPr>
            <w:tcW w:w="992" w:type="dxa"/>
            <w:noWrap w:val="0"/>
            <w:vAlign w:val="center"/>
          </w:tcPr>
          <w:p w14:paraId="22EDFAE3">
            <w:pPr>
              <w:pageBreakBefore w:val="0"/>
              <w:kinsoku/>
              <w:wordWrap/>
              <w:overflowPunct/>
              <w:topLinePunct w:val="0"/>
              <w:bidi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7912" w:type="dxa"/>
            <w:noWrap w:val="0"/>
            <w:vAlign w:val="center"/>
          </w:tcPr>
          <w:p w14:paraId="5147403E">
            <w:pPr>
              <w:pageBreakBefore w:val="0"/>
              <w:kinsoku/>
              <w:wordWrap/>
              <w:overflowPunct/>
              <w:topLinePunct w:val="0"/>
              <w:bidi w:val="0"/>
              <w:spacing w:line="300" w:lineRule="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auto"/>
                <w:szCs w:val="21"/>
                <w:highlight w:val="none"/>
              </w:rPr>
              <w:t>本项目不接受</w:t>
            </w:r>
            <w:r>
              <w:rPr>
                <w:rFonts w:hint="eastAsia" w:ascii="宋体" w:hAnsi="宋体" w:eastAsia="宋体" w:cs="宋体"/>
                <w:color w:val="auto"/>
                <w:highlight w:val="none"/>
              </w:rPr>
              <w:t>电子</w:t>
            </w:r>
            <w:r>
              <w:rPr>
                <w:rFonts w:hint="eastAsia" w:ascii="宋体" w:hAnsi="宋体" w:eastAsia="宋体" w:cs="宋体"/>
                <w:color w:val="auto"/>
                <w:szCs w:val="21"/>
                <w:highlight w:val="none"/>
              </w:rPr>
              <w:t>备份响应文件</w:t>
            </w:r>
          </w:p>
        </w:tc>
      </w:tr>
      <w:tr w14:paraId="1191E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73BF6FE">
            <w:pPr>
              <w:pageBreakBefore w:val="0"/>
              <w:kinsoku/>
              <w:wordWrap/>
              <w:overflowPunct/>
              <w:topLinePunct w:val="0"/>
              <w:bidi w:val="0"/>
              <w:snapToGrid w:val="0"/>
              <w:spacing w:line="300" w:lineRule="auto"/>
              <w:jc w:val="center"/>
              <w:rPr>
                <w:rFonts w:hint="eastAsia" w:ascii="宋体" w:hAnsi="宋体" w:eastAsia="宋体" w:cs="宋体"/>
                <w:color w:val="auto"/>
                <w:szCs w:val="21"/>
                <w:highlight w:val="yellow"/>
              </w:rPr>
            </w:pPr>
            <w:r>
              <w:rPr>
                <w:rFonts w:hint="eastAsia" w:ascii="宋体" w:hAnsi="宋体" w:eastAsia="宋体" w:cs="宋体"/>
                <w:color w:val="000000"/>
                <w:sz w:val="21"/>
                <w:szCs w:val="21"/>
                <w:highlight w:val="none"/>
              </w:rPr>
              <w:t>20.1</w:t>
            </w:r>
          </w:p>
        </w:tc>
        <w:tc>
          <w:tcPr>
            <w:tcW w:w="7912" w:type="dxa"/>
            <w:noWrap w:val="0"/>
            <w:vAlign w:val="center"/>
          </w:tcPr>
          <w:p w14:paraId="071624C2">
            <w:pPr>
              <w:pageBreakBefore w:val="0"/>
              <w:kinsoku/>
              <w:wordWrap/>
              <w:overflowPunct/>
              <w:topLinePunct w:val="0"/>
              <w:bidi w:val="0"/>
              <w:snapToGrid w:val="0"/>
              <w:spacing w:line="30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响应文件提交截止时间：详见竞争性磋商公告。</w:t>
            </w:r>
          </w:p>
          <w:p w14:paraId="512F101E">
            <w:pPr>
              <w:pageBreakBefore w:val="0"/>
              <w:kinsoku/>
              <w:wordWrap/>
              <w:overflowPunct/>
              <w:topLinePunct w:val="0"/>
              <w:bidi w:val="0"/>
              <w:snapToGrid w:val="0"/>
              <w:spacing w:line="300" w:lineRule="auto"/>
              <w:ind w:firstLine="420" w:firstLineChars="200"/>
              <w:jc w:val="left"/>
              <w:rPr>
                <w:rFonts w:hint="eastAsia" w:ascii="宋体" w:hAnsi="宋体" w:eastAsia="宋体" w:cs="宋体"/>
                <w:color w:val="auto"/>
                <w:szCs w:val="21"/>
                <w:highlight w:val="yellow"/>
              </w:rPr>
            </w:pPr>
            <w:r>
              <w:rPr>
                <w:rFonts w:hint="eastAsia" w:ascii="宋体" w:hAnsi="宋体" w:eastAsia="宋体" w:cs="宋体"/>
                <w:color w:val="000000"/>
                <w:sz w:val="21"/>
                <w:szCs w:val="21"/>
                <w:highlight w:val="none"/>
              </w:rPr>
              <w:t>响应文件提交地点：详见竞争性磋商公告。</w:t>
            </w:r>
          </w:p>
        </w:tc>
      </w:tr>
      <w:tr w14:paraId="2EB98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992" w:type="dxa"/>
            <w:noWrap w:val="0"/>
            <w:vAlign w:val="center"/>
          </w:tcPr>
          <w:p w14:paraId="3148500A">
            <w:pPr>
              <w:pageBreakBefore w:val="0"/>
              <w:kinsoku/>
              <w:wordWrap/>
              <w:topLinePunct w:val="0"/>
              <w:bidi w:val="0"/>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7912" w:type="dxa"/>
            <w:noWrap w:val="0"/>
            <w:vAlign w:val="center"/>
          </w:tcPr>
          <w:p w14:paraId="0D5D189A">
            <w:pPr>
              <w:pageBreakBefore w:val="0"/>
              <w:kinsoku/>
              <w:wordWrap/>
              <w:topLinePunct w:val="0"/>
              <w:bidi w:val="0"/>
              <w:snapToGrid w:val="0"/>
              <w:spacing w:line="312"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w:t>
            </w:r>
          </w:p>
        </w:tc>
      </w:tr>
      <w:tr w14:paraId="18925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992" w:type="dxa"/>
            <w:noWrap w:val="0"/>
            <w:vAlign w:val="center"/>
          </w:tcPr>
          <w:p w14:paraId="2E7D5C68">
            <w:pPr>
              <w:pageBreakBefore w:val="0"/>
              <w:kinsoku/>
              <w:wordWrap/>
              <w:overflowPunct/>
              <w:topLinePunct w:val="0"/>
              <w:bidi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7912" w:type="dxa"/>
            <w:noWrap w:val="0"/>
            <w:vAlign w:val="center"/>
          </w:tcPr>
          <w:p w14:paraId="3753D681">
            <w:pPr>
              <w:pageBreakBefore w:val="0"/>
              <w:kinsoku/>
              <w:wordWrap/>
              <w:overflowPunct/>
              <w:topLinePunct w:val="0"/>
              <w:bidi w:val="0"/>
              <w:snapToGrid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首次响应文件开启时间详见“竞争性磋商公告”</w:t>
            </w:r>
          </w:p>
          <w:p w14:paraId="5AFCD891">
            <w:pPr>
              <w:pageBreakBefore w:val="0"/>
              <w:kinsoku/>
              <w:wordWrap/>
              <w:overflowPunct/>
              <w:topLinePunct w:val="0"/>
              <w:bidi w:val="0"/>
              <w:snapToGrid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首次响应文件解密时间：</w:t>
            </w:r>
            <w:r>
              <w:rPr>
                <w:rFonts w:hint="eastAsia" w:ascii="宋体" w:hAnsi="宋体" w:eastAsia="宋体" w:cs="宋体"/>
                <w:color w:val="auto"/>
                <w:highlight w:val="none"/>
                <w:u w:val="single"/>
              </w:rPr>
              <w:t xml:space="preserve"> 30</w:t>
            </w:r>
            <w:r>
              <w:rPr>
                <w:rFonts w:hint="eastAsia" w:ascii="宋体" w:hAnsi="宋体" w:eastAsia="宋体" w:cs="宋体"/>
                <w:color w:val="auto"/>
                <w:highlight w:val="none"/>
              </w:rPr>
              <w:t>分钟</w:t>
            </w:r>
          </w:p>
        </w:tc>
      </w:tr>
      <w:tr w14:paraId="424B1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1BAF5D0">
            <w:pPr>
              <w:pageBreakBefore w:val="0"/>
              <w:kinsoku/>
              <w:wordWrap/>
              <w:topLinePunct w:val="0"/>
              <w:bidi w:val="0"/>
              <w:spacing w:line="312" w:lineRule="auto"/>
              <w:jc w:val="center"/>
              <w:rPr>
                <w:rFonts w:hint="eastAsia" w:ascii="宋体" w:hAnsi="宋体" w:eastAsia="宋体" w:cs="宋体"/>
                <w:color w:val="auto"/>
                <w:szCs w:val="21"/>
                <w:highlight w:val="none"/>
                <w:lang w:eastAsia="zh-CN"/>
              </w:rPr>
            </w:pPr>
            <w:r>
              <w:rPr>
                <w:rFonts w:ascii="宋体" w:hAnsi="宋体" w:cs="宋体"/>
                <w:color w:val="auto"/>
                <w:szCs w:val="21"/>
                <w:highlight w:val="none"/>
              </w:rPr>
              <w:t>2</w:t>
            </w:r>
            <w:r>
              <w:rPr>
                <w:rFonts w:hint="eastAsia" w:ascii="宋体" w:hAnsi="宋体" w:cs="宋体"/>
                <w:color w:val="auto"/>
                <w:szCs w:val="21"/>
                <w:highlight w:val="none"/>
                <w:lang w:val="en-US" w:eastAsia="zh-CN"/>
              </w:rPr>
              <w:t>6</w:t>
            </w:r>
          </w:p>
        </w:tc>
        <w:tc>
          <w:tcPr>
            <w:tcW w:w="7912" w:type="dxa"/>
            <w:noWrap w:val="0"/>
            <w:vAlign w:val="center"/>
          </w:tcPr>
          <w:p w14:paraId="0FEE69FC">
            <w:pPr>
              <w:pageBreakBefore w:val="0"/>
              <w:kinsoku/>
              <w:wordWrap/>
              <w:topLinePunct w:val="0"/>
              <w:bidi w:val="0"/>
              <w:snapToGrid w:val="0"/>
              <w:spacing w:line="312" w:lineRule="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本项目不收取履约保证金。</w:t>
            </w:r>
          </w:p>
          <w:p w14:paraId="27FCE999">
            <w:pPr>
              <w:pageBreakBefore w:val="0"/>
              <w:kinsoku/>
              <w:wordWrap/>
              <w:topLinePunct w:val="0"/>
              <w:bidi w:val="0"/>
              <w:snapToGrid w:val="0"/>
              <w:spacing w:line="312" w:lineRule="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本项目收取履约保证金，具体规定如下：</w:t>
            </w:r>
          </w:p>
          <w:p w14:paraId="5A461C48">
            <w:pPr>
              <w:pageBreakBefore w:val="0"/>
              <w:kinsoku/>
              <w:wordWrap/>
              <w:topLinePunct w:val="0"/>
              <w:bidi w:val="0"/>
              <w:snapToGrid w:val="0"/>
              <w:spacing w:line="312" w:lineRule="auto"/>
              <w:rPr>
                <w:rFonts w:hint="eastAsia" w:ascii="宋体" w:hAnsi="宋体" w:cs="宋体"/>
                <w:color w:val="auto"/>
                <w:szCs w:val="21"/>
                <w:highlight w:val="none"/>
              </w:rPr>
            </w:pPr>
            <w:r>
              <w:rPr>
                <w:rFonts w:hint="eastAsia" w:ascii="宋体" w:hAnsi="宋体" w:cs="宋体"/>
                <w:color w:val="auto"/>
                <w:szCs w:val="21"/>
                <w:highlight w:val="none"/>
              </w:rPr>
              <w:t>履约保证金金额：按成交金额的</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p>
          <w:p w14:paraId="10FA3813">
            <w:pPr>
              <w:pageBreakBefore w:val="0"/>
              <w:kinsoku/>
              <w:wordWrap/>
              <w:topLinePunct w:val="0"/>
              <w:bidi w:val="0"/>
              <w:snapToGrid w:val="0"/>
              <w:spacing w:line="312" w:lineRule="auto"/>
              <w:rPr>
                <w:rFonts w:hint="eastAsia"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履约保证金提交方式：银行转账、支票、汇票、本票或者金融、担保机构出具的保函等非现金方式。</w:t>
            </w:r>
          </w:p>
          <w:p w14:paraId="42342381">
            <w:pPr>
              <w:pageBreakBefore w:val="0"/>
              <w:kinsoku/>
              <w:wordWrap/>
              <w:topLinePunct w:val="0"/>
              <w:bidi w:val="0"/>
              <w:snapToGrid w:val="0"/>
              <w:spacing w:line="312" w:lineRule="auto"/>
              <w:rPr>
                <w:rFonts w:hint="eastAsia" w:ascii="宋体" w:hAnsi="宋体" w:cs="宋体"/>
                <w:color w:val="auto"/>
                <w:szCs w:val="21"/>
                <w:highlight w:val="none"/>
              </w:rPr>
            </w:pPr>
            <w:r>
              <w:rPr>
                <w:rFonts w:hint="eastAsia" w:ascii="宋体" w:hAnsi="宋体" w:cs="宋体"/>
                <w:color w:val="auto"/>
                <w:szCs w:val="21"/>
                <w:highlight w:val="none"/>
              </w:rPr>
              <w:t>履约保证金退付方式、时间及条件：成交供应商按合同履约的，从服务验收合格之日起满30日内，由成交供应商向履约保证金收取单位提供《广西壮族自治区政府采购项目合同验收书》（详见桂财采〔2015〕22号），保证金收取单位在收到合格材料后5个工作日内办理退还手续（不计利息）</w:t>
            </w:r>
            <w:r>
              <w:rPr>
                <w:rFonts w:hint="eastAsia" w:ascii="宋体" w:hAnsi="宋体" w:cs="宋体"/>
                <w:color w:val="auto"/>
                <w:szCs w:val="21"/>
                <w:highlight w:val="none"/>
                <w:lang w:eastAsia="zh-CN"/>
              </w:rPr>
              <w:t>。</w:t>
            </w:r>
          </w:p>
          <w:p w14:paraId="551E440A">
            <w:pPr>
              <w:pageBreakBefore w:val="0"/>
              <w:kinsoku/>
              <w:wordWrap/>
              <w:topLinePunct w:val="0"/>
              <w:bidi w:val="0"/>
              <w:snapToGrid w:val="0"/>
              <w:spacing w:line="312"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备注：</w:t>
            </w:r>
          </w:p>
          <w:p w14:paraId="38301782">
            <w:pPr>
              <w:pageBreakBefore w:val="0"/>
              <w:kinsoku/>
              <w:wordWrap/>
              <w:topLinePunct w:val="0"/>
              <w:bidi w:val="0"/>
              <w:snapToGrid w:val="0"/>
              <w:spacing w:line="312" w:lineRule="auto"/>
              <w:rPr>
                <w:rFonts w:hint="eastAsia" w:ascii="宋体" w:hAnsi="宋体" w:cs="宋体"/>
                <w:b/>
                <w:bCs/>
                <w:color w:val="auto"/>
                <w:szCs w:val="21"/>
                <w:highlight w:val="none"/>
              </w:rPr>
            </w:pPr>
            <w:r>
              <w:rPr>
                <w:rFonts w:hint="eastAsia" w:ascii="宋体" w:hAnsi="宋体" w:cs="宋体"/>
                <w:b/>
                <w:bCs/>
                <w:color w:val="auto"/>
                <w:szCs w:val="21"/>
                <w:highlight w:val="none"/>
              </w:rPr>
              <w:t>1.</w:t>
            </w:r>
            <w:bookmarkStart w:id="60" w:name="_Hlk54170335"/>
            <w:r>
              <w:rPr>
                <w:rFonts w:hint="eastAsia" w:ascii="宋体" w:hAnsi="宋体" w:cs="宋体"/>
                <w:b/>
                <w:bCs/>
                <w:color w:val="auto"/>
                <w:szCs w:val="21"/>
                <w:highlight w:val="none"/>
              </w:rPr>
              <w:t>根据《广西壮族自治区财政厅关于持续优化政府采购营商环境推动高质量发展的通知》（桂财采〔2024〕55号）规定，采购文件要求中标或者成交供应商提交履约保证金的，履约保证金数额不得超过政府采购合同金额的5%，对中小企业收取的履约保证金数额不得超过政府采购合同金额的2%。采购人可根据供应商的资信等情况减免履约保证金。</w:t>
            </w:r>
            <w:bookmarkEnd w:id="60"/>
          </w:p>
          <w:p w14:paraId="57BAFB81">
            <w:pPr>
              <w:pageBreakBefore w:val="0"/>
              <w:kinsoku/>
              <w:wordWrap/>
              <w:topLinePunct w:val="0"/>
              <w:bidi w:val="0"/>
              <w:snapToGrid w:val="0"/>
              <w:spacing w:line="312" w:lineRule="auto"/>
              <w:rPr>
                <w:rFonts w:hint="eastAsia" w:ascii="宋体" w:hAnsi="宋体" w:cs="宋体"/>
                <w:b/>
                <w:bCs/>
                <w:color w:val="auto"/>
                <w:szCs w:val="21"/>
                <w:highlight w:val="none"/>
              </w:rPr>
            </w:pPr>
            <w:r>
              <w:rPr>
                <w:rFonts w:hint="eastAsia" w:ascii="宋体" w:hAnsi="宋体" w:cs="宋体"/>
                <w:b/>
                <w:bCs/>
                <w:color w:val="auto"/>
                <w:szCs w:val="21"/>
                <w:highlight w:val="none"/>
              </w:rPr>
              <w:t>2.履约保证金不足额缴纳的，或者银行、保险机构出具的保函额度不足的或者保函有效期低于合同履行期限（即签订采购合同之日起至履行完合同约定的权利及义务之日止）的，不予签订合同。</w:t>
            </w:r>
            <w:r>
              <w:rPr>
                <w:rFonts w:hint="eastAsia" w:ascii="宋体" w:hAnsi="宋体" w:cs="宋体"/>
                <w:b/>
                <w:bCs/>
                <w:color w:val="auto"/>
                <w:szCs w:val="21"/>
                <w:highlight w:val="none"/>
              </w:rPr>
              <w:br w:type="textWrapping"/>
            </w:r>
            <w:r>
              <w:rPr>
                <w:rFonts w:hint="eastAsia" w:ascii="宋体" w:hAnsi="宋体" w:cs="宋体"/>
                <w:b/>
                <w:bCs/>
                <w:color w:val="auto"/>
                <w:szCs w:val="21"/>
                <w:highlight w:val="none"/>
              </w:rPr>
              <w:t>3.采用银行、保险机构出具的保函的，必须为无条件保函，否则不予签订合同。</w:t>
            </w:r>
          </w:p>
          <w:p w14:paraId="7B244FB8">
            <w:pPr>
              <w:pageBreakBefore w:val="0"/>
              <w:kinsoku/>
              <w:wordWrap/>
              <w:topLinePunct w:val="0"/>
              <w:bidi w:val="0"/>
              <w:snapToGrid w:val="0"/>
              <w:spacing w:line="312" w:lineRule="auto"/>
              <w:rPr>
                <w:rFonts w:hint="eastAsia" w:ascii="宋体" w:hAnsi="宋体" w:cs="宋体"/>
                <w:color w:val="auto"/>
                <w:szCs w:val="21"/>
                <w:highlight w:val="none"/>
              </w:rPr>
            </w:pPr>
            <w:r>
              <w:rPr>
                <w:rFonts w:hint="eastAsia" w:ascii="宋体" w:hAnsi="宋体" w:cs="宋体"/>
                <w:b/>
                <w:bCs/>
                <w:color w:val="auto"/>
                <w:szCs w:val="21"/>
                <w:highlight w:val="none"/>
              </w:rPr>
              <w:t>4.供应商为联合体的，由联合体任意一方按规定提交的履约保证金，视为有效履约保证金。</w:t>
            </w:r>
          </w:p>
        </w:tc>
      </w:tr>
      <w:tr w14:paraId="676C5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E36111B">
            <w:pPr>
              <w:pageBreakBefore w:val="0"/>
              <w:kinsoku/>
              <w:wordWrap/>
              <w:topLinePunct w:val="0"/>
              <w:bidi w:val="0"/>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ascii="宋体" w:hAnsi="宋体" w:cs="宋体"/>
                <w:color w:val="auto"/>
                <w:szCs w:val="21"/>
                <w:highlight w:val="none"/>
              </w:rPr>
              <w:t>.1</w:t>
            </w:r>
          </w:p>
        </w:tc>
        <w:tc>
          <w:tcPr>
            <w:tcW w:w="7912" w:type="dxa"/>
            <w:noWrap w:val="0"/>
            <w:vAlign w:val="center"/>
          </w:tcPr>
          <w:p w14:paraId="0A9DD171">
            <w:pPr>
              <w:pageBreakBefore w:val="0"/>
              <w:kinsoku/>
              <w:wordWrap/>
              <w:topLinePunct w:val="0"/>
              <w:autoSpaceDE w:val="0"/>
              <w:autoSpaceDN w:val="0"/>
              <w:bidi w:val="0"/>
              <w:snapToGrid w:val="0"/>
              <w:spacing w:line="312" w:lineRule="auto"/>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73E086D4">
            <w:pPr>
              <w:pageBreakBefore w:val="0"/>
              <w:kinsoku/>
              <w:wordWrap/>
              <w:topLinePunct w:val="0"/>
              <w:autoSpaceDE w:val="0"/>
              <w:autoSpaceDN w:val="0"/>
              <w:bidi w:val="0"/>
              <w:snapToGrid w:val="0"/>
              <w:spacing w:line="312" w:lineRule="auto"/>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6BAB7301">
            <w:pPr>
              <w:pageBreakBefore w:val="0"/>
              <w:kinsoku/>
              <w:wordWrap/>
              <w:topLinePunct w:val="0"/>
              <w:bidi w:val="0"/>
              <w:snapToGrid w:val="0"/>
              <w:spacing w:line="312" w:lineRule="auto"/>
              <w:rPr>
                <w:rFonts w:hint="eastAsia"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79065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5" w:hRule="atLeast"/>
          <w:jc w:val="center"/>
        </w:trPr>
        <w:tc>
          <w:tcPr>
            <w:tcW w:w="992" w:type="dxa"/>
            <w:noWrap w:val="0"/>
            <w:vAlign w:val="center"/>
          </w:tcPr>
          <w:p w14:paraId="4FF0D142">
            <w:pPr>
              <w:pageBreakBefore w:val="0"/>
              <w:kinsoku/>
              <w:wordWrap/>
              <w:topLinePunct w:val="0"/>
              <w:bidi w:val="0"/>
              <w:spacing w:line="312"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31.2</w:t>
            </w:r>
          </w:p>
        </w:tc>
        <w:tc>
          <w:tcPr>
            <w:tcW w:w="7912" w:type="dxa"/>
            <w:noWrap w:val="0"/>
            <w:vAlign w:val="center"/>
          </w:tcPr>
          <w:p w14:paraId="05962F86">
            <w:pPr>
              <w:pageBreakBefore w:val="0"/>
              <w:kinsoku/>
              <w:wordWrap/>
              <w:topLinePunct w:val="0"/>
              <w:bidi w:val="0"/>
              <w:snapToGrid w:val="0"/>
              <w:spacing w:line="312" w:lineRule="auto"/>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5A7E2DE8">
            <w:pPr>
              <w:pStyle w:val="18"/>
              <w:pageBreakBefore w:val="0"/>
              <w:kinsoku/>
              <w:wordWrap/>
              <w:topLinePunct w:val="0"/>
              <w:bidi w:val="0"/>
              <w:snapToGrid w:val="0"/>
              <w:spacing w:line="312" w:lineRule="auto"/>
              <w:rPr>
                <w:rFonts w:hint="eastAsia" w:hAnsi="宋体" w:cs="宋体"/>
                <w:color w:val="auto"/>
                <w:kern w:val="2"/>
                <w:sz w:val="21"/>
                <w:highlight w:val="none"/>
                <w:lang w:val="en-US" w:eastAsia="zh-CN"/>
              </w:rPr>
            </w:pPr>
            <w:r>
              <w:rPr>
                <w:rFonts w:hint="eastAsia" w:hAnsi="宋体" w:cs="宋体"/>
                <w:color w:val="auto"/>
                <w:kern w:val="2"/>
                <w:sz w:val="21"/>
                <w:highlight w:val="none"/>
                <w:lang w:val="en-US" w:eastAsia="zh-CN"/>
              </w:rPr>
              <w:t>质疑联系部门及联系方式：</w:t>
            </w:r>
            <w:r>
              <w:rPr>
                <w:rFonts w:hint="eastAsia" w:hAnsi="宋体" w:cs="宋体"/>
                <w:color w:val="auto"/>
                <w:sz w:val="21"/>
                <w:highlight w:val="none"/>
                <w:lang w:val="en-US" w:eastAsia="zh-CN"/>
              </w:rPr>
              <w:t>南宁品正建设咨询有限责任公司</w:t>
            </w:r>
            <w:r>
              <w:rPr>
                <w:rFonts w:hint="eastAsia" w:hAnsi="宋体" w:cs="宋体"/>
                <w:color w:val="auto"/>
                <w:kern w:val="2"/>
                <w:sz w:val="21"/>
                <w:highlight w:val="none"/>
                <w:lang w:val="en-US" w:eastAsia="zh-CN"/>
              </w:rPr>
              <w:t>，联系电话：0774-3894488，通讯地址：梧州市长洲区新兴二路119号西堤新苑5号楼地层。</w:t>
            </w:r>
          </w:p>
          <w:p w14:paraId="5977629B">
            <w:pPr>
              <w:pageBreakBefore w:val="0"/>
              <w:kinsoku/>
              <w:wordWrap/>
              <w:topLinePunct w:val="0"/>
              <w:autoSpaceDE w:val="0"/>
              <w:autoSpaceDN w:val="0"/>
              <w:bidi w:val="0"/>
              <w:snapToGrid w:val="0"/>
              <w:spacing w:line="312" w:lineRule="auto"/>
              <w:textAlignment w:val="bottom"/>
              <w:rPr>
                <w:rFonts w:hint="eastAsia" w:ascii="宋体" w:hAnsi="宋体"/>
                <w:color w:val="auto"/>
                <w:szCs w:val="21"/>
                <w:highlight w:val="none"/>
              </w:rPr>
            </w:pPr>
            <w:r>
              <w:rPr>
                <w:rFonts w:hint="eastAsia" w:hAnsi="宋体" w:cs="宋体"/>
                <w:color w:val="auto"/>
                <w:highlight w:val="none"/>
              </w:rPr>
              <w:t>业务时间：上午8时</w:t>
            </w:r>
            <w:r>
              <w:rPr>
                <w:rFonts w:hint="eastAsia" w:hAnsi="宋体" w:cs="宋体"/>
                <w:color w:val="auto"/>
                <w:highlight w:val="none"/>
                <w:lang w:val="en-US" w:eastAsia="zh-CN"/>
              </w:rPr>
              <w:t>3</w:t>
            </w:r>
            <w:r>
              <w:rPr>
                <w:rFonts w:hint="eastAsia" w:hAnsi="宋体" w:cs="宋体"/>
                <w:color w:val="auto"/>
                <w:highlight w:val="none"/>
              </w:rPr>
              <w:t>0分到12时00分，下午</w:t>
            </w:r>
            <w:r>
              <w:rPr>
                <w:rFonts w:hint="eastAsia" w:hAnsi="宋体" w:cs="宋体"/>
                <w:color w:val="auto"/>
                <w:highlight w:val="none"/>
                <w:lang w:val="en-US" w:eastAsia="zh-CN"/>
              </w:rPr>
              <w:t>15</w:t>
            </w:r>
            <w:r>
              <w:rPr>
                <w:rFonts w:hint="eastAsia" w:hAnsi="宋体" w:cs="宋体"/>
                <w:color w:val="auto"/>
                <w:highlight w:val="none"/>
              </w:rPr>
              <w:t>时00分到</w:t>
            </w:r>
            <w:r>
              <w:rPr>
                <w:rFonts w:hint="eastAsia" w:hAnsi="宋体" w:cs="宋体"/>
                <w:color w:val="auto"/>
                <w:highlight w:val="none"/>
                <w:lang w:val="en-US" w:eastAsia="zh-CN"/>
              </w:rPr>
              <w:t>18</w:t>
            </w:r>
            <w:r>
              <w:rPr>
                <w:rFonts w:hint="eastAsia" w:hAnsi="宋体" w:cs="宋体"/>
                <w:color w:val="auto"/>
                <w:highlight w:val="none"/>
              </w:rPr>
              <w:t>时00分，</w:t>
            </w:r>
            <w:r>
              <w:rPr>
                <w:rFonts w:hint="eastAsia" w:hAnsi="宋体"/>
                <w:color w:val="auto"/>
                <w:highlight w:val="none"/>
              </w:rPr>
              <w:t>业务时间以外、双休日和法定节假日不办理业务。</w:t>
            </w:r>
          </w:p>
        </w:tc>
      </w:tr>
      <w:tr w14:paraId="50998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A3EB32C">
            <w:pPr>
              <w:pageBreakBefore w:val="0"/>
              <w:kinsoku/>
              <w:wordWrap/>
              <w:overflowPunct/>
              <w:topLinePunct w:val="0"/>
              <w:bidi w:val="0"/>
              <w:snapToGrid w:val="0"/>
              <w:spacing w:line="30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000000"/>
                <w:sz w:val="21"/>
                <w:szCs w:val="21"/>
                <w:highlight w:val="none"/>
              </w:rPr>
              <w:t>32.1</w:t>
            </w:r>
          </w:p>
        </w:tc>
        <w:tc>
          <w:tcPr>
            <w:tcW w:w="7912" w:type="dxa"/>
            <w:noWrap w:val="0"/>
            <w:vAlign w:val="center"/>
          </w:tcPr>
          <w:p w14:paraId="20556193">
            <w:pPr>
              <w:pStyle w:val="18"/>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1.采购代理费支付方式：</w:t>
            </w:r>
          </w:p>
          <w:p w14:paraId="5DEAA3B4">
            <w:pPr>
              <w:pStyle w:val="18"/>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本项目代理服务费由成交供应商领取成交通知书前，一次性向采购代理机构支付。</w:t>
            </w:r>
          </w:p>
          <w:p w14:paraId="0173B5BB">
            <w:pPr>
              <w:pStyle w:val="18"/>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2.采购代理费收取标准：</w:t>
            </w:r>
          </w:p>
          <w:p w14:paraId="4E23F4BA">
            <w:pPr>
              <w:pStyle w:val="18"/>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以分标成交金额为计费额，按本须知正文第32.2条规定的收费计算标准（服务类）采用差额定率累进法计算出收费基准价格，采购代理收费以收费基准价格收取。</w:t>
            </w:r>
          </w:p>
          <w:p w14:paraId="0C7BC371">
            <w:pPr>
              <w:pStyle w:val="18"/>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 采购代理费收取银行账户</w:t>
            </w:r>
          </w:p>
          <w:p w14:paraId="3BE0AE6D">
            <w:pPr>
              <w:pStyle w:val="18"/>
              <w:pageBreakBefore w:val="0"/>
              <w:kinsoku/>
              <w:wordWrap/>
              <w:overflowPunct/>
              <w:topLinePunct w:val="0"/>
              <w:bidi w:val="0"/>
              <w:snapToGrid w:val="0"/>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开户名称：南宁品正建设咨询有限责任公司苍梧分公司</w:t>
            </w:r>
          </w:p>
          <w:p w14:paraId="0B14C57F">
            <w:pPr>
              <w:pStyle w:val="18"/>
              <w:pageBreakBefore w:val="0"/>
              <w:kinsoku/>
              <w:wordWrap/>
              <w:overflowPunct/>
              <w:topLinePunct w:val="0"/>
              <w:bidi w:val="0"/>
              <w:snapToGrid w:val="0"/>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开户银行：广西苍梧农村商业银行股份有限公司营业部</w:t>
            </w:r>
          </w:p>
          <w:p w14:paraId="27F448A7">
            <w:pPr>
              <w:pStyle w:val="18"/>
              <w:pageBreakBefore w:val="0"/>
              <w:kinsoku/>
              <w:wordWrap/>
              <w:overflowPunct/>
              <w:topLinePunct w:val="0"/>
              <w:bidi w:val="0"/>
              <w:snapToGrid w:val="0"/>
              <w:spacing w:line="30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szCs w:val="21"/>
                <w:highlight w:val="none"/>
              </w:rPr>
              <w:t>帐    号：4476 1201 0111 5748 98</w:t>
            </w:r>
            <w:r>
              <w:rPr>
                <w:rFonts w:hint="eastAsia" w:ascii="宋体" w:hAnsi="宋体" w:eastAsia="宋体" w:cs="宋体"/>
                <w:color w:val="0000FF"/>
                <w:sz w:val="21"/>
                <w:szCs w:val="21"/>
                <w:highlight w:val="none"/>
                <w:lang w:val="en-US" w:eastAsia="zh-CN"/>
              </w:rPr>
              <w:t xml:space="preserve"> </w:t>
            </w:r>
          </w:p>
        </w:tc>
      </w:tr>
      <w:tr w14:paraId="05DFF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5CA5227">
            <w:pPr>
              <w:pageBreakBefore w:val="0"/>
              <w:kinsoku/>
              <w:wordWrap/>
              <w:topLinePunct w:val="0"/>
              <w:bidi w:val="0"/>
              <w:spacing w:line="312"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33.1</w:t>
            </w:r>
          </w:p>
        </w:tc>
        <w:tc>
          <w:tcPr>
            <w:tcW w:w="7912" w:type="dxa"/>
            <w:noWrap w:val="0"/>
            <w:vAlign w:val="center"/>
          </w:tcPr>
          <w:p w14:paraId="2A94C0FB">
            <w:pPr>
              <w:pStyle w:val="18"/>
              <w:pageBreakBefore w:val="0"/>
              <w:kinsoku/>
              <w:wordWrap/>
              <w:topLinePunct w:val="0"/>
              <w:bidi w:val="0"/>
              <w:snapToGrid w:val="0"/>
              <w:spacing w:line="312" w:lineRule="auto"/>
              <w:rPr>
                <w:rFonts w:hint="eastAsia" w:hAnsi="宋体" w:cs="宋体"/>
                <w:color w:val="auto"/>
                <w:kern w:val="2"/>
                <w:sz w:val="21"/>
                <w:highlight w:val="none"/>
                <w:lang w:val="en-US" w:eastAsia="zh-CN"/>
              </w:rPr>
            </w:pPr>
            <w:r>
              <w:rPr>
                <w:rFonts w:hint="eastAsia" w:hAnsi="宋体"/>
                <w:color w:val="auto"/>
                <w:sz w:val="21"/>
                <w:szCs w:val="21"/>
                <w:highlight w:val="none"/>
                <w:lang w:val="en-US" w:eastAsia="zh-CN"/>
              </w:rPr>
              <w:t>解释：</w:t>
            </w:r>
            <w:r>
              <w:rPr>
                <w:rFonts w:hAnsi="宋体"/>
                <w:color w:val="auto"/>
                <w:sz w:val="21"/>
                <w:szCs w:val="21"/>
                <w:highlight w:val="none"/>
                <w:lang w:val="en-US" w:eastAsia="zh-CN"/>
              </w:rPr>
              <w:t>构成本</w:t>
            </w:r>
            <w:r>
              <w:rPr>
                <w:rFonts w:hint="eastAsia" w:hAnsi="宋体"/>
                <w:color w:val="auto"/>
                <w:sz w:val="21"/>
                <w:szCs w:val="21"/>
                <w:highlight w:val="none"/>
                <w:lang w:val="en-US" w:eastAsia="zh-CN"/>
              </w:rPr>
              <w:t>磋商文件</w:t>
            </w:r>
            <w:r>
              <w:rPr>
                <w:rFonts w:hAnsi="宋体"/>
                <w:color w:val="auto"/>
                <w:sz w:val="21"/>
                <w:szCs w:val="21"/>
                <w:highlight w:val="none"/>
                <w:lang w:val="en-US" w:eastAsia="zh-CN"/>
              </w:rPr>
              <w:t>的各个组成文件应互为解释，互为说明；除</w:t>
            </w:r>
            <w:r>
              <w:rPr>
                <w:rFonts w:hint="eastAsia" w:hAnsi="宋体"/>
                <w:color w:val="auto"/>
                <w:sz w:val="21"/>
                <w:szCs w:val="21"/>
                <w:highlight w:val="none"/>
                <w:lang w:val="en-US" w:eastAsia="zh-CN"/>
              </w:rPr>
              <w:t>磋商文件</w:t>
            </w:r>
            <w:r>
              <w:rPr>
                <w:rFonts w:hAnsi="宋体"/>
                <w:color w:val="auto"/>
                <w:sz w:val="21"/>
                <w:szCs w:val="21"/>
                <w:highlight w:val="none"/>
                <w:lang w:val="en-US" w:eastAsia="zh-CN"/>
              </w:rPr>
              <w:t>中有特别规定外，仅适用于</w:t>
            </w:r>
            <w:r>
              <w:rPr>
                <w:rFonts w:hint="eastAsia" w:hAnsi="宋体"/>
                <w:color w:val="auto"/>
                <w:sz w:val="21"/>
                <w:szCs w:val="21"/>
                <w:highlight w:val="none"/>
                <w:lang w:val="en-US" w:eastAsia="zh-CN"/>
              </w:rPr>
              <w:t>竞标</w:t>
            </w:r>
            <w:r>
              <w:rPr>
                <w:rFonts w:hAnsi="宋体"/>
                <w:color w:val="auto"/>
                <w:sz w:val="21"/>
                <w:szCs w:val="21"/>
                <w:highlight w:val="none"/>
                <w:lang w:val="en-US" w:eastAsia="zh-CN"/>
              </w:rPr>
              <w:t>阶段的规定，按</w:t>
            </w:r>
            <w:r>
              <w:rPr>
                <w:rFonts w:hint="eastAsia" w:hAnsi="宋体"/>
                <w:color w:val="auto"/>
                <w:sz w:val="21"/>
                <w:szCs w:val="21"/>
                <w:highlight w:val="none"/>
                <w:lang w:val="en-US" w:eastAsia="zh-CN"/>
              </w:rPr>
              <w:t>更正公告（澄清公告）</w:t>
            </w:r>
            <w:r>
              <w:rPr>
                <w:rFonts w:hAnsi="宋体"/>
                <w:color w:val="auto"/>
                <w:sz w:val="21"/>
                <w:szCs w:val="21"/>
                <w:highlight w:val="none"/>
                <w:lang w:val="en-US" w:eastAsia="zh-CN"/>
              </w:rPr>
              <w:t>、</w:t>
            </w:r>
            <w:r>
              <w:rPr>
                <w:rFonts w:hint="eastAsia" w:hAnsi="宋体"/>
                <w:color w:val="auto"/>
                <w:sz w:val="21"/>
                <w:szCs w:val="21"/>
                <w:highlight w:val="none"/>
                <w:lang w:val="en-US" w:eastAsia="zh-CN"/>
              </w:rPr>
              <w:t>竞争性磋商</w:t>
            </w:r>
            <w:r>
              <w:rPr>
                <w:rFonts w:hAnsi="宋体"/>
                <w:color w:val="auto"/>
                <w:sz w:val="21"/>
                <w:szCs w:val="21"/>
                <w:highlight w:val="none"/>
                <w:lang w:val="en-US" w:eastAsia="zh-CN"/>
              </w:rPr>
              <w:t>公告、</w:t>
            </w:r>
            <w:r>
              <w:rPr>
                <w:rFonts w:hint="eastAsia" w:hAnsi="宋体"/>
                <w:color w:val="auto"/>
                <w:sz w:val="21"/>
                <w:szCs w:val="21"/>
                <w:highlight w:val="none"/>
                <w:lang w:val="en-US" w:eastAsia="zh-CN"/>
              </w:rPr>
              <w:t>供应商</w:t>
            </w:r>
            <w:r>
              <w:rPr>
                <w:rFonts w:hAnsi="宋体"/>
                <w:color w:val="auto"/>
                <w:sz w:val="21"/>
                <w:szCs w:val="21"/>
                <w:highlight w:val="none"/>
                <w:lang w:val="en-US" w:eastAsia="zh-CN"/>
              </w:rPr>
              <w:t>须知</w:t>
            </w:r>
            <w:r>
              <w:rPr>
                <w:rFonts w:hint="eastAsia" w:hAnsi="宋体"/>
                <w:color w:val="auto"/>
                <w:sz w:val="21"/>
                <w:szCs w:val="21"/>
                <w:highlight w:val="none"/>
                <w:lang w:val="en-US" w:eastAsia="zh-CN"/>
              </w:rPr>
              <w:t>、采购需求</w:t>
            </w:r>
            <w:r>
              <w:rPr>
                <w:rFonts w:hAnsi="宋体"/>
                <w:color w:val="auto"/>
                <w:sz w:val="21"/>
                <w:szCs w:val="21"/>
                <w:highlight w:val="none"/>
                <w:lang w:val="en-US" w:eastAsia="zh-CN"/>
              </w:rPr>
              <w:t>、</w:t>
            </w:r>
            <w:r>
              <w:rPr>
                <w:rFonts w:hint="eastAsia"/>
                <w:color w:val="auto"/>
                <w:sz w:val="21"/>
                <w:szCs w:val="21"/>
                <w:highlight w:val="none"/>
                <w:lang w:val="en-US" w:eastAsia="zh-CN"/>
              </w:rPr>
              <w:t>评审程序、评审方法和评审标准</w:t>
            </w:r>
            <w:r>
              <w:rPr>
                <w:rFonts w:hAnsi="宋体"/>
                <w:color w:val="auto"/>
                <w:sz w:val="21"/>
                <w:szCs w:val="21"/>
                <w:highlight w:val="none"/>
                <w:lang w:val="en-US" w:eastAsia="zh-CN"/>
              </w:rPr>
              <w:t>、</w:t>
            </w:r>
            <w:r>
              <w:rPr>
                <w:rFonts w:hint="eastAsia" w:hAnsi="宋体"/>
                <w:color w:val="auto"/>
                <w:sz w:val="21"/>
                <w:szCs w:val="21"/>
                <w:highlight w:val="none"/>
                <w:lang w:val="en-US" w:eastAsia="zh-CN"/>
              </w:rPr>
              <w:t>响应</w:t>
            </w:r>
            <w:r>
              <w:rPr>
                <w:rFonts w:hAnsi="宋体"/>
                <w:color w:val="auto"/>
                <w:sz w:val="21"/>
                <w:szCs w:val="21"/>
                <w:highlight w:val="none"/>
                <w:lang w:val="en-US" w:eastAsia="zh-CN"/>
              </w:rPr>
              <w:t>文件格式</w:t>
            </w:r>
            <w:r>
              <w:rPr>
                <w:rFonts w:hint="eastAsia" w:hAnsi="宋体"/>
                <w:color w:val="auto"/>
                <w:sz w:val="21"/>
                <w:szCs w:val="21"/>
                <w:highlight w:val="none"/>
                <w:lang w:val="en-US" w:eastAsia="zh-CN"/>
              </w:rPr>
              <w:t>、合同文本</w:t>
            </w:r>
            <w:r>
              <w:rPr>
                <w:rFonts w:hAnsi="宋体"/>
                <w:color w:val="auto"/>
                <w:sz w:val="21"/>
                <w:szCs w:val="21"/>
                <w:highlight w:val="none"/>
                <w:lang w:val="en-US" w:eastAsia="zh-CN"/>
              </w:rPr>
              <w:t>的先后顺序解释；同一组成文件中就同一事项的规定或者约定不一致的，以编排顺序在后者为准；同一组成文件不同版本之间有不一致的，以形成时间在后者为准；</w:t>
            </w:r>
            <w:r>
              <w:rPr>
                <w:rFonts w:hint="eastAsia" w:hAnsi="宋体"/>
                <w:color w:val="auto"/>
                <w:sz w:val="21"/>
                <w:szCs w:val="21"/>
                <w:highlight w:val="none"/>
                <w:lang w:val="en-US" w:eastAsia="zh-CN"/>
              </w:rPr>
              <w:t>更正公告（澄清公告）</w:t>
            </w:r>
            <w:r>
              <w:rPr>
                <w:rFonts w:hAnsi="宋体"/>
                <w:color w:val="auto"/>
                <w:sz w:val="21"/>
                <w:szCs w:val="21"/>
                <w:highlight w:val="none"/>
                <w:lang w:val="en-US" w:eastAsia="zh-CN"/>
              </w:rPr>
              <w:t>与同步更新的</w:t>
            </w:r>
            <w:r>
              <w:rPr>
                <w:rFonts w:hint="eastAsia" w:hAnsi="宋体"/>
                <w:color w:val="auto"/>
                <w:sz w:val="21"/>
                <w:szCs w:val="21"/>
                <w:highlight w:val="none"/>
                <w:lang w:val="en-US" w:eastAsia="zh-CN"/>
              </w:rPr>
              <w:t>磋商文件</w:t>
            </w:r>
            <w:r>
              <w:rPr>
                <w:rFonts w:hAnsi="宋体"/>
                <w:color w:val="auto"/>
                <w:sz w:val="21"/>
                <w:szCs w:val="21"/>
                <w:highlight w:val="none"/>
                <w:lang w:val="en-US" w:eastAsia="zh-CN"/>
              </w:rPr>
              <w:t>不一致时以</w:t>
            </w:r>
            <w:r>
              <w:rPr>
                <w:rFonts w:hint="eastAsia" w:hAnsi="宋体"/>
                <w:color w:val="auto"/>
                <w:sz w:val="21"/>
                <w:szCs w:val="21"/>
                <w:highlight w:val="none"/>
                <w:lang w:val="en-US" w:eastAsia="zh-CN"/>
              </w:rPr>
              <w:t>更正公告（澄清公告）</w:t>
            </w:r>
            <w:r>
              <w:rPr>
                <w:rFonts w:hAnsi="宋体"/>
                <w:color w:val="auto"/>
                <w:sz w:val="21"/>
                <w:szCs w:val="21"/>
                <w:highlight w:val="none"/>
                <w:lang w:val="en-US" w:eastAsia="zh-CN"/>
              </w:rPr>
              <w:t>为准。按本款前述规定仍不能形成结论的，由</w:t>
            </w:r>
            <w:r>
              <w:rPr>
                <w:rFonts w:hint="eastAsia" w:hAnsi="宋体"/>
                <w:color w:val="auto"/>
                <w:sz w:val="21"/>
                <w:szCs w:val="21"/>
                <w:highlight w:val="none"/>
                <w:lang w:val="en-US" w:eastAsia="zh-CN"/>
              </w:rPr>
              <w:t>采购</w:t>
            </w:r>
            <w:r>
              <w:rPr>
                <w:rFonts w:hAnsi="宋体"/>
                <w:color w:val="auto"/>
                <w:sz w:val="21"/>
                <w:szCs w:val="21"/>
                <w:highlight w:val="none"/>
                <w:lang w:val="en-US" w:eastAsia="zh-CN"/>
              </w:rPr>
              <w:t>人</w:t>
            </w:r>
            <w:r>
              <w:rPr>
                <w:rFonts w:hint="eastAsia" w:hAnsi="宋体"/>
                <w:color w:val="auto"/>
                <w:sz w:val="21"/>
                <w:szCs w:val="21"/>
                <w:highlight w:val="none"/>
                <w:lang w:val="en-US" w:eastAsia="zh-CN"/>
              </w:rPr>
              <w:t>或者采购代理机构</w:t>
            </w:r>
            <w:r>
              <w:rPr>
                <w:rFonts w:hAnsi="宋体"/>
                <w:color w:val="auto"/>
                <w:sz w:val="21"/>
                <w:szCs w:val="21"/>
                <w:highlight w:val="none"/>
                <w:lang w:val="en-US" w:eastAsia="zh-CN"/>
              </w:rPr>
              <w:t>负责解释。</w:t>
            </w:r>
          </w:p>
        </w:tc>
      </w:tr>
      <w:tr w14:paraId="140A6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80036FA">
            <w:pPr>
              <w:pageBreakBefore w:val="0"/>
              <w:kinsoku/>
              <w:wordWrap/>
              <w:overflowPunct/>
              <w:topLinePunct w:val="0"/>
              <w:bidi w:val="0"/>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33.3</w:t>
            </w:r>
          </w:p>
        </w:tc>
        <w:tc>
          <w:tcPr>
            <w:tcW w:w="7912" w:type="dxa"/>
            <w:noWrap w:val="0"/>
            <w:vAlign w:val="center"/>
          </w:tcPr>
          <w:p w14:paraId="46487695">
            <w:pPr>
              <w:pStyle w:val="18"/>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1D995EA9">
            <w:pPr>
              <w:pStyle w:val="18"/>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eastAsia="宋体" w:cs="宋体"/>
                <w:color w:val="auto"/>
                <w:sz w:val="21"/>
                <w:highlight w:val="none"/>
              </w:rPr>
            </w:pPr>
            <w:r>
              <w:rPr>
                <w:rFonts w:hint="eastAsia" w:ascii="宋体" w:hAnsi="宋体" w:eastAsia="宋体" w:cs="宋体"/>
                <w:bCs/>
                <w:color w:val="auto"/>
                <w:sz w:val="21"/>
                <w:highlight w:val="none"/>
              </w:rPr>
              <w:t>2.本磋商文件所称的“</w:t>
            </w:r>
            <w:r>
              <w:rPr>
                <w:rFonts w:hint="eastAsia" w:ascii="宋体" w:hAnsi="宋体" w:eastAsia="宋体" w:cs="宋体"/>
                <w:color w:val="auto"/>
                <w:sz w:val="21"/>
                <w:highlight w:val="none"/>
              </w:rPr>
              <w:t>电子签章</w:t>
            </w:r>
            <w:r>
              <w:rPr>
                <w:rFonts w:hint="eastAsia" w:ascii="宋体" w:hAnsi="宋体" w:eastAsia="宋体" w:cs="宋体"/>
                <w:bCs/>
                <w:color w:val="auto"/>
                <w:sz w:val="21"/>
                <w:highlight w:val="none"/>
              </w:rPr>
              <w:t>”、“电子签名”</w:t>
            </w:r>
            <w:r>
              <w:rPr>
                <w:rFonts w:hint="eastAsia" w:ascii="宋体" w:hAnsi="宋体" w:eastAsia="宋体" w:cs="宋体"/>
                <w:color w:val="auto"/>
                <w:sz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3BFA65DD">
            <w:pPr>
              <w:pStyle w:val="18"/>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eastAsia="宋体" w:cs="宋体"/>
                <w:bCs/>
                <w:color w:val="auto"/>
                <w:sz w:val="21"/>
                <w:highlight w:val="none"/>
              </w:rPr>
            </w:pPr>
            <w:r>
              <w:rPr>
                <w:rFonts w:hint="eastAsia" w:ascii="宋体" w:hAnsi="宋体" w:eastAsia="宋体" w:cs="宋体"/>
                <w:color w:val="auto"/>
                <w:sz w:val="21"/>
                <w:highlight w:val="none"/>
              </w:rPr>
              <w:t>3.供应商为其他组织时，本磋商文件规定的法定代表人指负责人。本磋商文件所称负责人是指参加竞标的其他组织</w:t>
            </w:r>
            <w:r>
              <w:rPr>
                <w:rFonts w:hint="eastAsia" w:ascii="宋体" w:hAnsi="宋体" w:eastAsia="宋体" w:cs="宋体"/>
                <w:bCs/>
                <w:color w:val="auto"/>
                <w:sz w:val="21"/>
                <w:highlight w:val="none"/>
              </w:rPr>
              <w:t>营业执照或者执业许可证等证照上的</w:t>
            </w:r>
            <w:r>
              <w:rPr>
                <w:rFonts w:hint="eastAsia" w:ascii="宋体" w:hAnsi="宋体" w:eastAsia="宋体" w:cs="宋体"/>
                <w:color w:val="auto"/>
                <w:sz w:val="21"/>
                <w:highlight w:val="none"/>
              </w:rPr>
              <w:t>负责人</w:t>
            </w:r>
            <w:r>
              <w:rPr>
                <w:rFonts w:hint="eastAsia" w:ascii="宋体" w:hAnsi="宋体" w:eastAsia="宋体" w:cs="宋体"/>
                <w:bCs/>
                <w:color w:val="auto"/>
                <w:sz w:val="21"/>
                <w:highlight w:val="none"/>
              </w:rPr>
              <w:t>。</w:t>
            </w:r>
          </w:p>
          <w:p w14:paraId="4D86D759">
            <w:pPr>
              <w:pStyle w:val="18"/>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4.本磋商文件中描述供应商的“签字”是指供应商的法定代表人或者委托代理人亲自在文件规定签署处亲笔写上个人的名字的行为，私章、签字章、印鉴、影印等其他形式均不能代替亲笔签字。</w:t>
            </w:r>
          </w:p>
          <w:p w14:paraId="3FDAE665">
            <w:pPr>
              <w:pStyle w:val="18"/>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highlight w:val="none"/>
              </w:rPr>
              <w:t>5.本磋商文件所称的“以上”“以下”“以内”“届满”，包括本数；所称的“不满”“超过”“以外”，不包括本数。</w:t>
            </w:r>
          </w:p>
        </w:tc>
      </w:tr>
    </w:tbl>
    <w:p w14:paraId="024E1756">
      <w:pPr>
        <w:keepNext/>
        <w:keepLines/>
        <w:pageBreakBefore w:val="0"/>
        <w:widowControl w:val="0"/>
        <w:kinsoku/>
        <w:wordWrap/>
        <w:topLinePunct w:val="0"/>
        <w:bidi w:val="0"/>
        <w:spacing w:before="340" w:after="330" w:line="312" w:lineRule="auto"/>
        <w:jc w:val="both"/>
        <w:outlineLvl w:val="9"/>
        <w:rPr>
          <w:rFonts w:hint="eastAsia" w:ascii="Times New Roman" w:hAnsi="Times New Roman" w:eastAsia="宋体" w:cs="Times New Roman"/>
          <w:b/>
          <w:bCs/>
          <w:color w:val="auto"/>
          <w:kern w:val="44"/>
          <w:sz w:val="24"/>
          <w:szCs w:val="24"/>
          <w:lang w:val="en-US" w:eastAsia="zh-CN" w:bidi="ar-SA"/>
        </w:rPr>
      </w:pPr>
    </w:p>
    <w:p w14:paraId="51BF5EB6">
      <w:pPr>
        <w:pageBreakBefore w:val="0"/>
        <w:kinsoku/>
        <w:wordWrap/>
        <w:topLinePunct w:val="0"/>
        <w:bidi w:val="0"/>
        <w:spacing w:line="312" w:lineRule="auto"/>
        <w:rPr>
          <w:rFonts w:hint="eastAsia"/>
          <w:color w:val="auto"/>
          <w:sz w:val="24"/>
          <w:szCs w:val="24"/>
        </w:rPr>
      </w:pPr>
    </w:p>
    <w:p w14:paraId="4AEB65A3">
      <w:pPr>
        <w:keepNext/>
        <w:keepLines/>
        <w:widowControl w:val="0"/>
        <w:spacing w:before="340" w:after="330" w:line="578" w:lineRule="auto"/>
        <w:jc w:val="both"/>
        <w:outlineLvl w:val="9"/>
        <w:rPr>
          <w:rFonts w:hint="eastAsia" w:ascii="Times New Roman" w:hAnsi="Times New Roman" w:eastAsia="宋体" w:cs="Times New Roman"/>
          <w:b/>
          <w:bCs/>
          <w:color w:val="auto"/>
          <w:kern w:val="44"/>
          <w:sz w:val="24"/>
          <w:szCs w:val="24"/>
          <w:lang w:val="en-US" w:eastAsia="zh-CN" w:bidi="ar-SA"/>
        </w:rPr>
      </w:pPr>
    </w:p>
    <w:p w14:paraId="43EABD15">
      <w:pPr>
        <w:rPr>
          <w:rFonts w:hint="eastAsia"/>
          <w:color w:val="auto"/>
          <w:sz w:val="24"/>
          <w:szCs w:val="24"/>
        </w:rPr>
      </w:pPr>
    </w:p>
    <w:p w14:paraId="034DA33C">
      <w:pPr>
        <w:pStyle w:val="8"/>
        <w:rPr>
          <w:rFonts w:hint="eastAsia"/>
        </w:rPr>
      </w:pPr>
    </w:p>
    <w:p w14:paraId="4DE95747">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62DED71A">
      <w:pPr>
        <w:pageBreakBefore w:val="0"/>
        <w:kinsoku/>
        <w:wordWrap/>
        <w:topLinePunct w:val="0"/>
        <w:bidi w:val="0"/>
        <w:spacing w:line="312" w:lineRule="auto"/>
        <w:jc w:val="center"/>
        <w:outlineLvl w:val="0"/>
        <w:rPr>
          <w:rFonts w:hint="eastAsia" w:ascii="宋体" w:hAnsi="宋体"/>
          <w:b/>
          <w:color w:val="auto"/>
          <w:sz w:val="32"/>
          <w:szCs w:val="32"/>
          <w:highlight w:val="none"/>
        </w:rPr>
      </w:pPr>
      <w:bookmarkStart w:id="61" w:name="_Toc3524"/>
      <w:r>
        <w:rPr>
          <w:rFonts w:hint="eastAsia" w:ascii="宋体" w:hAnsi="宋体"/>
          <w:b/>
          <w:color w:val="auto"/>
          <w:sz w:val="32"/>
          <w:szCs w:val="32"/>
          <w:highlight w:val="none"/>
        </w:rPr>
        <w:t>供应商须知正文</w:t>
      </w:r>
      <w:bookmarkEnd w:id="61"/>
    </w:p>
    <w:p w14:paraId="7E2C78AB">
      <w:pPr>
        <w:pageBreakBefore w:val="0"/>
        <w:kinsoku/>
        <w:wordWrap/>
        <w:topLinePunct w:val="0"/>
        <w:bidi w:val="0"/>
        <w:spacing w:line="312" w:lineRule="auto"/>
        <w:jc w:val="center"/>
        <w:rPr>
          <w:rFonts w:hint="eastAsia" w:ascii="宋体" w:hAnsi="宋体"/>
          <w:b/>
          <w:color w:val="auto"/>
          <w:sz w:val="32"/>
          <w:szCs w:val="32"/>
          <w:highlight w:val="none"/>
        </w:rPr>
      </w:pPr>
    </w:p>
    <w:p w14:paraId="43756C1A">
      <w:pPr>
        <w:pageBreakBefore w:val="0"/>
        <w:kinsoku/>
        <w:wordWrap/>
        <w:topLinePunct w:val="0"/>
        <w:bidi w:val="0"/>
        <w:spacing w:line="312" w:lineRule="auto"/>
        <w:jc w:val="center"/>
        <w:outlineLvl w:val="0"/>
        <w:rPr>
          <w:rFonts w:hint="eastAsia" w:ascii="宋体" w:hAnsi="宋体"/>
          <w:b/>
          <w:color w:val="auto"/>
          <w:sz w:val="32"/>
          <w:szCs w:val="32"/>
          <w:highlight w:val="none"/>
        </w:rPr>
      </w:pPr>
      <w:bookmarkStart w:id="62" w:name="_Toc3007"/>
      <w:r>
        <w:rPr>
          <w:rFonts w:hint="eastAsia" w:ascii="宋体" w:hAnsi="宋体"/>
          <w:b/>
          <w:color w:val="auto"/>
          <w:sz w:val="32"/>
          <w:szCs w:val="32"/>
          <w:highlight w:val="none"/>
        </w:rPr>
        <w:t>一、总则</w:t>
      </w:r>
      <w:bookmarkEnd w:id="62"/>
    </w:p>
    <w:p w14:paraId="52535680">
      <w:pPr>
        <w:pageBreakBefore w:val="0"/>
        <w:kinsoku/>
        <w:wordWrap/>
        <w:topLinePunct w:val="0"/>
        <w:bidi w:val="0"/>
        <w:spacing w:line="312" w:lineRule="auto"/>
        <w:rPr>
          <w:rFonts w:hint="eastAsia" w:ascii="宋体" w:hAnsi="宋体"/>
          <w:color w:val="auto"/>
          <w:szCs w:val="21"/>
          <w:highlight w:val="none"/>
        </w:rPr>
      </w:pPr>
    </w:p>
    <w:p w14:paraId="2066FBFF">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52C8A152">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0C887BF5">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13CF129C">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1CAE6B22">
      <w:pPr>
        <w:pageBreakBefore w:val="0"/>
        <w:kinsoku/>
        <w:wordWrap/>
        <w:topLinePunct w:val="0"/>
        <w:bidi w:val="0"/>
        <w:spacing w:line="312"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2.1“采购人”是指依法进行政府采购的国家机关、事业单位、团体组织。</w:t>
      </w:r>
    </w:p>
    <w:p w14:paraId="28F50A74">
      <w:pPr>
        <w:pageBreakBefore w:val="0"/>
        <w:kinsoku/>
        <w:wordWrap/>
        <w:topLinePunct w:val="0"/>
        <w:bidi w:val="0"/>
        <w:spacing w:line="312" w:lineRule="auto"/>
        <w:ind w:firstLine="420" w:firstLineChars="200"/>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2.2“采购代理机构”是指政府采购集中采购机构和集中采购机构以外的采购代理机构。</w:t>
      </w:r>
    </w:p>
    <w:p w14:paraId="4C0B0867">
      <w:pPr>
        <w:pageBreakBefore w:val="0"/>
        <w:kinsoku/>
        <w:wordWrap/>
        <w:topLinePunct w:val="0"/>
        <w:bidi w:val="0"/>
        <w:spacing w:line="312"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2.3“供应商”是指向采购人提供货物、工程或者服务的法人、其他组织或者自然人。</w:t>
      </w:r>
    </w:p>
    <w:p w14:paraId="7635170F">
      <w:pPr>
        <w:pageBreakBefore w:val="0"/>
        <w:kinsoku/>
        <w:wordWrap/>
        <w:topLinePunct w:val="0"/>
        <w:bidi w:val="0"/>
        <w:spacing w:line="312"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2.4</w:t>
      </w:r>
      <w:r>
        <w:rPr>
          <w:rFonts w:hint="eastAsia" w:ascii="宋体" w:hAnsi="宋体" w:eastAsia="宋体" w:cs="宋体"/>
          <w:color w:val="auto"/>
          <w:szCs w:val="21"/>
          <w:highlight w:val="none"/>
        </w:rPr>
        <w:t>“工程”是指建设工程，包括建筑物和构筑物的新建、改建、扩建、装修、拆除、修缮等</w:t>
      </w:r>
      <w:r>
        <w:rPr>
          <w:rFonts w:hint="eastAsia" w:ascii="宋体" w:hAnsi="宋体" w:eastAsia="宋体" w:cs="宋体"/>
          <w:color w:val="000000"/>
          <w:szCs w:val="21"/>
          <w:highlight w:val="none"/>
        </w:rPr>
        <w:t>。</w:t>
      </w:r>
    </w:p>
    <w:p w14:paraId="6BF653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2.5“竞标”是指供应商按照本项目竞争性磋商公告或者邀请函规定的方式获取磋商文件、提交响应文件并希望获得标的的行为。</w:t>
      </w:r>
    </w:p>
    <w:p w14:paraId="64552AE2">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2.6“书面形式”是指合同书、信件和数据电文（包括电报、电传、传真、电子数据交换和电子邮件）等可以有形地表现所载内容的形式。</w:t>
      </w:r>
    </w:p>
    <w:p w14:paraId="4B07B9E6">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2.7“响应文件”是指：供应商根据本磋商文件要求，编制包含资格证明、报价、商务技术等所有内容的文件</w:t>
      </w:r>
      <w:r>
        <w:rPr>
          <w:rFonts w:hint="eastAsia" w:ascii="宋体" w:hAnsi="宋体" w:eastAsia="宋体" w:cs="宋体"/>
          <w:color w:val="auto"/>
          <w:spacing w:val="-6"/>
          <w:szCs w:val="21"/>
          <w:highlight w:val="none"/>
        </w:rPr>
        <w:t>。</w:t>
      </w:r>
    </w:p>
    <w:p w14:paraId="05E11ED7">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2.8“实质性要求”是指磋商文件中已经指明不满足则响应文件按无效处理的条款，或者不能负偏离的条款，或者采购需求中带“▲”的条款。</w:t>
      </w:r>
    </w:p>
    <w:p w14:paraId="54BC219B">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2.9“正偏离”，是指响应文件对磋商文件“采购需求”中有关条款作出的响应优于条款要求并有利于采购人的情形。</w:t>
      </w:r>
    </w:p>
    <w:p w14:paraId="498718CA">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2.10“负偏离”，是指响应文件对磋商文件“采购需求”中有关条款作出的响应不满足条款要求，导致采购人要求不能得到满足的情形。</w:t>
      </w:r>
    </w:p>
    <w:p w14:paraId="5C1CF636">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2.11“允许负偏离的条款”是指采购需求中的不属于“实质性要求”的条款。</w:t>
      </w:r>
    </w:p>
    <w:p w14:paraId="392E21F8">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14:paraId="6F45B3D3">
      <w:pPr>
        <w:pageBreakBefore w:val="0"/>
        <w:kinsoku/>
        <w:wordWrap/>
        <w:topLinePunct w:val="0"/>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000000"/>
          <w:szCs w:val="21"/>
          <w:highlight w:val="none"/>
        </w:rPr>
        <w:t>2.13“评审报价”是指供应商提交的最后报价并经修正（如有）和政策功能价格扣除（如有）后的价格。</w:t>
      </w:r>
    </w:p>
    <w:p w14:paraId="073E229C">
      <w:pPr>
        <w:pageBreakBefore w:val="0"/>
        <w:kinsoku/>
        <w:wordWrap/>
        <w:topLinePunct w:val="0"/>
        <w:bidi w:val="0"/>
        <w:spacing w:line="312"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7401BD75">
      <w:pPr>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3.1</w:t>
      </w:r>
      <w:r>
        <w:rPr>
          <w:rFonts w:hint="eastAsia" w:ascii="宋体" w:hAnsi="宋体" w:eastAsia="宋体" w:cs="宋体"/>
          <w:color w:val="000000"/>
          <w:szCs w:val="21"/>
          <w:highlight w:val="none"/>
        </w:rPr>
        <w:t>供应商的资格条件详见“供应商须知前附表”。</w:t>
      </w:r>
    </w:p>
    <w:p w14:paraId="4010889E">
      <w:pPr>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3.2供应商</w:t>
      </w:r>
      <w:r>
        <w:rPr>
          <w:rFonts w:hint="eastAsia" w:ascii="宋体" w:hAnsi="宋体" w:eastAsia="宋体" w:cs="宋体"/>
          <w:color w:val="auto"/>
          <w:highlight w:val="none"/>
        </w:rPr>
        <w:t>不得存在下列情形之一：</w:t>
      </w:r>
    </w:p>
    <w:p w14:paraId="54CF2D5A">
      <w:pPr>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（1）</w:t>
      </w:r>
      <w:r>
        <w:rPr>
          <w:rFonts w:hint="eastAsia" w:ascii="宋体" w:hAnsi="宋体" w:eastAsia="宋体" w:cs="宋体"/>
          <w:color w:val="auto"/>
          <w:szCs w:val="21"/>
          <w:highlight w:val="none"/>
        </w:rPr>
        <w:t>单位负责人为同一人或者存在直接控股、管理关系的不同供应商，不得参加同一合同项下的政府采购活动；</w:t>
      </w:r>
    </w:p>
    <w:p w14:paraId="119B76CE">
      <w:pPr>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（2）为本项目提供过整体设计、规范编制或者项目管理、监理、检测等服务的供应商，不得再参加本项目上述服务以外的其他采购活动；</w:t>
      </w:r>
    </w:p>
    <w:p w14:paraId="6960E1AC">
      <w:pPr>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（3）为本分标的代建人；</w:t>
      </w:r>
    </w:p>
    <w:p w14:paraId="2DA5DB06">
      <w:pPr>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（4）为本分标提供采购代理服务的；</w:t>
      </w:r>
    </w:p>
    <w:p w14:paraId="63F86BAE">
      <w:pPr>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（5）与本分标的监理人或代建人或采购代理机构同为一个法定代表人的；</w:t>
      </w:r>
    </w:p>
    <w:p w14:paraId="58BF4DBC">
      <w:pPr>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（6）与本分标的监理人或代建人或采购代理机构相互控股或参股的；</w:t>
      </w:r>
    </w:p>
    <w:p w14:paraId="37505999">
      <w:pPr>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（7）与本分标的监理人或代建人或采购代理机构相互任职或工作的；</w:t>
      </w:r>
    </w:p>
    <w:p w14:paraId="6CB7D8B5">
      <w:pPr>
        <w:pageBreakBefore w:val="0"/>
        <w:kinsoku/>
        <w:wordWrap/>
        <w:topLinePunct w:val="0"/>
        <w:bidi w:val="0"/>
        <w:spacing w:line="312" w:lineRule="auto"/>
        <w:ind w:firstLine="420" w:firstLineChars="200"/>
        <w:rPr>
          <w:rFonts w:hint="eastAsia" w:ascii="宋体" w:hAnsi="宋体" w:eastAsia="宋体" w:cs="宋体"/>
          <w:color w:val="auto"/>
          <w:szCs w:val="21"/>
          <w:highlight w:val="none"/>
        </w:rPr>
      </w:pPr>
      <w:bookmarkStart w:id="63" w:name="_Toc3986"/>
      <w:r>
        <w:rPr>
          <w:rFonts w:hint="eastAsia" w:ascii="宋体" w:hAnsi="宋体" w:eastAsia="宋体" w:cs="宋体"/>
          <w:b w:val="0"/>
          <w:bCs/>
          <w:color w:val="auto"/>
          <w:highlight w:val="none"/>
        </w:rPr>
        <w:t>（8）在“信用中国”网站（www.creditchina.gov.cn） 、中国政府采购网（www.ccgp.gov.cn）被列入失信被执行人、重大税收违法失信主体、政府采购严重违法失信行为记录名单及其他不符合《中华人民共和国政府采购法》第二十二条规定条件的。</w:t>
      </w:r>
      <w:bookmarkEnd w:id="63"/>
    </w:p>
    <w:p w14:paraId="21AEA68B">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7B2B291D">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31211722">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356EC956">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5E8BB471">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14:paraId="29452DDD">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根据《政府采购促进中小企业发展管理办法》（财库〔2020〕46号）及《广西壮族自治区财政厅关于持续优化政府采购营商环境推动高质量发展的通知》（桂财采〔2024〕55号）的规定，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%的扣除，用扣除后的价格参加评审</w:t>
      </w:r>
      <w:r>
        <w:rPr>
          <w:rFonts w:hint="eastAsia" w:ascii="宋体" w:hAnsi="宋体" w:eastAsia="宋体" w:cs="宋体"/>
          <w:bCs/>
          <w:color w:val="auto"/>
          <w:szCs w:val="21"/>
          <w:lang w:val="en-US" w:eastAsia="zh-CN"/>
        </w:rPr>
        <w:t>。</w:t>
      </w:r>
    </w:p>
    <w:p w14:paraId="59D0D4CD">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4F1CFB4D">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6.1本项目不允许转包。</w:t>
      </w:r>
    </w:p>
    <w:p w14:paraId="2B573346">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6.2本项目是否允许分包详见“供应商须知前附表”，本项目不允许违法分包。</w:t>
      </w:r>
    </w:p>
    <w:p w14:paraId="60967E94">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bookmarkStart w:id="64" w:name="_Toc254970532"/>
      <w:bookmarkStart w:id="65" w:name="_Toc254970673"/>
      <w:r>
        <w:rPr>
          <w:rFonts w:hint="eastAsia" w:ascii="黑体" w:hAnsi="黑体" w:eastAsia="黑体" w:cs="宋体"/>
          <w:b/>
          <w:bCs/>
          <w:color w:val="auto"/>
          <w:sz w:val="24"/>
          <w:highlight w:val="none"/>
        </w:rPr>
        <w:t>7.特别说明</w:t>
      </w:r>
      <w:bookmarkEnd w:id="64"/>
      <w:bookmarkEnd w:id="65"/>
    </w:p>
    <w:p w14:paraId="6EF67BFA">
      <w:pPr>
        <w:pageBreakBefore w:val="0"/>
        <w:kinsoku/>
        <w:wordWrap/>
        <w:topLinePunct w:val="0"/>
        <w:bidi w:val="0"/>
        <w:spacing w:line="312" w:lineRule="auto"/>
        <w:ind w:firstLine="420" w:firstLineChars="200"/>
        <w:rPr>
          <w:rFonts w:hint="eastAsia" w:ascii="宋体" w:hAnsi="宋体" w:cs="宋体"/>
          <w:color w:val="auto"/>
          <w:szCs w:val="21"/>
          <w:highlight w:val="none"/>
        </w:rPr>
      </w:pPr>
      <w:bookmarkStart w:id="66" w:name="_8.1提供相同品牌产品且通过资格审查、符合性审查的不同投标人参加同一合"/>
      <w:bookmarkEnd w:id="66"/>
      <w:r>
        <w:rPr>
          <w:rFonts w:hint="eastAsia" w:ascii="宋体" w:hAnsi="宋体" w:cs="宋体"/>
          <w:color w:val="auto"/>
          <w:szCs w:val="21"/>
          <w:highlight w:val="none"/>
        </w:rPr>
        <w:t>7.</w:t>
      </w:r>
      <w:r>
        <w:rPr>
          <w:rFonts w:ascii="宋体" w:hAnsi="宋体" w:cs="宋体"/>
          <w:color w:val="auto"/>
          <w:szCs w:val="21"/>
          <w:highlight w:val="none"/>
        </w:rPr>
        <w:t>1</w:t>
      </w:r>
      <w:bookmarkStart w:id="67"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67"/>
    <w:p w14:paraId="14D96DB5">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57C5237F">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37969798">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447015F9">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0CCA3B09">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3145319F">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03087EA1">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48DAFC0C">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1A072EB2">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935C337">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14:paraId="6F6B3A66">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071844A9">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0FB1D908">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6E21D91E">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58EB0699">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69BB125E">
      <w:pPr>
        <w:pageBreakBefore w:val="0"/>
        <w:tabs>
          <w:tab w:val="left" w:pos="6931"/>
        </w:tabs>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ascii="宋体" w:hAnsi="宋体" w:cs="宋体"/>
          <w:color w:val="auto"/>
          <w:szCs w:val="21"/>
          <w:highlight w:val="none"/>
        </w:rPr>
        <w:tab/>
      </w:r>
    </w:p>
    <w:p w14:paraId="22821054">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106484EB">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68B52D28">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1B6F65E7">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2C5359E1">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69D05791">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6DABCC66">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589EC69E">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2B0CD98B">
      <w:pPr>
        <w:pageBreakBefore w:val="0"/>
        <w:kinsoku/>
        <w:wordWrap/>
        <w:topLinePunct w:val="0"/>
        <w:bidi w:val="0"/>
        <w:spacing w:line="312" w:lineRule="auto"/>
        <w:ind w:left="1" w:firstLine="417" w:firstLineChars="199"/>
        <w:jc w:val="center"/>
        <w:rPr>
          <w:rFonts w:hint="eastAsia" w:ascii="宋体" w:hAnsi="宋体"/>
          <w:color w:val="auto"/>
          <w:highlight w:val="none"/>
        </w:rPr>
      </w:pPr>
      <w:bookmarkStart w:id="68" w:name="_Toc254970675"/>
      <w:bookmarkStart w:id="69" w:name="_Toc254970534"/>
    </w:p>
    <w:p w14:paraId="031D717D">
      <w:pPr>
        <w:pageBreakBefore w:val="0"/>
        <w:kinsoku/>
        <w:wordWrap/>
        <w:topLinePunct w:val="0"/>
        <w:bidi w:val="0"/>
        <w:spacing w:line="312" w:lineRule="auto"/>
        <w:jc w:val="center"/>
        <w:outlineLvl w:val="0"/>
        <w:rPr>
          <w:rFonts w:hint="eastAsia" w:ascii="宋体" w:hAnsi="宋体"/>
          <w:b/>
          <w:bCs/>
          <w:color w:val="auto"/>
          <w:sz w:val="32"/>
          <w:szCs w:val="32"/>
          <w:highlight w:val="none"/>
        </w:rPr>
      </w:pPr>
      <w:bookmarkStart w:id="70" w:name="_Toc8488"/>
      <w:r>
        <w:rPr>
          <w:rFonts w:hint="eastAsia" w:ascii="宋体" w:hAnsi="宋体"/>
          <w:b/>
          <w:bCs/>
          <w:color w:val="auto"/>
          <w:sz w:val="32"/>
          <w:szCs w:val="32"/>
          <w:highlight w:val="none"/>
        </w:rPr>
        <w:t>二、磋商文件</w:t>
      </w:r>
      <w:bookmarkEnd w:id="68"/>
      <w:bookmarkEnd w:id="69"/>
      <w:bookmarkEnd w:id="70"/>
    </w:p>
    <w:p w14:paraId="2B6B0546">
      <w:pPr>
        <w:pageBreakBefore w:val="0"/>
        <w:kinsoku/>
        <w:wordWrap/>
        <w:topLinePunct w:val="0"/>
        <w:bidi w:val="0"/>
        <w:spacing w:line="312" w:lineRule="auto"/>
        <w:rPr>
          <w:rFonts w:hint="eastAsia" w:ascii="宋体" w:hAnsi="宋体"/>
          <w:color w:val="auto"/>
          <w:szCs w:val="21"/>
          <w:highlight w:val="none"/>
        </w:rPr>
      </w:pPr>
    </w:p>
    <w:p w14:paraId="6D41E670">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145F19D9">
      <w:pPr>
        <w:pageBreakBefore w:val="0"/>
        <w:kinsoku/>
        <w:wordWrap/>
        <w:topLinePunct w:val="0"/>
        <w:bidi w:val="0"/>
        <w:spacing w:line="312"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（1）竞争性磋商公告；</w:t>
      </w:r>
    </w:p>
    <w:p w14:paraId="02896201">
      <w:pPr>
        <w:pageBreakBefore w:val="0"/>
        <w:kinsoku/>
        <w:wordWrap/>
        <w:topLinePunct w:val="0"/>
        <w:bidi w:val="0"/>
        <w:spacing w:line="312"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（2）供应商须知； </w:t>
      </w:r>
    </w:p>
    <w:p w14:paraId="1DC748D0">
      <w:pPr>
        <w:pageBreakBefore w:val="0"/>
        <w:kinsoku/>
        <w:wordWrap/>
        <w:topLinePunct w:val="0"/>
        <w:bidi w:val="0"/>
        <w:spacing w:line="312"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（3）采购需求；</w:t>
      </w:r>
    </w:p>
    <w:p w14:paraId="0C35A2ED">
      <w:pPr>
        <w:pageBreakBefore w:val="0"/>
        <w:kinsoku/>
        <w:wordWrap/>
        <w:topLinePunct w:val="0"/>
        <w:bidi w:val="0"/>
        <w:spacing w:line="312"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（4）评审程序、评审方法和评审标准；</w:t>
      </w:r>
    </w:p>
    <w:p w14:paraId="3359A53C">
      <w:pPr>
        <w:pageBreakBefore w:val="0"/>
        <w:kinsoku/>
        <w:wordWrap/>
        <w:topLinePunct w:val="0"/>
        <w:bidi w:val="0"/>
        <w:spacing w:line="312"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（5）响应文件格式；</w:t>
      </w:r>
    </w:p>
    <w:p w14:paraId="47F11B92">
      <w:pPr>
        <w:pageBreakBefore w:val="0"/>
        <w:kinsoku/>
        <w:wordWrap/>
        <w:topLinePunct w:val="0"/>
        <w:bidi w:val="0"/>
        <w:spacing w:line="312"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（6）合同文本。</w:t>
      </w:r>
    </w:p>
    <w:p w14:paraId="5B74C57F">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30DC8C95">
      <w:pPr>
        <w:pageBreakBefore w:val="0"/>
        <w:kinsoku/>
        <w:wordWrap/>
        <w:topLinePunct w:val="0"/>
        <w:bidi w:val="0"/>
        <w:spacing w:line="312"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供应商如发现磋商文件内容有误或对政府采购活动事项有疑问的，应在提交首次响应文件截止时间5日前以书面形式向采购人或采购代理机构提出澄清或者询问。采购人、采购代理机构将在3个工作日内对供应商依法提出的询问作出答复</w:t>
      </w:r>
      <w:r>
        <w:rPr>
          <w:rFonts w:hint="eastAsia" w:ascii="宋体" w:hAnsi="宋体"/>
          <w:color w:val="auto"/>
          <w:szCs w:val="21"/>
          <w:highlight w:val="none"/>
        </w:rPr>
        <w:t>。</w:t>
      </w:r>
    </w:p>
    <w:p w14:paraId="7107D915">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6F345C85">
      <w:pPr>
        <w:pageBreakBefore w:val="0"/>
        <w:kinsoku/>
        <w:wordWrap/>
        <w:topLinePunct w:val="0"/>
        <w:bidi w:val="0"/>
        <w:spacing w:line="312" w:lineRule="auto"/>
        <w:ind w:firstLine="420" w:firstLineChars="200"/>
        <w:rPr>
          <w:rFonts w:hint="eastAsia" w:ascii="宋体" w:hAnsi="宋体" w:eastAsia="宋体" w:cs="宋体"/>
          <w:color w:val="auto"/>
          <w:sz w:val="21"/>
        </w:rPr>
      </w:pPr>
      <w:r>
        <w:rPr>
          <w:rFonts w:hint="eastAsia" w:ascii="宋体" w:hAnsi="宋体" w:eastAsia="宋体" w:cs="宋体"/>
          <w:color w:val="auto"/>
          <w:sz w:val="21"/>
          <w:lang w:val="en-US" w:eastAsia="zh-CN"/>
        </w:rPr>
        <w:t xml:space="preserve">10.1 提交首次响应文件截止之日前，采购人、采购代理机构对已发出的磋商文件进行必要的澄清或者修改。如澄清或者修改的内容可能影响响应文件编制的，在提交首次响应文件截止之日3个工作日前，在政府采购信息发布媒体发布更正公告，不足3个工作日的，顺延提交首次响应文件截止时间。 </w:t>
      </w:r>
    </w:p>
    <w:p w14:paraId="4196119A">
      <w:pPr>
        <w:pageBreakBefore w:val="0"/>
        <w:kinsoku/>
        <w:wordWrap/>
        <w:topLinePunct w:val="0"/>
        <w:bidi w:val="0"/>
        <w:spacing w:line="312" w:lineRule="auto"/>
        <w:ind w:firstLine="420" w:firstLineChars="200"/>
        <w:rPr>
          <w:rFonts w:hint="eastAsia" w:ascii="宋体" w:hAnsi="宋体" w:eastAsia="宋体" w:cs="宋体"/>
          <w:color w:val="auto"/>
          <w:sz w:val="21"/>
        </w:rPr>
      </w:pPr>
      <w:r>
        <w:rPr>
          <w:rFonts w:hint="eastAsia" w:ascii="宋体" w:hAnsi="宋体" w:eastAsia="宋体" w:cs="宋体"/>
          <w:color w:val="auto"/>
          <w:sz w:val="21"/>
          <w:lang w:val="en-US" w:eastAsia="zh-CN"/>
        </w:rPr>
        <w:t xml:space="preserve">10.2 采购人、采购代理机构可视具体情况，延长磋商截止时间和开标时间的，在提交首次响应文件截止时间2日前，在政府采购信息发布媒体上发布变更公告。 </w:t>
      </w:r>
    </w:p>
    <w:p w14:paraId="3D085DD4">
      <w:pPr>
        <w:pageBreakBefore w:val="0"/>
        <w:kinsoku/>
        <w:wordWrap/>
        <w:topLinePunct w:val="0"/>
        <w:bidi w:val="0"/>
        <w:spacing w:line="312" w:lineRule="auto"/>
        <w:ind w:firstLine="420" w:firstLineChars="200"/>
        <w:rPr>
          <w:rFonts w:hint="eastAsia" w:ascii="宋体" w:hAnsi="宋体"/>
          <w:color w:val="auto"/>
          <w:szCs w:val="21"/>
          <w:highlight w:val="none"/>
        </w:rPr>
      </w:pPr>
      <w:r>
        <w:rPr>
          <w:rFonts w:hint="eastAsia" w:ascii="宋体" w:hAnsi="宋体" w:eastAsia="宋体" w:cs="宋体"/>
          <w:color w:val="auto"/>
          <w:sz w:val="21"/>
          <w:lang w:val="en-US" w:eastAsia="zh-CN"/>
        </w:rPr>
        <w:t>10.3 所有与本项目相关的澄清、修改、补遗的内容作为磋商文件的组成部分。该所有通知文件在政府采购信息媒体发布之日起，视为供应商已收到该通知。供应商未及时关注网站上发布的通知文件造成的损失，由供应商负责</w:t>
      </w:r>
      <w:r>
        <w:rPr>
          <w:rFonts w:hint="eastAsia" w:ascii="宋体" w:hAnsi="宋体" w:eastAsia="宋体" w:cs="宋体"/>
          <w:color w:val="auto"/>
          <w:sz w:val="21"/>
        </w:rPr>
        <w:t>。</w:t>
      </w:r>
    </w:p>
    <w:p w14:paraId="31CC0F5D">
      <w:pPr>
        <w:pageBreakBefore w:val="0"/>
        <w:kinsoku/>
        <w:wordWrap/>
        <w:topLinePunct w:val="0"/>
        <w:bidi w:val="0"/>
        <w:spacing w:line="312" w:lineRule="auto"/>
        <w:rPr>
          <w:rFonts w:hint="eastAsia" w:ascii="宋体" w:hAnsi="宋体"/>
          <w:color w:val="auto"/>
          <w:szCs w:val="21"/>
          <w:highlight w:val="none"/>
        </w:rPr>
      </w:pPr>
    </w:p>
    <w:p w14:paraId="1270A2CA">
      <w:pPr>
        <w:pageBreakBefore w:val="0"/>
        <w:kinsoku/>
        <w:wordWrap/>
        <w:topLinePunct w:val="0"/>
        <w:bidi w:val="0"/>
        <w:spacing w:line="312" w:lineRule="auto"/>
        <w:jc w:val="center"/>
        <w:outlineLvl w:val="0"/>
        <w:rPr>
          <w:rFonts w:hint="eastAsia" w:ascii="宋体" w:hAnsi="宋体"/>
          <w:b/>
          <w:bCs/>
          <w:color w:val="auto"/>
          <w:szCs w:val="21"/>
          <w:highlight w:val="none"/>
        </w:rPr>
      </w:pPr>
      <w:bookmarkStart w:id="71" w:name="_Toc2836"/>
      <w:r>
        <w:rPr>
          <w:rFonts w:hint="eastAsia" w:ascii="宋体" w:hAnsi="宋体"/>
          <w:b/>
          <w:bCs/>
          <w:color w:val="auto"/>
          <w:sz w:val="32"/>
          <w:szCs w:val="32"/>
          <w:highlight w:val="none"/>
        </w:rPr>
        <w:t>三、响应文件的编制</w:t>
      </w:r>
      <w:bookmarkEnd w:id="71"/>
    </w:p>
    <w:p w14:paraId="10120E07">
      <w:pPr>
        <w:pageBreakBefore w:val="0"/>
        <w:kinsoku/>
        <w:wordWrap/>
        <w:topLinePunct w:val="0"/>
        <w:bidi w:val="0"/>
        <w:spacing w:line="312" w:lineRule="auto"/>
        <w:rPr>
          <w:rFonts w:hint="eastAsia" w:ascii="宋体" w:hAnsi="宋体"/>
          <w:color w:val="auto"/>
          <w:szCs w:val="21"/>
          <w:highlight w:val="none"/>
        </w:rPr>
      </w:pPr>
    </w:p>
    <w:p w14:paraId="5B813CAE">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5CC22641">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3AEA3E49">
      <w:pPr>
        <w:pageBreakBefore w:val="0"/>
        <w:kinsoku/>
        <w:wordWrap/>
        <w:topLinePunct w:val="0"/>
        <w:bidi w:val="0"/>
        <w:spacing w:line="312"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51E48BA8">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w:t>
      </w:r>
      <w:r>
        <w:rPr>
          <w:rFonts w:hint="eastAsia" w:ascii="宋体" w:hAnsi="宋体" w:cs="宋体"/>
          <w:color w:val="auto"/>
          <w:szCs w:val="21"/>
          <w:highlight w:val="none"/>
          <w:lang w:eastAsia="zh-CN"/>
        </w:rPr>
        <w:t>、</w:t>
      </w:r>
      <w:r>
        <w:rPr>
          <w:rFonts w:hint="eastAsia" w:ascii="宋体" w:hAnsi="宋体" w:cs="宋体"/>
          <w:color w:val="auto"/>
          <w:szCs w:val="21"/>
          <w:highlight w:val="none"/>
        </w:rPr>
        <w:t>商务技术文件</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部分组成。</w:t>
      </w:r>
    </w:p>
    <w:p w14:paraId="7DD4804F">
      <w:pPr>
        <w:pageBreakBefore w:val="0"/>
        <w:kinsoku/>
        <w:wordWrap/>
        <w:topLinePunct w:val="0"/>
        <w:bidi w:val="0"/>
        <w:spacing w:line="312"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2.1.1</w:t>
      </w:r>
      <w:r>
        <w:rPr>
          <w:rFonts w:hint="eastAsia" w:ascii="宋体" w:hAnsi="宋体" w:cs="宋体"/>
          <w:color w:val="auto"/>
          <w:szCs w:val="21"/>
          <w:highlight w:val="none"/>
        </w:rPr>
        <w:t>资格证明文件：详见须知前附表</w:t>
      </w:r>
    </w:p>
    <w:p w14:paraId="0D5A316D">
      <w:pPr>
        <w:pageBreakBefore w:val="0"/>
        <w:kinsoku/>
        <w:wordWrap/>
        <w:topLinePunct w:val="0"/>
        <w:bidi w:val="0"/>
        <w:spacing w:line="312"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2.1.2</w:t>
      </w:r>
      <w:r>
        <w:rPr>
          <w:rFonts w:hint="eastAsia" w:ascii="宋体" w:hAnsi="宋体" w:cs="宋体"/>
          <w:color w:val="auto"/>
          <w:szCs w:val="21"/>
          <w:highlight w:val="none"/>
        </w:rPr>
        <w:t>报价文件：详见须知前附表</w:t>
      </w:r>
    </w:p>
    <w:p w14:paraId="0CF7A328">
      <w:pPr>
        <w:pageBreakBefore w:val="0"/>
        <w:kinsoku/>
        <w:wordWrap/>
        <w:topLinePunct w:val="0"/>
        <w:bidi w:val="0"/>
        <w:spacing w:line="312"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商务技术文件：详见须知前附表</w:t>
      </w:r>
    </w:p>
    <w:p w14:paraId="222F5F82">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电子</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文件中所须加盖公章部分均采用CA签章。若</w:t>
      </w:r>
      <w:r>
        <w:rPr>
          <w:rFonts w:hint="eastAsia" w:ascii="宋体" w:hAnsi="宋体" w:cs="宋体"/>
          <w:color w:val="auto"/>
          <w:szCs w:val="21"/>
          <w:highlight w:val="none"/>
          <w:lang w:val="en-US" w:eastAsia="zh-CN"/>
        </w:rPr>
        <w:t>竞争性磋商</w:t>
      </w:r>
      <w:r>
        <w:rPr>
          <w:rFonts w:hint="eastAsia" w:ascii="宋体" w:hAnsi="宋体" w:cs="宋体"/>
          <w:color w:val="auto"/>
          <w:szCs w:val="21"/>
          <w:highlight w:val="none"/>
        </w:rPr>
        <w:t>文件中有专门标注的某关联点，并要求供应商在电子投标系统中作出</w:t>
      </w:r>
      <w:r>
        <w:rPr>
          <w:rFonts w:hint="eastAsia" w:ascii="宋体" w:hAnsi="宋体" w:cs="宋体"/>
          <w:color w:val="auto"/>
          <w:szCs w:val="21"/>
          <w:highlight w:val="none"/>
          <w:lang w:val="en-US" w:eastAsia="zh-CN"/>
        </w:rPr>
        <w:t>竞</w:t>
      </w:r>
      <w:r>
        <w:rPr>
          <w:rFonts w:hint="eastAsia" w:ascii="宋体" w:hAnsi="宋体" w:cs="宋体"/>
          <w:color w:val="auto"/>
          <w:szCs w:val="21"/>
          <w:highlight w:val="none"/>
        </w:rPr>
        <w:t>标响应的，如供应商未对关联点进行响应或者在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文件其它内容进行描述，造成电子评审不能查询的责任由供应商自行承担。</w:t>
      </w:r>
    </w:p>
    <w:p w14:paraId="5045717D">
      <w:pPr>
        <w:pageBreakBefore w:val="0"/>
        <w:kinsoku/>
        <w:wordWrap/>
        <w:topLinePunct w:val="0"/>
        <w:bidi w:val="0"/>
        <w:spacing w:line="312" w:lineRule="auto"/>
        <w:ind w:firstLine="420" w:firstLineChars="200"/>
        <w:rPr>
          <w:rFonts w:hint="eastAsia"/>
          <w:color w:val="auto"/>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3 </w:t>
      </w:r>
      <w:r>
        <w:rPr>
          <w:rFonts w:hint="eastAsia" w:ascii="宋体" w:hAnsi="宋体" w:cs="宋体"/>
          <w:color w:val="auto"/>
          <w:szCs w:val="21"/>
          <w:highlight w:val="none"/>
        </w:rPr>
        <w:t>CA签章上目前没有法人(负责人)或授权代表签字信息，供应商在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文件中涉及到签字的位置线下签好字然后扫描或者拍照做成PDF的格式亦可。</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文件中涉及到签字的位置未按要求签字的，提供的材料视为无效。</w:t>
      </w:r>
    </w:p>
    <w:p w14:paraId="3087244E">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402A1FE3">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7D39150F">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35D1348E">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44632F38">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15.竞标报价要求和构成</w:t>
      </w:r>
    </w:p>
    <w:p w14:paraId="59414C4D">
      <w:pPr>
        <w:pageBreakBefore w:val="0"/>
        <w:tabs>
          <w:tab w:val="left" w:pos="2492"/>
        </w:tabs>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34D40497">
      <w:pPr>
        <w:pageBreakBefore w:val="0"/>
        <w:tabs>
          <w:tab w:val="left" w:pos="2492"/>
        </w:tabs>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15.2竞标报价的价格构成见“供应商须知前附表”。</w:t>
      </w:r>
    </w:p>
    <w:p w14:paraId="0858D5D2">
      <w:pPr>
        <w:pageBreakBefore w:val="0"/>
        <w:kinsoku/>
        <w:wordWrap/>
        <w:topLinePunct w:val="0"/>
        <w:bidi w:val="0"/>
        <w:spacing w:line="312" w:lineRule="auto"/>
        <w:ind w:left="426" w:leftChars="203"/>
        <w:rPr>
          <w:rFonts w:hint="eastAsia" w:ascii="宋体" w:hAnsi="宋体" w:cs="宋体"/>
          <w:color w:val="auto"/>
          <w:szCs w:val="21"/>
          <w:highlight w:val="none"/>
        </w:rPr>
      </w:pPr>
      <w:r>
        <w:rPr>
          <w:rFonts w:hint="eastAsia" w:ascii="宋体" w:hAnsi="宋体" w:cs="宋体"/>
          <w:color w:val="auto"/>
          <w:szCs w:val="21"/>
          <w:highlight w:val="none"/>
        </w:rPr>
        <w:t>15.3竞标报价要求</w:t>
      </w:r>
    </w:p>
    <w:p w14:paraId="415BB078">
      <w:pPr>
        <w:pageBreakBefore w:val="0"/>
        <w:kinsoku/>
        <w:wordWrap/>
        <w:topLinePunct w:val="0"/>
        <w:bidi w:val="0"/>
        <w:spacing w:line="312"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供应商的竞标报价应符合以下要求，否则响应文件按无效响应处理：</w:t>
      </w:r>
    </w:p>
    <w:p w14:paraId="10B258DD">
      <w:pPr>
        <w:pageBreakBefore w:val="0"/>
        <w:kinsoku/>
        <w:wordWrap/>
        <w:topLinePunct w:val="0"/>
        <w:bidi w:val="0"/>
        <w:spacing w:line="312"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67105E58">
      <w:pPr>
        <w:pageBreakBefore w:val="0"/>
        <w:kinsoku/>
        <w:wordWrap/>
        <w:topLinePunct w:val="0"/>
        <w:bidi w:val="0"/>
        <w:spacing w:line="312"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44A5DCDC">
      <w:pPr>
        <w:pageBreakBefore w:val="0"/>
        <w:kinsoku/>
        <w:wordWrap/>
        <w:topLinePunct w:val="0"/>
        <w:bidi w:val="0"/>
        <w:spacing w:line="312"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5E92E574">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竞标报价（包含首次报价、最后报价）超过所竞标分标规定的采购预算金额或者最高限价的，其响应文件将作无效处理。</w:t>
      </w:r>
    </w:p>
    <w:p w14:paraId="13D7D74A">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3</w:t>
      </w:r>
      <w:bookmarkStart w:id="72" w:name="_Hlk42592874"/>
      <w:r>
        <w:rPr>
          <w:rFonts w:hint="eastAsia" w:ascii="宋体" w:hAnsi="宋体" w:cs="宋体"/>
          <w:color w:val="auto"/>
          <w:szCs w:val="21"/>
          <w:highlight w:val="none"/>
        </w:rPr>
        <w:t>竞标报价（包含首次报价、最后报价）超过分项采购预算金额或者最高限价的，其响应文件将作无效处理。</w:t>
      </w:r>
    </w:p>
    <w:bookmarkEnd w:id="72"/>
    <w:p w14:paraId="40D31004">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0294F022">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08FE7A8C">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103D7C85">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34345473">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14:paraId="140F0EBE">
      <w:pPr>
        <w:pageBreakBefore w:val="0"/>
        <w:kinsoku/>
        <w:wordWrap/>
        <w:topLinePunct w:val="0"/>
        <w:bidi w:val="0"/>
        <w:spacing w:line="312"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42AC535D">
      <w:pPr>
        <w:pageBreakBefore w:val="0"/>
        <w:kinsoku/>
        <w:wordWrap/>
        <w:topLinePunct w:val="0"/>
        <w:bidi w:val="0"/>
        <w:spacing w:line="312"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17.2磋商保证金的退还</w:t>
      </w:r>
    </w:p>
    <w:p w14:paraId="7CDDFF36">
      <w:pPr>
        <w:pageBreakBefore w:val="0"/>
        <w:kinsoku/>
        <w:wordWrap/>
        <w:topLinePunct w:val="0"/>
        <w:bidi w:val="0"/>
        <w:spacing w:line="312" w:lineRule="auto"/>
        <w:ind w:firstLine="420" w:firstLineChars="200"/>
        <w:rPr>
          <w:rFonts w:hint="eastAsia" w:ascii="宋体" w:hAnsi="宋体" w:cs="宋体"/>
          <w:color w:val="auto"/>
          <w:szCs w:val="21"/>
          <w:highlight w:val="none"/>
        </w:rPr>
      </w:pPr>
      <w:bookmarkStart w:id="73"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成交供应商的竞标保证金自成交通知书发出之日起5个工作日内退还；</w:t>
      </w:r>
      <w:r>
        <w:rPr>
          <w:rFonts w:hint="eastAsia" w:ascii="宋体" w:hAnsi="宋体" w:cs="宋体"/>
          <w:color w:val="auto"/>
          <w:szCs w:val="21"/>
          <w:highlight w:val="none"/>
        </w:rPr>
        <w:t>成交供应商的磋商保证金自签订合同之日起5个工作日内退还。</w:t>
      </w:r>
      <w:bookmarkEnd w:id="73"/>
      <w:r>
        <w:rPr>
          <w:rFonts w:hint="eastAsia" w:ascii="宋体" w:hAnsi="宋体" w:cs="宋体"/>
          <w:color w:val="auto"/>
          <w:szCs w:val="21"/>
          <w:highlight w:val="none"/>
        </w:rPr>
        <w:t xml:space="preserve"> </w:t>
      </w:r>
    </w:p>
    <w:p w14:paraId="53475937">
      <w:pPr>
        <w:pageBreakBefore w:val="0"/>
        <w:kinsoku/>
        <w:wordWrap/>
        <w:topLinePunct w:val="0"/>
        <w:bidi w:val="0"/>
        <w:spacing w:line="312"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17.3磋商保证金不计息。</w:t>
      </w:r>
    </w:p>
    <w:p w14:paraId="7321606D">
      <w:pPr>
        <w:pageBreakBefore w:val="0"/>
        <w:kinsoku/>
        <w:wordWrap/>
        <w:topLinePunct w:val="0"/>
        <w:bidi w:val="0"/>
        <w:spacing w:line="312"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25EF879A">
      <w:pPr>
        <w:pageBreakBefore w:val="0"/>
        <w:kinsoku/>
        <w:wordWrap/>
        <w:topLinePunct w:val="0"/>
        <w:bidi w:val="0"/>
        <w:spacing w:line="312"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61B8D784">
      <w:pPr>
        <w:pageBreakBefore w:val="0"/>
        <w:kinsoku/>
        <w:wordWrap/>
        <w:topLinePunct w:val="0"/>
        <w:bidi w:val="0"/>
        <w:spacing w:line="312"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（2）未按规定提交履约保证金的；</w:t>
      </w:r>
    </w:p>
    <w:p w14:paraId="71562C98">
      <w:pPr>
        <w:pageBreakBefore w:val="0"/>
        <w:kinsoku/>
        <w:wordWrap/>
        <w:topLinePunct w:val="0"/>
        <w:bidi w:val="0"/>
        <w:spacing w:line="312"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4A79C9BB">
      <w:pPr>
        <w:pageBreakBefore w:val="0"/>
        <w:kinsoku/>
        <w:wordWrap/>
        <w:topLinePunct w:val="0"/>
        <w:bidi w:val="0"/>
        <w:spacing w:line="312"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6D02C817">
      <w:pPr>
        <w:pageBreakBefore w:val="0"/>
        <w:kinsoku/>
        <w:wordWrap/>
        <w:topLinePunct w:val="0"/>
        <w:bidi w:val="0"/>
        <w:spacing w:line="312"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79D931E8">
      <w:pPr>
        <w:pageBreakBefore w:val="0"/>
        <w:kinsoku/>
        <w:wordWrap/>
        <w:topLinePunct w:val="0"/>
        <w:bidi w:val="0"/>
        <w:spacing w:line="312"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p w14:paraId="32576073">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7AD2BC19">
      <w:pPr>
        <w:pageBreakBefore w:val="0"/>
        <w:kinsoku/>
        <w:wordWrap/>
        <w:topLinePunct w:val="0"/>
        <w:bidi w:val="0"/>
        <w:spacing w:line="312" w:lineRule="auto"/>
        <w:ind w:firstLine="420" w:firstLineChars="200"/>
        <w:contextualSpacing/>
        <w:rPr>
          <w:rFonts w:hint="eastAsia" w:asciiTheme="minorEastAsia" w:hAnsiTheme="minorEastAsia" w:eastAsiaTheme="minorEastAsia" w:cstheme="minorEastAsia"/>
          <w:color w:val="000000"/>
          <w:szCs w:val="21"/>
          <w:highlight w:val="none"/>
        </w:rPr>
      </w:pPr>
      <w:bookmarkStart w:id="74" w:name="_Hlk45702405"/>
      <w:r>
        <w:rPr>
          <w:rFonts w:hint="eastAsia" w:asciiTheme="minorEastAsia" w:hAnsiTheme="minorEastAsia" w:eastAsiaTheme="minorEastAsia" w:cstheme="minorEastAsia"/>
          <w:color w:val="000000"/>
          <w:szCs w:val="21"/>
          <w:highlight w:val="none"/>
        </w:rPr>
        <w:t>18.1电子响应文件中须加盖供应商公章部分均采用 CA 签章，并根据“政府采购项目电子交易管理操作指南-供应商” 及本</w:t>
      </w:r>
      <w:r>
        <w:rPr>
          <w:rFonts w:hint="eastAsia" w:asciiTheme="minorEastAsia" w:hAnsiTheme="minorEastAsia" w:eastAsiaTheme="minorEastAsia" w:cstheme="minorEastAsia"/>
          <w:color w:val="000000"/>
          <w:szCs w:val="21"/>
          <w:highlight w:val="none"/>
          <w:lang w:eastAsia="zh-CN"/>
        </w:rPr>
        <w:t>竞争性磋商文件</w:t>
      </w:r>
      <w:r>
        <w:rPr>
          <w:rFonts w:hint="eastAsia" w:asciiTheme="minorEastAsia" w:hAnsiTheme="minorEastAsia" w:eastAsiaTheme="minorEastAsia" w:cstheme="minorEastAsia"/>
          <w:color w:val="000000"/>
          <w:szCs w:val="21"/>
          <w:highlight w:val="none"/>
        </w:rPr>
        <w:t>规定的格式和顺序编制电子响应文件并进行关联定位，以便</w:t>
      </w:r>
      <w:r>
        <w:rPr>
          <w:rFonts w:hint="eastAsia" w:asciiTheme="minorEastAsia" w:hAnsiTheme="minorEastAsia" w:eastAsiaTheme="minorEastAsia" w:cstheme="minorEastAsia"/>
          <w:color w:val="000000"/>
          <w:szCs w:val="21"/>
          <w:highlight w:val="none"/>
          <w:lang w:eastAsia="zh-CN"/>
        </w:rPr>
        <w:t>磋商小组</w:t>
      </w:r>
      <w:r>
        <w:rPr>
          <w:rFonts w:hint="eastAsia" w:asciiTheme="minorEastAsia" w:hAnsiTheme="minorEastAsia" w:eastAsiaTheme="minorEastAsia" w:cstheme="minorEastAsia"/>
          <w:color w:val="000000"/>
          <w:szCs w:val="21"/>
          <w:highlight w:val="none"/>
        </w:rPr>
        <w:t>在评审时，点击评分项可直接定位到该评分项内容。如对</w:t>
      </w:r>
      <w:r>
        <w:rPr>
          <w:rFonts w:hint="eastAsia" w:asciiTheme="minorEastAsia" w:hAnsiTheme="minorEastAsia" w:eastAsiaTheme="minorEastAsia" w:cstheme="minorEastAsia"/>
          <w:color w:val="000000"/>
          <w:szCs w:val="21"/>
          <w:highlight w:val="none"/>
          <w:lang w:eastAsia="zh-CN"/>
        </w:rPr>
        <w:t>竞争性磋商文件</w:t>
      </w:r>
      <w:r>
        <w:rPr>
          <w:rFonts w:hint="eastAsia" w:asciiTheme="minorEastAsia" w:hAnsiTheme="minorEastAsia" w:eastAsiaTheme="minorEastAsia" w:cstheme="minorEastAsia"/>
          <w:color w:val="000000"/>
          <w:szCs w:val="21"/>
          <w:highlight w:val="none"/>
        </w:rPr>
        <w:t>的某项要求，供应商的电子响应文件未能关联定位提供相应的内容与其对应，则</w:t>
      </w:r>
      <w:r>
        <w:rPr>
          <w:rFonts w:hint="eastAsia" w:asciiTheme="minorEastAsia" w:hAnsiTheme="minorEastAsia" w:eastAsiaTheme="minorEastAsia" w:cstheme="minorEastAsia"/>
          <w:color w:val="000000"/>
          <w:szCs w:val="21"/>
          <w:highlight w:val="none"/>
          <w:lang w:eastAsia="zh-CN"/>
        </w:rPr>
        <w:t>磋商小组</w:t>
      </w:r>
      <w:r>
        <w:rPr>
          <w:rFonts w:hint="eastAsia" w:asciiTheme="minorEastAsia" w:hAnsiTheme="minorEastAsia" w:eastAsiaTheme="minorEastAsia" w:cstheme="minorEastAsia"/>
          <w:color w:val="000000"/>
          <w:szCs w:val="21"/>
          <w:highlight w:val="none"/>
        </w:rPr>
        <w:t>在评审时如做出对供应商不利的评审由供应商自行承担。电子响应文件如内容不完整、编排混乱导致电子响应文件被误读、 漏读，或者在按采购文件规定的部位查找不到相关内容的，由供应商自行承担</w:t>
      </w:r>
      <w:r>
        <w:rPr>
          <w:rFonts w:hint="eastAsia" w:asciiTheme="minorEastAsia" w:hAnsiTheme="minorEastAsia" w:eastAsiaTheme="minorEastAsia" w:cstheme="minorEastAsia"/>
          <w:color w:val="000000"/>
          <w:spacing w:val="-6"/>
          <w:szCs w:val="21"/>
          <w:highlight w:val="none"/>
        </w:rPr>
        <w:t>。</w:t>
      </w:r>
    </w:p>
    <w:p w14:paraId="1C319B3F">
      <w:pPr>
        <w:pageBreakBefore w:val="0"/>
        <w:kinsoku/>
        <w:wordWrap/>
        <w:topLinePunct w:val="0"/>
        <w:bidi w:val="0"/>
        <w:spacing w:line="312" w:lineRule="auto"/>
        <w:ind w:firstLine="420" w:firstLineChars="200"/>
        <w:contextualSpacing/>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18.2 CA 签章上目前没有</w:t>
      </w:r>
      <w:r>
        <w:rPr>
          <w:rFonts w:hint="eastAsia" w:asciiTheme="minorEastAsia" w:hAnsiTheme="minorEastAsia" w:eastAsiaTheme="minorEastAsia" w:cstheme="minorEastAsia"/>
          <w:color w:val="000000"/>
          <w:szCs w:val="21"/>
          <w:highlight w:val="none"/>
          <w:lang w:eastAsia="zh-CN"/>
        </w:rPr>
        <w:t>法定代表人</w:t>
      </w:r>
      <w:r>
        <w:rPr>
          <w:rFonts w:hint="eastAsia" w:asciiTheme="minorEastAsia" w:hAnsiTheme="minorEastAsia" w:eastAsiaTheme="minorEastAsia" w:cstheme="minorEastAsia"/>
          <w:color w:val="000000"/>
          <w:szCs w:val="21"/>
          <w:highlight w:val="none"/>
        </w:rPr>
        <w:t>（负责人）或授权代表签字信息，供应商在响应文件中涉及到签字的位置线下签好字然后扫描或者拍照做成PDF的格式即可。</w:t>
      </w:r>
    </w:p>
    <w:p w14:paraId="533AB7E4">
      <w:pPr>
        <w:pageBreakBefore w:val="0"/>
        <w:kinsoku/>
        <w:wordWrap/>
        <w:topLinePunct w:val="0"/>
        <w:bidi w:val="0"/>
        <w:spacing w:line="312" w:lineRule="auto"/>
        <w:ind w:firstLine="420" w:firstLineChars="200"/>
        <w:contextualSpacing/>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18.</w:t>
      </w:r>
      <w:r>
        <w:rPr>
          <w:rFonts w:hint="eastAsia" w:asciiTheme="minorEastAsia" w:hAnsiTheme="minorEastAsia" w:eastAsiaTheme="minorEastAsia" w:cstheme="minorEastAsia"/>
          <w:color w:val="000000"/>
          <w:szCs w:val="21"/>
          <w:highlight w:val="none"/>
          <w:lang w:val="en-US" w:eastAsia="zh-CN"/>
        </w:rPr>
        <w:t>3</w:t>
      </w:r>
      <w:r>
        <w:rPr>
          <w:rFonts w:hint="eastAsia" w:asciiTheme="minorEastAsia" w:hAnsiTheme="minorEastAsia" w:eastAsiaTheme="minorEastAsia" w:cstheme="minorEastAsia"/>
          <w:color w:val="000000"/>
          <w:szCs w:val="21"/>
          <w:highlight w:val="none"/>
        </w:rPr>
        <w:t>响应文件中标注的供应商名称应与营业执照（事业单位法人证书、执业许可证、自然人身份证）及公章一致，否则其响应文件按无效响应处理。</w:t>
      </w:r>
    </w:p>
    <w:p w14:paraId="1E16FDDA">
      <w:pPr>
        <w:spacing w:line="360" w:lineRule="auto"/>
        <w:ind w:firstLine="422"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18.</w:t>
      </w:r>
      <w:r>
        <w:rPr>
          <w:rFonts w:hint="eastAsia" w:asciiTheme="minorEastAsia" w:hAnsiTheme="minorEastAsia" w:eastAsiaTheme="minorEastAsia" w:cstheme="minorEastAsia"/>
          <w:b/>
          <w:bCs/>
          <w:color w:val="auto"/>
          <w:szCs w:val="21"/>
          <w:highlight w:val="none"/>
          <w:lang w:val="en-US" w:eastAsia="zh-CN"/>
        </w:rPr>
        <w:t>4</w:t>
      </w:r>
      <w:r>
        <w:rPr>
          <w:rFonts w:hint="eastAsia" w:asciiTheme="minorEastAsia" w:hAnsiTheme="minorEastAsia" w:eastAsiaTheme="minorEastAsia" w:cstheme="minorEastAsia"/>
          <w:b/>
          <w:bCs/>
          <w:color w:val="auto"/>
          <w:szCs w:val="21"/>
          <w:highlight w:val="none"/>
        </w:rPr>
        <w:t xml:space="preserve"> 投标文件不得涂改，若有修改错漏处，须法定代表人（负责人）或授权委托人签字（或个人CA签章）。投标文件因字迹潦草或表达不清所引起的后果由</w:t>
      </w:r>
      <w:r>
        <w:rPr>
          <w:rFonts w:hint="eastAsia" w:asciiTheme="minorEastAsia" w:hAnsiTheme="minorEastAsia" w:eastAsiaTheme="minorEastAsia" w:cstheme="minorEastAsia"/>
          <w:b/>
          <w:bCs/>
          <w:color w:val="auto"/>
          <w:szCs w:val="21"/>
          <w:highlight w:val="none"/>
          <w:lang w:eastAsia="zh-CN"/>
        </w:rPr>
        <w:t>供应商</w:t>
      </w:r>
      <w:r>
        <w:rPr>
          <w:rFonts w:hint="eastAsia" w:asciiTheme="minorEastAsia" w:hAnsiTheme="minorEastAsia" w:eastAsiaTheme="minorEastAsia" w:cstheme="minorEastAsia"/>
          <w:b/>
          <w:bCs/>
          <w:color w:val="auto"/>
          <w:szCs w:val="21"/>
          <w:highlight w:val="none"/>
        </w:rPr>
        <w:t>负责。</w:t>
      </w:r>
    </w:p>
    <w:p w14:paraId="08B251D1">
      <w:pPr>
        <w:spacing w:line="360" w:lineRule="auto"/>
        <w:ind w:firstLine="422" w:firstLineChars="200"/>
        <w:outlineLvl w:val="9"/>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rPr>
        <w:t>18.</w:t>
      </w:r>
      <w:r>
        <w:rPr>
          <w:rFonts w:hint="eastAsia" w:asciiTheme="minorEastAsia" w:hAnsiTheme="minorEastAsia" w:eastAsiaTheme="minorEastAsia" w:cstheme="minorEastAsia"/>
          <w:b/>
          <w:bCs/>
          <w:color w:val="auto"/>
          <w:szCs w:val="21"/>
          <w:highlight w:val="none"/>
          <w:lang w:val="en-US" w:eastAsia="zh-CN"/>
        </w:rPr>
        <w:t>5</w:t>
      </w:r>
      <w:r>
        <w:rPr>
          <w:rFonts w:hint="eastAsia" w:asciiTheme="minorEastAsia" w:hAnsiTheme="minorEastAsia" w:eastAsiaTheme="minorEastAsia" w:cstheme="minorEastAsia"/>
          <w:b/>
          <w:bCs/>
          <w:color w:val="auto"/>
          <w:szCs w:val="21"/>
          <w:highlight w:val="none"/>
        </w:rPr>
        <w:t xml:space="preserve">评审前准备 </w:t>
      </w:r>
      <w:r>
        <w:rPr>
          <w:rFonts w:hint="eastAsia" w:asciiTheme="minorEastAsia" w:hAnsiTheme="minorEastAsia" w:eastAsiaTheme="minorEastAsia" w:cstheme="minorEastAsia"/>
          <w:b/>
          <w:bCs/>
          <w:color w:val="auto"/>
          <w:szCs w:val="21"/>
          <w:highlight w:val="none"/>
          <w:lang w:val="en-US" w:eastAsia="zh-CN"/>
        </w:rPr>
        <w:t xml:space="preserve"> </w:t>
      </w:r>
    </w:p>
    <w:p w14:paraId="6E623D54">
      <w:pPr>
        <w:spacing w:line="360" w:lineRule="auto"/>
        <w:ind w:firstLine="422"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18.</w:t>
      </w:r>
      <w:r>
        <w:rPr>
          <w:rFonts w:hint="eastAsia" w:asciiTheme="minorEastAsia" w:hAnsiTheme="minorEastAsia" w:eastAsiaTheme="minorEastAsia" w:cstheme="minorEastAsia"/>
          <w:b/>
          <w:bCs/>
          <w:color w:val="auto"/>
          <w:szCs w:val="21"/>
          <w:highlight w:val="none"/>
          <w:lang w:val="en-US" w:eastAsia="zh-CN"/>
        </w:rPr>
        <w:t>5</w:t>
      </w:r>
      <w:r>
        <w:rPr>
          <w:rFonts w:hint="eastAsia" w:asciiTheme="minorEastAsia" w:hAnsiTheme="minorEastAsia" w:eastAsiaTheme="minorEastAsia" w:cstheme="minorEastAsia"/>
          <w:b/>
          <w:bCs/>
          <w:color w:val="auto"/>
          <w:szCs w:val="21"/>
          <w:highlight w:val="none"/>
        </w:rPr>
        <w:t>.1本项目实行网上评审，采用电子投标响应文件；若</w:t>
      </w:r>
      <w:r>
        <w:rPr>
          <w:rFonts w:hint="eastAsia" w:asciiTheme="minorEastAsia" w:hAnsiTheme="minorEastAsia" w:eastAsiaTheme="minorEastAsia" w:cstheme="minorEastAsia"/>
          <w:b/>
          <w:bCs/>
          <w:color w:val="auto"/>
          <w:szCs w:val="21"/>
          <w:highlight w:val="none"/>
          <w:lang w:eastAsia="zh-CN"/>
        </w:rPr>
        <w:t>供应商</w:t>
      </w:r>
      <w:r>
        <w:rPr>
          <w:rFonts w:hint="eastAsia" w:asciiTheme="minorEastAsia" w:hAnsiTheme="minorEastAsia" w:eastAsiaTheme="minorEastAsia" w:cstheme="minorEastAsia"/>
          <w:b/>
          <w:bCs/>
          <w:color w:val="auto"/>
          <w:szCs w:val="21"/>
          <w:highlight w:val="none"/>
        </w:rPr>
        <w:t xml:space="preserve">参与投标，自行承担投标一切费用。 </w:t>
      </w:r>
    </w:p>
    <w:p w14:paraId="7F08E009">
      <w:pPr>
        <w:spacing w:line="360" w:lineRule="auto"/>
        <w:ind w:firstLine="422"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18.</w:t>
      </w:r>
      <w:r>
        <w:rPr>
          <w:rFonts w:hint="eastAsia" w:asciiTheme="minorEastAsia" w:hAnsiTheme="minorEastAsia" w:eastAsiaTheme="minorEastAsia" w:cstheme="minorEastAsia"/>
          <w:b/>
          <w:bCs/>
          <w:color w:val="auto"/>
          <w:szCs w:val="21"/>
          <w:highlight w:val="none"/>
          <w:lang w:val="en-US" w:eastAsia="zh-CN"/>
        </w:rPr>
        <w:t>5</w:t>
      </w:r>
      <w:r>
        <w:rPr>
          <w:rFonts w:hint="eastAsia" w:asciiTheme="minorEastAsia" w:hAnsiTheme="minorEastAsia" w:eastAsiaTheme="minorEastAsia" w:cstheme="minorEastAsia"/>
          <w:b/>
          <w:bCs/>
          <w:color w:val="auto"/>
          <w:szCs w:val="21"/>
          <w:highlight w:val="none"/>
        </w:rPr>
        <w:t>.2各</w:t>
      </w:r>
      <w:r>
        <w:rPr>
          <w:rFonts w:hint="eastAsia" w:asciiTheme="minorEastAsia" w:hAnsiTheme="minorEastAsia" w:eastAsiaTheme="minorEastAsia" w:cstheme="minorEastAsia"/>
          <w:b/>
          <w:bCs/>
          <w:color w:val="auto"/>
          <w:szCs w:val="21"/>
          <w:highlight w:val="none"/>
          <w:lang w:eastAsia="zh-CN"/>
        </w:rPr>
        <w:t>供应商</w:t>
      </w:r>
      <w:r>
        <w:rPr>
          <w:rFonts w:hint="eastAsia" w:asciiTheme="minorEastAsia" w:hAnsiTheme="minorEastAsia" w:eastAsiaTheme="minorEastAsia" w:cstheme="minorEastAsia"/>
          <w:b/>
          <w:bCs/>
          <w:color w:val="auto"/>
          <w:szCs w:val="21"/>
          <w:highlight w:val="none"/>
        </w:rPr>
        <w:t>在截标前应确保成为</w:t>
      </w:r>
      <w:r>
        <w:rPr>
          <w:rFonts w:hint="eastAsia" w:asciiTheme="minorEastAsia" w:hAnsiTheme="minorEastAsia" w:eastAsiaTheme="minorEastAsia" w:cstheme="minorEastAsia"/>
          <w:b/>
          <w:bCs/>
          <w:color w:val="auto"/>
          <w:szCs w:val="21"/>
          <w:highlight w:val="none"/>
          <w:lang w:eastAsia="zh-CN"/>
        </w:rPr>
        <w:t>广西政府采购云平台</w:t>
      </w:r>
      <w:r>
        <w:rPr>
          <w:rFonts w:hint="eastAsia" w:asciiTheme="minorEastAsia" w:hAnsiTheme="minorEastAsia" w:eastAsiaTheme="minorEastAsia" w:cstheme="minorEastAsia"/>
          <w:b/>
          <w:bCs/>
          <w:color w:val="auto"/>
          <w:szCs w:val="21"/>
          <w:highlight w:val="none"/>
        </w:rPr>
        <w:t>正式注册入库</w:t>
      </w:r>
      <w:r>
        <w:rPr>
          <w:rFonts w:hint="eastAsia" w:asciiTheme="minorEastAsia" w:hAnsiTheme="minorEastAsia" w:eastAsiaTheme="minorEastAsia" w:cstheme="minorEastAsia"/>
          <w:b/>
          <w:bCs/>
          <w:color w:val="auto"/>
          <w:szCs w:val="21"/>
          <w:highlight w:val="none"/>
          <w:lang w:eastAsia="zh-CN"/>
        </w:rPr>
        <w:t>供应商</w:t>
      </w:r>
      <w:r>
        <w:rPr>
          <w:rFonts w:hint="eastAsia" w:asciiTheme="minorEastAsia" w:hAnsiTheme="minorEastAsia" w:eastAsiaTheme="minorEastAsia" w:cstheme="minorEastAsia"/>
          <w:b/>
          <w:bCs/>
          <w:color w:val="auto"/>
          <w:szCs w:val="21"/>
          <w:highlight w:val="none"/>
        </w:rPr>
        <w:t>，并完成 CA 数字证书申领。因未注册入库、未办理 CA 数字证书等原因造成无法投标或投标失败等后果由</w:t>
      </w:r>
      <w:r>
        <w:rPr>
          <w:rFonts w:hint="eastAsia" w:asciiTheme="minorEastAsia" w:hAnsiTheme="minorEastAsia" w:eastAsiaTheme="minorEastAsia" w:cstheme="minorEastAsia"/>
          <w:b/>
          <w:bCs/>
          <w:color w:val="auto"/>
          <w:szCs w:val="21"/>
          <w:highlight w:val="none"/>
          <w:lang w:eastAsia="zh-CN"/>
        </w:rPr>
        <w:t>供应商</w:t>
      </w:r>
      <w:r>
        <w:rPr>
          <w:rFonts w:hint="eastAsia" w:asciiTheme="minorEastAsia" w:hAnsiTheme="minorEastAsia" w:eastAsiaTheme="minorEastAsia" w:cstheme="minorEastAsia"/>
          <w:b/>
          <w:bCs/>
          <w:color w:val="auto"/>
          <w:szCs w:val="21"/>
          <w:highlight w:val="none"/>
        </w:rPr>
        <w:t xml:space="preserve">自行承担。 </w:t>
      </w:r>
    </w:p>
    <w:p w14:paraId="7A606BAB">
      <w:pPr>
        <w:spacing w:line="360" w:lineRule="auto"/>
        <w:ind w:firstLine="422"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18.</w:t>
      </w:r>
      <w:r>
        <w:rPr>
          <w:rFonts w:hint="eastAsia" w:asciiTheme="minorEastAsia" w:hAnsiTheme="minorEastAsia" w:eastAsiaTheme="minorEastAsia" w:cstheme="minorEastAsia"/>
          <w:b/>
          <w:bCs/>
          <w:color w:val="auto"/>
          <w:szCs w:val="21"/>
          <w:highlight w:val="none"/>
          <w:lang w:val="en-US" w:eastAsia="zh-CN"/>
        </w:rPr>
        <w:t>5</w:t>
      </w:r>
      <w:r>
        <w:rPr>
          <w:rFonts w:hint="eastAsia" w:asciiTheme="minorEastAsia" w:hAnsiTheme="minorEastAsia" w:eastAsiaTheme="minorEastAsia" w:cstheme="minorEastAsia"/>
          <w:b/>
          <w:bCs/>
          <w:color w:val="auto"/>
          <w:szCs w:val="21"/>
          <w:highlight w:val="none"/>
        </w:rPr>
        <w:t>.3</w:t>
      </w:r>
      <w:r>
        <w:rPr>
          <w:rFonts w:hint="eastAsia" w:asciiTheme="minorEastAsia" w:hAnsiTheme="minorEastAsia" w:eastAsiaTheme="minorEastAsia" w:cstheme="minorEastAsia"/>
          <w:b/>
          <w:bCs/>
          <w:color w:val="auto"/>
          <w:szCs w:val="21"/>
          <w:highlight w:val="none"/>
          <w:lang w:eastAsia="zh-CN"/>
        </w:rPr>
        <w:t>供应商</w:t>
      </w:r>
      <w:r>
        <w:rPr>
          <w:rFonts w:hint="eastAsia" w:asciiTheme="minorEastAsia" w:hAnsiTheme="minorEastAsia" w:eastAsiaTheme="minorEastAsia" w:cstheme="minorEastAsia"/>
          <w:b/>
          <w:bCs/>
          <w:color w:val="auto"/>
          <w:szCs w:val="21"/>
          <w:highlight w:val="none"/>
        </w:rPr>
        <w:t>将</w:t>
      </w:r>
      <w:r>
        <w:rPr>
          <w:rFonts w:hint="eastAsia" w:asciiTheme="minorEastAsia" w:hAnsiTheme="minorEastAsia" w:eastAsiaTheme="minorEastAsia" w:cstheme="minorEastAsia"/>
          <w:b/>
          <w:bCs/>
          <w:color w:val="auto"/>
          <w:szCs w:val="21"/>
          <w:highlight w:val="none"/>
          <w:lang w:eastAsia="zh-CN"/>
        </w:rPr>
        <w:t>广西政府采购云平台电子交易客户端</w:t>
      </w:r>
      <w:r>
        <w:rPr>
          <w:rFonts w:hint="eastAsia" w:asciiTheme="minorEastAsia" w:hAnsiTheme="minorEastAsia" w:eastAsiaTheme="minorEastAsia" w:cstheme="minorEastAsia"/>
          <w:b/>
          <w:bCs/>
          <w:color w:val="auto"/>
          <w:szCs w:val="21"/>
          <w:highlight w:val="none"/>
        </w:rPr>
        <w:t>下载、安装完成后，可通过账号密码或 CA 登录客户端进行投标文件制作。客户端请至网站下载专区查看，如有问题可拨打</w:t>
      </w:r>
      <w:r>
        <w:rPr>
          <w:rFonts w:hint="eastAsia" w:asciiTheme="minorEastAsia" w:hAnsiTheme="minorEastAsia" w:eastAsiaTheme="minorEastAsia" w:cstheme="minorEastAsia"/>
          <w:b/>
          <w:bCs/>
          <w:color w:val="auto"/>
          <w:szCs w:val="21"/>
          <w:highlight w:val="none"/>
          <w:lang w:eastAsia="zh-CN"/>
        </w:rPr>
        <w:t>广西政府采购云平台</w:t>
      </w:r>
      <w:r>
        <w:rPr>
          <w:rFonts w:hint="eastAsia" w:asciiTheme="minorEastAsia" w:hAnsiTheme="minorEastAsia" w:eastAsiaTheme="minorEastAsia" w:cstheme="minorEastAsia"/>
          <w:b/>
          <w:bCs/>
          <w:color w:val="auto"/>
          <w:szCs w:val="21"/>
          <w:highlight w:val="none"/>
        </w:rPr>
        <w:t>客户服务热线 95763 进行咨询。</w:t>
      </w:r>
    </w:p>
    <w:p w14:paraId="1B2A891F">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19.电子备份响应文件</w:t>
      </w:r>
    </w:p>
    <w:p w14:paraId="0C4205C4">
      <w:pPr>
        <w:pageBreakBefore w:val="0"/>
        <w:kinsoku/>
        <w:wordWrap/>
        <w:topLinePunct w:val="0"/>
        <w:bidi w:val="0"/>
        <w:spacing w:line="312" w:lineRule="auto"/>
        <w:ind w:firstLine="420" w:firstLineChars="200"/>
        <w:rPr>
          <w:rFonts w:hint="eastAsia" w:ascii="宋体" w:hAnsi="宋体" w:eastAsia="宋体" w:cs="宋体"/>
          <w:b/>
          <w:bCs/>
          <w:color w:val="000000"/>
          <w:sz w:val="24"/>
          <w:highlight w:val="none"/>
        </w:rPr>
      </w:pPr>
      <w:r>
        <w:rPr>
          <w:rFonts w:hint="eastAsia" w:ascii="宋体" w:hAnsi="宋体" w:eastAsia="宋体" w:cs="宋体"/>
          <w:b w:val="0"/>
          <w:color w:val="000000"/>
          <w:sz w:val="21"/>
          <w:szCs w:val="21"/>
          <w:highlight w:val="none"/>
          <w:lang w:eastAsia="zh-CN"/>
        </w:rPr>
        <w:t>电子备份响应文件是指通过在线编制生成且后缀名为“bfbs”的文件，是否接受电子备份响应文件详见在“供应商须知前附表”。</w:t>
      </w:r>
    </w:p>
    <w:p w14:paraId="682D2CE4">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2C6BF14C">
      <w:pPr>
        <w:pageBreakBefore w:val="0"/>
        <w:kinsoku/>
        <w:wordWrap/>
        <w:topLinePunct w:val="0"/>
        <w:bidi w:val="0"/>
        <w:spacing w:line="312"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20.1供应商必须按“供应商须知前附表”规定的时间及地点提交响应文件。电子响应文件应在制作完成后，在提交响应文件截止时间前通过有效数字证书（CA认证锁）进行电子签章、加密，然后通过网络将加密的电子响应文件提交至广西政府采购云平台。  </w:t>
      </w:r>
    </w:p>
    <w:p w14:paraId="65FD5686">
      <w:pPr>
        <w:pageBreakBefore w:val="0"/>
        <w:kinsoku/>
        <w:wordWrap/>
        <w:topLinePunct w:val="0"/>
        <w:bidi w:val="0"/>
        <w:spacing w:line="312" w:lineRule="auto"/>
        <w:ind w:firstLine="420" w:firstLineChars="200"/>
        <w:outlineLvl w:val="9"/>
        <w:rPr>
          <w:rFonts w:hint="eastAsia" w:ascii="宋体" w:hAnsi="宋体" w:eastAsia="宋体" w:cs="宋体"/>
          <w:b/>
          <w:bCs/>
          <w:color w:val="000000"/>
          <w:sz w:val="24"/>
          <w:highlight w:val="none"/>
        </w:rPr>
      </w:pPr>
      <w:r>
        <w:rPr>
          <w:rFonts w:hint="eastAsia" w:ascii="宋体" w:hAnsi="宋体" w:eastAsia="宋体" w:cs="宋体"/>
          <w:color w:val="000000"/>
          <w:szCs w:val="21"/>
          <w:highlight w:val="none"/>
        </w:rPr>
        <w:t>20.2未在规定时间内提交或者未按照磋商文件要求加密的电子响应文件，广西政府采购云平台将拒收。</w:t>
      </w:r>
    </w:p>
    <w:p w14:paraId="58565CCF">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2909A4F4">
      <w:pPr>
        <w:pageBreakBefore w:val="0"/>
        <w:kinsoku/>
        <w:wordWrap/>
        <w:topLinePunct w:val="0"/>
        <w:bidi w:val="0"/>
        <w:spacing w:line="312" w:lineRule="auto"/>
        <w:ind w:firstLine="420" w:firstLineChars="200"/>
        <w:rPr>
          <w:rFonts w:hint="eastAsia" w:asciiTheme="minorEastAsia" w:hAnsiTheme="minorEastAsia" w:eastAsiaTheme="minorEastAsia" w:cstheme="minorEastAsia"/>
          <w:color w:val="000000"/>
          <w:szCs w:val="21"/>
          <w:highlight w:val="none"/>
        </w:rPr>
      </w:pPr>
      <w:bookmarkStart w:id="75" w:name="_Toc254970543"/>
      <w:bookmarkStart w:id="76" w:name="_Toc254970684"/>
      <w:r>
        <w:rPr>
          <w:rFonts w:hint="eastAsia" w:asciiTheme="minorEastAsia" w:hAnsiTheme="minorEastAsia" w:eastAsiaTheme="minorEastAsia" w:cstheme="minorEastAsia"/>
          <w:color w:val="000000"/>
          <w:szCs w:val="21"/>
          <w:highlight w:val="none"/>
        </w:rPr>
        <w:t>21.1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注：补充、修改或者撤回方式可登录广西政府采购云平台，进入“服务中心”中查看 “电子投标文件制作与投送教程”）</w:t>
      </w:r>
    </w:p>
    <w:bookmarkEnd w:id="75"/>
    <w:bookmarkEnd w:id="76"/>
    <w:p w14:paraId="4FDD611A">
      <w:pPr>
        <w:pageBreakBefore w:val="0"/>
        <w:kinsoku/>
        <w:wordWrap/>
        <w:topLinePunct w:val="0"/>
        <w:bidi w:val="0"/>
        <w:spacing w:line="312" w:lineRule="auto"/>
        <w:ind w:firstLine="420" w:firstLineChars="200"/>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21.2在提交响应文件截止时间前，除供应商补充、修改或者撤回响应文件外，任何单位和个人不得解密或提取响应文件。</w:t>
      </w:r>
    </w:p>
    <w:p w14:paraId="176A7B68">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22. 首次响应文件的退回</w:t>
      </w:r>
    </w:p>
    <w:p w14:paraId="56B5F21A">
      <w:pPr>
        <w:pageBreakBefore w:val="0"/>
        <w:kinsoku/>
        <w:wordWrap/>
        <w:topLinePunct w:val="0"/>
        <w:bidi w:val="0"/>
        <w:spacing w:line="312" w:lineRule="auto"/>
        <w:ind w:firstLine="420" w:firstLineChars="200"/>
        <w:rPr>
          <w:rFonts w:hint="eastAsia" w:asciiTheme="minorEastAsia" w:hAnsiTheme="minorEastAsia" w:eastAsiaTheme="minorEastAsia" w:cstheme="minorEastAsia"/>
          <w:color w:val="000000"/>
          <w:szCs w:val="21"/>
          <w:highlight w:val="yellow"/>
        </w:rPr>
      </w:pPr>
      <w:r>
        <w:rPr>
          <w:rFonts w:hint="eastAsia" w:asciiTheme="minorEastAsia" w:hAnsiTheme="minorEastAsia" w:eastAsiaTheme="minorEastAsia" w:cstheme="minorEastAsia"/>
          <w:b w:val="0"/>
          <w:bCs w:val="0"/>
          <w:color w:val="000000"/>
          <w:szCs w:val="21"/>
          <w:highlight w:val="none"/>
          <w:lang w:eastAsia="zh-CN"/>
        </w:rPr>
        <w:t>采购人和采购代理机构对已提交的响应文件概不退回。</w:t>
      </w:r>
    </w:p>
    <w:p w14:paraId="1103CE87">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23. 截止时间后的撤回</w:t>
      </w:r>
    </w:p>
    <w:p w14:paraId="4C48996B">
      <w:pPr>
        <w:pageBreakBefore w:val="0"/>
        <w:kinsoku/>
        <w:wordWrap/>
        <w:topLinePunct w:val="0"/>
        <w:bidi w:val="0"/>
        <w:spacing w:line="312"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000000"/>
          <w:szCs w:val="21"/>
          <w:highlight w:val="none"/>
        </w:rPr>
        <w:t>供应商在首次响应文件提交截止时间后向采购人、采购代理机构书面申请撤回响应文件的，将根据本须知正文17.4的规定不予退还其磋商保证金</w:t>
      </w:r>
      <w:r>
        <w:rPr>
          <w:rFonts w:hint="eastAsia" w:asciiTheme="minorEastAsia" w:hAnsiTheme="minorEastAsia" w:eastAsiaTheme="minorEastAsia" w:cstheme="minorEastAsia"/>
          <w:color w:val="auto"/>
          <w:szCs w:val="21"/>
          <w:highlight w:val="none"/>
        </w:rPr>
        <w:t>。</w:t>
      </w:r>
    </w:p>
    <w:bookmarkEnd w:id="74"/>
    <w:p w14:paraId="5527CBE9">
      <w:pPr>
        <w:pageBreakBefore w:val="0"/>
        <w:kinsoku/>
        <w:wordWrap/>
        <w:topLinePunct w:val="0"/>
        <w:bidi w:val="0"/>
        <w:spacing w:line="312" w:lineRule="auto"/>
        <w:rPr>
          <w:rFonts w:hint="eastAsia" w:ascii="宋体" w:hAnsi="宋体"/>
          <w:color w:val="auto"/>
          <w:szCs w:val="21"/>
          <w:highlight w:val="none"/>
        </w:rPr>
      </w:pPr>
    </w:p>
    <w:p w14:paraId="60DE63E4">
      <w:pPr>
        <w:pageBreakBefore w:val="0"/>
        <w:kinsoku/>
        <w:wordWrap/>
        <w:topLinePunct w:val="0"/>
        <w:bidi w:val="0"/>
        <w:spacing w:line="312" w:lineRule="auto"/>
        <w:ind w:left="420" w:leftChars="0" w:firstLine="420" w:firstLineChars="0"/>
        <w:jc w:val="center"/>
        <w:outlineLvl w:val="0"/>
        <w:rPr>
          <w:rFonts w:hint="eastAsia" w:ascii="宋体" w:hAnsi="宋体"/>
          <w:b/>
          <w:bCs/>
          <w:color w:val="auto"/>
          <w:sz w:val="32"/>
          <w:szCs w:val="32"/>
          <w:highlight w:val="none"/>
        </w:rPr>
      </w:pPr>
      <w:bookmarkStart w:id="77" w:name="_Toc1609"/>
      <w:r>
        <w:rPr>
          <w:rFonts w:hint="eastAsia" w:ascii="宋体" w:hAnsi="宋体"/>
          <w:b/>
          <w:bCs/>
          <w:color w:val="auto"/>
          <w:sz w:val="32"/>
          <w:szCs w:val="32"/>
          <w:highlight w:val="none"/>
        </w:rPr>
        <w:t>四、评审及磋商</w:t>
      </w:r>
      <w:bookmarkEnd w:id="77"/>
    </w:p>
    <w:p w14:paraId="19DFF654">
      <w:pPr>
        <w:pageBreakBefore w:val="0"/>
        <w:kinsoku/>
        <w:wordWrap/>
        <w:topLinePunct w:val="0"/>
        <w:bidi w:val="0"/>
        <w:spacing w:line="312" w:lineRule="auto"/>
        <w:ind w:left="420" w:firstLine="420"/>
        <w:rPr>
          <w:rFonts w:hint="eastAsia" w:ascii="宋体" w:hAnsi="宋体"/>
          <w:color w:val="auto"/>
          <w:szCs w:val="21"/>
          <w:highlight w:val="none"/>
        </w:rPr>
      </w:pPr>
    </w:p>
    <w:p w14:paraId="71066C71">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4</w:t>
      </w:r>
      <w:r>
        <w:rPr>
          <w:rFonts w:hint="eastAsia" w:ascii="黑体" w:hAnsi="黑体" w:eastAsia="黑体" w:cs="宋体"/>
          <w:b/>
          <w:bCs/>
          <w:color w:val="auto"/>
          <w:sz w:val="24"/>
          <w:highlight w:val="none"/>
        </w:rPr>
        <w:t>.磋商小组成立</w:t>
      </w:r>
    </w:p>
    <w:p w14:paraId="29BFA261">
      <w:pPr>
        <w:pageBreakBefore w:val="0"/>
        <w:kinsoku/>
        <w:wordWrap/>
        <w:topLinePunct w:val="0"/>
        <w:bidi w:val="0"/>
        <w:spacing w:line="312"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54C6BA41">
      <w:pPr>
        <w:pageBreakBefore w:val="0"/>
        <w:kinsoku/>
        <w:wordWrap/>
        <w:topLinePunct w:val="0"/>
        <w:bidi w:val="0"/>
        <w:spacing w:line="312"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88CFE7B">
      <w:pPr>
        <w:pageBreakBefore w:val="0"/>
        <w:kinsoku/>
        <w:wordWrap/>
        <w:topLinePunct w:val="0"/>
        <w:bidi w:val="0"/>
        <w:spacing w:line="312"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24.3采购代理机构应当基于广西政府采购云平台抽（选）取评审专家。</w:t>
      </w:r>
    </w:p>
    <w:p w14:paraId="3A89C7EE">
      <w:pPr>
        <w:pageBreakBefore w:val="0"/>
        <w:kinsoku/>
        <w:wordWrap/>
        <w:topLinePunct w:val="0"/>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000000"/>
          <w:szCs w:val="21"/>
          <w:highlight w:val="none"/>
        </w:rPr>
        <w:t>24.4参加过采购项目前期咨询论证的专家，不得参加该采购项目的评审活动</w:t>
      </w:r>
      <w:r>
        <w:rPr>
          <w:rFonts w:hint="eastAsia" w:ascii="宋体" w:hAnsi="宋体" w:eastAsia="宋体" w:cs="宋体"/>
          <w:color w:val="auto"/>
          <w:szCs w:val="21"/>
          <w:highlight w:val="none"/>
        </w:rPr>
        <w:t>。</w:t>
      </w:r>
    </w:p>
    <w:p w14:paraId="3F9FDC27">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25.首次响应文件的开启</w:t>
      </w:r>
    </w:p>
    <w:p w14:paraId="55912033">
      <w:pPr>
        <w:pageBreakBefore w:val="0"/>
        <w:kinsoku/>
        <w:wordWrap/>
        <w:topLinePunct w:val="0"/>
        <w:bidi w:val="0"/>
        <w:spacing w:line="312"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采购代理机构将在“供应商须知前附表”规定的时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供应商须知前附表”规定的时间内自行进行响应文件解密。</w:t>
      </w:r>
      <w:r>
        <w:rPr>
          <w:rFonts w:hint="eastAsia" w:ascii="宋体" w:hAnsi="宋体" w:eastAsia="宋体" w:cs="宋体"/>
          <w:b/>
          <w:bCs/>
          <w:color w:val="000000"/>
          <w:szCs w:val="21"/>
          <w:highlight w:val="none"/>
        </w:rPr>
        <w:t>供应商未在规定的时间内解密响应文件或者解密失败的，供应商的响应文件按无效处理。</w:t>
      </w:r>
    </w:p>
    <w:p w14:paraId="6FEE1DE6">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26.评审程序、评审方法和评审标准</w:t>
      </w:r>
    </w:p>
    <w:p w14:paraId="60163A7C">
      <w:pPr>
        <w:pageBreakBefore w:val="0"/>
        <w:kinsoku/>
        <w:wordWrap/>
        <w:topLinePunct w:val="0"/>
        <w:bidi w:val="0"/>
        <w:spacing w:line="312"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26.1本项目的评审方法为综合评分法。</w:t>
      </w:r>
    </w:p>
    <w:p w14:paraId="46C67EB5">
      <w:pPr>
        <w:pageBreakBefore w:val="0"/>
        <w:kinsoku/>
        <w:wordWrap/>
        <w:topLinePunct w:val="0"/>
        <w:bidi w:val="0"/>
        <w:spacing w:line="312"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26.2磋商小组按照“第四章 评审程序、评审方法和评审标准”规定的方法、评审因素、标准和程序对响应文件进行评审并推荐成交候选供应商。</w:t>
      </w:r>
    </w:p>
    <w:p w14:paraId="3025CBD5">
      <w:pPr>
        <w:pageBreakBefore w:val="0"/>
        <w:kinsoku/>
        <w:wordWrap/>
        <w:topLinePunct w:val="0"/>
        <w:bidi w:val="0"/>
        <w:spacing w:line="312"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26.3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45606C28">
      <w:pPr>
        <w:pageBreakBefore w:val="0"/>
        <w:kinsoku/>
        <w:wordWrap/>
        <w:topLinePunct w:val="0"/>
        <w:bidi w:val="0"/>
        <w:spacing w:line="312"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26.4电子交易活动的中止。采购过程中出现以下情形，导致电子交易平台无法正常运行，或者无法保证电子交易的公平、公正和安全时，采购机构可中止电子交易活动：</w:t>
      </w:r>
    </w:p>
    <w:p w14:paraId="0781615C">
      <w:pPr>
        <w:pageBreakBefore w:val="0"/>
        <w:kinsoku/>
        <w:wordWrap/>
        <w:topLinePunct w:val="0"/>
        <w:bidi w:val="0"/>
        <w:spacing w:line="312"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（1）电子交易平台发生故障而无法登录访问的； </w:t>
      </w:r>
    </w:p>
    <w:p w14:paraId="39AD973C">
      <w:pPr>
        <w:pageBreakBefore w:val="0"/>
        <w:kinsoku/>
        <w:wordWrap/>
        <w:topLinePunct w:val="0"/>
        <w:bidi w:val="0"/>
        <w:spacing w:line="312"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（2）电子交易平台应用或数据库出现错误，不能进行正常操作的；</w:t>
      </w:r>
    </w:p>
    <w:p w14:paraId="346FA3C4">
      <w:pPr>
        <w:pageBreakBefore w:val="0"/>
        <w:kinsoku/>
        <w:wordWrap/>
        <w:topLinePunct w:val="0"/>
        <w:bidi w:val="0"/>
        <w:spacing w:line="312"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（3）电子交易平台发现严重安全漏洞，有潜在泄密危险的；</w:t>
      </w:r>
    </w:p>
    <w:p w14:paraId="2C8F6663">
      <w:pPr>
        <w:pageBreakBefore w:val="0"/>
        <w:kinsoku/>
        <w:wordWrap/>
        <w:topLinePunct w:val="0"/>
        <w:bidi w:val="0"/>
        <w:spacing w:line="312"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（4）病毒发作导致不能进行正常操作的； </w:t>
      </w:r>
    </w:p>
    <w:p w14:paraId="30E026CE">
      <w:pPr>
        <w:pageBreakBefore w:val="0"/>
        <w:kinsoku/>
        <w:wordWrap/>
        <w:topLinePunct w:val="0"/>
        <w:bidi w:val="0"/>
        <w:spacing w:line="312"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（5）其他无法保证电子交易的公平、公正和安全的情况。</w:t>
      </w:r>
    </w:p>
    <w:p w14:paraId="0C4B545B">
      <w:pPr>
        <w:pageBreakBefore w:val="0"/>
        <w:kinsoku/>
        <w:wordWrap/>
        <w:topLinePunct w:val="0"/>
        <w:bidi w:val="0"/>
        <w:spacing w:line="312" w:lineRule="auto"/>
        <w:ind w:firstLine="420" w:firstLineChars="200"/>
        <w:rPr>
          <w:rFonts w:hint="eastAsia" w:ascii="宋体" w:hAnsi="宋体" w:eastAsia="宋体" w:cs="宋体"/>
          <w:b/>
          <w:bCs/>
          <w:color w:val="000000"/>
          <w:szCs w:val="21"/>
          <w:highlight w:val="none"/>
        </w:rPr>
      </w:pPr>
      <w:r>
        <w:rPr>
          <w:rFonts w:hint="eastAsia" w:ascii="宋体" w:hAnsi="宋体" w:eastAsia="宋体" w:cs="宋体"/>
          <w:color w:val="000000"/>
          <w:szCs w:val="21"/>
          <w:highlight w:val="none"/>
        </w:rPr>
        <w:t>26.5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17417069">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27.确定成交供应商及结果公告</w:t>
      </w:r>
    </w:p>
    <w:p w14:paraId="0140F20F">
      <w:pPr>
        <w:pageBreakBefore w:val="0"/>
        <w:kinsoku/>
        <w:wordWrap/>
        <w:topLinePunct w:val="0"/>
        <w:bidi w:val="0"/>
        <w:spacing w:line="312"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27.1</w:t>
      </w:r>
      <w:r>
        <w:rPr>
          <w:rFonts w:hint="eastAsia" w:ascii="宋体" w:hAnsi="宋体" w:eastAsia="宋体" w:cs="宋体"/>
          <w:color w:val="000000"/>
          <w:kern w:val="0"/>
          <w:szCs w:val="21"/>
          <w:highlight w:val="none"/>
        </w:rPr>
        <w:t xml:space="preserve"> </w:t>
      </w:r>
      <w:r>
        <w:rPr>
          <w:rFonts w:hint="eastAsia" w:ascii="宋体" w:hAnsi="宋体" w:eastAsia="宋体" w:cs="宋体"/>
          <w:color w:val="000000"/>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6C6C438">
      <w:pPr>
        <w:pageBreakBefore w:val="0"/>
        <w:kinsoku/>
        <w:wordWrap/>
        <w:topLinePunct w:val="0"/>
        <w:bidi w:val="0"/>
        <w:spacing w:line="312"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27.2采购代理机构应当在</w:t>
      </w:r>
      <w:r>
        <w:rPr>
          <w:rFonts w:hint="eastAsia" w:ascii="宋体" w:hAnsi="宋体" w:eastAsia="宋体" w:cs="宋体"/>
          <w:color w:val="000000"/>
          <w:kern w:val="0"/>
          <w:szCs w:val="21"/>
          <w:highlight w:val="none"/>
        </w:rPr>
        <w:t>成交</w:t>
      </w:r>
      <w:r>
        <w:rPr>
          <w:rFonts w:hint="eastAsia" w:ascii="宋体" w:hAnsi="宋体" w:eastAsia="宋体" w:cs="宋体"/>
          <w:color w:val="000000"/>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8" w:name="_Hlk66782294"/>
      <w:r>
        <w:rPr>
          <w:rFonts w:hint="eastAsia" w:ascii="宋体" w:hAnsi="宋体" w:eastAsia="宋体" w:cs="宋体"/>
          <w:color w:val="000000"/>
          <w:szCs w:val="21"/>
          <w:highlight w:val="none"/>
        </w:rPr>
        <w:t>成交供应商享受《政府采购促进中小企业发展管理办法》（财库〔2020〕46号）规定的中小企业扶持政策的，采购人、采购代理机构应当随成交结果公开成交供应商的《中小企业声明函》。</w:t>
      </w:r>
      <w:bookmarkEnd w:id="78"/>
    </w:p>
    <w:p w14:paraId="62D5A44C">
      <w:pPr>
        <w:pageBreakBefore w:val="0"/>
        <w:kinsoku/>
        <w:wordWrap/>
        <w:topLinePunct w:val="0"/>
        <w:bidi w:val="0"/>
        <w:spacing w:line="312"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27.3出现下列情形之一的，采购人或者采购代理机构应当终止竞争性磋商采购活动，发布项目终止公告并说明原因，重新开展采购活动：</w:t>
      </w:r>
    </w:p>
    <w:p w14:paraId="5D31C0D1">
      <w:pPr>
        <w:pageBreakBefore w:val="0"/>
        <w:kinsoku/>
        <w:wordWrap/>
        <w:topLinePunct w:val="0"/>
        <w:bidi w:val="0"/>
        <w:spacing w:line="312"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（1）因情况变化，不再符合规定的竞争性磋商采购方式适用情形的；</w:t>
      </w:r>
    </w:p>
    <w:p w14:paraId="57AB9F61">
      <w:pPr>
        <w:pageBreakBefore w:val="0"/>
        <w:kinsoku/>
        <w:wordWrap/>
        <w:topLinePunct w:val="0"/>
        <w:bidi w:val="0"/>
        <w:spacing w:line="312"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（2）出现影响采购公正的违法、违规行为的；</w:t>
      </w:r>
    </w:p>
    <w:p w14:paraId="257BFAFA">
      <w:pPr>
        <w:pageBreakBefore w:val="0"/>
        <w:kinsoku/>
        <w:wordWrap/>
        <w:topLinePunct w:val="0"/>
        <w:bidi w:val="0"/>
        <w:spacing w:line="312"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（3）除“第四章 评审程序、评审方法和评审标准”第4.3条规定的情形外，在采购过程中符合要求的供应商或者报价未超过采购预算的供应商不足3家的。</w:t>
      </w:r>
    </w:p>
    <w:p w14:paraId="647B0572">
      <w:pPr>
        <w:pageBreakBefore w:val="0"/>
        <w:kinsoku/>
        <w:wordWrap/>
        <w:topLinePunct w:val="0"/>
        <w:bidi w:val="0"/>
        <w:spacing w:line="312"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r>
        <w:rPr>
          <w:rFonts w:hint="eastAsia" w:ascii="宋体" w:hAnsi="宋体" w:eastAsia="宋体" w:cs="宋体"/>
          <w:bCs/>
          <w:color w:val="000000"/>
          <w:szCs w:val="21"/>
          <w:highlight w:val="none"/>
        </w:rPr>
        <w:t>。</w:t>
      </w:r>
    </w:p>
    <w:p w14:paraId="364560C2">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28.履约保证金</w:t>
      </w:r>
    </w:p>
    <w:p w14:paraId="2E3FD005">
      <w:pPr>
        <w:pageBreakBefore w:val="0"/>
        <w:kinsoku/>
        <w:wordWrap/>
        <w:topLinePunct w:val="0"/>
        <w:bidi w:val="0"/>
        <w:spacing w:line="312" w:lineRule="auto"/>
        <w:ind w:firstLine="424" w:firstLineChars="202"/>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28.1 履约保证金的金额、提交方式、退付的时间和条件详见 “供应商须知前附表”。成交供应商未按规定提交履约保证金的，视为拒绝</w:t>
      </w:r>
      <w:r>
        <w:rPr>
          <w:rFonts w:hint="eastAsia" w:ascii="宋体" w:hAnsi="宋体" w:eastAsia="宋体" w:cs="宋体"/>
          <w:color w:val="000000"/>
          <w:highlight w:val="none"/>
        </w:rPr>
        <w:t>与采购人</w:t>
      </w:r>
      <w:r>
        <w:rPr>
          <w:rFonts w:hint="eastAsia" w:ascii="宋体" w:hAnsi="宋体" w:eastAsia="宋体" w:cs="宋体"/>
          <w:color w:val="000000"/>
          <w:szCs w:val="21"/>
          <w:highlight w:val="none"/>
        </w:rPr>
        <w:t>签订合同，采购人可以按照评审报告推荐的成交候选人名单排序，确定下一候选人为成交供应商，也可以重新开展政府采购活动。</w:t>
      </w:r>
    </w:p>
    <w:p w14:paraId="086E58BB">
      <w:pPr>
        <w:pageBreakBefore w:val="0"/>
        <w:kinsoku/>
        <w:wordWrap/>
        <w:topLinePunct w:val="0"/>
        <w:bidi w:val="0"/>
        <w:spacing w:line="312" w:lineRule="auto"/>
        <w:ind w:firstLine="424" w:firstLineChars="202"/>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28.2签订合同后，如成交供应商不按双方签订的合同规定履约，则没收其全部履约保证金，履约保证金不足以赔偿损失的，按实际损失赔偿。</w:t>
      </w:r>
    </w:p>
    <w:p w14:paraId="1646DF1F">
      <w:pPr>
        <w:pageBreakBefore w:val="0"/>
        <w:kinsoku/>
        <w:wordWrap/>
        <w:topLinePunct w:val="0"/>
        <w:bidi w:val="0"/>
        <w:spacing w:line="312" w:lineRule="auto"/>
        <w:ind w:firstLine="424" w:firstLineChars="202"/>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28.3在履约保证金退还日期前，若成交供应商的开户名称、开户银行、帐号有变动的，请以书面形式通知履约保证金收取单位，否则由此产生的后果由成交供应商自行承担。</w:t>
      </w:r>
    </w:p>
    <w:p w14:paraId="4B9C1862">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29.签订合同</w:t>
      </w:r>
    </w:p>
    <w:p w14:paraId="1A92C696">
      <w:pPr>
        <w:pageBreakBefore w:val="0"/>
        <w:kinsoku/>
        <w:wordWrap/>
        <w:topLinePunct w:val="0"/>
        <w:bidi w:val="0"/>
        <w:spacing w:line="312" w:lineRule="auto"/>
        <w:ind w:firstLine="424" w:firstLineChars="202"/>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29.1签订电子采购合同：成交供应商领取电子成交通知书后，在</w:t>
      </w:r>
      <w:r>
        <w:rPr>
          <w:rFonts w:hint="eastAsia" w:ascii="宋体" w:hAnsi="宋体" w:eastAsia="宋体" w:cs="宋体"/>
          <w:color w:val="000000"/>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44750C51">
      <w:pPr>
        <w:pageBreakBefore w:val="0"/>
        <w:kinsoku/>
        <w:wordWrap/>
        <w:topLinePunct w:val="0"/>
        <w:bidi w:val="0"/>
        <w:spacing w:line="312" w:lineRule="auto"/>
        <w:ind w:firstLine="424" w:firstLineChars="202"/>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线下签订纸质合同：供应商领取成交通知书后，按“供应商须知前附表”规定向采购人出示相关证明材料，经采购人核验合格后方可签订合同。</w:t>
      </w:r>
    </w:p>
    <w:p w14:paraId="4766A209">
      <w:pPr>
        <w:pageBreakBefore w:val="0"/>
        <w:kinsoku/>
        <w:wordWrap/>
        <w:topLinePunct w:val="0"/>
        <w:bidi w:val="0"/>
        <w:spacing w:line="312" w:lineRule="auto"/>
        <w:ind w:firstLine="424" w:firstLineChars="202"/>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29.2签订合同时间：按成交通知书规定的时间与采购人签订合同。</w:t>
      </w:r>
    </w:p>
    <w:p w14:paraId="5052C536">
      <w:pPr>
        <w:pageBreakBefore w:val="0"/>
        <w:kinsoku/>
        <w:wordWrap/>
        <w:topLinePunct w:val="0"/>
        <w:bidi w:val="0"/>
        <w:spacing w:line="312" w:lineRule="auto"/>
        <w:ind w:firstLine="424" w:firstLineChars="202"/>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7A43ABEC">
      <w:pPr>
        <w:pageBreakBefore w:val="0"/>
        <w:kinsoku/>
        <w:wordWrap/>
        <w:topLinePunct w:val="0"/>
        <w:bidi w:val="0"/>
        <w:spacing w:line="312" w:lineRule="auto"/>
        <w:ind w:firstLine="424" w:firstLineChars="202"/>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D1705D1">
      <w:pPr>
        <w:pageBreakBefore w:val="0"/>
        <w:kinsoku/>
        <w:wordWrap/>
        <w:topLinePunct w:val="0"/>
        <w:bidi w:val="0"/>
        <w:spacing w:line="312" w:lineRule="auto"/>
        <w:ind w:firstLine="424" w:firstLineChars="202"/>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6D8C9463">
      <w:pPr>
        <w:pageBreakBefore w:val="0"/>
        <w:kinsoku/>
        <w:wordWrap/>
        <w:topLinePunct w:val="0"/>
        <w:bidi w:val="0"/>
        <w:spacing w:line="312" w:lineRule="auto"/>
        <w:ind w:firstLine="424" w:firstLineChars="202"/>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29.6如签订合同并生效后，供应商无故拒绝或延期，除按照合同条款处理外，将承担相应的法律责任。</w:t>
      </w:r>
    </w:p>
    <w:p w14:paraId="6E2FD110">
      <w:pPr>
        <w:pageBreakBefore w:val="0"/>
        <w:kinsoku/>
        <w:wordWrap/>
        <w:topLinePunct w:val="0"/>
        <w:bidi w:val="0"/>
        <w:spacing w:line="312" w:lineRule="auto"/>
        <w:ind w:firstLine="424" w:firstLineChars="202"/>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6D903E55">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30.政府采购合同公告</w:t>
      </w:r>
    </w:p>
    <w:p w14:paraId="1D284425">
      <w:pPr>
        <w:pageBreakBefore w:val="0"/>
        <w:kinsoku/>
        <w:wordWrap/>
        <w:topLinePunct w:val="0"/>
        <w:bidi w:val="0"/>
        <w:spacing w:line="312"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BAC1B2B">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31. 询问、质疑和投诉</w:t>
      </w:r>
    </w:p>
    <w:p w14:paraId="0A4FEF94">
      <w:pPr>
        <w:pageBreakBefore w:val="0"/>
        <w:kinsoku/>
        <w:wordWrap/>
        <w:topLinePunct w:val="0"/>
        <w:bidi w:val="0"/>
        <w:spacing w:line="312"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31.1供应商对政府采购活动事项有疑问的，可以向采购人、采购代理机构提出询问，采购人或者采购代理机构应当在3个工作日内对供应商依法提出的询问作出答复，</w:t>
      </w:r>
      <w:r>
        <w:rPr>
          <w:rFonts w:hint="eastAsia" w:ascii="宋体" w:hAnsi="宋体" w:eastAsia="宋体" w:cs="宋体"/>
          <w:color w:val="000000"/>
          <w:szCs w:val="21"/>
          <w:highlight w:val="none"/>
        </w:rPr>
        <w:t>但答复的内容不得涉及商业秘密</w:t>
      </w:r>
      <w:r>
        <w:rPr>
          <w:rFonts w:hint="eastAsia" w:ascii="宋体" w:hAnsi="宋体" w:eastAsia="宋体" w:cs="宋体"/>
          <w:color w:val="000000"/>
          <w:highlight w:val="none"/>
        </w:rPr>
        <w:t>。</w:t>
      </w:r>
    </w:p>
    <w:p w14:paraId="2C091C51">
      <w:pPr>
        <w:pageBreakBefore w:val="0"/>
        <w:kinsoku/>
        <w:wordWrap/>
        <w:topLinePunct w:val="0"/>
        <w:bidi w:val="0"/>
        <w:spacing w:line="312"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000000"/>
          <w:highlight w:val="none"/>
          <w:shd w:val="clear" w:color="auto" w:fill="FFFFFF"/>
        </w:rPr>
        <w:t>接收质疑函的方式、联系部门、联系电话和通讯地址等信息详见</w:t>
      </w:r>
      <w:r>
        <w:rPr>
          <w:rFonts w:hint="eastAsia" w:ascii="宋体" w:hAnsi="宋体" w:eastAsia="宋体" w:cs="宋体"/>
          <w:color w:val="000000"/>
          <w:szCs w:val="21"/>
          <w:highlight w:val="none"/>
        </w:rPr>
        <w:t>“供应商须知前附表”</w:t>
      </w:r>
      <w:r>
        <w:rPr>
          <w:rFonts w:hint="eastAsia" w:ascii="宋体" w:hAnsi="宋体" w:eastAsia="宋体" w:cs="宋体"/>
          <w:color w:val="000000"/>
          <w:highlight w:val="none"/>
        </w:rPr>
        <w:t>。具体质疑起算时间如下：</w:t>
      </w:r>
    </w:p>
    <w:p w14:paraId="36310677">
      <w:pPr>
        <w:pageBreakBefore w:val="0"/>
        <w:kinsoku/>
        <w:wordWrap/>
        <w:topLinePunct w:val="0"/>
        <w:bidi w:val="0"/>
        <w:spacing w:line="312"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（1）对可以质疑的磋商文件提出质疑的，为收到磋商文件之日或者竞争性磋商公告期限届满之日；</w:t>
      </w:r>
    </w:p>
    <w:p w14:paraId="7DF90D1F">
      <w:pPr>
        <w:pageBreakBefore w:val="0"/>
        <w:kinsoku/>
        <w:wordWrap/>
        <w:topLinePunct w:val="0"/>
        <w:bidi w:val="0"/>
        <w:spacing w:line="312"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（2）对采购过程提出质疑的，为各采购程序环节结束之日；</w:t>
      </w:r>
    </w:p>
    <w:p w14:paraId="78E3AC8B">
      <w:pPr>
        <w:pageBreakBefore w:val="0"/>
        <w:kinsoku/>
        <w:wordWrap/>
        <w:topLinePunct w:val="0"/>
        <w:bidi w:val="0"/>
        <w:spacing w:line="312"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（3）对成交结果提出质疑的，为成交结果公告期限届满之日。</w:t>
      </w:r>
    </w:p>
    <w:p w14:paraId="3CBA3DDD">
      <w:pPr>
        <w:pageBreakBefore w:val="0"/>
        <w:kinsoku/>
        <w:wordWrap/>
        <w:topLinePunct w:val="0"/>
        <w:bidi w:val="0"/>
        <w:spacing w:line="312"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1EA08C1">
      <w:pPr>
        <w:pageBreakBefore w:val="0"/>
        <w:kinsoku/>
        <w:wordWrap/>
        <w:topLinePunct w:val="0"/>
        <w:bidi w:val="0"/>
        <w:spacing w:line="312"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000000"/>
          <w:highlight w:val="none"/>
        </w:rPr>
        <w:t>（质疑函格式后附）</w:t>
      </w:r>
      <w:r>
        <w:rPr>
          <w:rFonts w:hint="eastAsia" w:ascii="宋体" w:hAnsi="宋体" w:eastAsia="宋体" w:cs="宋体"/>
          <w:color w:val="000000"/>
          <w:highlight w:val="none"/>
        </w:rPr>
        <w:t>：</w:t>
      </w:r>
    </w:p>
    <w:p w14:paraId="165F4E67">
      <w:pPr>
        <w:pageBreakBefore w:val="0"/>
        <w:kinsoku/>
        <w:wordWrap/>
        <w:topLinePunct w:val="0"/>
        <w:bidi w:val="0"/>
        <w:spacing w:line="312"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（1）供应商的姓名或者名称、地址、邮编、联系人及联系电话；</w:t>
      </w:r>
    </w:p>
    <w:p w14:paraId="168155E4">
      <w:pPr>
        <w:pageBreakBefore w:val="0"/>
        <w:kinsoku/>
        <w:wordWrap/>
        <w:topLinePunct w:val="0"/>
        <w:bidi w:val="0"/>
        <w:spacing w:line="312"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（2）质疑项目的名称、编号；</w:t>
      </w:r>
    </w:p>
    <w:p w14:paraId="709887A9">
      <w:pPr>
        <w:pageBreakBefore w:val="0"/>
        <w:kinsoku/>
        <w:wordWrap/>
        <w:topLinePunct w:val="0"/>
        <w:bidi w:val="0"/>
        <w:spacing w:line="312"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（3）具体、明确的质疑事项和与质疑事项相关的请求；</w:t>
      </w:r>
    </w:p>
    <w:p w14:paraId="2437CC7A">
      <w:pPr>
        <w:pageBreakBefore w:val="0"/>
        <w:kinsoku/>
        <w:wordWrap/>
        <w:topLinePunct w:val="0"/>
        <w:bidi w:val="0"/>
        <w:spacing w:line="312"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（4）事实依据；</w:t>
      </w:r>
    </w:p>
    <w:p w14:paraId="1935F17C">
      <w:pPr>
        <w:pageBreakBefore w:val="0"/>
        <w:kinsoku/>
        <w:wordWrap/>
        <w:topLinePunct w:val="0"/>
        <w:bidi w:val="0"/>
        <w:spacing w:line="312"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（5）必要的法律依据；</w:t>
      </w:r>
    </w:p>
    <w:p w14:paraId="2352FE0E">
      <w:pPr>
        <w:pageBreakBefore w:val="0"/>
        <w:kinsoku/>
        <w:wordWrap/>
        <w:topLinePunct w:val="0"/>
        <w:bidi w:val="0"/>
        <w:spacing w:line="312"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（6）提出质疑的日期。</w:t>
      </w:r>
    </w:p>
    <w:p w14:paraId="5F275058">
      <w:pPr>
        <w:pageBreakBefore w:val="0"/>
        <w:kinsoku/>
        <w:wordWrap/>
        <w:topLinePunct w:val="0"/>
        <w:bidi w:val="0"/>
        <w:spacing w:line="312"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供应商为自然人的，应当由本人签字；供应商为法人或者其他组织的，应当由法定代表人、主要负责人，或者其委托代理人签字或者盖章，并加盖公章。</w:t>
      </w:r>
    </w:p>
    <w:p w14:paraId="0260B98C">
      <w:pPr>
        <w:pageBreakBefore w:val="0"/>
        <w:kinsoku/>
        <w:wordWrap/>
        <w:topLinePunct w:val="0"/>
        <w:bidi w:val="0"/>
        <w:spacing w:line="312"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31.5采购人、采购代理机构认为供应商质疑不成立，或者成立但未对成交结果构成影响的，继续开展采购活动；认为供应商质疑成立且影响或者可能影响成交结果的，按照下列情况处理：</w:t>
      </w:r>
    </w:p>
    <w:p w14:paraId="7D1BA108">
      <w:pPr>
        <w:pageBreakBefore w:val="0"/>
        <w:kinsoku/>
        <w:wordWrap/>
        <w:topLinePunct w:val="0"/>
        <w:bidi w:val="0"/>
        <w:spacing w:line="312"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（一）对采购文件提出的质疑，依法通过澄清或者修改可以继续开展采购活动的，澄清或者修改采购文件后继续开展采购活动；否则应当修改采购文件后重新开展采购活动。</w:t>
      </w:r>
    </w:p>
    <w:p w14:paraId="574806DF">
      <w:pPr>
        <w:pageBreakBefore w:val="0"/>
        <w:kinsoku/>
        <w:wordWrap/>
        <w:topLinePunct w:val="0"/>
        <w:bidi w:val="0"/>
        <w:spacing w:line="312"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（二）对采购过程或者成交结果提出的质疑，合格供应商符合法定数量时，可以从合格的成交候选人中另行确定成交供应商的，应当依法另行确定成交供应商；否则应当重新开展采购活动。</w:t>
      </w:r>
    </w:p>
    <w:p w14:paraId="5A29589F">
      <w:pPr>
        <w:pageBreakBefore w:val="0"/>
        <w:kinsoku/>
        <w:wordWrap/>
        <w:topLinePunct w:val="0"/>
        <w:bidi w:val="0"/>
        <w:spacing w:line="312"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质疑答复导致成交结果改变的，采购人或者采购代理机构应当将有关情况书面报告本级财政部门。</w:t>
      </w:r>
    </w:p>
    <w:p w14:paraId="7131F1D0">
      <w:pPr>
        <w:pageBreakBefore w:val="0"/>
        <w:kinsoku/>
        <w:wordWrap/>
        <w:topLinePunct w:val="0"/>
        <w:bidi w:val="0"/>
        <w:spacing w:line="312"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2829FD6">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32.其他内容</w:t>
      </w:r>
    </w:p>
    <w:p w14:paraId="7685B694">
      <w:pPr>
        <w:pageBreakBefore w:val="0"/>
        <w:tabs>
          <w:tab w:val="left" w:pos="2835"/>
        </w:tabs>
        <w:kinsoku/>
        <w:wordWrap/>
        <w:topLinePunct w:val="0"/>
        <w:bidi w:val="0"/>
        <w:spacing w:line="312" w:lineRule="auto"/>
        <w:ind w:firstLine="420" w:firstLineChars="200"/>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32.1代理服务收费标准及缴费账户详见“供应商须知前附表”，供应商为联合体的，可以由联合体中的一方或者多方共同交纳代理服务费。</w:t>
      </w:r>
    </w:p>
    <w:p w14:paraId="6AEDD0E6">
      <w:pPr>
        <w:pageBreakBefore w:val="0"/>
        <w:tabs>
          <w:tab w:val="left" w:pos="2835"/>
        </w:tabs>
        <w:kinsoku/>
        <w:wordWrap/>
        <w:topLinePunct w:val="0"/>
        <w:bidi w:val="0"/>
        <w:spacing w:line="312"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000000"/>
          <w:szCs w:val="21"/>
          <w:highlight w:val="none"/>
        </w:rPr>
        <w:t>32.2代理服务费收费计算标准：</w:t>
      </w:r>
    </w:p>
    <w:tbl>
      <w:tblPr>
        <w:tblStyle w:val="2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1F70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0651B15E">
            <w:pPr>
              <w:pageBreakBefore w:val="0"/>
              <w:kinsoku/>
              <w:wordWrap/>
              <w:topLinePunct w:val="0"/>
              <w:bidi w:val="0"/>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费率</w:t>
            </w:r>
          </w:p>
          <w:p w14:paraId="60B0A4A4">
            <w:pPr>
              <w:pageBreakBefore w:val="0"/>
              <w:kinsoku/>
              <w:wordWrap/>
              <w:topLinePunct w:val="0"/>
              <w:bidi w:val="0"/>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金额</w:t>
            </w:r>
          </w:p>
        </w:tc>
        <w:tc>
          <w:tcPr>
            <w:tcW w:w="1659" w:type="dxa"/>
            <w:noWrap w:val="0"/>
            <w:vAlign w:val="center"/>
          </w:tcPr>
          <w:p w14:paraId="18225835">
            <w:pPr>
              <w:pageBreakBefore w:val="0"/>
              <w:kinsoku/>
              <w:wordWrap/>
              <w:topLinePunct w:val="0"/>
              <w:bidi w:val="0"/>
              <w:spacing w:line="312" w:lineRule="auto"/>
              <w:ind w:firstLine="105" w:firstLineChars="5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货物类</w:t>
            </w:r>
          </w:p>
        </w:tc>
        <w:tc>
          <w:tcPr>
            <w:tcW w:w="1532" w:type="dxa"/>
            <w:noWrap w:val="0"/>
            <w:vAlign w:val="center"/>
          </w:tcPr>
          <w:p w14:paraId="075AF4E5">
            <w:pPr>
              <w:pageBreakBefore w:val="0"/>
              <w:kinsoku/>
              <w:wordWrap/>
              <w:topLinePunct w:val="0"/>
              <w:bidi w:val="0"/>
              <w:spacing w:line="312"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服务类</w:t>
            </w:r>
          </w:p>
        </w:tc>
        <w:tc>
          <w:tcPr>
            <w:tcW w:w="1546" w:type="dxa"/>
            <w:noWrap w:val="0"/>
            <w:vAlign w:val="center"/>
          </w:tcPr>
          <w:p w14:paraId="1CB84257">
            <w:pPr>
              <w:pageBreakBefore w:val="0"/>
              <w:kinsoku/>
              <w:wordWrap/>
              <w:topLinePunct w:val="0"/>
              <w:bidi w:val="0"/>
              <w:spacing w:line="312"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工程类</w:t>
            </w:r>
          </w:p>
        </w:tc>
      </w:tr>
      <w:tr w14:paraId="2FA3A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B2FF593">
            <w:pPr>
              <w:pageBreakBefore w:val="0"/>
              <w:kinsoku/>
              <w:wordWrap/>
              <w:topLinePunct w:val="0"/>
              <w:bidi w:val="0"/>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100万元以下</w:t>
            </w:r>
          </w:p>
        </w:tc>
        <w:tc>
          <w:tcPr>
            <w:tcW w:w="1659" w:type="dxa"/>
            <w:noWrap w:val="0"/>
            <w:vAlign w:val="top"/>
          </w:tcPr>
          <w:p w14:paraId="2F583AD3">
            <w:pPr>
              <w:pageBreakBefore w:val="0"/>
              <w:kinsoku/>
              <w:wordWrap/>
              <w:topLinePunct w:val="0"/>
              <w:bidi w:val="0"/>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  1.5%                </w:t>
            </w:r>
          </w:p>
        </w:tc>
        <w:tc>
          <w:tcPr>
            <w:tcW w:w="1532" w:type="dxa"/>
            <w:noWrap w:val="0"/>
            <w:vAlign w:val="top"/>
          </w:tcPr>
          <w:p w14:paraId="789EA117">
            <w:pPr>
              <w:pageBreakBefore w:val="0"/>
              <w:kinsoku/>
              <w:wordWrap/>
              <w:topLinePunct w:val="0"/>
              <w:bidi w:val="0"/>
              <w:spacing w:line="312"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1.5%</w:t>
            </w:r>
          </w:p>
        </w:tc>
        <w:tc>
          <w:tcPr>
            <w:tcW w:w="1546" w:type="dxa"/>
            <w:noWrap w:val="0"/>
            <w:vAlign w:val="top"/>
          </w:tcPr>
          <w:p w14:paraId="215B8CE8">
            <w:pPr>
              <w:pageBreakBefore w:val="0"/>
              <w:kinsoku/>
              <w:wordWrap/>
              <w:topLinePunct w:val="0"/>
              <w:bidi w:val="0"/>
              <w:spacing w:line="312"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1.0% </w:t>
            </w:r>
          </w:p>
        </w:tc>
      </w:tr>
      <w:tr w14:paraId="2953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8855246">
            <w:pPr>
              <w:pageBreakBefore w:val="0"/>
              <w:kinsoku/>
              <w:wordWrap/>
              <w:topLinePunct w:val="0"/>
              <w:bidi w:val="0"/>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100～500万元</w:t>
            </w:r>
          </w:p>
        </w:tc>
        <w:tc>
          <w:tcPr>
            <w:tcW w:w="1659" w:type="dxa"/>
            <w:noWrap w:val="0"/>
            <w:vAlign w:val="top"/>
          </w:tcPr>
          <w:p w14:paraId="33FCEB9B">
            <w:pPr>
              <w:pageBreakBefore w:val="0"/>
              <w:kinsoku/>
              <w:wordWrap/>
              <w:topLinePunct w:val="0"/>
              <w:bidi w:val="0"/>
              <w:spacing w:line="312"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1.1%                 </w:t>
            </w:r>
          </w:p>
        </w:tc>
        <w:tc>
          <w:tcPr>
            <w:tcW w:w="1532" w:type="dxa"/>
            <w:noWrap w:val="0"/>
            <w:vAlign w:val="top"/>
          </w:tcPr>
          <w:p w14:paraId="649F391D">
            <w:pPr>
              <w:pageBreakBefore w:val="0"/>
              <w:kinsoku/>
              <w:wordWrap/>
              <w:topLinePunct w:val="0"/>
              <w:bidi w:val="0"/>
              <w:spacing w:line="312"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0.8%</w:t>
            </w:r>
          </w:p>
        </w:tc>
        <w:tc>
          <w:tcPr>
            <w:tcW w:w="1546" w:type="dxa"/>
            <w:noWrap w:val="0"/>
            <w:vAlign w:val="top"/>
          </w:tcPr>
          <w:p w14:paraId="2F91853D">
            <w:pPr>
              <w:pageBreakBefore w:val="0"/>
              <w:kinsoku/>
              <w:wordWrap/>
              <w:topLinePunct w:val="0"/>
              <w:bidi w:val="0"/>
              <w:spacing w:line="312"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0.7% </w:t>
            </w:r>
          </w:p>
        </w:tc>
      </w:tr>
      <w:tr w14:paraId="5BFF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6281DD3">
            <w:pPr>
              <w:pageBreakBefore w:val="0"/>
              <w:kinsoku/>
              <w:wordWrap/>
              <w:topLinePunct w:val="0"/>
              <w:bidi w:val="0"/>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500～1000万元</w:t>
            </w:r>
          </w:p>
        </w:tc>
        <w:tc>
          <w:tcPr>
            <w:tcW w:w="1659" w:type="dxa"/>
            <w:noWrap w:val="0"/>
            <w:vAlign w:val="top"/>
          </w:tcPr>
          <w:p w14:paraId="69A10850">
            <w:pPr>
              <w:pageBreakBefore w:val="0"/>
              <w:kinsoku/>
              <w:wordWrap/>
              <w:topLinePunct w:val="0"/>
              <w:bidi w:val="0"/>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  0.8%                </w:t>
            </w:r>
          </w:p>
        </w:tc>
        <w:tc>
          <w:tcPr>
            <w:tcW w:w="1532" w:type="dxa"/>
            <w:noWrap w:val="0"/>
            <w:vAlign w:val="top"/>
          </w:tcPr>
          <w:p w14:paraId="7C9BE36B">
            <w:pPr>
              <w:pageBreakBefore w:val="0"/>
              <w:kinsoku/>
              <w:wordWrap/>
              <w:topLinePunct w:val="0"/>
              <w:bidi w:val="0"/>
              <w:spacing w:line="312"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0.45%</w:t>
            </w:r>
          </w:p>
        </w:tc>
        <w:tc>
          <w:tcPr>
            <w:tcW w:w="1546" w:type="dxa"/>
            <w:noWrap w:val="0"/>
            <w:vAlign w:val="top"/>
          </w:tcPr>
          <w:p w14:paraId="13006345">
            <w:pPr>
              <w:pageBreakBefore w:val="0"/>
              <w:kinsoku/>
              <w:wordWrap/>
              <w:topLinePunct w:val="0"/>
              <w:bidi w:val="0"/>
              <w:spacing w:line="312"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0.55%</w:t>
            </w:r>
          </w:p>
        </w:tc>
      </w:tr>
      <w:tr w14:paraId="5426A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3155C01">
            <w:pPr>
              <w:pageBreakBefore w:val="0"/>
              <w:kinsoku/>
              <w:wordWrap/>
              <w:topLinePunct w:val="0"/>
              <w:bidi w:val="0"/>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1000～5000万元</w:t>
            </w:r>
          </w:p>
        </w:tc>
        <w:tc>
          <w:tcPr>
            <w:tcW w:w="1659" w:type="dxa"/>
            <w:noWrap w:val="0"/>
            <w:vAlign w:val="top"/>
          </w:tcPr>
          <w:p w14:paraId="706DF38C">
            <w:pPr>
              <w:pageBreakBefore w:val="0"/>
              <w:kinsoku/>
              <w:wordWrap/>
              <w:topLinePunct w:val="0"/>
              <w:bidi w:val="0"/>
              <w:spacing w:line="312"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0.5%                </w:t>
            </w:r>
          </w:p>
        </w:tc>
        <w:tc>
          <w:tcPr>
            <w:tcW w:w="1532" w:type="dxa"/>
            <w:noWrap w:val="0"/>
            <w:vAlign w:val="top"/>
          </w:tcPr>
          <w:p w14:paraId="2EBE67F2">
            <w:pPr>
              <w:pageBreakBefore w:val="0"/>
              <w:kinsoku/>
              <w:wordWrap/>
              <w:topLinePunct w:val="0"/>
              <w:bidi w:val="0"/>
              <w:spacing w:line="312"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0.25%</w:t>
            </w:r>
          </w:p>
        </w:tc>
        <w:tc>
          <w:tcPr>
            <w:tcW w:w="1546" w:type="dxa"/>
            <w:noWrap w:val="0"/>
            <w:vAlign w:val="top"/>
          </w:tcPr>
          <w:p w14:paraId="6CCB9F4F">
            <w:pPr>
              <w:pageBreakBefore w:val="0"/>
              <w:kinsoku/>
              <w:wordWrap/>
              <w:topLinePunct w:val="0"/>
              <w:bidi w:val="0"/>
              <w:spacing w:line="312"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0.35% </w:t>
            </w:r>
          </w:p>
        </w:tc>
      </w:tr>
      <w:tr w14:paraId="003B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DD3F105">
            <w:pPr>
              <w:pageBreakBefore w:val="0"/>
              <w:kinsoku/>
              <w:wordWrap/>
              <w:topLinePunct w:val="0"/>
              <w:bidi w:val="0"/>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5000万元～1亿元</w:t>
            </w:r>
          </w:p>
        </w:tc>
        <w:tc>
          <w:tcPr>
            <w:tcW w:w="1659" w:type="dxa"/>
            <w:noWrap w:val="0"/>
            <w:vAlign w:val="top"/>
          </w:tcPr>
          <w:p w14:paraId="32E7778C">
            <w:pPr>
              <w:pageBreakBefore w:val="0"/>
              <w:kinsoku/>
              <w:wordWrap/>
              <w:topLinePunct w:val="0"/>
              <w:bidi w:val="0"/>
              <w:spacing w:line="312"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0.25%                 </w:t>
            </w:r>
          </w:p>
        </w:tc>
        <w:tc>
          <w:tcPr>
            <w:tcW w:w="1532" w:type="dxa"/>
            <w:noWrap w:val="0"/>
            <w:vAlign w:val="top"/>
          </w:tcPr>
          <w:p w14:paraId="34476F40">
            <w:pPr>
              <w:pageBreakBefore w:val="0"/>
              <w:kinsoku/>
              <w:wordWrap/>
              <w:topLinePunct w:val="0"/>
              <w:bidi w:val="0"/>
              <w:spacing w:line="312"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0.1%</w:t>
            </w:r>
          </w:p>
        </w:tc>
        <w:tc>
          <w:tcPr>
            <w:tcW w:w="1546" w:type="dxa"/>
            <w:noWrap w:val="0"/>
            <w:vAlign w:val="top"/>
          </w:tcPr>
          <w:p w14:paraId="007A5424">
            <w:pPr>
              <w:pageBreakBefore w:val="0"/>
              <w:kinsoku/>
              <w:wordWrap/>
              <w:topLinePunct w:val="0"/>
              <w:bidi w:val="0"/>
              <w:spacing w:line="312"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0.2%</w:t>
            </w:r>
          </w:p>
        </w:tc>
      </w:tr>
      <w:tr w14:paraId="0A2E9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0D21E8E">
            <w:pPr>
              <w:pageBreakBefore w:val="0"/>
              <w:kinsoku/>
              <w:wordWrap/>
              <w:topLinePunct w:val="0"/>
              <w:bidi w:val="0"/>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1～5亿元</w:t>
            </w:r>
          </w:p>
        </w:tc>
        <w:tc>
          <w:tcPr>
            <w:tcW w:w="1659" w:type="dxa"/>
            <w:noWrap w:val="0"/>
            <w:vAlign w:val="top"/>
          </w:tcPr>
          <w:p w14:paraId="319F11A2">
            <w:pPr>
              <w:pageBreakBefore w:val="0"/>
              <w:kinsoku/>
              <w:wordWrap/>
              <w:topLinePunct w:val="0"/>
              <w:bidi w:val="0"/>
              <w:spacing w:line="312"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0.05%</w:t>
            </w:r>
          </w:p>
        </w:tc>
        <w:tc>
          <w:tcPr>
            <w:tcW w:w="1532" w:type="dxa"/>
            <w:noWrap w:val="0"/>
            <w:vAlign w:val="top"/>
          </w:tcPr>
          <w:p w14:paraId="5BC68B8B">
            <w:pPr>
              <w:pageBreakBefore w:val="0"/>
              <w:kinsoku/>
              <w:wordWrap/>
              <w:topLinePunct w:val="0"/>
              <w:bidi w:val="0"/>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0.05%</w:t>
            </w:r>
          </w:p>
        </w:tc>
        <w:tc>
          <w:tcPr>
            <w:tcW w:w="1546" w:type="dxa"/>
            <w:noWrap w:val="0"/>
            <w:vAlign w:val="top"/>
          </w:tcPr>
          <w:p w14:paraId="3C2AAB35">
            <w:pPr>
              <w:pageBreakBefore w:val="0"/>
              <w:kinsoku/>
              <w:wordWrap/>
              <w:topLinePunct w:val="0"/>
              <w:bidi w:val="0"/>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0.05%</w:t>
            </w:r>
          </w:p>
        </w:tc>
      </w:tr>
      <w:tr w14:paraId="1BFF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802FACC">
            <w:pPr>
              <w:pageBreakBefore w:val="0"/>
              <w:kinsoku/>
              <w:wordWrap/>
              <w:topLinePunct w:val="0"/>
              <w:bidi w:val="0"/>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5～10亿元</w:t>
            </w:r>
          </w:p>
        </w:tc>
        <w:tc>
          <w:tcPr>
            <w:tcW w:w="1659" w:type="dxa"/>
            <w:noWrap w:val="0"/>
            <w:vAlign w:val="top"/>
          </w:tcPr>
          <w:p w14:paraId="486849F2">
            <w:pPr>
              <w:pageBreakBefore w:val="0"/>
              <w:kinsoku/>
              <w:wordWrap/>
              <w:topLinePunct w:val="0"/>
              <w:bidi w:val="0"/>
              <w:spacing w:line="312" w:lineRule="auto"/>
              <w:ind w:firstLine="105" w:firstLineChars="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0.035%</w:t>
            </w:r>
          </w:p>
        </w:tc>
        <w:tc>
          <w:tcPr>
            <w:tcW w:w="1532" w:type="dxa"/>
            <w:noWrap w:val="0"/>
            <w:vAlign w:val="top"/>
          </w:tcPr>
          <w:p w14:paraId="55BF3629">
            <w:pPr>
              <w:pageBreakBefore w:val="0"/>
              <w:kinsoku/>
              <w:wordWrap/>
              <w:topLinePunct w:val="0"/>
              <w:bidi w:val="0"/>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0.035%</w:t>
            </w:r>
          </w:p>
        </w:tc>
        <w:tc>
          <w:tcPr>
            <w:tcW w:w="1546" w:type="dxa"/>
            <w:noWrap w:val="0"/>
            <w:vAlign w:val="top"/>
          </w:tcPr>
          <w:p w14:paraId="790434E7">
            <w:pPr>
              <w:pageBreakBefore w:val="0"/>
              <w:kinsoku/>
              <w:wordWrap/>
              <w:topLinePunct w:val="0"/>
              <w:bidi w:val="0"/>
              <w:spacing w:line="312" w:lineRule="auto"/>
              <w:ind w:firstLine="105" w:firstLineChars="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0.035%</w:t>
            </w:r>
          </w:p>
        </w:tc>
      </w:tr>
      <w:tr w14:paraId="579C4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57EC26B">
            <w:pPr>
              <w:pageBreakBefore w:val="0"/>
              <w:kinsoku/>
              <w:wordWrap/>
              <w:topLinePunct w:val="0"/>
              <w:bidi w:val="0"/>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10～50亿元</w:t>
            </w:r>
          </w:p>
        </w:tc>
        <w:tc>
          <w:tcPr>
            <w:tcW w:w="1659" w:type="dxa"/>
            <w:noWrap w:val="0"/>
            <w:vAlign w:val="top"/>
          </w:tcPr>
          <w:p w14:paraId="0FAEDB42">
            <w:pPr>
              <w:pageBreakBefore w:val="0"/>
              <w:kinsoku/>
              <w:wordWrap/>
              <w:topLinePunct w:val="0"/>
              <w:bidi w:val="0"/>
              <w:spacing w:line="312" w:lineRule="auto"/>
              <w:ind w:firstLine="105" w:firstLineChars="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0.008%</w:t>
            </w:r>
          </w:p>
        </w:tc>
        <w:tc>
          <w:tcPr>
            <w:tcW w:w="1532" w:type="dxa"/>
            <w:noWrap w:val="0"/>
            <w:vAlign w:val="top"/>
          </w:tcPr>
          <w:p w14:paraId="74B80C43">
            <w:pPr>
              <w:pageBreakBefore w:val="0"/>
              <w:kinsoku/>
              <w:wordWrap/>
              <w:topLinePunct w:val="0"/>
              <w:bidi w:val="0"/>
              <w:spacing w:line="312"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0.008%</w:t>
            </w:r>
          </w:p>
        </w:tc>
        <w:tc>
          <w:tcPr>
            <w:tcW w:w="1546" w:type="dxa"/>
            <w:noWrap w:val="0"/>
            <w:vAlign w:val="top"/>
          </w:tcPr>
          <w:p w14:paraId="07206A37">
            <w:pPr>
              <w:pageBreakBefore w:val="0"/>
              <w:kinsoku/>
              <w:wordWrap/>
              <w:topLinePunct w:val="0"/>
              <w:bidi w:val="0"/>
              <w:spacing w:line="312" w:lineRule="auto"/>
              <w:ind w:firstLine="105" w:firstLineChars="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0.008%</w:t>
            </w:r>
          </w:p>
        </w:tc>
      </w:tr>
      <w:tr w14:paraId="161D5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02C2C93">
            <w:pPr>
              <w:pageBreakBefore w:val="0"/>
              <w:kinsoku/>
              <w:wordWrap/>
              <w:topLinePunct w:val="0"/>
              <w:bidi w:val="0"/>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50～100亿元</w:t>
            </w:r>
          </w:p>
        </w:tc>
        <w:tc>
          <w:tcPr>
            <w:tcW w:w="1659" w:type="dxa"/>
            <w:noWrap w:val="0"/>
            <w:vAlign w:val="top"/>
          </w:tcPr>
          <w:p w14:paraId="350E538C">
            <w:pPr>
              <w:pageBreakBefore w:val="0"/>
              <w:kinsoku/>
              <w:wordWrap/>
              <w:topLinePunct w:val="0"/>
              <w:bidi w:val="0"/>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0.006%</w:t>
            </w:r>
          </w:p>
        </w:tc>
        <w:tc>
          <w:tcPr>
            <w:tcW w:w="1532" w:type="dxa"/>
            <w:noWrap w:val="0"/>
            <w:vAlign w:val="top"/>
          </w:tcPr>
          <w:p w14:paraId="457EA0EB">
            <w:pPr>
              <w:pageBreakBefore w:val="0"/>
              <w:kinsoku/>
              <w:wordWrap/>
              <w:topLinePunct w:val="0"/>
              <w:bidi w:val="0"/>
              <w:spacing w:line="312"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0.006%</w:t>
            </w:r>
          </w:p>
        </w:tc>
        <w:tc>
          <w:tcPr>
            <w:tcW w:w="1546" w:type="dxa"/>
            <w:noWrap w:val="0"/>
            <w:vAlign w:val="top"/>
          </w:tcPr>
          <w:p w14:paraId="48051838">
            <w:pPr>
              <w:pageBreakBefore w:val="0"/>
              <w:kinsoku/>
              <w:wordWrap/>
              <w:topLinePunct w:val="0"/>
              <w:bidi w:val="0"/>
              <w:spacing w:line="312" w:lineRule="auto"/>
              <w:ind w:firstLine="105" w:firstLineChars="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0.006%</w:t>
            </w:r>
          </w:p>
        </w:tc>
      </w:tr>
      <w:tr w14:paraId="47253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8CBD0E1">
            <w:pPr>
              <w:pageBreakBefore w:val="0"/>
              <w:kinsoku/>
              <w:wordWrap/>
              <w:topLinePunct w:val="0"/>
              <w:bidi w:val="0"/>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100亿以上</w:t>
            </w:r>
          </w:p>
        </w:tc>
        <w:tc>
          <w:tcPr>
            <w:tcW w:w="1659" w:type="dxa"/>
            <w:noWrap w:val="0"/>
            <w:vAlign w:val="top"/>
          </w:tcPr>
          <w:p w14:paraId="0EE608D8">
            <w:pPr>
              <w:pageBreakBefore w:val="0"/>
              <w:kinsoku/>
              <w:wordWrap/>
              <w:topLinePunct w:val="0"/>
              <w:bidi w:val="0"/>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0.004%</w:t>
            </w:r>
          </w:p>
        </w:tc>
        <w:tc>
          <w:tcPr>
            <w:tcW w:w="1532" w:type="dxa"/>
            <w:noWrap w:val="0"/>
            <w:vAlign w:val="top"/>
          </w:tcPr>
          <w:p w14:paraId="2CD98944">
            <w:pPr>
              <w:pageBreakBefore w:val="0"/>
              <w:kinsoku/>
              <w:wordWrap/>
              <w:topLinePunct w:val="0"/>
              <w:bidi w:val="0"/>
              <w:spacing w:line="312"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0.004%</w:t>
            </w:r>
          </w:p>
        </w:tc>
        <w:tc>
          <w:tcPr>
            <w:tcW w:w="1546" w:type="dxa"/>
            <w:noWrap w:val="0"/>
            <w:vAlign w:val="top"/>
          </w:tcPr>
          <w:p w14:paraId="5B2E380F">
            <w:pPr>
              <w:pageBreakBefore w:val="0"/>
              <w:kinsoku/>
              <w:wordWrap/>
              <w:topLinePunct w:val="0"/>
              <w:bidi w:val="0"/>
              <w:spacing w:line="312" w:lineRule="auto"/>
              <w:ind w:firstLine="105" w:firstLineChars="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0.004%</w:t>
            </w:r>
          </w:p>
        </w:tc>
      </w:tr>
    </w:tbl>
    <w:p w14:paraId="11106BD0">
      <w:pPr>
        <w:pageBreakBefore w:val="0"/>
        <w:kinsoku/>
        <w:wordWrap/>
        <w:topLinePunct w:val="0"/>
        <w:bidi w:val="0"/>
        <w:spacing w:line="312"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w:t>
      </w:r>
    </w:p>
    <w:p w14:paraId="082B7160">
      <w:pPr>
        <w:pageBreakBefore w:val="0"/>
        <w:kinsoku/>
        <w:wordWrap/>
        <w:topLinePunct w:val="0"/>
        <w:bidi w:val="0"/>
        <w:spacing w:line="312"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（1）按本表费率计算的收费为采购代理的收费基准价格；</w:t>
      </w:r>
    </w:p>
    <w:p w14:paraId="402FEDB2">
      <w:pPr>
        <w:pageBreakBefore w:val="0"/>
        <w:kinsoku/>
        <w:wordWrap/>
        <w:topLinePunct w:val="0"/>
        <w:bidi w:val="0"/>
        <w:spacing w:line="312"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（2）采购代理收费按差额定率累进法计算。</w:t>
      </w:r>
    </w:p>
    <w:p w14:paraId="56BF7D99">
      <w:pPr>
        <w:pageBreakBefore w:val="0"/>
        <w:kinsoku/>
        <w:wordWrap/>
        <w:topLinePunct w:val="0"/>
        <w:bidi w:val="0"/>
        <w:spacing w:line="312"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例如：某服务采购代理业务成交金额或者暂定价为</w:t>
      </w:r>
      <w:r>
        <w:rPr>
          <w:rFonts w:hint="eastAsia" w:asciiTheme="minorEastAsia" w:hAnsiTheme="minorEastAsia" w:eastAsiaTheme="minorEastAsia" w:cstheme="minorEastAsia"/>
          <w:color w:val="auto"/>
          <w:highlight w:val="none"/>
          <w:lang w:val="en-US" w:eastAsia="zh-CN"/>
        </w:rPr>
        <w:t>20</w:t>
      </w:r>
      <w:r>
        <w:rPr>
          <w:rFonts w:hint="eastAsia" w:asciiTheme="minorEastAsia" w:hAnsiTheme="minorEastAsia" w:eastAsiaTheme="minorEastAsia" w:cstheme="minorEastAsia"/>
          <w:color w:val="auto"/>
          <w:highlight w:val="none"/>
        </w:rPr>
        <w:t>0万元，计算采购代理收费额如下：</w:t>
      </w:r>
    </w:p>
    <w:p w14:paraId="6B9E2D03">
      <w:pPr>
        <w:pageBreakBefore w:val="0"/>
        <w:kinsoku/>
        <w:wordWrap/>
        <w:topLinePunct w:val="0"/>
        <w:bidi w:val="0"/>
        <w:spacing w:line="312"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100 万元 ×l.5 %＝ 1.5 万元</w:t>
      </w:r>
    </w:p>
    <w:p w14:paraId="039D7F60">
      <w:pPr>
        <w:pageBreakBefore w:val="0"/>
        <w:kinsoku/>
        <w:wordWrap/>
        <w:topLinePunct w:val="0"/>
        <w:bidi w:val="0"/>
        <w:spacing w:line="312"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lang w:val="en-US" w:eastAsia="zh-CN"/>
        </w:rPr>
        <w:t>20</w:t>
      </w:r>
      <w:r>
        <w:rPr>
          <w:rFonts w:hint="eastAsia" w:asciiTheme="minorEastAsia" w:hAnsiTheme="minorEastAsia" w:eastAsiaTheme="minorEastAsia" w:cstheme="minorEastAsia"/>
          <w:color w:val="auto"/>
          <w:highlight w:val="none"/>
        </w:rPr>
        <w:t>0 － 100 ）万元 ×0.8%＝ 0.</w:t>
      </w:r>
      <w:r>
        <w:rPr>
          <w:rFonts w:hint="eastAsia" w:asciiTheme="minorEastAsia" w:hAnsiTheme="minorEastAsia" w:eastAsiaTheme="minorEastAsia" w:cstheme="minorEastAsia"/>
          <w:color w:val="auto"/>
          <w:highlight w:val="none"/>
          <w:lang w:val="en-US" w:eastAsia="zh-CN"/>
        </w:rPr>
        <w:t>8</w:t>
      </w:r>
      <w:r>
        <w:rPr>
          <w:rFonts w:hint="eastAsia" w:asciiTheme="minorEastAsia" w:hAnsiTheme="minorEastAsia" w:eastAsiaTheme="minorEastAsia" w:cstheme="minorEastAsia"/>
          <w:color w:val="auto"/>
          <w:highlight w:val="none"/>
        </w:rPr>
        <w:t>万元</w:t>
      </w:r>
    </w:p>
    <w:p w14:paraId="13FBA376">
      <w:pPr>
        <w:pageBreakBefore w:val="0"/>
        <w:kinsoku/>
        <w:wordWrap/>
        <w:topLinePunct w:val="0"/>
        <w:bidi w:val="0"/>
        <w:spacing w:line="312"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合计收费＝ 1.5 ＋ 0.</w:t>
      </w:r>
      <w:r>
        <w:rPr>
          <w:rFonts w:hint="eastAsia" w:asciiTheme="minorEastAsia" w:hAnsiTheme="minorEastAsia" w:eastAsiaTheme="minorEastAsia" w:cstheme="minorEastAsia"/>
          <w:color w:val="auto"/>
          <w:highlight w:val="none"/>
          <w:lang w:val="en-US" w:eastAsia="zh-CN"/>
        </w:rPr>
        <w:t>8</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lang w:val="en-US" w:eastAsia="zh-CN"/>
        </w:rPr>
        <w:t>2.3</w:t>
      </w:r>
      <w:r>
        <w:rPr>
          <w:rFonts w:hint="eastAsia" w:asciiTheme="minorEastAsia" w:hAnsiTheme="minorEastAsia" w:eastAsiaTheme="minorEastAsia" w:cstheme="minorEastAsia"/>
          <w:color w:val="auto"/>
          <w:highlight w:val="none"/>
        </w:rPr>
        <w:t xml:space="preserve"> 万元</w:t>
      </w:r>
    </w:p>
    <w:p w14:paraId="61675B2F">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33.需要补充的其他内容</w:t>
      </w:r>
    </w:p>
    <w:p w14:paraId="5CF7401E">
      <w:pPr>
        <w:pStyle w:val="18"/>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center"/>
        <w:rPr>
          <w:rFonts w:hint="eastAsia" w:asciiTheme="minorEastAsia" w:hAnsiTheme="minorEastAsia" w:eastAsiaTheme="minorEastAsia" w:cstheme="minorEastAsia"/>
          <w:color w:val="000000"/>
          <w:kern w:val="2"/>
          <w:sz w:val="21"/>
          <w:highlight w:val="none"/>
          <w:lang w:val="en-US" w:eastAsia="zh-CN"/>
        </w:rPr>
      </w:pPr>
      <w:r>
        <w:rPr>
          <w:rFonts w:hint="eastAsia" w:asciiTheme="minorEastAsia" w:hAnsiTheme="minorEastAsia" w:eastAsiaTheme="minorEastAsia" w:cstheme="minorEastAsia"/>
          <w:color w:val="000000"/>
          <w:kern w:val="2"/>
          <w:sz w:val="21"/>
          <w:highlight w:val="none"/>
          <w:lang w:val="en-US" w:eastAsia="zh-CN"/>
        </w:rPr>
        <w:t>33.1本磋商文件解释规则详见“供应商须知前附表”。</w:t>
      </w:r>
    </w:p>
    <w:p w14:paraId="61D6BF65">
      <w:pPr>
        <w:pStyle w:val="18"/>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center"/>
        <w:rPr>
          <w:rFonts w:hint="eastAsia" w:asciiTheme="minorEastAsia" w:hAnsiTheme="minorEastAsia" w:eastAsiaTheme="minorEastAsia" w:cstheme="minorEastAsia"/>
          <w:color w:val="000000"/>
          <w:kern w:val="2"/>
          <w:sz w:val="21"/>
          <w:highlight w:val="none"/>
          <w:lang w:val="en-US" w:eastAsia="zh-CN"/>
        </w:rPr>
      </w:pPr>
      <w:r>
        <w:rPr>
          <w:rFonts w:hint="eastAsia" w:asciiTheme="minorEastAsia" w:hAnsiTheme="minorEastAsia" w:eastAsiaTheme="minorEastAsia" w:cstheme="minorEastAsia"/>
          <w:color w:val="000000"/>
          <w:kern w:val="2"/>
          <w:sz w:val="21"/>
          <w:highlight w:val="none"/>
          <w:lang w:val="en-US" w:eastAsia="zh-CN"/>
        </w:rPr>
        <w:t>33.2 其他事项详见“供应商须知前附表”。</w:t>
      </w:r>
    </w:p>
    <w:p w14:paraId="4B15E585">
      <w:pPr>
        <w:pStyle w:val="18"/>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center"/>
        <w:rPr>
          <w:rFonts w:hint="eastAsia" w:asciiTheme="minorEastAsia" w:hAnsiTheme="minorEastAsia" w:eastAsiaTheme="minorEastAsia" w:cstheme="minorEastAsia"/>
          <w:color w:val="000000"/>
          <w:kern w:val="2"/>
          <w:sz w:val="21"/>
          <w:highlight w:val="none"/>
        </w:rPr>
      </w:pPr>
      <w:r>
        <w:rPr>
          <w:rFonts w:hint="eastAsia" w:asciiTheme="minorEastAsia" w:hAnsiTheme="minorEastAsia" w:eastAsiaTheme="minorEastAsia" w:cstheme="minorEastAsia"/>
          <w:color w:val="000000"/>
          <w:kern w:val="2"/>
          <w:sz w:val="21"/>
          <w:highlight w:val="none"/>
          <w:lang w:val="en-US" w:eastAsia="zh-CN"/>
        </w:rPr>
        <w:t>33.3</w:t>
      </w:r>
      <w:r>
        <w:rPr>
          <w:rFonts w:hint="eastAsia" w:asciiTheme="minorEastAsia" w:hAnsiTheme="minorEastAsia" w:eastAsiaTheme="minorEastAsia" w:cstheme="minorEastAsia"/>
          <w:color w:val="000000"/>
          <w:kern w:val="2"/>
          <w:sz w:val="21"/>
          <w:highlight w:val="none"/>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7F0CF97C">
      <w:pPr>
        <w:pStyle w:val="18"/>
        <w:keepNext w:val="0"/>
        <w:keepLines w:val="0"/>
        <w:pageBreakBefore w:val="0"/>
        <w:widowControl w:val="0"/>
        <w:kinsoku/>
        <w:wordWrap/>
        <w:overflowPunct/>
        <w:topLinePunct w:val="0"/>
        <w:autoSpaceDE/>
        <w:autoSpaceDN/>
        <w:bidi w:val="0"/>
        <w:adjustRightInd/>
        <w:snapToGrid w:val="0"/>
        <w:spacing w:line="300" w:lineRule="auto"/>
        <w:ind w:firstLine="420" w:firstLineChars="200"/>
        <w:contextualSpacing/>
        <w:rPr>
          <w:rFonts w:hint="eastAsia" w:asciiTheme="minorEastAsia" w:hAnsiTheme="minorEastAsia" w:eastAsiaTheme="minorEastAsia" w:cstheme="minorEastAsia"/>
          <w:color w:val="000000"/>
          <w:sz w:val="21"/>
          <w:highlight w:val="none"/>
        </w:rPr>
      </w:pPr>
      <w:r>
        <w:rPr>
          <w:rFonts w:hint="eastAsia" w:asciiTheme="minorEastAsia" w:hAnsiTheme="minorEastAsia" w:eastAsiaTheme="minorEastAsia" w:cstheme="minorEastAsia"/>
          <w:color w:val="000000"/>
          <w:sz w:val="21"/>
          <w:highlight w:val="none"/>
        </w:rPr>
        <w:t>（1）在货物采购项目中，货物由中小企业制造，即货物由中小企业生产且使用该中小企业商号或者注册商标，不对其中涉及的工程承建商和服务的承接商作出要求；</w:t>
      </w:r>
    </w:p>
    <w:p w14:paraId="51DD35A4">
      <w:pPr>
        <w:pStyle w:val="18"/>
        <w:keepNext w:val="0"/>
        <w:keepLines w:val="0"/>
        <w:pageBreakBefore w:val="0"/>
        <w:widowControl w:val="0"/>
        <w:kinsoku/>
        <w:wordWrap/>
        <w:overflowPunct/>
        <w:topLinePunct w:val="0"/>
        <w:autoSpaceDE/>
        <w:autoSpaceDN/>
        <w:bidi w:val="0"/>
        <w:adjustRightInd/>
        <w:snapToGrid w:val="0"/>
        <w:spacing w:line="300" w:lineRule="auto"/>
        <w:ind w:firstLine="420" w:firstLineChars="200"/>
        <w:contextualSpacing/>
        <w:rPr>
          <w:rFonts w:hint="eastAsia" w:asciiTheme="minorEastAsia" w:hAnsiTheme="minorEastAsia" w:eastAsiaTheme="minorEastAsia" w:cstheme="minorEastAsia"/>
          <w:color w:val="000000"/>
          <w:sz w:val="21"/>
          <w:highlight w:val="none"/>
        </w:rPr>
      </w:pPr>
      <w:r>
        <w:rPr>
          <w:rFonts w:hint="eastAsia" w:asciiTheme="minorEastAsia" w:hAnsiTheme="minorEastAsia" w:eastAsiaTheme="minorEastAsia" w:cstheme="minorEastAsia"/>
          <w:color w:val="000000"/>
          <w:sz w:val="21"/>
          <w:highlight w:val="none"/>
        </w:rPr>
        <w:t>（2）在工程采购项目中，工程由中小企业承建，即工程施工单位为中小企业，不对其中涉及的货物的制造商和服务的承接商作出要求；</w:t>
      </w:r>
    </w:p>
    <w:p w14:paraId="361BE196">
      <w:pPr>
        <w:pStyle w:val="18"/>
        <w:keepNext w:val="0"/>
        <w:keepLines w:val="0"/>
        <w:pageBreakBefore w:val="0"/>
        <w:widowControl w:val="0"/>
        <w:kinsoku/>
        <w:wordWrap/>
        <w:overflowPunct/>
        <w:topLinePunct w:val="0"/>
        <w:autoSpaceDE/>
        <w:autoSpaceDN/>
        <w:bidi w:val="0"/>
        <w:adjustRightInd/>
        <w:snapToGrid w:val="0"/>
        <w:spacing w:line="300" w:lineRule="auto"/>
        <w:ind w:firstLine="420" w:firstLineChars="200"/>
        <w:contextualSpacing/>
        <w:rPr>
          <w:rFonts w:hint="eastAsia" w:asciiTheme="minorEastAsia" w:hAnsiTheme="minorEastAsia" w:eastAsiaTheme="minorEastAsia" w:cstheme="minorEastAsia"/>
          <w:color w:val="000000"/>
          <w:sz w:val="21"/>
          <w:highlight w:val="none"/>
        </w:rPr>
      </w:pPr>
      <w:r>
        <w:rPr>
          <w:rFonts w:hint="eastAsia" w:asciiTheme="minorEastAsia" w:hAnsiTheme="minorEastAsia" w:eastAsiaTheme="minorEastAsia" w:cstheme="minorEastAsia"/>
          <w:color w:val="000000"/>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5BF7CEA">
      <w:pPr>
        <w:pStyle w:val="18"/>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center"/>
        <w:rPr>
          <w:rFonts w:hint="eastAsia" w:asciiTheme="minorEastAsia" w:hAnsiTheme="minorEastAsia" w:eastAsiaTheme="minorEastAsia" w:cstheme="minorEastAsia"/>
          <w:color w:val="000000"/>
          <w:kern w:val="2"/>
          <w:sz w:val="21"/>
          <w:highlight w:val="none"/>
        </w:rPr>
      </w:pPr>
      <w:r>
        <w:rPr>
          <w:rFonts w:hint="eastAsia" w:asciiTheme="minorEastAsia" w:hAnsiTheme="minorEastAsia" w:eastAsiaTheme="minorEastAsia" w:cstheme="minorEastAsia"/>
          <w:color w:val="000000"/>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0A63A251">
      <w:pPr>
        <w:pStyle w:val="18"/>
        <w:pageBreakBefore w:val="0"/>
        <w:kinsoku/>
        <w:wordWrap/>
        <w:topLinePunct w:val="0"/>
        <w:bidi w:val="0"/>
        <w:spacing w:line="312" w:lineRule="auto"/>
        <w:ind w:firstLine="420" w:firstLineChars="200"/>
        <w:textAlignment w:val="center"/>
        <w:rPr>
          <w:rFonts w:hint="eastAsia" w:asciiTheme="minorEastAsia" w:hAnsiTheme="minorEastAsia" w:eastAsiaTheme="minorEastAsia" w:cstheme="minorEastAsia"/>
          <w:color w:val="auto"/>
          <w:kern w:val="2"/>
          <w:sz w:val="21"/>
          <w:highlight w:val="none"/>
          <w:lang w:val="en-US" w:eastAsia="zh-CN"/>
        </w:rPr>
      </w:pPr>
      <w:r>
        <w:rPr>
          <w:rFonts w:hint="eastAsia" w:asciiTheme="minorEastAsia" w:hAnsiTheme="minorEastAsia" w:eastAsiaTheme="minorEastAsia" w:cstheme="minorEastAsia"/>
          <w:color w:val="000000"/>
          <w:kern w:val="2"/>
          <w:sz w:val="21"/>
          <w:highlight w:val="none"/>
        </w:rPr>
        <w:t>依据本磋商文件规定享受扶持政策获得政府采购合同的，小微企业不得将合同分包给大中型企业，中型企业不得将合同分包给大型企业</w:t>
      </w:r>
      <w:r>
        <w:rPr>
          <w:rFonts w:hint="eastAsia" w:asciiTheme="minorEastAsia" w:hAnsiTheme="minorEastAsia" w:eastAsiaTheme="minorEastAsia" w:cstheme="minorEastAsia"/>
          <w:color w:val="auto"/>
          <w:kern w:val="2"/>
          <w:sz w:val="21"/>
          <w:highlight w:val="none"/>
          <w:lang w:val="en-US" w:eastAsia="zh-CN"/>
        </w:rPr>
        <w:t>。</w:t>
      </w:r>
    </w:p>
    <w:p w14:paraId="70B5B822">
      <w:pPr>
        <w:rPr>
          <w:rFonts w:hAnsi="宋体"/>
          <w:b/>
          <w:color w:val="auto"/>
          <w:highlight w:val="none"/>
        </w:rPr>
      </w:pPr>
      <w:r>
        <w:rPr>
          <w:rFonts w:hAnsi="宋体"/>
          <w:b/>
          <w:color w:val="auto"/>
          <w:highlight w:val="none"/>
        </w:rPr>
        <w:br w:type="page"/>
      </w:r>
    </w:p>
    <w:p w14:paraId="147E4D89">
      <w:pPr>
        <w:pStyle w:val="4"/>
        <w:pageBreakBefore w:val="0"/>
        <w:numPr>
          <w:ilvl w:val="0"/>
          <w:numId w:val="2"/>
        </w:numPr>
        <w:kinsoku/>
        <w:wordWrap/>
        <w:topLinePunct w:val="0"/>
        <w:bidi w:val="0"/>
        <w:spacing w:line="312" w:lineRule="auto"/>
        <w:jc w:val="center"/>
        <w:outlineLvl w:val="0"/>
        <w:rPr>
          <w:rFonts w:hint="eastAsia"/>
          <w:color w:val="auto"/>
          <w:highlight w:val="none"/>
        </w:rPr>
      </w:pPr>
      <w:bookmarkStart w:id="79" w:name="_Toc876"/>
      <w:bookmarkStart w:id="80" w:name="_Toc2920"/>
      <w:r>
        <w:rPr>
          <w:rFonts w:hint="eastAsia"/>
          <w:color w:val="auto"/>
          <w:highlight w:val="none"/>
        </w:rPr>
        <w:t>采购需求</w:t>
      </w:r>
      <w:bookmarkEnd w:id="79"/>
      <w:bookmarkEnd w:id="80"/>
    </w:p>
    <w:p w14:paraId="1DC886DA">
      <w:pPr>
        <w:pageBreakBefore w:val="0"/>
        <w:kinsoku/>
        <w:wordWrap/>
        <w:topLinePunct w:val="0"/>
        <w:bidi w:val="0"/>
        <w:spacing w:line="312" w:lineRule="auto"/>
        <w:jc w:val="left"/>
        <w:rPr>
          <w:rFonts w:hint="eastAsia" w:ascii="宋体" w:hAnsi="宋体" w:cs="宋体"/>
          <w:color w:val="auto"/>
          <w:szCs w:val="21"/>
          <w:highlight w:val="none"/>
        </w:rPr>
      </w:pPr>
      <w:bookmarkStart w:id="81" w:name="_Toc254970490"/>
      <w:bookmarkStart w:id="82" w:name="_Toc254970631"/>
      <w:r>
        <w:rPr>
          <w:rFonts w:hint="eastAsia" w:ascii="宋体" w:hAnsi="宋体" w:cs="宋体"/>
          <w:color w:val="auto"/>
          <w:szCs w:val="21"/>
          <w:highlight w:val="none"/>
        </w:rPr>
        <w:t>说明：</w:t>
      </w:r>
    </w:p>
    <w:p w14:paraId="46380F10">
      <w:pPr>
        <w:pageBreakBefore w:val="0"/>
        <w:kinsoku/>
        <w:wordWrap/>
        <w:topLinePunct w:val="0"/>
        <w:bidi w:val="0"/>
        <w:spacing w:line="312" w:lineRule="auto"/>
        <w:ind w:firstLine="420" w:firstLineChars="200"/>
        <w:jc w:val="left"/>
        <w:outlineLvl w:val="0"/>
        <w:rPr>
          <w:rFonts w:hint="eastAsia"/>
          <w:color w:val="auto"/>
          <w:highlight w:val="none"/>
        </w:rPr>
      </w:pPr>
      <w:bookmarkStart w:id="83" w:name="_Toc12979"/>
      <w:r>
        <w:rPr>
          <w:rFonts w:hint="eastAsia"/>
          <w:color w:val="auto"/>
          <w:highlight w:val="none"/>
        </w:rPr>
        <w:t>1. 为落实政府采购政策需满足的要求</w:t>
      </w:r>
      <w:bookmarkEnd w:id="83"/>
    </w:p>
    <w:p w14:paraId="4C4D646B">
      <w:pPr>
        <w:pageBreakBefore w:val="0"/>
        <w:kinsoku/>
        <w:wordWrap/>
        <w:topLinePunct w:val="0"/>
        <w:bidi w:val="0"/>
        <w:spacing w:line="312"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文件所称中小企业必须符合《政府采购促进中小企业发展管理办法》（财库〔2020〕46号）的规定。</w:t>
      </w:r>
    </w:p>
    <w:p w14:paraId="51CE3AA1">
      <w:pPr>
        <w:pageBreakBefore w:val="0"/>
        <w:kinsoku/>
        <w:wordWrap/>
        <w:topLinePunct w:val="0"/>
        <w:bidi w:val="0"/>
        <w:spacing w:line="312"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w:t>
      </w:r>
      <w:r>
        <w:rPr>
          <w:rFonts w:hint="eastAsia" w:ascii="宋体" w:hAnsi="宋体" w:cs="宋体"/>
          <w:color w:val="auto"/>
          <w:szCs w:val="21"/>
          <w:highlight w:val="none"/>
          <w:lang w:eastAsia="zh-CN"/>
        </w:rPr>
        <w:t>服务商</w:t>
      </w:r>
      <w:r>
        <w:rPr>
          <w:rFonts w:hint="eastAsia" w:ascii="宋体" w:hAnsi="宋体" w:cs="宋体"/>
          <w:color w:val="auto"/>
          <w:szCs w:val="21"/>
          <w:highlight w:val="none"/>
        </w:rPr>
        <w:t>的投标货物必须使用政府强制采购的节能产品，</w:t>
      </w:r>
      <w:r>
        <w:rPr>
          <w:rFonts w:hint="eastAsia" w:ascii="宋体" w:hAnsi="宋体" w:cs="宋体"/>
          <w:color w:val="auto"/>
          <w:szCs w:val="21"/>
          <w:highlight w:val="none"/>
          <w:lang w:eastAsia="zh-CN"/>
        </w:rPr>
        <w:t>服务商</w:t>
      </w:r>
      <w:r>
        <w:rPr>
          <w:rFonts w:hint="eastAsia" w:ascii="宋体" w:hAnsi="宋体" w:cs="宋体"/>
          <w:color w:val="auto"/>
          <w:szCs w:val="21"/>
          <w:highlight w:val="none"/>
        </w:rPr>
        <w:t>必须在</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文件中提供所投标产品的节能产品认证证书复印件（加盖</w:t>
      </w:r>
      <w:r>
        <w:rPr>
          <w:rFonts w:hint="eastAsia" w:ascii="宋体" w:hAnsi="宋体" w:cs="宋体"/>
          <w:color w:val="auto"/>
          <w:szCs w:val="21"/>
          <w:highlight w:val="none"/>
          <w:lang w:val="en-US" w:eastAsia="zh-CN"/>
        </w:rPr>
        <w:t>供应商电子</w:t>
      </w:r>
      <w:r>
        <w:rPr>
          <w:rFonts w:hint="eastAsia" w:ascii="宋体" w:hAnsi="宋体" w:cs="宋体"/>
          <w:color w:val="auto"/>
          <w:szCs w:val="21"/>
          <w:highlight w:val="none"/>
        </w:rPr>
        <w:t>公章），</w:t>
      </w:r>
      <w:r>
        <w:rPr>
          <w:rFonts w:hint="eastAsia" w:ascii="宋体" w:hAnsi="宋体" w:cs="宋体"/>
          <w:b/>
          <w:bCs/>
          <w:color w:val="auto"/>
          <w:szCs w:val="21"/>
          <w:highlight w:val="none"/>
        </w:rPr>
        <w:t>否则按无效投标处理</w:t>
      </w:r>
      <w:r>
        <w:rPr>
          <w:rFonts w:hint="eastAsia" w:ascii="宋体" w:hAnsi="宋体" w:cs="宋体"/>
          <w:color w:val="auto"/>
          <w:szCs w:val="21"/>
          <w:highlight w:val="none"/>
        </w:rPr>
        <w:t>。如本项目包含的货物属于品目清单内非标注“★”的产品时，应优先采购。</w:t>
      </w:r>
    </w:p>
    <w:p w14:paraId="3F4CF395">
      <w:pPr>
        <w:pageBreakBefore w:val="0"/>
        <w:kinsoku/>
        <w:wordWrap/>
        <w:topLinePunct w:val="0"/>
        <w:bidi w:val="0"/>
        <w:spacing w:line="312"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2.“实质性要求”是指招标文件中已经指明不满足则投标无效的条款，或者不能负偏离的条款，或者采购需求中带“▲”的条款。</w:t>
      </w:r>
    </w:p>
    <w:p w14:paraId="6C9EF433">
      <w:pPr>
        <w:pageBreakBefore w:val="0"/>
        <w:kinsoku/>
        <w:wordWrap/>
        <w:topLinePunct w:val="0"/>
        <w:bidi w:val="0"/>
        <w:spacing w:line="312" w:lineRule="auto"/>
        <w:ind w:firstLine="424" w:firstLineChars="202"/>
        <w:jc w:val="left"/>
        <w:rPr>
          <w:rStyle w:val="36"/>
          <w:color w:val="auto"/>
          <w:highlight w:val="none"/>
        </w:rPr>
      </w:pPr>
      <w:r>
        <w:rPr>
          <w:rFonts w:hint="eastAsia" w:ascii="宋体" w:hAnsi="宋体" w:cs="宋体"/>
          <w:color w:val="auto"/>
          <w:szCs w:val="21"/>
          <w:highlight w:val="none"/>
        </w:rPr>
        <w:t>3.</w:t>
      </w:r>
      <w:r>
        <w:rPr>
          <w:rFonts w:hint="eastAsia" w:ascii="宋体" w:hAnsi="宋体" w:eastAsia="宋体" w:cs="宋体"/>
          <w:color w:val="auto"/>
          <w:sz w:val="21"/>
          <w:szCs w:val="21"/>
          <w:highlight w:val="none"/>
        </w:rPr>
        <w:t>采购需求中出现的品牌、型号或生产供应商仅起参考作用，不属于指定品牌、型号或生产</w:t>
      </w:r>
      <w:r>
        <w:rPr>
          <w:rFonts w:hint="eastAsia" w:ascii="宋体" w:hAnsi="宋体" w:eastAsia="宋体" w:cs="宋体"/>
          <w:color w:val="auto"/>
          <w:sz w:val="21"/>
          <w:szCs w:val="21"/>
          <w:highlight w:val="none"/>
          <w:lang w:eastAsia="zh-CN"/>
        </w:rPr>
        <w:t>服务商</w:t>
      </w:r>
      <w:r>
        <w:rPr>
          <w:rFonts w:hint="eastAsia" w:ascii="宋体" w:hAnsi="宋体" w:eastAsia="宋体" w:cs="宋体"/>
          <w:color w:val="auto"/>
          <w:sz w:val="21"/>
          <w:szCs w:val="21"/>
          <w:highlight w:val="none"/>
        </w:rPr>
        <w:t>的情形。</w:t>
      </w:r>
      <w:r>
        <w:rPr>
          <w:rFonts w:hint="eastAsia" w:ascii="宋体" w:hAnsi="宋体" w:eastAsia="宋体" w:cs="宋体"/>
          <w:color w:val="auto"/>
          <w:sz w:val="21"/>
          <w:szCs w:val="21"/>
          <w:highlight w:val="none"/>
          <w:lang w:eastAsia="zh-CN"/>
        </w:rPr>
        <w:t>服务商</w:t>
      </w:r>
      <w:r>
        <w:rPr>
          <w:rFonts w:hint="eastAsia" w:ascii="宋体" w:hAnsi="宋体" w:eastAsia="宋体" w:cs="宋体"/>
          <w:color w:val="auto"/>
          <w:sz w:val="21"/>
          <w:szCs w:val="21"/>
          <w:highlight w:val="none"/>
        </w:rPr>
        <w:t>可参照或选用其他相当的品牌、型号或生产</w:t>
      </w:r>
      <w:r>
        <w:rPr>
          <w:rFonts w:hint="eastAsia" w:ascii="宋体" w:hAnsi="宋体" w:eastAsia="宋体" w:cs="宋体"/>
          <w:color w:val="auto"/>
          <w:sz w:val="21"/>
          <w:szCs w:val="21"/>
          <w:highlight w:val="none"/>
          <w:lang w:eastAsia="zh-CN"/>
        </w:rPr>
        <w:t>服务商</w:t>
      </w:r>
      <w:r>
        <w:rPr>
          <w:rFonts w:hint="eastAsia" w:ascii="宋体" w:hAnsi="宋体" w:eastAsia="宋体" w:cs="宋体"/>
          <w:color w:val="auto"/>
          <w:sz w:val="21"/>
          <w:szCs w:val="21"/>
          <w:highlight w:val="none"/>
        </w:rPr>
        <w:t>替代。采购需求中如涉及某项参数指标（尺寸、重量、数量等）、材质或服务要求未明确标记偏离区间时，均仅作为项目最低要求，验收时依据国家相关标准或规定（如有）要求通过即可。不再作额外要求。接受并鼓励对项目有实质性帮助的参数指标、材质或服务作为正偏离参与响应</w:t>
      </w:r>
      <w:r>
        <w:rPr>
          <w:rFonts w:hint="eastAsia"/>
          <w:color w:val="auto"/>
          <w:highlight w:val="none"/>
        </w:rPr>
        <w:t>。</w:t>
      </w:r>
    </w:p>
    <w:p w14:paraId="5C0535D5">
      <w:pPr>
        <w:pageBreakBefore w:val="0"/>
        <w:kinsoku/>
        <w:wordWrap/>
        <w:topLinePunct w:val="0"/>
        <w:bidi w:val="0"/>
        <w:spacing w:line="312" w:lineRule="auto"/>
        <w:ind w:firstLine="420" w:firstLineChars="200"/>
        <w:outlineLvl w:val="0"/>
        <w:rPr>
          <w:rFonts w:hint="eastAsia" w:ascii="宋体" w:hAnsi="宋体" w:eastAsia="宋体" w:cs="宋体"/>
          <w:color w:val="auto"/>
        </w:rPr>
      </w:pPr>
      <w:bookmarkStart w:id="84" w:name="_Toc6141"/>
      <w:r>
        <w:rPr>
          <w:rFonts w:hint="eastAsia" w:ascii="宋体" w:hAnsi="宋体" w:cs="宋体"/>
          <w:color w:val="auto"/>
          <w:szCs w:val="21"/>
          <w:highlight w:val="none"/>
          <w:lang w:val="en-US" w:eastAsia="zh-CN"/>
        </w:rPr>
        <w:t>4</w:t>
      </w:r>
      <w:r>
        <w:rPr>
          <w:rFonts w:ascii="宋体" w:hAnsi="宋体" w:cs="宋体"/>
          <w:color w:val="auto"/>
          <w:szCs w:val="21"/>
          <w:highlight w:val="none"/>
        </w:rPr>
        <w:t>.</w:t>
      </w:r>
      <w:r>
        <w:rPr>
          <w:rFonts w:hint="eastAsia"/>
          <w:color w:val="auto"/>
          <w:highlight w:val="none"/>
          <w:lang w:eastAsia="zh-CN"/>
        </w:rPr>
        <w:t>服务商</w:t>
      </w:r>
      <w:r>
        <w:rPr>
          <w:color w:val="auto"/>
          <w:highlight w:val="none"/>
        </w:rPr>
        <w:t>必须自行为其</w:t>
      </w:r>
      <w:r>
        <w:rPr>
          <w:rFonts w:hint="eastAsia"/>
          <w:color w:val="auto"/>
          <w:highlight w:val="none"/>
        </w:rPr>
        <w:t>投标</w:t>
      </w:r>
      <w:r>
        <w:rPr>
          <w:color w:val="auto"/>
          <w:highlight w:val="none"/>
        </w:rPr>
        <w:t>产品侵犯</w:t>
      </w:r>
      <w:r>
        <w:rPr>
          <w:rFonts w:hint="eastAsia"/>
          <w:color w:val="auto"/>
          <w:highlight w:val="none"/>
        </w:rPr>
        <w:t>他人的知识产权或者专利成果的行为</w:t>
      </w:r>
      <w:r>
        <w:rPr>
          <w:color w:val="auto"/>
          <w:highlight w:val="none"/>
        </w:rPr>
        <w:t>承担相应法律责任</w:t>
      </w:r>
      <w:r>
        <w:rPr>
          <w:rFonts w:hint="eastAsia"/>
          <w:color w:val="auto"/>
          <w:highlight w:val="none"/>
        </w:rPr>
        <w:t>。</w:t>
      </w:r>
      <w:bookmarkEnd w:id="84"/>
    </w:p>
    <w:p w14:paraId="797C45AF">
      <w:pPr>
        <w:rPr>
          <w:rFonts w:hint="eastAsia" w:ascii="宋体" w:hAnsi="宋体" w:eastAsia="宋体" w:cs="宋体"/>
          <w:color w:val="auto"/>
        </w:rPr>
      </w:pPr>
      <w:r>
        <w:rPr>
          <w:rFonts w:hint="eastAsia" w:ascii="宋体" w:hAnsi="宋体" w:eastAsia="宋体" w:cs="宋体"/>
          <w:color w:val="auto"/>
        </w:rPr>
        <w:br w:type="page"/>
      </w:r>
    </w:p>
    <w:bookmarkEnd w:id="81"/>
    <w:bookmarkEnd w:id="82"/>
    <w:tbl>
      <w:tblPr>
        <w:tblStyle w:val="29"/>
        <w:tblW w:w="10095" w:type="dxa"/>
        <w:tblInd w:w="-4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8"/>
        <w:gridCol w:w="1339"/>
        <w:gridCol w:w="923"/>
        <w:gridCol w:w="6358"/>
        <w:gridCol w:w="857"/>
      </w:tblGrid>
      <w:tr w14:paraId="029DC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trPr>
        <w:tc>
          <w:tcPr>
            <w:tcW w:w="618" w:type="dxa"/>
            <w:tcBorders>
              <w:tl2br w:val="nil"/>
              <w:tr2bl w:val="nil"/>
            </w:tcBorders>
            <w:shd w:val="clear" w:color="auto" w:fill="auto"/>
            <w:noWrap/>
            <w:vAlign w:val="center"/>
          </w:tcPr>
          <w:p w14:paraId="3983B89F">
            <w:pPr>
              <w:widowControl/>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bidi="ar"/>
              </w:rPr>
              <w:t>序号</w:t>
            </w:r>
          </w:p>
        </w:tc>
        <w:tc>
          <w:tcPr>
            <w:tcW w:w="1339" w:type="dxa"/>
            <w:tcBorders>
              <w:tl2br w:val="nil"/>
              <w:tr2bl w:val="nil"/>
            </w:tcBorders>
            <w:shd w:val="clear" w:color="auto" w:fill="auto"/>
            <w:vAlign w:val="center"/>
          </w:tcPr>
          <w:p w14:paraId="7B81790D">
            <w:pPr>
              <w:widowControl/>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bidi="ar"/>
              </w:rPr>
              <w:t>标的的名称</w:t>
            </w:r>
          </w:p>
        </w:tc>
        <w:tc>
          <w:tcPr>
            <w:tcW w:w="923" w:type="dxa"/>
            <w:tcBorders>
              <w:right w:val="single" w:color="auto" w:sz="4" w:space="0"/>
              <w:tl2br w:val="nil"/>
              <w:tr2bl w:val="nil"/>
            </w:tcBorders>
            <w:shd w:val="clear" w:color="auto" w:fill="auto"/>
            <w:vAlign w:val="center"/>
          </w:tcPr>
          <w:p w14:paraId="169C4BCD">
            <w:pPr>
              <w:widowControl/>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数量及单位</w:t>
            </w:r>
          </w:p>
        </w:tc>
        <w:tc>
          <w:tcPr>
            <w:tcW w:w="6358" w:type="dxa"/>
            <w:tcBorders>
              <w:left w:val="single" w:color="auto" w:sz="4" w:space="0"/>
              <w:tl2br w:val="nil"/>
              <w:tr2bl w:val="nil"/>
            </w:tcBorders>
            <w:shd w:val="clear" w:color="auto" w:fill="auto"/>
            <w:vAlign w:val="center"/>
          </w:tcPr>
          <w:p w14:paraId="35801561">
            <w:pPr>
              <w:widowControl/>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bidi="ar"/>
              </w:rPr>
              <w:t>主要性能及技术参数</w:t>
            </w:r>
          </w:p>
        </w:tc>
        <w:tc>
          <w:tcPr>
            <w:tcW w:w="857" w:type="dxa"/>
            <w:tcBorders>
              <w:tl2br w:val="nil"/>
              <w:tr2bl w:val="nil"/>
            </w:tcBorders>
            <w:shd w:val="clear" w:color="auto" w:fill="auto"/>
            <w:noWrap/>
            <w:vAlign w:val="center"/>
          </w:tcPr>
          <w:p w14:paraId="1E401109">
            <w:pPr>
              <w:widowControl/>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所属</w:t>
            </w:r>
          </w:p>
          <w:p w14:paraId="75602F95">
            <w:pPr>
              <w:widowControl/>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行业</w:t>
            </w:r>
          </w:p>
        </w:tc>
      </w:tr>
      <w:tr w14:paraId="58933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trPr>
        <w:tc>
          <w:tcPr>
            <w:tcW w:w="618" w:type="dxa"/>
            <w:tcBorders>
              <w:tl2br w:val="nil"/>
              <w:tr2bl w:val="nil"/>
            </w:tcBorders>
            <w:shd w:val="clear" w:color="auto" w:fill="auto"/>
            <w:noWrap/>
            <w:vAlign w:val="center"/>
          </w:tcPr>
          <w:p w14:paraId="0FC6A168">
            <w:pPr>
              <w:widowControl/>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339" w:type="dxa"/>
            <w:tcBorders>
              <w:tl2br w:val="nil"/>
              <w:tr2bl w:val="nil"/>
            </w:tcBorders>
            <w:shd w:val="clear" w:color="auto" w:fill="auto"/>
            <w:vAlign w:val="center"/>
          </w:tcPr>
          <w:p w14:paraId="0663B3A4">
            <w:pPr>
              <w:widowControl/>
              <w:jc w:val="left"/>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苍梧六堡茶2026年推介展销项目</w:t>
            </w:r>
          </w:p>
        </w:tc>
        <w:tc>
          <w:tcPr>
            <w:tcW w:w="923" w:type="dxa"/>
            <w:tcBorders>
              <w:right w:val="single" w:color="auto" w:sz="4" w:space="0"/>
              <w:tl2br w:val="nil"/>
              <w:tr2bl w:val="nil"/>
            </w:tcBorders>
            <w:shd w:val="clear" w:color="auto" w:fill="auto"/>
            <w:vAlign w:val="center"/>
          </w:tcPr>
          <w:p w14:paraId="0F589D5D">
            <w:pPr>
              <w:widowControl/>
              <w:rPr>
                <w:rFonts w:hint="eastAsia" w:asciiTheme="minorEastAsia" w:hAnsiTheme="minorEastAsia" w:eastAsiaTheme="minorEastAsia" w:cstheme="minorEastAsia"/>
                <w:b/>
                <w:bCs/>
                <w:kern w:val="0"/>
                <w:sz w:val="21"/>
                <w:szCs w:val="21"/>
                <w:lang w:bidi="ar"/>
              </w:rPr>
            </w:pPr>
            <w:r>
              <w:rPr>
                <w:rFonts w:hint="eastAsia" w:asciiTheme="minorEastAsia" w:hAnsiTheme="minorEastAsia" w:eastAsiaTheme="minorEastAsia" w:cstheme="minorEastAsia"/>
                <w:kern w:val="0"/>
                <w:sz w:val="21"/>
                <w:szCs w:val="21"/>
                <w:lang w:bidi="ar"/>
              </w:rPr>
              <w:t>1项</w:t>
            </w:r>
          </w:p>
        </w:tc>
        <w:tc>
          <w:tcPr>
            <w:tcW w:w="6358" w:type="dxa"/>
            <w:tcBorders>
              <w:left w:val="single" w:color="auto" w:sz="4" w:space="0"/>
              <w:tl2br w:val="nil"/>
              <w:tr2bl w:val="nil"/>
            </w:tcBorders>
            <w:shd w:val="clear" w:color="auto" w:fill="auto"/>
            <w:vAlign w:val="center"/>
          </w:tcPr>
          <w:p w14:paraId="280D418E">
            <w:pPr>
              <w:widowControl/>
              <w:numPr>
                <w:ilvl w:val="0"/>
                <w:numId w:val="3"/>
              </w:num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项目目标：</w:t>
            </w:r>
          </w:p>
          <w:p w14:paraId="3AD7E0F3">
            <w:pPr>
              <w:widowControl/>
              <w:numPr>
                <w:ilvl w:val="0"/>
                <w:numId w:val="0"/>
              </w:numPr>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在全国各地组织参加六堡茶推广展销活动 </w:t>
            </w:r>
            <w:r>
              <w:rPr>
                <w:rFonts w:hint="eastAsia" w:asciiTheme="minorEastAsia" w:hAnsiTheme="minorEastAsia" w:eastAsiaTheme="minorEastAsia" w:cstheme="minorEastAsia"/>
                <w:color w:val="000000"/>
                <w:sz w:val="21"/>
                <w:szCs w:val="21"/>
                <w:lang w:val="en-US" w:eastAsia="zh-CN"/>
              </w:rPr>
              <w:t>6</w:t>
            </w:r>
            <w:r>
              <w:rPr>
                <w:rFonts w:hint="eastAsia" w:asciiTheme="minorEastAsia" w:hAnsiTheme="minorEastAsia" w:eastAsiaTheme="minorEastAsia" w:cstheme="minorEastAsia"/>
                <w:color w:val="000000"/>
                <w:sz w:val="21"/>
                <w:szCs w:val="21"/>
              </w:rPr>
              <w:t xml:space="preserve"> 次（含推介会</w:t>
            </w:r>
            <w:r>
              <w:rPr>
                <w:rFonts w:hint="eastAsia" w:asciiTheme="minorEastAsia" w:hAnsiTheme="minorEastAsia" w:eastAsiaTheme="minorEastAsia" w:cstheme="minorEastAsia"/>
                <w:color w:val="000000"/>
                <w:sz w:val="21"/>
                <w:szCs w:val="21"/>
                <w:lang w:val="en-US" w:eastAsia="zh-CN"/>
              </w:rPr>
              <w:t>1</w:t>
            </w:r>
            <w:r>
              <w:rPr>
                <w:rFonts w:hint="eastAsia" w:asciiTheme="minorEastAsia" w:hAnsiTheme="minorEastAsia" w:eastAsiaTheme="minorEastAsia" w:cstheme="minorEastAsia"/>
                <w:color w:val="000000"/>
                <w:sz w:val="21"/>
                <w:szCs w:val="21"/>
              </w:rPr>
              <w:t>次）， 打造</w:t>
            </w:r>
            <w:r>
              <w:rPr>
                <w:rFonts w:hint="eastAsia" w:asciiTheme="minorEastAsia" w:hAnsiTheme="minorEastAsia" w:eastAsiaTheme="minorEastAsia" w:cstheme="minorEastAsia"/>
                <w:color w:val="000000"/>
                <w:sz w:val="21"/>
                <w:szCs w:val="21"/>
                <w:lang w:eastAsia="zh-CN"/>
              </w:rPr>
              <w:t>苍梧</w:t>
            </w:r>
            <w:r>
              <w:rPr>
                <w:rFonts w:hint="eastAsia" w:asciiTheme="minorEastAsia" w:hAnsiTheme="minorEastAsia" w:eastAsiaTheme="minorEastAsia" w:cstheme="minorEastAsia"/>
                <w:color w:val="000000"/>
                <w:sz w:val="21"/>
                <w:szCs w:val="21"/>
              </w:rPr>
              <w:t>六堡茶品牌，提升</w:t>
            </w:r>
            <w:r>
              <w:rPr>
                <w:rFonts w:hint="eastAsia" w:asciiTheme="minorEastAsia" w:hAnsiTheme="minorEastAsia" w:eastAsiaTheme="minorEastAsia" w:cstheme="minorEastAsia"/>
                <w:color w:val="000000"/>
                <w:sz w:val="21"/>
                <w:szCs w:val="21"/>
                <w:lang w:eastAsia="zh-CN"/>
              </w:rPr>
              <w:t>苍梧</w:t>
            </w:r>
            <w:r>
              <w:rPr>
                <w:rFonts w:hint="eastAsia" w:asciiTheme="minorEastAsia" w:hAnsiTheme="minorEastAsia" w:eastAsiaTheme="minorEastAsia" w:cstheme="minorEastAsia"/>
                <w:color w:val="000000"/>
                <w:sz w:val="21"/>
                <w:szCs w:val="21"/>
              </w:rPr>
              <w:t>六堡茶影响力，助力</w:t>
            </w:r>
            <w:r>
              <w:rPr>
                <w:rFonts w:hint="eastAsia" w:asciiTheme="minorEastAsia" w:hAnsiTheme="minorEastAsia" w:eastAsiaTheme="minorEastAsia" w:cstheme="minorEastAsia"/>
                <w:color w:val="000000"/>
                <w:sz w:val="21"/>
                <w:szCs w:val="21"/>
                <w:lang w:eastAsia="zh-CN"/>
              </w:rPr>
              <w:t>苍梧</w:t>
            </w:r>
            <w:r>
              <w:rPr>
                <w:rFonts w:hint="eastAsia" w:asciiTheme="minorEastAsia" w:hAnsiTheme="minorEastAsia" w:eastAsiaTheme="minorEastAsia" w:cstheme="minorEastAsia"/>
                <w:color w:val="000000"/>
                <w:sz w:val="21"/>
                <w:szCs w:val="21"/>
              </w:rPr>
              <w:t>六堡茶高质量发展。项目完成后，带动全县六堡茶销售，提升六堡茶品牌，受益群众321 户，1210 人，提高六堡茶销售助力乡村振兴。</w:t>
            </w:r>
          </w:p>
          <w:p w14:paraId="2A1F914E">
            <w:pPr>
              <w:widowControl/>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二、项目要求：</w:t>
            </w:r>
          </w:p>
          <w:p w14:paraId="27920FB8">
            <w:pPr>
              <w:widowControl/>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1、组织苍梧县六堡茶企业在全国各地组织参加六堡茶推广展销活动</w:t>
            </w:r>
            <w:r>
              <w:rPr>
                <w:rFonts w:hint="eastAsia" w:asciiTheme="minorEastAsia" w:hAnsiTheme="minorEastAsia" w:eastAsiaTheme="minorEastAsia" w:cstheme="minorEastAsia"/>
                <w:color w:val="000000"/>
                <w:sz w:val="21"/>
                <w:szCs w:val="21"/>
                <w:lang w:val="en-US" w:eastAsia="zh-CN"/>
              </w:rPr>
              <w:t>6</w:t>
            </w:r>
            <w:r>
              <w:rPr>
                <w:rFonts w:hint="eastAsia" w:asciiTheme="minorEastAsia" w:hAnsiTheme="minorEastAsia" w:eastAsiaTheme="minorEastAsia" w:cstheme="minorEastAsia"/>
                <w:color w:val="000000"/>
                <w:sz w:val="21"/>
                <w:szCs w:val="21"/>
              </w:rPr>
              <w:t>次（含推介会</w:t>
            </w:r>
            <w:r>
              <w:rPr>
                <w:rFonts w:hint="eastAsia" w:asciiTheme="minorEastAsia" w:hAnsiTheme="minorEastAsia" w:eastAsiaTheme="minorEastAsia" w:cstheme="minorEastAsia"/>
                <w:color w:val="000000"/>
                <w:sz w:val="21"/>
                <w:szCs w:val="21"/>
                <w:lang w:val="en-US" w:eastAsia="zh-CN"/>
              </w:rPr>
              <w:t>1</w:t>
            </w:r>
            <w:r>
              <w:rPr>
                <w:rFonts w:hint="eastAsia" w:asciiTheme="minorEastAsia" w:hAnsiTheme="minorEastAsia" w:eastAsiaTheme="minorEastAsia" w:cstheme="minorEastAsia"/>
                <w:color w:val="000000"/>
                <w:sz w:val="21"/>
                <w:szCs w:val="21"/>
              </w:rPr>
              <w:t>次），</w:t>
            </w:r>
            <w:r>
              <w:rPr>
                <w:rFonts w:hint="eastAsia" w:asciiTheme="minorEastAsia" w:hAnsiTheme="minorEastAsia" w:eastAsiaTheme="minorEastAsia" w:cstheme="minorEastAsia"/>
                <w:color w:val="000000"/>
                <w:sz w:val="21"/>
                <w:szCs w:val="21"/>
                <w:lang w:eastAsia="zh-CN"/>
              </w:rPr>
              <w:t>平均</w:t>
            </w:r>
            <w:r>
              <w:rPr>
                <w:rFonts w:hint="eastAsia" w:asciiTheme="minorEastAsia" w:hAnsiTheme="minorEastAsia" w:eastAsiaTheme="minorEastAsia" w:cstheme="minorEastAsia"/>
                <w:color w:val="000000"/>
                <w:sz w:val="21"/>
                <w:szCs w:val="21"/>
              </w:rPr>
              <w:t>每次面积</w:t>
            </w:r>
            <w:r>
              <w:rPr>
                <w:rFonts w:hint="eastAsia" w:asciiTheme="minorEastAsia" w:hAnsiTheme="minorEastAsia" w:eastAsiaTheme="minorEastAsia" w:cstheme="minorEastAsia"/>
                <w:color w:val="000000"/>
                <w:sz w:val="21"/>
                <w:szCs w:val="21"/>
                <w:lang w:eastAsia="zh-CN"/>
              </w:rPr>
              <w:t>不少于</w:t>
            </w: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0平方米，包括组织实施、展台设计和搭建、展位租赁。</w:t>
            </w:r>
          </w:p>
          <w:p w14:paraId="1213AEB2">
            <w:pPr>
              <w:widowControl/>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2、提供展位设计方案：应结合活动场地特点，努力做到突出六堡茶文化特色，布局上做到庄重大方、热烈隆重， 结合合理的色彩搭配用于烘托环境氛围，带给观众浓郁的艺术感染力；</w:t>
            </w:r>
          </w:p>
          <w:p w14:paraId="7244B11D">
            <w:pPr>
              <w:widowControl/>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3、提供音响设计方案：须配备专业的音响设备，努力使每个节目都达到最佳的现场传播效果；</w:t>
            </w:r>
          </w:p>
          <w:p w14:paraId="42068715">
            <w:pPr>
              <w:widowControl/>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4、承诺每场活动结束后负责拆卸和清理现场服务；</w:t>
            </w:r>
          </w:p>
          <w:p w14:paraId="09A8E7BE">
            <w:pPr>
              <w:widowControl/>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5、提供实施组织方案：针对本项目活动安排、设施设备保障工作、活动现场秩序保障措施等实施方案内容；</w:t>
            </w:r>
          </w:p>
          <w:p w14:paraId="6BD02CDE">
            <w:pPr>
              <w:widowControl/>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6、提供现场管理方案；</w:t>
            </w:r>
          </w:p>
        </w:tc>
        <w:tc>
          <w:tcPr>
            <w:tcW w:w="857" w:type="dxa"/>
            <w:tcBorders>
              <w:tl2br w:val="nil"/>
              <w:tr2bl w:val="nil"/>
            </w:tcBorders>
            <w:shd w:val="clear" w:color="auto" w:fill="auto"/>
            <w:noWrap/>
            <w:vAlign w:val="center"/>
          </w:tcPr>
          <w:p w14:paraId="32DF0540">
            <w:pPr>
              <w:widowControl/>
              <w:spacing w:line="276" w:lineRule="auto"/>
              <w:jc w:val="left"/>
              <w:rPr>
                <w:rFonts w:hint="eastAsia" w:asciiTheme="minorEastAsia" w:hAnsiTheme="minorEastAsia" w:eastAsiaTheme="minorEastAsia" w:cstheme="minorEastAsia"/>
                <w:sz w:val="21"/>
                <w:szCs w:val="21"/>
                <w:highlight w:val="yellow"/>
              </w:rPr>
            </w:pPr>
          </w:p>
          <w:p w14:paraId="1487A63B">
            <w:pPr>
              <w:widowControl/>
              <w:spacing w:line="276" w:lineRule="auto"/>
              <w:jc w:val="left"/>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color w:val="000000"/>
                <w:sz w:val="21"/>
                <w:szCs w:val="21"/>
              </w:rPr>
              <w:t>租赁和商务服务业</w:t>
            </w:r>
          </w:p>
          <w:p w14:paraId="4532FEF4">
            <w:pPr>
              <w:widowControl/>
              <w:rPr>
                <w:rFonts w:hint="eastAsia" w:asciiTheme="minorEastAsia" w:hAnsiTheme="minorEastAsia" w:eastAsiaTheme="minorEastAsia" w:cstheme="minorEastAsia"/>
                <w:color w:val="000000"/>
                <w:sz w:val="21"/>
                <w:szCs w:val="21"/>
              </w:rPr>
            </w:pPr>
          </w:p>
        </w:tc>
      </w:tr>
      <w:tr w14:paraId="1BC1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0095" w:type="dxa"/>
            <w:gridSpan w:val="5"/>
            <w:tcBorders>
              <w:tl2br w:val="nil"/>
              <w:tr2bl w:val="nil"/>
            </w:tcBorders>
          </w:tcPr>
          <w:p w14:paraId="6CC2BE53">
            <w:pPr>
              <w:widowControl/>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w:t>
            </w:r>
            <w:r>
              <w:rPr>
                <w:rFonts w:hint="eastAsia" w:asciiTheme="minorEastAsia" w:hAnsiTheme="minorEastAsia" w:eastAsiaTheme="minorEastAsia" w:cstheme="minorEastAsia"/>
                <w:b/>
                <w:sz w:val="21"/>
                <w:szCs w:val="21"/>
              </w:rPr>
              <w:t>二、商务要求</w:t>
            </w:r>
          </w:p>
        </w:tc>
      </w:tr>
      <w:tr w14:paraId="1AFD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957" w:type="dxa"/>
            <w:gridSpan w:val="2"/>
            <w:tcBorders>
              <w:tl2br w:val="nil"/>
              <w:tr2bl w:val="nil"/>
            </w:tcBorders>
            <w:vAlign w:val="center"/>
          </w:tcPr>
          <w:p w14:paraId="53FFCE9E">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报价要求</w:t>
            </w:r>
          </w:p>
        </w:tc>
        <w:tc>
          <w:tcPr>
            <w:tcW w:w="8138" w:type="dxa"/>
            <w:gridSpan w:val="3"/>
            <w:tcBorders>
              <w:tl2br w:val="nil"/>
              <w:tr2bl w:val="nil"/>
            </w:tcBorders>
            <w:vAlign w:val="center"/>
          </w:tcPr>
          <w:p w14:paraId="43BC705C">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供应商的总报价应该包括：</w:t>
            </w:r>
          </w:p>
          <w:p w14:paraId="2161EB71">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（1）服务的价格，包含宣传品制作、策划组织、活动执行以及实施过程中的应预见和不可预见的费用等；</w:t>
            </w:r>
          </w:p>
          <w:p w14:paraId="7968103C">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（2）运输、装卸、调试、技术支持、售后服务等费用；</w:t>
            </w:r>
          </w:p>
          <w:p w14:paraId="79538479">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（3）必要的保险费用和各项税费；</w:t>
            </w:r>
          </w:p>
          <w:p w14:paraId="3AAF2E1E">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（4）设备安装、场地租用费；</w:t>
            </w:r>
          </w:p>
          <w:p w14:paraId="3C93F696">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（5）到现场验收的费用。</w:t>
            </w:r>
          </w:p>
        </w:tc>
      </w:tr>
      <w:tr w14:paraId="6F76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957" w:type="dxa"/>
            <w:gridSpan w:val="2"/>
            <w:tcBorders>
              <w:tl2br w:val="nil"/>
              <w:tr2bl w:val="nil"/>
            </w:tcBorders>
            <w:vAlign w:val="center"/>
          </w:tcPr>
          <w:p w14:paraId="56226B26">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交付使用期及地点</w:t>
            </w:r>
          </w:p>
        </w:tc>
        <w:tc>
          <w:tcPr>
            <w:tcW w:w="8138" w:type="dxa"/>
            <w:gridSpan w:val="3"/>
            <w:tcBorders>
              <w:tl2br w:val="nil"/>
              <w:tr2bl w:val="nil"/>
            </w:tcBorders>
          </w:tcPr>
          <w:p w14:paraId="1D57BA9D">
            <w:pPr>
              <w:snapToGri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1.交付</w:t>
            </w:r>
            <w:r>
              <w:rPr>
                <w:rFonts w:hint="eastAsia" w:asciiTheme="minorEastAsia" w:hAnsiTheme="minorEastAsia" w:eastAsiaTheme="minorEastAsia" w:cstheme="minorEastAsia"/>
                <w:kern w:val="0"/>
                <w:sz w:val="21"/>
                <w:szCs w:val="21"/>
              </w:rPr>
              <w:t>时间：自签订合同之日起至202</w:t>
            </w:r>
            <w:r>
              <w:rPr>
                <w:rFonts w:hint="eastAsia" w:asciiTheme="minorEastAsia" w:hAnsiTheme="minorEastAsia" w:eastAsiaTheme="minorEastAsia" w:cstheme="minorEastAsia"/>
                <w:kern w:val="0"/>
                <w:sz w:val="21"/>
                <w:szCs w:val="21"/>
                <w:lang w:val="en-US" w:eastAsia="zh-CN"/>
              </w:rPr>
              <w:t>6</w:t>
            </w:r>
            <w:r>
              <w:rPr>
                <w:rFonts w:hint="eastAsia" w:asciiTheme="minorEastAsia" w:hAnsiTheme="minorEastAsia" w:eastAsiaTheme="minorEastAsia" w:cstheme="minorEastAsia"/>
                <w:kern w:val="0"/>
                <w:sz w:val="21"/>
                <w:szCs w:val="21"/>
              </w:rPr>
              <w:t>年12月31日前完成产品展销活动。</w:t>
            </w:r>
          </w:p>
          <w:p w14:paraId="0D830542">
            <w:pPr>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2.交付地点：采购人指定地点。</w:t>
            </w:r>
          </w:p>
        </w:tc>
      </w:tr>
      <w:tr w14:paraId="3F0D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957" w:type="dxa"/>
            <w:gridSpan w:val="2"/>
            <w:tcBorders>
              <w:tl2br w:val="nil"/>
              <w:tr2bl w:val="nil"/>
            </w:tcBorders>
            <w:vAlign w:val="center"/>
          </w:tcPr>
          <w:p w14:paraId="73E1E1F7">
            <w:pPr>
              <w:ind w:left="-107" w:leftChars="-51" w:firstLine="126" w:firstLineChars="6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合同签订时间</w:t>
            </w:r>
          </w:p>
        </w:tc>
        <w:tc>
          <w:tcPr>
            <w:tcW w:w="8138" w:type="dxa"/>
            <w:gridSpan w:val="3"/>
            <w:tcBorders>
              <w:tl2br w:val="nil"/>
              <w:tr2bl w:val="nil"/>
            </w:tcBorders>
            <w:vAlign w:val="center"/>
          </w:tcPr>
          <w:p w14:paraId="6439140C">
            <w:pPr>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w:t>
            </w:r>
            <w:r>
              <w:rPr>
                <w:rFonts w:hint="eastAsia" w:asciiTheme="minorEastAsia" w:hAnsiTheme="minorEastAsia" w:eastAsiaTheme="minorEastAsia" w:cstheme="minorEastAsia"/>
                <w:kern w:val="0"/>
                <w:sz w:val="21"/>
                <w:szCs w:val="21"/>
              </w:rPr>
              <w:t>成交通知书</w:t>
            </w:r>
            <w:r>
              <w:rPr>
                <w:rFonts w:hint="eastAsia" w:asciiTheme="minorEastAsia" w:hAnsiTheme="minorEastAsia" w:eastAsiaTheme="minorEastAsia" w:cstheme="minorEastAsia"/>
                <w:sz w:val="21"/>
                <w:szCs w:val="21"/>
              </w:rPr>
              <w:t>发出之日起25日内。</w:t>
            </w:r>
          </w:p>
        </w:tc>
      </w:tr>
      <w:tr w14:paraId="1783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957" w:type="dxa"/>
            <w:gridSpan w:val="2"/>
            <w:tcBorders>
              <w:tl2br w:val="nil"/>
              <w:tr2bl w:val="nil"/>
            </w:tcBorders>
            <w:vAlign w:val="center"/>
          </w:tcPr>
          <w:p w14:paraId="286525A6">
            <w:pPr>
              <w:widowControl/>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付款条件</w:t>
            </w:r>
          </w:p>
        </w:tc>
        <w:tc>
          <w:tcPr>
            <w:tcW w:w="8138" w:type="dxa"/>
            <w:gridSpan w:val="3"/>
            <w:tcBorders>
              <w:tl2br w:val="nil"/>
              <w:tr2bl w:val="nil"/>
            </w:tcBorders>
          </w:tcPr>
          <w:p w14:paraId="3618AC68">
            <w:pPr>
              <w:snapToGrid w:val="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本项目预付款在合同生效后15日内支付，预付款比例为合同金额的30%</w:t>
            </w:r>
            <w:r>
              <w:rPr>
                <w:rFonts w:hint="eastAsia" w:asciiTheme="minorEastAsia" w:hAnsiTheme="minorEastAsia" w:eastAsiaTheme="minorEastAsia" w:cstheme="minorEastAsia"/>
                <w:sz w:val="21"/>
                <w:szCs w:val="21"/>
                <w:lang w:eastAsia="zh-CN"/>
              </w:rPr>
              <w:t>。</w:t>
            </w:r>
          </w:p>
          <w:p w14:paraId="37BE6089">
            <w:pPr>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2.按进度款支付，每场展销活动后7个工作日内</w:t>
            </w:r>
            <w:r>
              <w:rPr>
                <w:rFonts w:hint="eastAsia" w:asciiTheme="minorEastAsia" w:hAnsiTheme="minorEastAsia" w:eastAsiaTheme="minorEastAsia" w:cstheme="minorEastAsia"/>
                <w:sz w:val="21"/>
                <w:szCs w:val="21"/>
              </w:rPr>
              <w:t>支付合同金额</w:t>
            </w:r>
            <w:r>
              <w:rPr>
                <w:rFonts w:hint="eastAsia" w:asciiTheme="minorEastAsia" w:hAnsiTheme="minorEastAsia" w:eastAsiaTheme="minorEastAsia" w:cstheme="minorEastAsia"/>
                <w:sz w:val="21"/>
                <w:szCs w:val="21"/>
                <w:lang w:val="en-US" w:eastAsia="zh-CN"/>
              </w:rPr>
              <w:t>的15</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含预付款，预付款在前3场扣完，每场回扣10%</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每场展销活动</w:t>
            </w:r>
            <w:r>
              <w:rPr>
                <w:rFonts w:hint="eastAsia" w:asciiTheme="minorEastAsia" w:hAnsiTheme="minorEastAsia" w:eastAsiaTheme="minorEastAsia" w:cstheme="minorEastAsia"/>
                <w:sz w:val="21"/>
                <w:szCs w:val="21"/>
              </w:rPr>
              <w:t>完成后，成交供应商向采购人提供项目结算清单及相关材料。经采购人验收合格后，15 个工作日内向供应商支付余下</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0%合同金额。(每次付款前，成交供应商需向采购人出具等额增值税发票)。</w:t>
            </w:r>
          </w:p>
        </w:tc>
      </w:tr>
      <w:tr w14:paraId="4825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7" w:type="dxa"/>
            <w:gridSpan w:val="2"/>
            <w:tcBorders>
              <w:tl2br w:val="nil"/>
              <w:tr2bl w:val="nil"/>
            </w:tcBorders>
            <w:vAlign w:val="center"/>
          </w:tcPr>
          <w:p w14:paraId="39B59ECA">
            <w:pPr>
              <w:widowControl/>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项目实施要求</w:t>
            </w:r>
          </w:p>
        </w:tc>
        <w:tc>
          <w:tcPr>
            <w:tcW w:w="8138" w:type="dxa"/>
            <w:gridSpan w:val="3"/>
            <w:tcBorders>
              <w:tl2br w:val="nil"/>
              <w:tr2bl w:val="nil"/>
            </w:tcBorders>
            <w:vAlign w:val="center"/>
          </w:tcPr>
          <w:p w14:paraId="1D67174A">
            <w:pPr>
              <w:widowControl/>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1.成交供应商负责服务团队日常服务工作的管理，包括人员管理、服务工作管理、作业安全管理等管理工作。因作业不当或管理不善，发生事件、事故的，由成交供应商承担全部责任。</w:t>
            </w:r>
          </w:p>
          <w:p w14:paraId="1567AD2F">
            <w:pPr>
              <w:widowControl/>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2.成交供应商自行承担所聘用团队人员的工资、福利、体检、培训等管理费用，以及与其国家或地方法规所要求征收的税金、保险等其它费用，承诺与员工签订《劳动用工合同》，缴</w:t>
            </w:r>
            <w:r>
              <w:rPr>
                <w:rFonts w:hint="eastAsia" w:asciiTheme="minorEastAsia" w:hAnsiTheme="minorEastAsia" w:eastAsiaTheme="minorEastAsia" w:cstheme="minorEastAsia"/>
                <w:bCs/>
                <w:sz w:val="21"/>
                <w:szCs w:val="21"/>
              </w:rPr>
              <w:t>纳相关保险。</w:t>
            </w:r>
          </w:p>
          <w:p w14:paraId="640626D5">
            <w:pPr>
              <w:widowControl/>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3.成交供应商在服务期间应遵守采购人相关管理制度、规定，并遵守国家相关法律法规，合法经营，如有员工违法行为按相关规定处理。</w:t>
            </w:r>
          </w:p>
          <w:p w14:paraId="4ED042FC">
            <w:pPr>
              <w:widowControl/>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4.磋商供应商必须承诺自行提供本项目所有服务内容，不得转让或转包。</w:t>
            </w:r>
          </w:p>
          <w:p w14:paraId="2C9C354C">
            <w:pPr>
              <w:widowControl/>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5.成交供应商提供的服务不满足招标文件要求验收不合格的，采购人有权解除合同并追究成交供应商的法律责任。</w:t>
            </w:r>
          </w:p>
          <w:p w14:paraId="2EDA0DFE">
            <w:pPr>
              <w:widowControl/>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6.在服务期间，成交供应商应设一名项目负责人在现场服务，负责协调管理工作。</w:t>
            </w:r>
          </w:p>
        </w:tc>
      </w:tr>
      <w:tr w14:paraId="12EB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95" w:type="dxa"/>
            <w:gridSpan w:val="5"/>
            <w:tcBorders>
              <w:tl2br w:val="nil"/>
              <w:tr2bl w:val="nil"/>
            </w:tcBorders>
            <w:vAlign w:val="center"/>
          </w:tcPr>
          <w:p w14:paraId="0EA0E18D">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二、与实现项目目标相关的其他要求</w:t>
            </w:r>
          </w:p>
        </w:tc>
      </w:tr>
      <w:tr w14:paraId="28420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95" w:type="dxa"/>
            <w:gridSpan w:val="5"/>
            <w:tcBorders>
              <w:tl2br w:val="nil"/>
              <w:tr2bl w:val="nil"/>
            </w:tcBorders>
            <w:vAlign w:val="center"/>
          </w:tcPr>
          <w:p w14:paraId="2A0B7F80">
            <w:pPr>
              <w:spacing w:line="36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sz w:val="21"/>
                <w:szCs w:val="21"/>
              </w:rPr>
              <w:t>（一）供应商的履约能力要求</w:t>
            </w:r>
          </w:p>
        </w:tc>
      </w:tr>
      <w:tr w14:paraId="0394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57" w:type="dxa"/>
            <w:gridSpan w:val="2"/>
            <w:tcBorders>
              <w:tl2br w:val="nil"/>
              <w:tr2bl w:val="nil"/>
            </w:tcBorders>
            <w:vAlign w:val="center"/>
          </w:tcPr>
          <w:p w14:paraId="7FE0FBDC">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为落实政府采购政策需满足的要求</w:t>
            </w:r>
          </w:p>
        </w:tc>
        <w:tc>
          <w:tcPr>
            <w:tcW w:w="8138" w:type="dxa"/>
            <w:gridSpan w:val="3"/>
            <w:tcBorders>
              <w:tl2br w:val="nil"/>
              <w:tr2bl w:val="nil"/>
            </w:tcBorders>
            <w:vAlign w:val="center"/>
          </w:tcPr>
          <w:p w14:paraId="286B9CAF">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（1）政府采购促进中小企业发展。</w:t>
            </w:r>
          </w:p>
          <w:p w14:paraId="4C0A30FC">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（2）政府采购支持采用本国产品的政策。</w:t>
            </w:r>
          </w:p>
          <w:p w14:paraId="661FA9F4">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（3）强制采购节能产品；优先采购节能产品、环境标志产品。</w:t>
            </w:r>
          </w:p>
          <w:p w14:paraId="1F5C7F50">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（4）政府采购促进残疾人就业政策。</w:t>
            </w:r>
          </w:p>
          <w:p w14:paraId="254EAB96">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（5）政府采购支持监狱企业发展。</w:t>
            </w:r>
          </w:p>
          <w:p w14:paraId="48937867">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（6）扶持不发达地区和少数民族地区政策</w:t>
            </w:r>
          </w:p>
        </w:tc>
      </w:tr>
      <w:tr w14:paraId="10CD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57" w:type="dxa"/>
            <w:gridSpan w:val="2"/>
            <w:tcBorders>
              <w:tl2br w:val="nil"/>
              <w:tr2bl w:val="nil"/>
            </w:tcBorders>
            <w:vAlign w:val="center"/>
          </w:tcPr>
          <w:p w14:paraId="1EB905A4">
            <w:pPr>
              <w:spacing w:line="360" w:lineRule="atLeas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质量管理体系要求</w:t>
            </w:r>
          </w:p>
        </w:tc>
        <w:tc>
          <w:tcPr>
            <w:tcW w:w="8138" w:type="dxa"/>
            <w:gridSpan w:val="3"/>
            <w:tcBorders>
              <w:tl2br w:val="nil"/>
              <w:tr2bl w:val="nil"/>
            </w:tcBorders>
            <w:vAlign w:val="center"/>
          </w:tcPr>
          <w:p w14:paraId="6B9D83B8">
            <w:pPr>
              <w:spacing w:line="36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如有，请于响应文件中自行提供。</w:t>
            </w:r>
          </w:p>
        </w:tc>
      </w:tr>
      <w:tr w14:paraId="083C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57" w:type="dxa"/>
            <w:gridSpan w:val="2"/>
            <w:tcBorders>
              <w:tl2br w:val="nil"/>
              <w:tr2bl w:val="nil"/>
            </w:tcBorders>
            <w:vAlign w:val="center"/>
          </w:tcPr>
          <w:p w14:paraId="04D8D0BF">
            <w:pPr>
              <w:spacing w:line="360" w:lineRule="atLeas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业绩要求</w:t>
            </w:r>
          </w:p>
        </w:tc>
        <w:tc>
          <w:tcPr>
            <w:tcW w:w="8138" w:type="dxa"/>
            <w:gridSpan w:val="3"/>
            <w:tcBorders>
              <w:tl2br w:val="nil"/>
              <w:tr2bl w:val="nil"/>
            </w:tcBorders>
            <w:vAlign w:val="center"/>
          </w:tcPr>
          <w:p w14:paraId="2A74514D">
            <w:pPr>
              <w:spacing w:line="36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如有，请于响应文件中自行提供。</w:t>
            </w:r>
          </w:p>
        </w:tc>
      </w:tr>
      <w:tr w14:paraId="1C29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095" w:type="dxa"/>
            <w:gridSpan w:val="5"/>
            <w:tcBorders>
              <w:tl2br w:val="nil"/>
              <w:tr2bl w:val="nil"/>
            </w:tcBorders>
            <w:vAlign w:val="center"/>
          </w:tcPr>
          <w:p w14:paraId="453C3B24">
            <w:pPr>
              <w:spacing w:line="36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（二）验收标准</w:t>
            </w:r>
          </w:p>
        </w:tc>
      </w:tr>
      <w:tr w14:paraId="21E0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095" w:type="dxa"/>
            <w:gridSpan w:val="5"/>
            <w:tcBorders>
              <w:tl2br w:val="nil"/>
              <w:tr2bl w:val="nil"/>
            </w:tcBorders>
            <w:vAlign w:val="center"/>
          </w:tcPr>
          <w:p w14:paraId="473212EE">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1．验收标准应符合国家标准、地方标准、行业标准或者其他标准、规范。</w:t>
            </w:r>
          </w:p>
          <w:p w14:paraId="3BDC16CC">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2.验收方法及方案：验收时双方必须在场，采购人可自行组建验收小组对本项目进行验收，并对验收结果签字确认。</w:t>
            </w:r>
          </w:p>
          <w:p w14:paraId="36CE272F">
            <w:pPr>
              <w:spacing w:line="360" w:lineRule="atLeas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3.其他未尽事宜应严格按照《关于印发广西壮族自治区政府采购项目履约验收管理办法的通知》[桂财采〔2015〕22号]以及《财政部关于进一步加强政府采购需求和履约验收管理的指导意见》[财库〔2016〕205号]规定执行。</w:t>
            </w:r>
          </w:p>
        </w:tc>
      </w:tr>
      <w:tr w14:paraId="2DE0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95" w:type="dxa"/>
            <w:gridSpan w:val="5"/>
            <w:tcBorders>
              <w:tl2br w:val="nil"/>
              <w:tr2bl w:val="nil"/>
            </w:tcBorders>
            <w:vAlign w:val="center"/>
          </w:tcPr>
          <w:p w14:paraId="30618EE9">
            <w:pPr>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（三）</w:t>
            </w:r>
            <w:r>
              <w:rPr>
                <w:rFonts w:hint="eastAsia" w:asciiTheme="minorEastAsia" w:hAnsiTheme="minorEastAsia" w:eastAsiaTheme="minorEastAsia" w:cstheme="minorEastAsia"/>
                <w:b/>
                <w:color w:val="000000"/>
                <w:sz w:val="21"/>
                <w:szCs w:val="21"/>
              </w:rPr>
              <w:t>其他要求</w:t>
            </w:r>
          </w:p>
        </w:tc>
      </w:tr>
      <w:tr w14:paraId="4E4C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jc w:val="center"/>
        </w:trPr>
        <w:tc>
          <w:tcPr>
            <w:tcW w:w="1957" w:type="dxa"/>
            <w:gridSpan w:val="2"/>
            <w:tcBorders>
              <w:tl2br w:val="nil"/>
              <w:tr2bl w:val="nil"/>
            </w:tcBorders>
            <w:vAlign w:val="center"/>
          </w:tcPr>
          <w:p w14:paraId="075016FC">
            <w:pPr>
              <w:widowControl/>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其他要求</w:t>
            </w:r>
          </w:p>
        </w:tc>
        <w:tc>
          <w:tcPr>
            <w:tcW w:w="8138" w:type="dxa"/>
            <w:gridSpan w:val="3"/>
            <w:tcBorders>
              <w:tl2br w:val="nil"/>
              <w:tr2bl w:val="nil"/>
            </w:tcBorders>
          </w:tcPr>
          <w:p w14:paraId="42D9C97F">
            <w:pPr>
              <w:pStyle w:val="18"/>
              <w:spacing w:line="312" w:lineRule="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1.本项目不接受联合体投标。</w:t>
            </w:r>
          </w:p>
          <w:p w14:paraId="6A4F9345">
            <w:pPr>
              <w:pStyle w:val="18"/>
              <w:spacing w:line="312" w:lineRule="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2.供应商中标后不得将该项目分包、转包给其它任何公司。</w:t>
            </w:r>
          </w:p>
          <w:p w14:paraId="2CACFA32">
            <w:pPr>
              <w:pStyle w:val="18"/>
              <w:spacing w:line="312" w:lineRule="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3.本项目货物不接受进口产品（即通过中国海关报关验放进入中国境内且产自关境外的产品）参与投标，如有此类产品参与投标的做无效标处理。</w:t>
            </w:r>
          </w:p>
          <w:p w14:paraId="08559FF9">
            <w:pPr>
              <w:pStyle w:val="18"/>
              <w:spacing w:line="312" w:lineRule="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4.交货时所有提供的产品资料必须是原版材料，若原版材料为外文，则另附中文版。</w:t>
            </w:r>
          </w:p>
        </w:tc>
      </w:tr>
      <w:tr w14:paraId="6CBB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7" w:type="dxa"/>
            <w:gridSpan w:val="2"/>
            <w:tcBorders>
              <w:tl2br w:val="nil"/>
              <w:tr2bl w:val="nil"/>
            </w:tcBorders>
            <w:vAlign w:val="center"/>
          </w:tcPr>
          <w:p w14:paraId="2CC64D61">
            <w:pPr>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知识产权</w:t>
            </w:r>
          </w:p>
        </w:tc>
        <w:tc>
          <w:tcPr>
            <w:tcW w:w="8138" w:type="dxa"/>
            <w:gridSpan w:val="3"/>
            <w:tcBorders>
              <w:tl2br w:val="nil"/>
              <w:tr2bl w:val="nil"/>
            </w:tcBorders>
            <w:vAlign w:val="center"/>
          </w:tcPr>
          <w:p w14:paraId="7FC0D088">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1.成交供应商自行承担在提供服务过程中因侵犯他人知识产权或自身原因产生的法律纠纷和责任并妥善处理，采购人不承担任何责任。</w:t>
            </w:r>
          </w:p>
          <w:p w14:paraId="5E1B2DB4">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保密要求：成交供应商对采购人及其下属单位所提供的技术及数据资料应严格保密，不得扩散。</w:t>
            </w:r>
          </w:p>
        </w:tc>
      </w:tr>
      <w:tr w14:paraId="1F57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7" w:type="dxa"/>
            <w:gridSpan w:val="2"/>
            <w:tcBorders>
              <w:tl2br w:val="nil"/>
              <w:tr2bl w:val="nil"/>
            </w:tcBorders>
            <w:vAlign w:val="center"/>
          </w:tcPr>
          <w:p w14:paraId="19666438">
            <w:pPr>
              <w:spacing w:line="360" w:lineRule="atLeast"/>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磋商说明</w:t>
            </w:r>
          </w:p>
        </w:tc>
        <w:tc>
          <w:tcPr>
            <w:tcW w:w="8138" w:type="dxa"/>
            <w:gridSpan w:val="3"/>
            <w:tcBorders>
              <w:tl2br w:val="nil"/>
              <w:tr2bl w:val="nil"/>
            </w:tcBorders>
            <w:vAlign w:val="center"/>
          </w:tcPr>
          <w:p w14:paraId="3D27B2B6">
            <w:pPr>
              <w:spacing w:line="36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磋商过程中，磋商小组可能会根据磋商文件和磋商情况实质性变动采购需求中的技术、服务要求以及合同草案条款，对磋商文件作出的实质性变动是磋商文件的有效组成部分，磋商小组以书面形式同时通知所有参加磋商的供应商。请各供应商做好磋商应答准备。</w:t>
            </w:r>
          </w:p>
        </w:tc>
      </w:tr>
      <w:tr w14:paraId="432CD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7" w:type="dxa"/>
            <w:gridSpan w:val="2"/>
            <w:tcBorders>
              <w:tl2br w:val="nil"/>
              <w:tr2bl w:val="nil"/>
            </w:tcBorders>
            <w:vAlign w:val="center"/>
          </w:tcPr>
          <w:p w14:paraId="73381540">
            <w:pPr>
              <w:spacing w:line="360" w:lineRule="atLeast"/>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▲最高限价</w:t>
            </w:r>
          </w:p>
        </w:tc>
        <w:tc>
          <w:tcPr>
            <w:tcW w:w="8138" w:type="dxa"/>
            <w:gridSpan w:val="3"/>
            <w:tcBorders>
              <w:tl2br w:val="nil"/>
              <w:tr2bl w:val="nil"/>
            </w:tcBorders>
            <w:vAlign w:val="center"/>
          </w:tcPr>
          <w:p w14:paraId="4035EB9F">
            <w:pPr>
              <w:spacing w:line="36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本项目评标时以预算金额为最高限价，</w:t>
            </w:r>
            <w:r>
              <w:rPr>
                <w:rFonts w:hint="eastAsia" w:asciiTheme="minorEastAsia" w:hAnsiTheme="minorEastAsia" w:eastAsiaTheme="minorEastAsia" w:cstheme="minorEastAsia"/>
                <w:b/>
                <w:sz w:val="21"/>
                <w:szCs w:val="21"/>
              </w:rPr>
              <w:t>竞标报价超最高限价的作无效竞标处理。</w:t>
            </w:r>
          </w:p>
        </w:tc>
      </w:tr>
    </w:tbl>
    <w:p w14:paraId="7B610E59">
      <w:pPr>
        <w:pStyle w:val="75"/>
        <w:rPr>
          <w:rFonts w:hint="eastAsia" w:ascii="宋体" w:hAnsi="宋体" w:eastAsia="宋体" w:cs="宋体"/>
          <w:sz w:val="21"/>
          <w:szCs w:val="21"/>
        </w:rPr>
      </w:pPr>
    </w:p>
    <w:p w14:paraId="68088B4A">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eastAsia="宋体" w:cs="宋体"/>
          <w:color w:val="auto"/>
          <w:sz w:val="21"/>
          <w:szCs w:val="21"/>
          <w:highlight w:val="none"/>
        </w:rPr>
      </w:pPr>
    </w:p>
    <w:p w14:paraId="034BE062">
      <w:pPr>
        <w:pageBreakBefore w:val="0"/>
        <w:tabs>
          <w:tab w:val="left" w:pos="180"/>
          <w:tab w:val="left" w:pos="1620"/>
        </w:tabs>
        <w:kinsoku/>
        <w:wordWrap/>
        <w:topLinePunct w:val="0"/>
        <w:bidi w:val="0"/>
        <w:spacing w:line="312" w:lineRule="auto"/>
        <w:ind w:firstLine="422" w:firstLineChars="200"/>
        <w:rPr>
          <w:rFonts w:hint="eastAsia" w:ascii="宋体" w:hAnsi="宋体" w:cs="宋体"/>
          <w:b/>
          <w:bCs/>
          <w:color w:val="auto"/>
          <w:szCs w:val="21"/>
          <w:highlight w:val="none"/>
        </w:rPr>
      </w:pPr>
    </w:p>
    <w:p w14:paraId="7F4AE8E3">
      <w:pPr>
        <w:pageBreakBefore w:val="0"/>
        <w:kinsoku/>
        <w:wordWrap/>
        <w:topLinePunct w:val="0"/>
        <w:bidi w:val="0"/>
        <w:spacing w:line="312" w:lineRule="auto"/>
        <w:jc w:val="center"/>
        <w:outlineLvl w:val="0"/>
        <w:rPr>
          <w:rFonts w:ascii="宋体" w:hAnsi="宋体"/>
          <w:b/>
          <w:color w:val="auto"/>
          <w:sz w:val="32"/>
          <w:szCs w:val="32"/>
          <w:highlight w:val="none"/>
        </w:rPr>
      </w:pPr>
      <w:r>
        <w:rPr>
          <w:rFonts w:hint="eastAsia" w:ascii="宋体" w:hAnsi="宋体" w:cs="宋体"/>
          <w:b w:val="0"/>
          <w:bCs w:val="0"/>
          <w:color w:val="auto"/>
          <w:szCs w:val="21"/>
          <w:highlight w:val="none"/>
        </w:rPr>
        <w:br w:type="page"/>
      </w:r>
      <w:bookmarkStart w:id="85" w:name="_Toc8228"/>
      <w:bookmarkStart w:id="86" w:name="_Toc27365"/>
      <w:bookmarkStart w:id="87" w:name="_Toc6447"/>
      <w:bookmarkStart w:id="88" w:name="_Toc6856"/>
      <w:bookmarkStart w:id="89" w:name="_Toc14278"/>
      <w:r>
        <w:rPr>
          <w:rStyle w:val="55"/>
          <w:rFonts w:hint="eastAsia" w:ascii="宋体" w:hAnsi="宋体" w:eastAsia="宋体" w:cs="宋体"/>
          <w:color w:val="auto"/>
        </w:rPr>
        <w:t>第</w:t>
      </w:r>
      <w:r>
        <w:rPr>
          <w:rStyle w:val="55"/>
          <w:rFonts w:hint="eastAsia" w:ascii="宋体" w:hAnsi="宋体" w:cs="宋体"/>
          <w:color w:val="auto"/>
          <w:lang w:val="en-US" w:eastAsia="zh-CN"/>
        </w:rPr>
        <w:t>四</w:t>
      </w:r>
      <w:r>
        <w:rPr>
          <w:rStyle w:val="55"/>
          <w:rFonts w:hint="eastAsia" w:ascii="宋体" w:hAnsi="宋体" w:eastAsia="宋体" w:cs="宋体"/>
          <w:color w:val="auto"/>
        </w:rPr>
        <w:t xml:space="preserve">章 </w:t>
      </w:r>
      <w:r>
        <w:rPr>
          <w:rStyle w:val="55"/>
          <w:rFonts w:hint="eastAsia" w:ascii="宋体" w:hAnsi="宋体" w:eastAsia="宋体" w:cs="宋体"/>
          <w:color w:val="auto"/>
          <w:lang w:eastAsia="zh-CN"/>
        </w:rPr>
        <w:t>评审</w:t>
      </w:r>
      <w:r>
        <w:rPr>
          <w:rStyle w:val="55"/>
          <w:rFonts w:hint="eastAsia" w:ascii="宋体" w:hAnsi="宋体" w:eastAsia="宋体" w:cs="宋体"/>
          <w:color w:val="auto"/>
        </w:rPr>
        <w:t>方法和成交标准</w:t>
      </w:r>
      <w:bookmarkEnd w:id="85"/>
      <w:bookmarkEnd w:id="86"/>
      <w:bookmarkEnd w:id="87"/>
      <w:bookmarkEnd w:id="88"/>
      <w:bookmarkEnd w:id="89"/>
    </w:p>
    <w:p w14:paraId="159C2CC9">
      <w:pPr>
        <w:spacing w:line="360" w:lineRule="auto"/>
        <w:jc w:val="center"/>
        <w:outlineLvl w:val="0"/>
        <w:rPr>
          <w:rFonts w:hint="eastAsia" w:ascii="宋体" w:hAnsi="宋体"/>
          <w:b/>
          <w:color w:val="auto"/>
          <w:sz w:val="32"/>
          <w:szCs w:val="32"/>
          <w:highlight w:val="none"/>
        </w:rPr>
      </w:pPr>
      <w:bookmarkStart w:id="90" w:name="_Toc8985"/>
      <w:r>
        <w:rPr>
          <w:rFonts w:hint="eastAsia" w:ascii="宋体" w:hAnsi="宋体"/>
          <w:b/>
          <w:color w:val="auto"/>
          <w:sz w:val="32"/>
          <w:szCs w:val="32"/>
          <w:highlight w:val="none"/>
        </w:rPr>
        <w:t>一、评审程序和评审方法</w:t>
      </w:r>
      <w:bookmarkEnd w:id="90"/>
    </w:p>
    <w:p w14:paraId="0FD9AF66">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404A9480">
      <w:pPr>
        <w:snapToGrid w:val="0"/>
        <w:spacing w:line="360" w:lineRule="auto"/>
        <w:ind w:firstLine="420" w:firstLineChars="20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0ACED35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注：采购人或者采购代理机构在资格审查结束前，对供应商进行信用查询。</w:t>
      </w:r>
    </w:p>
    <w:p w14:paraId="14E6B48A">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（1）查询渠道：“信用中国”网站(www.creditchina.gov.cn) 、中国政府采购网(www.ccgp.gov.cn)。</w:t>
      </w:r>
    </w:p>
    <w:p w14:paraId="779BF11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22B9F59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查询记录和证据留存方式：在查询网站中直接打印查询记录，打印材料作为评审资料保存。</w:t>
      </w:r>
    </w:p>
    <w:p w14:paraId="375011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674CF6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3C02C37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.3供应商有下列情形之一的，资格审查不通过，其响应文件按无效响应处理：</w:t>
      </w:r>
    </w:p>
    <w:p w14:paraId="7365BD8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44AD6A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4208C16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（3）响应文件的资格证明文件缺少任一项“供应商须知前附表”资格证明文件规定的“必须提供”的文件资料的；</w:t>
      </w:r>
    </w:p>
    <w:p w14:paraId="5AE5F34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（4）响应文件中的资格证明文件出现任一项不符合“供应商须知前附表”资格证明文件规定的“必须提供”的文件资料要求或者无效的；</w:t>
      </w:r>
    </w:p>
    <w:p w14:paraId="10FC867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（5）有第二章“供应商须知”第3.2项规定的任何一种情形的。</w:t>
      </w:r>
    </w:p>
    <w:p w14:paraId="3752BC2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5534F976">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5A0FE34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2.1</w:t>
      </w:r>
      <w:r>
        <w:rPr>
          <w:rFonts w:hint="eastAsia" w:ascii="宋体" w:hAnsi="宋体" w:cs="宋体"/>
          <w:color w:val="auto"/>
          <w:szCs w:val="21"/>
          <w:highlight w:val="none"/>
        </w:rPr>
        <w:t>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p w14:paraId="48FE73E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05AB897">
      <w:pPr>
        <w:spacing w:line="360" w:lineRule="auto"/>
        <w:ind w:firstLine="420" w:firstLineChars="200"/>
        <w:rPr>
          <w:rFonts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hint="eastAsia" w:ascii="宋体" w:hAnsi="宋体" w:cs="宋体"/>
          <w:bCs/>
          <w:color w:val="auto"/>
          <w:szCs w:val="21"/>
          <w:highlight w:val="none"/>
        </w:rPr>
        <w:t>若委托代理人不是响应文件中授权的委托代理人时，必须同时出示有效的法定代表人授权委托书原件</w:t>
      </w:r>
      <w:r>
        <w:rPr>
          <w:rFonts w:hint="eastAsia" w:ascii="宋体" w:hAnsi="宋体" w:cs="宋体"/>
          <w:color w:val="auto"/>
          <w:spacing w:val="-6"/>
          <w:szCs w:val="21"/>
          <w:highlight w:val="none"/>
        </w:rPr>
        <w:t>。供应商为自然人的，必须由本人签字并附身份证明。</w:t>
      </w:r>
    </w:p>
    <w:p w14:paraId="30442D2B">
      <w:pPr>
        <w:spacing w:line="360" w:lineRule="auto"/>
        <w:ind w:firstLine="396" w:firstLineChars="200"/>
        <w:rPr>
          <w:rFonts w:hint="eastAsia"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57746EF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02BBCD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68D240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4109E4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0BB19E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7563DF8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412133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48EAAF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6EB9441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1）提供响应文件正、副本数量不足；</w:t>
      </w:r>
    </w:p>
    <w:p w14:paraId="0090311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2）响应文件未按磋商文件要求签署、盖章；</w:t>
      </w:r>
    </w:p>
    <w:p w14:paraId="016D6AE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3）委托代理人未能出具有效身份证明或者出具的身份证明与授权委托书中的信息不符； </w:t>
      </w:r>
    </w:p>
    <w:p w14:paraId="1BB1A9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4）提交的磋商保证金无效的或者未按照磋商文件的规定提交磋商保证金；</w:t>
      </w:r>
    </w:p>
    <w:p w14:paraId="121B80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59D0D32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）商务条款中标“▲”的条款发生负偏离的或者允许负偏离的条款数超过“供应商须知前附表”规定项数的或者标明实质性的要求发生负偏离；</w:t>
      </w:r>
    </w:p>
    <w:p w14:paraId="0A1D4B9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）未对竞标有效期作出响应或者响应文件承诺的竞标有效期不满足磋商文件要求；</w:t>
      </w:r>
    </w:p>
    <w:p w14:paraId="2E81531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）响应文件的实质性内容未使用中文表述、使用计量单位不符合磋商文件要求；</w:t>
      </w:r>
    </w:p>
    <w:p w14:paraId="512A6454">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）响应文件中的文件资料因填写不齐全或者内容虚假或者出现其他情形而导致被磋商小组认定无效；</w:t>
      </w:r>
    </w:p>
    <w:p w14:paraId="2471D6A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）响应文件含有采购人不能接受的附加条件；</w:t>
      </w:r>
    </w:p>
    <w:p w14:paraId="78ABE7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1</w:t>
      </w:r>
      <w:r>
        <w:rPr>
          <w:rFonts w:hint="eastAsia" w:ascii="宋体" w:hAnsi="宋体" w:cs="宋体"/>
          <w:color w:val="auto"/>
          <w:szCs w:val="21"/>
          <w:highlight w:val="none"/>
        </w:rPr>
        <w:t>）属于“供应商须知正文”第7.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14:paraId="7EA7E0C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2）技术需求允许负偏离的条款数超过“供应商须知前附表”规定项数；</w:t>
      </w:r>
    </w:p>
    <w:p w14:paraId="3D36D69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3）虚假竞标，或者出现其他情形而导致被磋商小组认定无效；</w:t>
      </w:r>
    </w:p>
    <w:p w14:paraId="0FD089D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4）竞标技术方案不明确，磋商文件未允许</w:t>
      </w:r>
      <w:r>
        <w:rPr>
          <w:rFonts w:hint="eastAsia" w:ascii="宋体" w:hAnsi="宋体"/>
          <w:color w:val="auto"/>
          <w:szCs w:val="21"/>
          <w:highlight w:val="none"/>
        </w:rPr>
        <w:t>但响应文件中</w:t>
      </w:r>
      <w:r>
        <w:rPr>
          <w:rFonts w:hint="eastAsia" w:ascii="宋体" w:hAnsi="宋体" w:cs="宋体"/>
          <w:color w:val="auto"/>
          <w:szCs w:val="21"/>
          <w:highlight w:val="none"/>
        </w:rPr>
        <w:t>存在一个或者一个以上备选（替代）竞标方案；</w:t>
      </w:r>
    </w:p>
    <w:p w14:paraId="35F35A2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15</w:t>
      </w:r>
      <w:r>
        <w:rPr>
          <w:rFonts w:hint="eastAsia" w:ascii="宋体" w:hAnsi="宋体" w:cs="宋体"/>
          <w:color w:val="auto"/>
          <w:szCs w:val="21"/>
          <w:highlight w:val="none"/>
        </w:rPr>
        <w:t>）响应文件标注的项目名称或者项目编号与竞争性磋商文件标注的项目名称或者项目编号不一致的；</w:t>
      </w:r>
    </w:p>
    <w:p w14:paraId="0A4999A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6）未响应磋商文件实质性要求；</w:t>
      </w:r>
    </w:p>
    <w:p w14:paraId="5ADCE8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7</w:t>
      </w:r>
      <w:r>
        <w:rPr>
          <w:rFonts w:hint="eastAsia" w:ascii="宋体" w:hAnsi="宋体" w:cs="宋体"/>
          <w:color w:val="auto"/>
          <w:szCs w:val="21"/>
          <w:highlight w:val="none"/>
        </w:rPr>
        <w:t>）法律、法规和磋商文件规定的其他无效情形。</w:t>
      </w:r>
    </w:p>
    <w:p w14:paraId="441761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14:paraId="108097F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响应文件未提供“供应商须知前附表” 报价商务技术文件中规定的“竞标报价表”；</w:t>
      </w:r>
    </w:p>
    <w:p w14:paraId="60D7011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7C0146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1214C7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竞标报价（包含首次报价、最后报价）超过磋商文件分项采购预算金额或者最高限价的（如本项目公布了最高限价）；</w:t>
      </w:r>
    </w:p>
    <w:p w14:paraId="07459B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2C9DA9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14:paraId="460C133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69F055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通过符合性审查的合格供应商不足3家的，不得进入磋商环节，采购人或者采购代理机构应当重新开展采购活动。</w:t>
      </w:r>
    </w:p>
    <w:p w14:paraId="1FCE92FC">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3D25F378">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638CFC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275AEA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对磋商文件作出的实质性变动是磋商文件的有效组成部分，由磋商小组及时以书面形式同时通知所有参加磋商的供应商。</w:t>
      </w:r>
    </w:p>
    <w:p w14:paraId="4E1F15B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供应商必须按照磋商文件的变动情况和磋商小组的要求重新提交响应文件，并由其法定代表人或者授权代表签字或者加盖公章。由委托代理人签字的，</w:t>
      </w:r>
      <w:r>
        <w:rPr>
          <w:rFonts w:hint="eastAsia" w:ascii="宋体" w:hAnsi="宋体" w:cs="宋体"/>
          <w:bCs/>
          <w:color w:val="auto"/>
          <w:szCs w:val="21"/>
          <w:highlight w:val="none"/>
        </w:rPr>
        <w:t>若委托代理人不是响应文件中授权的委托代理人时，必须同时出示有效的法定代表人授权委托书原件</w:t>
      </w:r>
      <w:r>
        <w:rPr>
          <w:rFonts w:hint="eastAsia" w:ascii="宋体" w:hAnsi="宋体" w:cs="宋体"/>
          <w:color w:val="auto"/>
          <w:szCs w:val="21"/>
          <w:highlight w:val="none"/>
        </w:rPr>
        <w:t>。供应商为自然人的，必须由本人签字并附身份证明。参加磋商的供应商未在规定时间内重新提交响应文件的，视同退出磋商。</w:t>
      </w:r>
    </w:p>
    <w:p w14:paraId="5CBBCFF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14:paraId="1FF33B6C">
      <w:pPr>
        <w:widowControl/>
        <w:tabs>
          <w:tab w:val="left" w:pos="540"/>
        </w:tabs>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采购代理机构对磋商过程和重要磋商内容进行记录，磋商双方在记录上签字确认。</w:t>
      </w:r>
    </w:p>
    <w:p w14:paraId="624E6083">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3.7</w:t>
      </w:r>
      <w:r>
        <w:rPr>
          <w:rFonts w:hint="eastAsia" w:ascii="宋体" w:hAnsi="宋体" w:cs="宋体"/>
          <w:color w:val="auto"/>
          <w:szCs w:val="21"/>
          <w:highlight w:val="none"/>
        </w:rPr>
        <w:t>磋商过程中重新提交的响应文件，供应商可以在开启前补充、修改。</w:t>
      </w:r>
    </w:p>
    <w:p w14:paraId="20ABB703">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3.8</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27C600E9">
      <w:pPr>
        <w:spacing w:line="360" w:lineRule="auto"/>
        <w:ind w:firstLine="482" w:firstLineChars="200"/>
        <w:rPr>
          <w:rFonts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2C354D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磋商文件能够详细列明采购标的的技术、服务要求的，磋商结束后，由磋商小组要求所有继续参加磋商的供应商在规定时间内密封提交最后报价，除本章第</w:t>
      </w:r>
      <w:r>
        <w:rPr>
          <w:rFonts w:ascii="宋体" w:hAnsi="宋体" w:cs="宋体"/>
          <w:color w:val="auto"/>
          <w:szCs w:val="21"/>
          <w:highlight w:val="none"/>
        </w:rPr>
        <w:t>4.3</w:t>
      </w:r>
      <w:r>
        <w:rPr>
          <w:rFonts w:hint="eastAsia" w:ascii="宋体" w:hAnsi="宋体" w:cs="宋体"/>
          <w:color w:val="auto"/>
          <w:szCs w:val="21"/>
          <w:highlight w:val="none"/>
        </w:rPr>
        <w:t>条外，提交最后报价的供应商不得少于3家，否则必须重新采购。</w:t>
      </w:r>
    </w:p>
    <w:p w14:paraId="6DC3A9B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4675504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7A56505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14:paraId="3B42A3D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w:t>
      </w:r>
    </w:p>
    <w:p w14:paraId="4223FE0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磋商小组收齐某一分标最后报价后统一开启，磋商小组对最后报价进行有效性、完整性和响应程度的审查。</w:t>
      </w:r>
    </w:p>
    <w:p w14:paraId="032EBA7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响应文件最后报价出现前后不一致的，按照本章第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7C0E69F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14:paraId="1FC012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w:t>
      </w:r>
    </w:p>
    <w:p w14:paraId="6FC04B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26ACCD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089F259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01DAB0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45A58A7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1最后报价结束后，磋商小组不得再与供应商进行任何形式的商谈。</w:t>
      </w:r>
    </w:p>
    <w:p w14:paraId="48A9FDF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1BB592D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4EE276C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573D549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766836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57C3B2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677B3D7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47D3B649">
      <w:pPr>
        <w:spacing w:line="360" w:lineRule="auto"/>
        <w:ind w:firstLine="420" w:firstLineChars="200"/>
        <w:rPr>
          <w:rFonts w:hint="eastAsia" w:ascii="宋体" w:hAnsi="宋体"/>
          <w:color w:val="auto"/>
          <w:kern w:val="0"/>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kern w:val="0"/>
          <w:szCs w:val="21"/>
          <w:highlight w:val="none"/>
        </w:rPr>
        <w:t>审报告。符合本章第</w:t>
      </w:r>
      <w:r>
        <w:rPr>
          <w:rFonts w:ascii="宋体" w:hAnsi="宋体"/>
          <w:color w:val="auto"/>
          <w:kern w:val="0"/>
          <w:szCs w:val="21"/>
          <w:highlight w:val="none"/>
        </w:rPr>
        <w:t>4.3</w:t>
      </w:r>
      <w:r>
        <w:rPr>
          <w:rFonts w:hint="eastAsia" w:ascii="宋体" w:hAnsi="宋体"/>
          <w:color w:val="auto"/>
          <w:kern w:val="0"/>
          <w:szCs w:val="21"/>
          <w:highlight w:val="none"/>
        </w:rPr>
        <w:t>条情形的，可以推荐2家成交候选供应商。评审得分相同的，按照最后报价由低到高的顺序推荐。评审得分且最后报价相同的，按照技术指标优劣顺序推荐。</w:t>
      </w:r>
    </w:p>
    <w:p w14:paraId="561A0A68">
      <w:pPr>
        <w:spacing w:line="360" w:lineRule="auto"/>
        <w:ind w:firstLine="420" w:firstLineChars="200"/>
        <w:rPr>
          <w:rFonts w:ascii="宋体" w:hAnsi="宋体"/>
          <w:b/>
          <w:color w:val="auto"/>
          <w:szCs w:val="21"/>
          <w:highlight w:val="none"/>
        </w:rPr>
      </w:pPr>
      <w:r>
        <w:rPr>
          <w:rFonts w:ascii="宋体" w:hAnsi="宋体"/>
          <w:color w:val="auto"/>
          <w:kern w:val="0"/>
          <w:szCs w:val="21"/>
          <w:highlight w:val="none"/>
        </w:rPr>
        <w:t>5.6</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A912067">
      <w:pPr>
        <w:snapToGrid w:val="0"/>
        <w:spacing w:line="440" w:lineRule="atLeast"/>
        <w:ind w:right="-29" w:rightChars="-14" w:firstLine="420" w:firstLineChars="200"/>
        <w:rPr>
          <w:rFonts w:ascii="宋体" w:hAnsi="宋体"/>
          <w:b/>
          <w:bCs/>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三</w:t>
      </w:r>
      <w:r>
        <w:rPr>
          <w:rFonts w:hint="eastAsia" w:ascii="宋体" w:hAnsi="宋体"/>
          <w:color w:val="auto"/>
          <w:szCs w:val="21"/>
          <w:highlight w:val="none"/>
        </w:rPr>
        <w:t>）计分办法（按四舍五入取至百分位）：</w:t>
      </w:r>
    </w:p>
    <w:tbl>
      <w:tblPr>
        <w:tblStyle w:val="29"/>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174"/>
        <w:gridCol w:w="6609"/>
        <w:gridCol w:w="670"/>
      </w:tblGrid>
      <w:tr w14:paraId="6B54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37" w:type="dxa"/>
            <w:noWrap w:val="0"/>
            <w:vAlign w:val="center"/>
          </w:tcPr>
          <w:p w14:paraId="01D7379B">
            <w:pPr>
              <w:keepNext w:val="0"/>
              <w:keepLines w:val="0"/>
              <w:pageBreakBefore w:val="0"/>
              <w:widowControl/>
              <w:kinsoku/>
              <w:wordWrap/>
              <w:overflowPunct/>
              <w:topLinePunct w:val="0"/>
              <w:autoSpaceDE/>
              <w:autoSpaceDN/>
              <w:bidi w:val="0"/>
              <w:spacing w:line="240" w:lineRule="auto"/>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序号</w:t>
            </w:r>
          </w:p>
        </w:tc>
        <w:tc>
          <w:tcPr>
            <w:tcW w:w="1174" w:type="dxa"/>
            <w:noWrap w:val="0"/>
            <w:vAlign w:val="center"/>
          </w:tcPr>
          <w:p w14:paraId="3B4C1E59">
            <w:pPr>
              <w:keepNext w:val="0"/>
              <w:keepLines w:val="0"/>
              <w:pageBreakBefore w:val="0"/>
              <w:widowControl/>
              <w:kinsoku/>
              <w:wordWrap/>
              <w:overflowPunct/>
              <w:topLinePunct w:val="0"/>
              <w:autoSpaceDE/>
              <w:autoSpaceDN/>
              <w:bidi w:val="0"/>
              <w:spacing w:line="240" w:lineRule="auto"/>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评审因素</w:t>
            </w:r>
          </w:p>
        </w:tc>
        <w:tc>
          <w:tcPr>
            <w:tcW w:w="6609" w:type="dxa"/>
            <w:noWrap w:val="0"/>
            <w:vAlign w:val="center"/>
          </w:tcPr>
          <w:p w14:paraId="762B7F82">
            <w:pPr>
              <w:keepNext w:val="0"/>
              <w:keepLines w:val="0"/>
              <w:pageBreakBefore w:val="0"/>
              <w:widowControl/>
              <w:kinsoku/>
              <w:wordWrap/>
              <w:overflowPunct/>
              <w:topLinePunct w:val="0"/>
              <w:autoSpaceDE/>
              <w:autoSpaceDN/>
              <w:bidi w:val="0"/>
              <w:spacing w:line="240" w:lineRule="auto"/>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评审因素具体内容</w:t>
            </w:r>
          </w:p>
        </w:tc>
        <w:tc>
          <w:tcPr>
            <w:tcW w:w="670" w:type="dxa"/>
            <w:noWrap w:val="0"/>
            <w:vAlign w:val="center"/>
          </w:tcPr>
          <w:p w14:paraId="6D39C9D0">
            <w:pPr>
              <w:keepNext w:val="0"/>
              <w:keepLines w:val="0"/>
              <w:pageBreakBefore w:val="0"/>
              <w:widowControl/>
              <w:kinsoku/>
              <w:wordWrap/>
              <w:overflowPunct/>
              <w:topLinePunct w:val="0"/>
              <w:autoSpaceDE/>
              <w:autoSpaceDN/>
              <w:bidi w:val="0"/>
              <w:spacing w:line="240" w:lineRule="auto"/>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分值</w:t>
            </w:r>
          </w:p>
        </w:tc>
      </w:tr>
      <w:tr w14:paraId="0458A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7" w:type="dxa"/>
            <w:noWrap w:val="0"/>
            <w:vAlign w:val="center"/>
          </w:tcPr>
          <w:p w14:paraId="0A86EB50">
            <w:pPr>
              <w:keepNext w:val="0"/>
              <w:keepLines w:val="0"/>
              <w:pageBreakBefore w:val="0"/>
              <w:widowControl/>
              <w:kinsoku/>
              <w:wordWrap/>
              <w:overflowPunct/>
              <w:topLinePunct w:val="0"/>
              <w:autoSpaceDE/>
              <w:autoSpaceDN/>
              <w:bidi w:val="0"/>
              <w:spacing w:line="240" w:lineRule="auto"/>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1</w:t>
            </w:r>
          </w:p>
        </w:tc>
        <w:tc>
          <w:tcPr>
            <w:tcW w:w="1174" w:type="dxa"/>
            <w:noWrap w:val="0"/>
            <w:vAlign w:val="center"/>
          </w:tcPr>
          <w:p w14:paraId="5D11782D">
            <w:pPr>
              <w:keepNext w:val="0"/>
              <w:keepLines w:val="0"/>
              <w:pageBreakBefore w:val="0"/>
              <w:widowControl/>
              <w:kinsoku/>
              <w:wordWrap/>
              <w:overflowPunct/>
              <w:topLinePunct w:val="0"/>
              <w:autoSpaceDE/>
              <w:autoSpaceDN/>
              <w:bidi w:val="0"/>
              <w:spacing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
                <w:bCs/>
                <w:color w:val="auto"/>
                <w:kern w:val="0"/>
                <w:sz w:val="21"/>
                <w:szCs w:val="21"/>
              </w:rPr>
              <w:t>价格分</w:t>
            </w:r>
          </w:p>
        </w:tc>
        <w:tc>
          <w:tcPr>
            <w:tcW w:w="6609" w:type="dxa"/>
            <w:noWrap w:val="0"/>
            <w:vAlign w:val="top"/>
          </w:tcPr>
          <w:p w14:paraId="78F1E584">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Theme="minorEastAsia" w:hAnsiTheme="minorEastAsia" w:eastAsiaTheme="minorEastAsia" w:cstheme="minorEastAsia"/>
                <w:sz w:val="21"/>
                <w:szCs w:val="21"/>
                <w:lang w:val="zh-CN" w:eastAsia="zh-CN"/>
              </w:rPr>
            </w:pPr>
            <w:r>
              <w:rPr>
                <w:rFonts w:hint="eastAsia" w:asciiTheme="minorEastAsia" w:hAnsiTheme="minorEastAsia" w:eastAsiaTheme="minorEastAsia" w:cstheme="minorEastAsia"/>
                <w:sz w:val="21"/>
                <w:szCs w:val="21"/>
                <w:lang w:val="zh-CN" w:eastAsia="zh-CN"/>
              </w:rPr>
              <w:t>评标基准价的确定方法：采用低价优先法计算，即满足</w:t>
            </w:r>
            <w:r>
              <w:rPr>
                <w:rFonts w:hint="eastAsia" w:asciiTheme="minorEastAsia" w:hAnsiTheme="minorEastAsia" w:eastAsiaTheme="minorEastAsia" w:cstheme="minorEastAsia"/>
                <w:sz w:val="21"/>
                <w:szCs w:val="21"/>
                <w:lang w:val="en-US" w:eastAsia="zh-CN"/>
              </w:rPr>
              <w:t>竞争性磋商采购</w:t>
            </w:r>
            <w:r>
              <w:rPr>
                <w:rFonts w:hint="eastAsia" w:asciiTheme="minorEastAsia" w:hAnsiTheme="minorEastAsia" w:eastAsiaTheme="minorEastAsia" w:cstheme="minorEastAsia"/>
                <w:sz w:val="21"/>
                <w:szCs w:val="21"/>
                <w:lang w:val="zh-CN" w:eastAsia="zh-CN"/>
              </w:rPr>
              <w:t>文件要求且最后报价最低的供应商的价格为投标基准价，其价格分为满分。</w:t>
            </w:r>
          </w:p>
          <w:p w14:paraId="613C6B0B">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Theme="minorEastAsia" w:hAnsiTheme="minorEastAsia" w:eastAsiaTheme="minorEastAsia" w:cstheme="minorEastAsia"/>
                <w:sz w:val="21"/>
                <w:szCs w:val="21"/>
                <w:lang w:val="zh-CN" w:eastAsia="zh-CN"/>
              </w:rPr>
            </w:pPr>
            <w:r>
              <w:rPr>
                <w:rFonts w:hint="eastAsia" w:asciiTheme="minorEastAsia" w:hAnsiTheme="minorEastAsia" w:eastAsiaTheme="minorEastAsia" w:cstheme="minorEastAsia"/>
                <w:sz w:val="21"/>
                <w:szCs w:val="21"/>
                <w:lang w:val="zh-CN" w:eastAsia="zh-CN"/>
              </w:rPr>
              <w:t>其他供应商的价格分统一按照下列公式计算：投标报价得分=（评审基准价/投标报价）×价格分满分分值。</w:t>
            </w:r>
          </w:p>
          <w:p w14:paraId="29DAC5DA">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Theme="minorEastAsia" w:hAnsiTheme="minorEastAsia" w:eastAsiaTheme="minorEastAsia" w:cstheme="minorEastAsia"/>
                <w:sz w:val="21"/>
                <w:szCs w:val="21"/>
                <w:lang w:val="zh-CN" w:eastAsia="zh-CN"/>
              </w:rPr>
            </w:pPr>
            <w:r>
              <w:rPr>
                <w:rFonts w:hint="eastAsia" w:asciiTheme="minorEastAsia" w:hAnsiTheme="minorEastAsia" w:eastAsiaTheme="minorEastAsia" w:cstheme="minorEastAsia"/>
                <w:sz w:val="21"/>
                <w:szCs w:val="21"/>
                <w:lang w:val="zh-CN" w:eastAsia="zh-CN"/>
              </w:rPr>
              <w:t>评标基准价的确定方法：采用低价优先法计算，即满足采购文件要求且最后报价最低的供应商的价格为投标基准价，其价格分为满分。</w:t>
            </w:r>
          </w:p>
          <w:p w14:paraId="3924DF27">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Theme="minorEastAsia" w:hAnsiTheme="minorEastAsia" w:eastAsiaTheme="minorEastAsia" w:cstheme="minorEastAsia"/>
                <w:sz w:val="21"/>
                <w:szCs w:val="21"/>
                <w:lang w:val="zh-CN" w:eastAsia="zh-CN"/>
              </w:rPr>
            </w:pPr>
            <w:r>
              <w:rPr>
                <w:rFonts w:hint="eastAsia" w:asciiTheme="minorEastAsia" w:hAnsiTheme="minorEastAsia" w:eastAsiaTheme="minorEastAsia" w:cstheme="minorEastAsia"/>
                <w:sz w:val="21"/>
                <w:szCs w:val="21"/>
                <w:lang w:val="zh-CN" w:eastAsia="zh-CN"/>
              </w:rPr>
              <w:t>其他供应商的价格分统一按照下列公式计算：投标报价得分=（评审基准价/投标报价）×价格分满分分值。</w:t>
            </w:r>
          </w:p>
          <w:p w14:paraId="1AA71AB7">
            <w:pPr>
              <w:pStyle w:val="18"/>
              <w:keepNext w:val="0"/>
              <w:keepLines w:val="0"/>
              <w:pageBreakBefore w:val="0"/>
              <w:kinsoku/>
              <w:wordWrap/>
              <w:overflowPunct/>
              <w:topLinePunct w:val="0"/>
              <w:autoSpaceDE/>
              <w:autoSpaceDN/>
              <w:bidi w:val="0"/>
              <w:spacing w:line="240" w:lineRule="auto"/>
              <w:ind w:firstLine="422" w:firstLineChars="200"/>
              <w:rPr>
                <w:rFonts w:hint="eastAsia" w:asciiTheme="minorEastAsia" w:hAnsiTheme="minorEastAsia" w:eastAsiaTheme="minorEastAsia" w:cstheme="minorEastAsia"/>
                <w:bCs/>
                <w:color w:val="auto"/>
                <w:kern w:val="2"/>
                <w:sz w:val="21"/>
                <w:szCs w:val="21"/>
                <w:lang w:val="en-US" w:eastAsia="zh-CN"/>
              </w:rPr>
            </w:pPr>
            <w:r>
              <w:rPr>
                <w:rFonts w:hint="eastAsia" w:asciiTheme="minorEastAsia" w:hAnsiTheme="minorEastAsia" w:eastAsiaTheme="minorEastAsia" w:cstheme="minorEastAsia"/>
                <w:b/>
                <w:bCs/>
                <w:sz w:val="21"/>
                <w:szCs w:val="21"/>
                <w:lang w:val="en-US" w:eastAsia="zh-CN"/>
              </w:rPr>
              <w:t>专门面向中小微型企业采购项目，不再享受政策优惠折扣。</w:t>
            </w:r>
          </w:p>
        </w:tc>
        <w:tc>
          <w:tcPr>
            <w:tcW w:w="670" w:type="dxa"/>
            <w:noWrap w:val="0"/>
            <w:vAlign w:val="center"/>
          </w:tcPr>
          <w:p w14:paraId="1D8422CC">
            <w:pPr>
              <w:keepNext w:val="0"/>
              <w:keepLines w:val="0"/>
              <w:pageBreakBefore w:val="0"/>
              <w:widowControl/>
              <w:kinsoku/>
              <w:wordWrap/>
              <w:overflowPunct/>
              <w:topLinePunct w:val="0"/>
              <w:autoSpaceDE/>
              <w:autoSpaceDN/>
              <w:bidi w:val="0"/>
              <w:spacing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10</w:t>
            </w:r>
            <w:r>
              <w:rPr>
                <w:rFonts w:hint="eastAsia" w:asciiTheme="minorEastAsia" w:hAnsiTheme="minorEastAsia" w:eastAsiaTheme="minorEastAsia" w:cstheme="minorEastAsia"/>
                <w:color w:val="auto"/>
                <w:kern w:val="0"/>
                <w:sz w:val="21"/>
                <w:szCs w:val="21"/>
              </w:rPr>
              <w:t>分</w:t>
            </w:r>
          </w:p>
        </w:tc>
      </w:tr>
      <w:tr w14:paraId="030B9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7" w:type="dxa"/>
            <w:noWrap w:val="0"/>
            <w:vAlign w:val="center"/>
          </w:tcPr>
          <w:p w14:paraId="5834C07B">
            <w:pPr>
              <w:keepNext w:val="0"/>
              <w:keepLines w:val="0"/>
              <w:pageBreakBefore w:val="0"/>
              <w:widowControl/>
              <w:kinsoku/>
              <w:wordWrap/>
              <w:overflowPunct/>
              <w:topLinePunct w:val="0"/>
              <w:autoSpaceDE/>
              <w:autoSpaceDN/>
              <w:bidi w:val="0"/>
              <w:spacing w:line="240" w:lineRule="auto"/>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2</w:t>
            </w:r>
          </w:p>
        </w:tc>
        <w:tc>
          <w:tcPr>
            <w:tcW w:w="1174" w:type="dxa"/>
            <w:noWrap w:val="0"/>
            <w:vAlign w:val="center"/>
          </w:tcPr>
          <w:p w14:paraId="223796B9">
            <w:pPr>
              <w:keepNext w:val="0"/>
              <w:keepLines w:val="0"/>
              <w:pageBreakBefore w:val="0"/>
              <w:widowControl/>
              <w:kinsoku/>
              <w:wordWrap/>
              <w:overflowPunct/>
              <w:topLinePunct w:val="0"/>
              <w:autoSpaceDE/>
              <w:autoSpaceDN/>
              <w:bidi w:val="0"/>
              <w:spacing w:line="240" w:lineRule="auto"/>
              <w:jc w:val="center"/>
              <w:rPr>
                <w:rFonts w:hint="eastAsia" w:asciiTheme="minorEastAsia" w:hAnsiTheme="minorEastAsia" w:eastAsiaTheme="minorEastAsia" w:cstheme="minorEastAsia"/>
                <w:b/>
                <w:bCs w:val="0"/>
                <w:color w:val="auto"/>
                <w:kern w:val="0"/>
                <w:sz w:val="21"/>
                <w:szCs w:val="21"/>
              </w:rPr>
            </w:pPr>
            <w:r>
              <w:rPr>
                <w:rFonts w:hint="eastAsia" w:asciiTheme="minorEastAsia" w:hAnsiTheme="minorEastAsia" w:eastAsiaTheme="minorEastAsia" w:cstheme="minorEastAsia"/>
                <w:b/>
                <w:bCs w:val="0"/>
                <w:color w:val="auto"/>
                <w:kern w:val="0"/>
                <w:sz w:val="21"/>
                <w:szCs w:val="21"/>
              </w:rPr>
              <w:t>技术分</w:t>
            </w:r>
          </w:p>
        </w:tc>
        <w:tc>
          <w:tcPr>
            <w:tcW w:w="7279" w:type="dxa"/>
            <w:gridSpan w:val="2"/>
            <w:noWrap w:val="0"/>
            <w:vAlign w:val="top"/>
          </w:tcPr>
          <w:p w14:paraId="16683A1B">
            <w:pPr>
              <w:keepNext w:val="0"/>
              <w:keepLines w:val="0"/>
              <w:pageBreakBefore w:val="0"/>
              <w:widowControl/>
              <w:kinsoku/>
              <w:wordWrap/>
              <w:overflowPunct/>
              <w:topLinePunct w:val="0"/>
              <w:autoSpaceDE/>
              <w:autoSpaceDN/>
              <w:bidi w:val="0"/>
              <w:spacing w:line="240" w:lineRule="auto"/>
              <w:jc w:val="center"/>
              <w:rPr>
                <w:rFonts w:hint="eastAsia" w:asciiTheme="minorEastAsia" w:hAnsiTheme="minorEastAsia" w:eastAsiaTheme="minorEastAsia" w:cstheme="minorEastAsia"/>
                <w:b/>
                <w:bCs w:val="0"/>
                <w:color w:val="auto"/>
                <w:kern w:val="0"/>
                <w:sz w:val="21"/>
                <w:szCs w:val="21"/>
              </w:rPr>
            </w:pPr>
            <w:r>
              <w:rPr>
                <w:rFonts w:hint="eastAsia" w:asciiTheme="minorEastAsia" w:hAnsiTheme="minorEastAsia" w:eastAsiaTheme="minorEastAsia" w:cstheme="minorEastAsia"/>
                <w:b/>
                <w:bCs w:val="0"/>
                <w:color w:val="auto"/>
                <w:kern w:val="0"/>
                <w:sz w:val="21"/>
                <w:szCs w:val="21"/>
              </w:rPr>
              <w:t>评审因素</w:t>
            </w:r>
          </w:p>
        </w:tc>
      </w:tr>
      <w:tr w14:paraId="693F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jc w:val="center"/>
        </w:trPr>
        <w:tc>
          <w:tcPr>
            <w:tcW w:w="637" w:type="dxa"/>
            <w:noWrap w:val="0"/>
            <w:vAlign w:val="center"/>
          </w:tcPr>
          <w:p w14:paraId="4B627EF3">
            <w:pPr>
              <w:keepNext w:val="0"/>
              <w:keepLines w:val="0"/>
              <w:pageBreakBefore w:val="0"/>
              <w:kinsoku/>
              <w:wordWrap/>
              <w:overflowPunct/>
              <w:topLinePunct w:val="0"/>
              <w:autoSpaceDE/>
              <w:autoSpaceDN/>
              <w:bidi w:val="0"/>
              <w:adjustRightInd w:val="0"/>
              <w:spacing w:line="240" w:lineRule="auto"/>
              <w:ind w:left="-105" w:leftChars="-50" w:right="-105" w:rightChars="-50"/>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2.1</w:t>
            </w:r>
          </w:p>
        </w:tc>
        <w:tc>
          <w:tcPr>
            <w:tcW w:w="1174" w:type="dxa"/>
            <w:noWrap w:val="0"/>
            <w:vAlign w:val="center"/>
          </w:tcPr>
          <w:p w14:paraId="16A32844">
            <w:pPr>
              <w:keepNext w:val="0"/>
              <w:keepLines w:val="0"/>
              <w:pageBreakBefore w:val="0"/>
              <w:kinsoku/>
              <w:wordWrap/>
              <w:overflowPunct/>
              <w:topLinePunct w:val="0"/>
              <w:autoSpaceDE/>
              <w:autoSpaceDN/>
              <w:bidi w:val="0"/>
              <w:adjustRightInd w:val="0"/>
              <w:spacing w:line="240" w:lineRule="auto"/>
              <w:jc w:val="center"/>
              <w:rPr>
                <w:rFonts w:hint="eastAsia" w:asciiTheme="minorEastAsia" w:hAnsiTheme="minorEastAsia" w:eastAsiaTheme="minorEastAsia" w:cstheme="minorEastAsia"/>
                <w:b/>
                <w:bCs w:val="0"/>
                <w:color w:val="auto"/>
                <w:kern w:val="0"/>
                <w:sz w:val="21"/>
                <w:szCs w:val="21"/>
              </w:rPr>
            </w:pPr>
            <w:r>
              <w:rPr>
                <w:rFonts w:hint="eastAsia" w:asciiTheme="minorEastAsia" w:hAnsiTheme="minorEastAsia" w:eastAsiaTheme="minorEastAsia" w:cstheme="minorEastAsia"/>
                <w:b/>
                <w:bCs w:val="0"/>
                <w:color w:val="auto"/>
                <w:kern w:val="0"/>
                <w:sz w:val="21"/>
                <w:szCs w:val="21"/>
              </w:rPr>
              <w:t>总体设计方案分</w:t>
            </w:r>
          </w:p>
        </w:tc>
        <w:tc>
          <w:tcPr>
            <w:tcW w:w="6609" w:type="dxa"/>
            <w:noWrap w:val="0"/>
            <w:vAlign w:val="center"/>
          </w:tcPr>
          <w:p w14:paraId="68D10D81">
            <w:pPr>
              <w:pStyle w:val="18"/>
              <w:keepNext w:val="0"/>
              <w:keepLines w:val="0"/>
              <w:pageBreakBefore w:val="0"/>
              <w:kinsoku/>
              <w:wordWrap/>
              <w:overflowPunct/>
              <w:topLinePunct w:val="0"/>
              <w:autoSpaceDE/>
              <w:autoSpaceDN/>
              <w:bidi w:val="0"/>
              <w:spacing w:line="240" w:lineRule="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 xml:space="preserve">一档（10 分）：供应商针对本项目宣传推广组织措施简单、有基本方案但不贴近主题，项目整体宣传推广不够周全。 </w:t>
            </w:r>
          </w:p>
          <w:p w14:paraId="0E482DB8">
            <w:pPr>
              <w:pStyle w:val="18"/>
              <w:keepNext w:val="0"/>
              <w:keepLines w:val="0"/>
              <w:pageBreakBefore w:val="0"/>
              <w:kinsoku/>
              <w:wordWrap/>
              <w:overflowPunct/>
              <w:topLinePunct w:val="0"/>
              <w:autoSpaceDE/>
              <w:autoSpaceDN/>
              <w:bidi w:val="0"/>
              <w:spacing w:line="240" w:lineRule="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 xml:space="preserve">二档（20 分）：供应商针对本项目宣传推广，有组织措施、基本方案、整体构思一般，方案有重点内容、措施列举，对项目需求有简单分析，基本符合产品特色、基本能达到采购方的目的。 </w:t>
            </w:r>
          </w:p>
          <w:p w14:paraId="36CBC12D">
            <w:pPr>
              <w:pStyle w:val="18"/>
              <w:keepNext w:val="0"/>
              <w:keepLines w:val="0"/>
              <w:pageBreakBefore w:val="0"/>
              <w:kinsoku/>
              <w:wordWrap/>
              <w:overflowPunct/>
              <w:topLinePunct w:val="0"/>
              <w:autoSpaceDE/>
              <w:autoSpaceDN/>
              <w:bidi w:val="0"/>
              <w:spacing w:line="240" w:lineRule="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 xml:space="preserve">三档（30 分）：供应商针对本项目宣传推广，组织措施、方案良好，方案重点内容、措施列举基本可行，对项目需求有一定分析，有广告创意和宣传推广措施，思路及策划较有创意；整体方案较详细，较贴近主题；宣传及投放区域规划较合理，达到一定的推广效果，符合产品特色，能达到采购方的目的，能较好地满足项目要求； </w:t>
            </w:r>
          </w:p>
          <w:p w14:paraId="5A3FB219">
            <w:pPr>
              <w:pStyle w:val="18"/>
              <w:keepNext w:val="0"/>
              <w:keepLines w:val="0"/>
              <w:pageBreakBefore w:val="0"/>
              <w:kinsoku/>
              <w:wordWrap/>
              <w:overflowPunct/>
              <w:topLinePunct w:val="0"/>
              <w:autoSpaceDE/>
              <w:autoSpaceDN/>
              <w:bidi w:val="0"/>
              <w:spacing w:line="240" w:lineRule="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 xml:space="preserve">四档（40 分）：供应商针对本项目宣传推广，组织措施、方案优秀，且方案重点内容、措施列举具体，对项目需求分析合理，广告创意合理详细、新颖有创新且贴近主题；整体构思新颖、生动形象、完整、科学，宣传及投放区域规划合理，达到很好的推广效果，贴切符合产品特色，完全满足且优于对项目执行工作的高质量要求。 </w:t>
            </w:r>
          </w:p>
          <w:p w14:paraId="59705E10">
            <w:pPr>
              <w:pStyle w:val="18"/>
              <w:keepNext w:val="0"/>
              <w:keepLines w:val="0"/>
              <w:pageBreakBefore w:val="0"/>
              <w:kinsoku/>
              <w:wordWrap/>
              <w:overflowPunct/>
              <w:topLinePunct w:val="0"/>
              <w:autoSpaceDE/>
              <w:autoSpaceDN/>
              <w:bidi w:val="0"/>
              <w:spacing w:line="240" w:lineRule="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注：供应商未提供或提供的内容不符合采购需求的，不得分。</w:t>
            </w:r>
          </w:p>
        </w:tc>
        <w:tc>
          <w:tcPr>
            <w:tcW w:w="670" w:type="dxa"/>
            <w:noWrap w:val="0"/>
            <w:vAlign w:val="center"/>
          </w:tcPr>
          <w:p w14:paraId="7EF1C303">
            <w:pPr>
              <w:keepNext w:val="0"/>
              <w:keepLines w:val="0"/>
              <w:pageBreakBefore w:val="0"/>
              <w:kinsoku/>
              <w:wordWrap/>
              <w:overflowPunct/>
              <w:topLinePunct w:val="0"/>
              <w:autoSpaceDE/>
              <w:autoSpaceDN/>
              <w:bidi w:val="0"/>
              <w:spacing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40</w:t>
            </w:r>
            <w:r>
              <w:rPr>
                <w:rFonts w:hint="eastAsia" w:asciiTheme="minorEastAsia" w:hAnsiTheme="minorEastAsia" w:eastAsiaTheme="minorEastAsia" w:cstheme="minorEastAsia"/>
                <w:color w:val="auto"/>
                <w:kern w:val="0"/>
                <w:sz w:val="21"/>
                <w:szCs w:val="21"/>
              </w:rPr>
              <w:t>分</w:t>
            </w:r>
          </w:p>
        </w:tc>
      </w:tr>
      <w:tr w14:paraId="59DA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37" w:type="dxa"/>
            <w:noWrap w:val="0"/>
            <w:vAlign w:val="center"/>
          </w:tcPr>
          <w:p w14:paraId="05EE4A43">
            <w:pPr>
              <w:keepNext w:val="0"/>
              <w:keepLines w:val="0"/>
              <w:pageBreakBefore w:val="0"/>
              <w:kinsoku/>
              <w:wordWrap/>
              <w:overflowPunct/>
              <w:topLinePunct w:val="0"/>
              <w:autoSpaceDE/>
              <w:autoSpaceDN/>
              <w:bidi w:val="0"/>
              <w:adjustRightInd w:val="0"/>
              <w:spacing w:line="240" w:lineRule="auto"/>
              <w:ind w:left="-105" w:leftChars="-50" w:right="-105" w:rightChars="-50"/>
              <w:jc w:val="center"/>
              <w:rPr>
                <w:rFonts w:hint="eastAsia" w:asciiTheme="minorEastAsia" w:hAnsiTheme="minorEastAsia" w:eastAsiaTheme="minorEastAsia" w:cstheme="minorEastAsia"/>
                <w:b/>
                <w:bCs/>
                <w:color w:val="auto"/>
                <w:kern w:val="0"/>
                <w:sz w:val="21"/>
                <w:szCs w:val="21"/>
                <w:lang w:val="en-US" w:eastAsia="zh-CN"/>
              </w:rPr>
            </w:pPr>
            <w:r>
              <w:rPr>
                <w:rFonts w:hint="eastAsia" w:asciiTheme="minorEastAsia" w:hAnsiTheme="minorEastAsia" w:eastAsiaTheme="minorEastAsia" w:cstheme="minorEastAsia"/>
                <w:b/>
                <w:bCs/>
                <w:color w:val="auto"/>
                <w:kern w:val="0"/>
                <w:sz w:val="21"/>
                <w:szCs w:val="21"/>
                <w:lang w:val="en-US" w:eastAsia="zh-CN"/>
              </w:rPr>
              <w:t>2.2</w:t>
            </w:r>
          </w:p>
        </w:tc>
        <w:tc>
          <w:tcPr>
            <w:tcW w:w="1174" w:type="dxa"/>
            <w:noWrap w:val="0"/>
            <w:vAlign w:val="center"/>
          </w:tcPr>
          <w:p w14:paraId="4D893490">
            <w:pPr>
              <w:keepNext w:val="0"/>
              <w:keepLines w:val="0"/>
              <w:pageBreakBefore w:val="0"/>
              <w:kinsoku/>
              <w:wordWrap/>
              <w:overflowPunct/>
              <w:topLinePunct w:val="0"/>
              <w:autoSpaceDE/>
              <w:autoSpaceDN/>
              <w:bidi w:val="0"/>
              <w:adjustRightInd w:val="0"/>
              <w:spacing w:line="240" w:lineRule="auto"/>
              <w:jc w:val="center"/>
              <w:rPr>
                <w:rFonts w:hint="eastAsia" w:asciiTheme="minorEastAsia" w:hAnsiTheme="minorEastAsia" w:eastAsiaTheme="minorEastAsia" w:cstheme="minorEastAsia"/>
                <w:b/>
                <w:bCs w:val="0"/>
                <w:color w:val="auto"/>
                <w:kern w:val="0"/>
                <w:sz w:val="21"/>
                <w:szCs w:val="21"/>
              </w:rPr>
            </w:pPr>
            <w:r>
              <w:rPr>
                <w:rFonts w:hint="eastAsia" w:asciiTheme="minorEastAsia" w:hAnsiTheme="minorEastAsia" w:eastAsiaTheme="minorEastAsia" w:cstheme="minorEastAsia"/>
                <w:b/>
                <w:bCs w:val="0"/>
                <w:color w:val="auto"/>
                <w:kern w:val="0"/>
                <w:sz w:val="21"/>
                <w:szCs w:val="21"/>
                <w:lang w:val="en-US" w:eastAsia="zh-CN"/>
              </w:rPr>
              <w:t>方案契合度分</w:t>
            </w:r>
          </w:p>
        </w:tc>
        <w:tc>
          <w:tcPr>
            <w:tcW w:w="6609" w:type="dxa"/>
            <w:noWrap w:val="0"/>
            <w:vAlign w:val="center"/>
          </w:tcPr>
          <w:p w14:paraId="0A27CCD9">
            <w:pPr>
              <w:pStyle w:val="18"/>
              <w:keepNext w:val="0"/>
              <w:keepLines w:val="0"/>
              <w:pageBreakBefore w:val="0"/>
              <w:kinsoku/>
              <w:wordWrap/>
              <w:overflowPunct/>
              <w:topLinePunct w:val="0"/>
              <w:autoSpaceDE/>
              <w:autoSpaceDN/>
              <w:bidi w:val="0"/>
              <w:spacing w:line="240" w:lineRule="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 xml:space="preserve">供应商需理解本项目的文化特色，能够准确抓取主题元素，需要充分体现产业特色，是否满足整体方案的设计、布局、创新性、互动性要求，且具备独特的创新和亮点。 </w:t>
            </w:r>
          </w:p>
          <w:p w14:paraId="1E573231">
            <w:pPr>
              <w:pStyle w:val="18"/>
              <w:keepNext w:val="0"/>
              <w:keepLines w:val="0"/>
              <w:pageBreakBefore w:val="0"/>
              <w:kinsoku/>
              <w:wordWrap/>
              <w:overflowPunct/>
              <w:topLinePunct w:val="0"/>
              <w:autoSpaceDE/>
              <w:autoSpaceDN/>
              <w:bidi w:val="0"/>
              <w:spacing w:line="240" w:lineRule="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一档〔5 分〕设计和布局一般，不具备创新性和互动性。</w:t>
            </w:r>
          </w:p>
          <w:p w14:paraId="538DAC3F">
            <w:pPr>
              <w:pStyle w:val="18"/>
              <w:keepNext w:val="0"/>
              <w:keepLines w:val="0"/>
              <w:pageBreakBefore w:val="0"/>
              <w:kinsoku/>
              <w:wordWrap/>
              <w:overflowPunct/>
              <w:topLinePunct w:val="0"/>
              <w:autoSpaceDE/>
              <w:autoSpaceDN/>
              <w:bidi w:val="0"/>
              <w:spacing w:line="240" w:lineRule="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 xml:space="preserve">二档〔10 分〕设计和布局一般，创新性和互动性一般； </w:t>
            </w:r>
          </w:p>
          <w:p w14:paraId="4EC7D9D1">
            <w:pPr>
              <w:pStyle w:val="18"/>
              <w:keepNext w:val="0"/>
              <w:keepLines w:val="0"/>
              <w:pageBreakBefore w:val="0"/>
              <w:kinsoku/>
              <w:wordWrap/>
              <w:overflowPunct/>
              <w:topLinePunct w:val="0"/>
              <w:autoSpaceDE/>
              <w:autoSpaceDN/>
              <w:bidi w:val="0"/>
              <w:spacing w:line="240" w:lineRule="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三档〔15 分〕设计贴合主题要求，布局合理，创新信和互动性一般；</w:t>
            </w:r>
          </w:p>
          <w:p w14:paraId="5CB39B1A">
            <w:pPr>
              <w:pStyle w:val="18"/>
              <w:keepNext w:val="0"/>
              <w:keepLines w:val="0"/>
              <w:pageBreakBefore w:val="0"/>
              <w:kinsoku/>
              <w:wordWrap/>
              <w:overflowPunct/>
              <w:topLinePunct w:val="0"/>
              <w:autoSpaceDE/>
              <w:autoSpaceDN/>
              <w:bidi w:val="0"/>
              <w:spacing w:line="240" w:lineRule="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四档〔20 分〕设计贴合主题要求，布局合理，具备独特创新性和互</w:t>
            </w:r>
          </w:p>
          <w:p w14:paraId="10C2FCC1">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Cs/>
                <w:color w:val="auto"/>
                <w:sz w:val="21"/>
                <w:szCs w:val="21"/>
                <w:lang w:val="en-US" w:eastAsia="zh-CN"/>
              </w:rPr>
              <w:t>动性亮点；</w:t>
            </w:r>
          </w:p>
          <w:p w14:paraId="4B61F448">
            <w:pPr>
              <w:pStyle w:val="18"/>
              <w:keepNext w:val="0"/>
              <w:keepLines w:val="0"/>
              <w:pageBreakBefore w:val="0"/>
              <w:kinsoku/>
              <w:wordWrap/>
              <w:overflowPunct/>
              <w:topLinePunct w:val="0"/>
              <w:autoSpaceDE/>
              <w:autoSpaceDN/>
              <w:bidi w:val="0"/>
              <w:spacing w:line="240" w:lineRule="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注：供应商未提供或提供的内容不符合采购需求的，不得分。</w:t>
            </w:r>
          </w:p>
        </w:tc>
        <w:tc>
          <w:tcPr>
            <w:tcW w:w="670" w:type="dxa"/>
            <w:noWrap w:val="0"/>
            <w:vAlign w:val="center"/>
          </w:tcPr>
          <w:p w14:paraId="236F43E9">
            <w:pPr>
              <w:keepNext w:val="0"/>
              <w:keepLines w:val="0"/>
              <w:pageBreakBefore w:val="0"/>
              <w:kinsoku/>
              <w:wordWrap/>
              <w:overflowPunct/>
              <w:topLinePunct w:val="0"/>
              <w:autoSpaceDE/>
              <w:autoSpaceDN/>
              <w:bidi w:val="0"/>
              <w:spacing w:line="240" w:lineRule="auto"/>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20分</w:t>
            </w:r>
          </w:p>
        </w:tc>
      </w:tr>
      <w:tr w14:paraId="1262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37" w:type="dxa"/>
            <w:noWrap w:val="0"/>
            <w:vAlign w:val="center"/>
          </w:tcPr>
          <w:p w14:paraId="3EA48D14">
            <w:pPr>
              <w:keepNext w:val="0"/>
              <w:keepLines w:val="0"/>
              <w:pageBreakBefore w:val="0"/>
              <w:kinsoku/>
              <w:wordWrap/>
              <w:overflowPunct/>
              <w:topLinePunct w:val="0"/>
              <w:autoSpaceDE/>
              <w:autoSpaceDN/>
              <w:bidi w:val="0"/>
              <w:adjustRightInd w:val="0"/>
              <w:spacing w:line="240" w:lineRule="auto"/>
              <w:ind w:left="-105" w:leftChars="-50" w:right="-105" w:rightChars="-50"/>
              <w:jc w:val="center"/>
              <w:rPr>
                <w:rFonts w:hint="eastAsia" w:asciiTheme="minorEastAsia" w:hAnsiTheme="minorEastAsia" w:eastAsiaTheme="minorEastAsia" w:cstheme="minorEastAsia"/>
                <w:b/>
                <w:bCs/>
                <w:color w:val="auto"/>
                <w:kern w:val="0"/>
                <w:sz w:val="21"/>
                <w:szCs w:val="21"/>
                <w:lang w:eastAsia="zh-CN"/>
              </w:rPr>
            </w:pPr>
            <w:r>
              <w:rPr>
                <w:rFonts w:hint="eastAsia" w:asciiTheme="minorEastAsia" w:hAnsiTheme="minorEastAsia" w:eastAsiaTheme="minorEastAsia" w:cstheme="minorEastAsia"/>
                <w:b/>
                <w:bCs/>
                <w:color w:val="auto"/>
                <w:kern w:val="0"/>
                <w:sz w:val="21"/>
                <w:szCs w:val="21"/>
              </w:rPr>
              <w:t>2.</w:t>
            </w:r>
            <w:r>
              <w:rPr>
                <w:rFonts w:hint="eastAsia" w:asciiTheme="minorEastAsia" w:hAnsiTheme="minorEastAsia" w:eastAsiaTheme="minorEastAsia" w:cstheme="minorEastAsia"/>
                <w:b/>
                <w:bCs/>
                <w:color w:val="auto"/>
                <w:kern w:val="0"/>
                <w:sz w:val="21"/>
                <w:szCs w:val="21"/>
                <w:lang w:val="en-US" w:eastAsia="zh-CN"/>
              </w:rPr>
              <w:t>3</w:t>
            </w:r>
          </w:p>
        </w:tc>
        <w:tc>
          <w:tcPr>
            <w:tcW w:w="1174" w:type="dxa"/>
            <w:noWrap w:val="0"/>
            <w:vAlign w:val="center"/>
          </w:tcPr>
          <w:p w14:paraId="69488A29">
            <w:pPr>
              <w:keepNext w:val="0"/>
              <w:keepLines w:val="0"/>
              <w:pageBreakBefore w:val="0"/>
              <w:kinsoku/>
              <w:wordWrap/>
              <w:overflowPunct/>
              <w:topLinePunct w:val="0"/>
              <w:autoSpaceDE/>
              <w:autoSpaceDN/>
              <w:bidi w:val="0"/>
              <w:adjustRightInd w:val="0"/>
              <w:spacing w:line="240" w:lineRule="auto"/>
              <w:jc w:val="center"/>
              <w:rPr>
                <w:rFonts w:hint="eastAsia" w:asciiTheme="minorEastAsia" w:hAnsiTheme="minorEastAsia" w:eastAsiaTheme="minorEastAsia" w:cstheme="minorEastAsia"/>
                <w:b/>
                <w:bCs w:val="0"/>
                <w:color w:val="auto"/>
                <w:kern w:val="0"/>
                <w:sz w:val="21"/>
                <w:szCs w:val="21"/>
              </w:rPr>
            </w:pPr>
            <w:r>
              <w:rPr>
                <w:rFonts w:hint="eastAsia" w:asciiTheme="minorEastAsia" w:hAnsiTheme="minorEastAsia" w:eastAsiaTheme="minorEastAsia" w:cstheme="minorEastAsia"/>
                <w:b/>
                <w:bCs w:val="0"/>
                <w:color w:val="auto"/>
                <w:kern w:val="0"/>
                <w:sz w:val="21"/>
                <w:szCs w:val="21"/>
                <w:lang w:val="en-US" w:eastAsia="zh-CN"/>
              </w:rPr>
              <w:t>服务承诺分</w:t>
            </w:r>
          </w:p>
        </w:tc>
        <w:tc>
          <w:tcPr>
            <w:tcW w:w="6609" w:type="dxa"/>
            <w:noWrap w:val="0"/>
            <w:vAlign w:val="center"/>
          </w:tcPr>
          <w:p w14:paraId="04D6A029">
            <w:pPr>
              <w:pStyle w:val="27"/>
              <w:keepNext w:val="0"/>
              <w:keepLines w:val="0"/>
              <w:pageBreakBefore w:val="0"/>
              <w:numPr>
                <w:ilvl w:val="0"/>
                <w:numId w:val="0"/>
              </w:numPr>
              <w:kinsoku/>
              <w:wordWrap/>
              <w:overflowPunct/>
              <w:topLinePunct w:val="0"/>
              <w:autoSpaceDE/>
              <w:autoSpaceDN/>
              <w:bidi w:val="0"/>
              <w:spacing w:after="0" w:line="240" w:lineRule="auto"/>
              <w:ind w:left="0" w:leftChars="0" w:firstLine="0" w:firstLineChars="0"/>
              <w:jc w:val="left"/>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kern w:val="0"/>
                <w:sz w:val="21"/>
                <w:szCs w:val="21"/>
                <w:lang w:val="en-US" w:eastAsia="zh-CN" w:bidi="ar-SA"/>
              </w:rPr>
              <w:t xml:space="preserve">一档（1 分）：服务承诺内容符合竞争性磋商采购文件要求、有服务质量保证措施但各服务环节不明确，售后响应时间不及时或较慢，出现问题能在 48 小时内响应处理,服务内容保障措施较简单； </w:t>
            </w:r>
          </w:p>
          <w:p w14:paraId="6F4A1A01">
            <w:pPr>
              <w:pStyle w:val="27"/>
              <w:keepNext w:val="0"/>
              <w:keepLines w:val="0"/>
              <w:pageBreakBefore w:val="0"/>
              <w:numPr>
                <w:ilvl w:val="0"/>
                <w:numId w:val="0"/>
              </w:numPr>
              <w:kinsoku/>
              <w:wordWrap/>
              <w:overflowPunct/>
              <w:topLinePunct w:val="0"/>
              <w:autoSpaceDE/>
              <w:autoSpaceDN/>
              <w:bidi w:val="0"/>
              <w:spacing w:after="0" w:line="240" w:lineRule="auto"/>
              <w:ind w:left="0" w:leftChars="0" w:firstLine="0" w:firstLineChars="0"/>
              <w:jc w:val="left"/>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kern w:val="0"/>
                <w:sz w:val="21"/>
                <w:szCs w:val="21"/>
                <w:lang w:val="en-US" w:eastAsia="zh-CN" w:bidi="ar-SA"/>
              </w:rPr>
              <w:t xml:space="preserve">二档（3分）：服务承诺内容符合竞争性磋商采购文件要求，服务质量保证措施完整、有全面、周到、有基本的服务流程说明，售后服务响应时间程度良好，出现问题能在 24 小时内响应处理,提供有应急预案，服务内容保障措施较详细； </w:t>
            </w:r>
          </w:p>
          <w:p w14:paraId="157092CC">
            <w:pPr>
              <w:pStyle w:val="27"/>
              <w:keepNext w:val="0"/>
              <w:keepLines w:val="0"/>
              <w:pageBreakBefore w:val="0"/>
              <w:numPr>
                <w:ilvl w:val="0"/>
                <w:numId w:val="0"/>
              </w:numPr>
              <w:kinsoku/>
              <w:wordWrap/>
              <w:overflowPunct/>
              <w:topLinePunct w:val="0"/>
              <w:autoSpaceDE/>
              <w:autoSpaceDN/>
              <w:bidi w:val="0"/>
              <w:spacing w:after="0" w:line="240" w:lineRule="auto"/>
              <w:ind w:left="0" w:leftChars="0" w:firstLine="0" w:firstLineChars="0"/>
              <w:jc w:val="left"/>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kern w:val="0"/>
                <w:sz w:val="21"/>
                <w:szCs w:val="21"/>
                <w:lang w:val="en-US" w:eastAsia="zh-CN" w:bidi="ar-SA"/>
              </w:rPr>
              <w:t xml:space="preserve">三档（5分）：在满足二档的要求上，服务流程说明详细具体，能为本项目提出针对性的售后服务措施，能实现项目实施全过程与采购人有良好顺畅的沟通和信息交流，出现问题能在 12 小时内响应处理,应急预案安排详细具体且科学合理，保障服务质量优于采购要求。 </w:t>
            </w:r>
          </w:p>
          <w:p w14:paraId="18C92619">
            <w:pPr>
              <w:pStyle w:val="27"/>
              <w:keepNext w:val="0"/>
              <w:keepLines w:val="0"/>
              <w:pageBreakBefore w:val="0"/>
              <w:numPr>
                <w:ilvl w:val="0"/>
                <w:numId w:val="0"/>
              </w:numPr>
              <w:kinsoku/>
              <w:wordWrap/>
              <w:overflowPunct/>
              <w:topLinePunct w:val="0"/>
              <w:autoSpaceDE/>
              <w:autoSpaceDN/>
              <w:bidi w:val="0"/>
              <w:spacing w:after="0" w:line="240" w:lineRule="auto"/>
              <w:ind w:left="0" w:leftChars="0" w:firstLine="0" w:firstLineChars="0"/>
              <w:jc w:val="left"/>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val="0"/>
                <w:bCs w:val="0"/>
                <w:kern w:val="0"/>
                <w:sz w:val="21"/>
                <w:szCs w:val="21"/>
                <w:lang w:val="en-US" w:eastAsia="zh-CN" w:bidi="ar-SA"/>
              </w:rPr>
              <w:t>注：供应商未提供或提供的内容不符合采购需求的，不得分。</w:t>
            </w:r>
          </w:p>
        </w:tc>
        <w:tc>
          <w:tcPr>
            <w:tcW w:w="670" w:type="dxa"/>
            <w:noWrap w:val="0"/>
            <w:vAlign w:val="center"/>
          </w:tcPr>
          <w:p w14:paraId="75F0D110">
            <w:pPr>
              <w:keepNext w:val="0"/>
              <w:keepLines w:val="0"/>
              <w:pageBreakBefore w:val="0"/>
              <w:kinsoku/>
              <w:wordWrap/>
              <w:overflowPunct/>
              <w:topLinePunct w:val="0"/>
              <w:autoSpaceDE/>
              <w:autoSpaceDN/>
              <w:bidi w:val="0"/>
              <w:spacing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5</w:t>
            </w:r>
            <w:r>
              <w:rPr>
                <w:rFonts w:hint="eastAsia" w:asciiTheme="minorEastAsia" w:hAnsiTheme="minorEastAsia" w:eastAsiaTheme="minorEastAsia" w:cstheme="minorEastAsia"/>
                <w:color w:val="auto"/>
                <w:kern w:val="0"/>
                <w:sz w:val="21"/>
                <w:szCs w:val="21"/>
              </w:rPr>
              <w:t>分</w:t>
            </w:r>
          </w:p>
        </w:tc>
      </w:tr>
      <w:tr w14:paraId="095A5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37" w:type="dxa"/>
            <w:noWrap w:val="0"/>
            <w:vAlign w:val="center"/>
          </w:tcPr>
          <w:p w14:paraId="032819DC">
            <w:pPr>
              <w:keepNext w:val="0"/>
              <w:keepLines w:val="0"/>
              <w:pageBreakBefore w:val="0"/>
              <w:kinsoku/>
              <w:wordWrap/>
              <w:overflowPunct/>
              <w:topLinePunct w:val="0"/>
              <w:autoSpaceDE/>
              <w:autoSpaceDN/>
              <w:bidi w:val="0"/>
              <w:adjustRightInd w:val="0"/>
              <w:spacing w:line="240" w:lineRule="auto"/>
              <w:ind w:left="-105" w:leftChars="-50" w:right="-105" w:rightChars="-50"/>
              <w:jc w:val="center"/>
              <w:rPr>
                <w:rFonts w:hint="eastAsia" w:asciiTheme="minorEastAsia" w:hAnsiTheme="minorEastAsia" w:eastAsiaTheme="minorEastAsia" w:cstheme="minorEastAsia"/>
                <w:b/>
                <w:bCs/>
                <w:color w:val="auto"/>
                <w:kern w:val="0"/>
                <w:sz w:val="21"/>
                <w:szCs w:val="21"/>
                <w:lang w:val="en-US" w:eastAsia="zh-CN"/>
              </w:rPr>
            </w:pPr>
            <w:r>
              <w:rPr>
                <w:rFonts w:hint="eastAsia" w:asciiTheme="minorEastAsia" w:hAnsiTheme="minorEastAsia" w:eastAsiaTheme="minorEastAsia" w:cstheme="minorEastAsia"/>
                <w:b/>
                <w:bCs/>
                <w:color w:val="auto"/>
                <w:kern w:val="0"/>
                <w:sz w:val="21"/>
                <w:szCs w:val="21"/>
                <w:lang w:val="en-US" w:eastAsia="zh-CN"/>
              </w:rPr>
              <w:t>2.4</w:t>
            </w:r>
          </w:p>
        </w:tc>
        <w:tc>
          <w:tcPr>
            <w:tcW w:w="1174" w:type="dxa"/>
            <w:noWrap w:val="0"/>
            <w:vAlign w:val="center"/>
          </w:tcPr>
          <w:p w14:paraId="746468FB">
            <w:pPr>
              <w:keepNext w:val="0"/>
              <w:keepLines w:val="0"/>
              <w:pageBreakBefore w:val="0"/>
              <w:kinsoku/>
              <w:wordWrap/>
              <w:overflowPunct/>
              <w:topLinePunct w:val="0"/>
              <w:autoSpaceDE/>
              <w:autoSpaceDN/>
              <w:bidi w:val="0"/>
              <w:adjustRightInd w:val="0"/>
              <w:spacing w:line="240" w:lineRule="auto"/>
              <w:jc w:val="center"/>
              <w:rPr>
                <w:rFonts w:hint="eastAsia" w:asciiTheme="minorEastAsia" w:hAnsiTheme="minorEastAsia" w:eastAsiaTheme="minorEastAsia" w:cstheme="minorEastAsia"/>
                <w:b/>
                <w:bCs w:val="0"/>
                <w:color w:val="auto"/>
                <w:kern w:val="0"/>
                <w:sz w:val="21"/>
                <w:szCs w:val="21"/>
                <w:lang w:val="en-US" w:eastAsia="zh-CN"/>
              </w:rPr>
            </w:pPr>
            <w:r>
              <w:rPr>
                <w:rFonts w:hint="eastAsia" w:asciiTheme="minorEastAsia" w:hAnsiTheme="minorEastAsia" w:eastAsiaTheme="minorEastAsia" w:cstheme="minorEastAsia"/>
                <w:b/>
                <w:bCs w:val="0"/>
                <w:color w:val="auto"/>
                <w:kern w:val="0"/>
                <w:sz w:val="21"/>
                <w:szCs w:val="21"/>
                <w:lang w:val="en-US" w:eastAsia="zh-CN"/>
              </w:rPr>
              <w:t>应急保障方案分</w:t>
            </w:r>
          </w:p>
        </w:tc>
        <w:tc>
          <w:tcPr>
            <w:tcW w:w="6609" w:type="dxa"/>
            <w:noWrap w:val="0"/>
            <w:vAlign w:val="center"/>
          </w:tcPr>
          <w:p w14:paraId="4EB0E67B">
            <w:pPr>
              <w:pStyle w:val="27"/>
              <w:keepNext w:val="0"/>
              <w:keepLines w:val="0"/>
              <w:pageBreakBefore w:val="0"/>
              <w:numPr>
                <w:ilvl w:val="0"/>
                <w:numId w:val="0"/>
              </w:numPr>
              <w:kinsoku/>
              <w:wordWrap/>
              <w:overflowPunct/>
              <w:topLinePunct w:val="0"/>
              <w:autoSpaceDE/>
              <w:autoSpaceDN/>
              <w:bidi w:val="0"/>
              <w:spacing w:after="0" w:line="240" w:lineRule="auto"/>
              <w:ind w:left="0" w:leftChars="0" w:firstLine="0" w:firstLineChars="0"/>
              <w:jc w:val="left"/>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kern w:val="0"/>
                <w:sz w:val="21"/>
                <w:szCs w:val="21"/>
                <w:lang w:val="en-US" w:eastAsia="zh-CN" w:bidi="ar-SA"/>
              </w:rPr>
              <w:t>一档（2分）：方案包含有应急保障措施，方案简单，缺乏针对性；</w:t>
            </w:r>
          </w:p>
          <w:p w14:paraId="3296E27C">
            <w:pPr>
              <w:pStyle w:val="27"/>
              <w:keepNext w:val="0"/>
              <w:keepLines w:val="0"/>
              <w:pageBreakBefore w:val="0"/>
              <w:numPr>
                <w:ilvl w:val="0"/>
                <w:numId w:val="0"/>
              </w:numPr>
              <w:kinsoku/>
              <w:wordWrap/>
              <w:overflowPunct/>
              <w:topLinePunct w:val="0"/>
              <w:autoSpaceDE/>
              <w:autoSpaceDN/>
              <w:bidi w:val="0"/>
              <w:spacing w:after="0" w:line="240" w:lineRule="auto"/>
              <w:ind w:left="0" w:leftChars="0" w:firstLine="0" w:firstLineChars="0"/>
              <w:jc w:val="left"/>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kern w:val="0"/>
                <w:sz w:val="21"/>
                <w:szCs w:val="21"/>
                <w:lang w:val="en-US" w:eastAsia="zh-CN" w:bidi="ar-SA"/>
              </w:rPr>
              <w:t>二档（6分）：描述了项目应急保障方案的方法以及实现方式，方案合理，具有针对性；</w:t>
            </w:r>
          </w:p>
          <w:p w14:paraId="73D0A8B3">
            <w:pPr>
              <w:pStyle w:val="27"/>
              <w:keepNext w:val="0"/>
              <w:keepLines w:val="0"/>
              <w:pageBreakBefore w:val="0"/>
              <w:numPr>
                <w:ilvl w:val="0"/>
                <w:numId w:val="0"/>
              </w:numPr>
              <w:kinsoku/>
              <w:wordWrap/>
              <w:overflowPunct/>
              <w:topLinePunct w:val="0"/>
              <w:autoSpaceDE/>
              <w:autoSpaceDN/>
              <w:bidi w:val="0"/>
              <w:spacing w:after="0" w:line="240" w:lineRule="auto"/>
              <w:ind w:left="0" w:leftChars="0" w:firstLine="0" w:firstLineChars="0"/>
              <w:jc w:val="left"/>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kern w:val="0"/>
                <w:sz w:val="21"/>
                <w:szCs w:val="21"/>
                <w:lang w:val="en-US" w:eastAsia="zh-CN" w:bidi="ar-SA"/>
              </w:rPr>
              <w:t>三档（10分）：应急保障服务方案包括紧急人员服务需要、紧急物资服务需要、人员伤亡应急预案等，且描述了应急保障方案的方法以及实现方式，方案合理并具有很好的针对性。</w:t>
            </w:r>
          </w:p>
          <w:p w14:paraId="24C9D4B7">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bidi="ar-SA"/>
              </w:rPr>
              <w:t>注：供应商未提供或提供的内容不符合采购需求的，不得分。</w:t>
            </w:r>
          </w:p>
        </w:tc>
        <w:tc>
          <w:tcPr>
            <w:tcW w:w="670" w:type="dxa"/>
            <w:noWrap w:val="0"/>
            <w:vAlign w:val="center"/>
          </w:tcPr>
          <w:p w14:paraId="4E81E3CD">
            <w:pPr>
              <w:keepNext w:val="0"/>
              <w:keepLines w:val="0"/>
              <w:pageBreakBefore w:val="0"/>
              <w:kinsoku/>
              <w:wordWrap/>
              <w:overflowPunct/>
              <w:topLinePunct w:val="0"/>
              <w:autoSpaceDE/>
              <w:autoSpaceDN/>
              <w:bidi w:val="0"/>
              <w:spacing w:line="240" w:lineRule="auto"/>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10分</w:t>
            </w:r>
          </w:p>
        </w:tc>
      </w:tr>
      <w:tr w14:paraId="7604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37" w:type="dxa"/>
            <w:noWrap w:val="0"/>
            <w:vAlign w:val="center"/>
          </w:tcPr>
          <w:p w14:paraId="313E7A73">
            <w:pPr>
              <w:keepNext w:val="0"/>
              <w:keepLines w:val="0"/>
              <w:pageBreakBefore w:val="0"/>
              <w:kinsoku/>
              <w:wordWrap/>
              <w:overflowPunct/>
              <w:topLinePunct w:val="0"/>
              <w:autoSpaceDE/>
              <w:autoSpaceDN/>
              <w:bidi w:val="0"/>
              <w:adjustRightInd w:val="0"/>
              <w:spacing w:line="240" w:lineRule="auto"/>
              <w:ind w:left="-105" w:leftChars="-50" w:right="-105" w:rightChars="-50"/>
              <w:jc w:val="center"/>
              <w:rPr>
                <w:rFonts w:hint="eastAsia" w:asciiTheme="minorEastAsia" w:hAnsiTheme="minorEastAsia" w:eastAsiaTheme="minorEastAsia" w:cstheme="minorEastAsia"/>
                <w:b/>
                <w:bCs/>
                <w:color w:val="auto"/>
                <w:kern w:val="0"/>
                <w:sz w:val="21"/>
                <w:szCs w:val="21"/>
                <w:lang w:val="en-US" w:eastAsia="zh-CN"/>
              </w:rPr>
            </w:pPr>
            <w:r>
              <w:rPr>
                <w:rFonts w:hint="eastAsia" w:asciiTheme="minorEastAsia" w:hAnsiTheme="minorEastAsia" w:eastAsiaTheme="minorEastAsia" w:cstheme="minorEastAsia"/>
                <w:b/>
                <w:bCs/>
                <w:color w:val="auto"/>
                <w:kern w:val="0"/>
                <w:sz w:val="21"/>
                <w:szCs w:val="21"/>
                <w:lang w:val="en-US" w:eastAsia="zh-CN"/>
              </w:rPr>
              <w:t>2.5</w:t>
            </w:r>
          </w:p>
        </w:tc>
        <w:tc>
          <w:tcPr>
            <w:tcW w:w="1174" w:type="dxa"/>
            <w:noWrap w:val="0"/>
            <w:vAlign w:val="center"/>
          </w:tcPr>
          <w:p w14:paraId="270F2BFE">
            <w:pPr>
              <w:keepNext w:val="0"/>
              <w:keepLines w:val="0"/>
              <w:pageBreakBefore w:val="0"/>
              <w:kinsoku/>
              <w:wordWrap/>
              <w:overflowPunct/>
              <w:topLinePunct w:val="0"/>
              <w:autoSpaceDE/>
              <w:autoSpaceDN/>
              <w:bidi w:val="0"/>
              <w:adjustRightInd w:val="0"/>
              <w:spacing w:line="240" w:lineRule="auto"/>
              <w:jc w:val="center"/>
              <w:rPr>
                <w:rFonts w:hint="eastAsia" w:asciiTheme="minorEastAsia" w:hAnsiTheme="minorEastAsia" w:eastAsiaTheme="minorEastAsia" w:cstheme="minorEastAsia"/>
                <w:b/>
                <w:bCs w:val="0"/>
                <w:color w:val="auto"/>
                <w:kern w:val="0"/>
                <w:sz w:val="21"/>
                <w:szCs w:val="21"/>
                <w:lang w:val="en-US" w:eastAsia="zh-CN"/>
              </w:rPr>
            </w:pPr>
            <w:r>
              <w:rPr>
                <w:rFonts w:hint="eastAsia" w:asciiTheme="minorEastAsia" w:hAnsiTheme="minorEastAsia" w:eastAsiaTheme="minorEastAsia" w:cstheme="minorEastAsia"/>
                <w:b/>
                <w:bCs w:val="0"/>
                <w:color w:val="auto"/>
                <w:kern w:val="0"/>
                <w:sz w:val="21"/>
                <w:szCs w:val="21"/>
                <w:lang w:val="en-US" w:eastAsia="zh-CN"/>
              </w:rPr>
              <w:t>项目实施人员分</w:t>
            </w:r>
          </w:p>
        </w:tc>
        <w:tc>
          <w:tcPr>
            <w:tcW w:w="6609" w:type="dxa"/>
            <w:noWrap w:val="0"/>
            <w:vAlign w:val="center"/>
          </w:tcPr>
          <w:p w14:paraId="5BE1D109">
            <w:pPr>
              <w:pStyle w:val="27"/>
              <w:keepNext w:val="0"/>
              <w:keepLines w:val="0"/>
              <w:pageBreakBefore w:val="0"/>
              <w:numPr>
                <w:ilvl w:val="0"/>
                <w:numId w:val="0"/>
              </w:numPr>
              <w:kinsoku/>
              <w:wordWrap/>
              <w:overflowPunct/>
              <w:topLinePunct w:val="0"/>
              <w:autoSpaceDE/>
              <w:autoSpaceDN/>
              <w:bidi w:val="0"/>
              <w:spacing w:after="0" w:line="240" w:lineRule="auto"/>
              <w:ind w:left="0" w:leftChars="0" w:firstLine="0" w:firstLineChars="0"/>
              <w:jc w:val="left"/>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kern w:val="0"/>
                <w:sz w:val="21"/>
                <w:szCs w:val="21"/>
                <w:lang w:val="en-US" w:eastAsia="zh-CN" w:bidi="ar-SA"/>
              </w:rPr>
              <w:t xml:space="preserve">根据供应商拟投入人员配备、分工、经验情况，人员数量情况进行评分。 </w:t>
            </w:r>
          </w:p>
          <w:p w14:paraId="5711F040">
            <w:pPr>
              <w:pStyle w:val="27"/>
              <w:keepNext w:val="0"/>
              <w:keepLines w:val="0"/>
              <w:pageBreakBefore w:val="0"/>
              <w:numPr>
                <w:ilvl w:val="0"/>
                <w:numId w:val="0"/>
              </w:numPr>
              <w:kinsoku/>
              <w:wordWrap/>
              <w:overflowPunct/>
              <w:topLinePunct w:val="0"/>
              <w:autoSpaceDE/>
              <w:autoSpaceDN/>
              <w:bidi w:val="0"/>
              <w:spacing w:after="0" w:line="240" w:lineRule="auto"/>
              <w:ind w:left="0" w:leftChars="0" w:firstLine="0" w:firstLineChars="0"/>
              <w:jc w:val="left"/>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kern w:val="0"/>
                <w:sz w:val="21"/>
                <w:szCs w:val="21"/>
                <w:lang w:val="en-US" w:eastAsia="zh-CN" w:bidi="ar-SA"/>
              </w:rPr>
              <w:t xml:space="preserve">一档（1 分）：供应商为本项目组建的团队组成 7人或以下，且有一定的针对性、经验和可操作性； </w:t>
            </w:r>
          </w:p>
          <w:p w14:paraId="4D585C65">
            <w:pPr>
              <w:pStyle w:val="27"/>
              <w:keepNext w:val="0"/>
              <w:keepLines w:val="0"/>
              <w:pageBreakBefore w:val="0"/>
              <w:numPr>
                <w:ilvl w:val="0"/>
                <w:numId w:val="0"/>
              </w:numPr>
              <w:kinsoku/>
              <w:wordWrap/>
              <w:overflowPunct/>
              <w:topLinePunct w:val="0"/>
              <w:autoSpaceDE/>
              <w:autoSpaceDN/>
              <w:bidi w:val="0"/>
              <w:spacing w:after="0" w:line="240" w:lineRule="auto"/>
              <w:ind w:left="0" w:leftChars="0" w:firstLine="0" w:firstLineChars="0"/>
              <w:jc w:val="left"/>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kern w:val="0"/>
                <w:sz w:val="21"/>
                <w:szCs w:val="21"/>
                <w:lang w:val="en-US" w:eastAsia="zh-CN" w:bidi="ar-SA"/>
              </w:rPr>
              <w:t xml:space="preserve">二档（3分）：供应商为本项目组建的团队组成 8～9 人，且较科学、针对性较强、经验较强和可操作性较强； </w:t>
            </w:r>
          </w:p>
          <w:p w14:paraId="4C47F5D7">
            <w:pPr>
              <w:pStyle w:val="27"/>
              <w:keepNext w:val="0"/>
              <w:keepLines w:val="0"/>
              <w:pageBreakBefore w:val="0"/>
              <w:numPr>
                <w:ilvl w:val="0"/>
                <w:numId w:val="0"/>
              </w:numPr>
              <w:kinsoku/>
              <w:wordWrap/>
              <w:overflowPunct/>
              <w:topLinePunct w:val="0"/>
              <w:autoSpaceDE/>
              <w:autoSpaceDN/>
              <w:bidi w:val="0"/>
              <w:spacing w:after="0" w:line="240" w:lineRule="auto"/>
              <w:ind w:left="0" w:leftChars="0" w:firstLine="0" w:firstLineChars="0"/>
              <w:jc w:val="left"/>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kern w:val="0"/>
                <w:sz w:val="21"/>
                <w:szCs w:val="21"/>
                <w:lang w:val="en-US" w:eastAsia="zh-CN" w:bidi="ar-SA"/>
              </w:rPr>
              <w:t xml:space="preserve">三档（5 分）：供应商为本项目组建的团队组成 10人或以上的，且科学、针对性强、经验丰富和可操作性强。 </w:t>
            </w:r>
          </w:p>
          <w:p w14:paraId="0C36F553">
            <w:pPr>
              <w:pStyle w:val="27"/>
              <w:keepNext w:val="0"/>
              <w:keepLines w:val="0"/>
              <w:pageBreakBefore w:val="0"/>
              <w:numPr>
                <w:ilvl w:val="0"/>
                <w:numId w:val="0"/>
              </w:numPr>
              <w:kinsoku/>
              <w:wordWrap/>
              <w:overflowPunct/>
              <w:topLinePunct w:val="0"/>
              <w:autoSpaceDE/>
              <w:autoSpaceDN/>
              <w:bidi w:val="0"/>
              <w:spacing w:after="0" w:line="240" w:lineRule="auto"/>
              <w:ind w:left="0" w:leftChars="0" w:firstLine="0" w:firstLineChars="0"/>
              <w:jc w:val="left"/>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kern w:val="0"/>
                <w:sz w:val="21"/>
                <w:szCs w:val="21"/>
                <w:lang w:val="en-US" w:eastAsia="zh-CN" w:bidi="ar-SA"/>
              </w:rPr>
              <w:t>注：提供团队成员构成花名册、身份证等相关证明材料,如未提供或提供的内容不符合采购需求的，不得分。</w:t>
            </w:r>
          </w:p>
        </w:tc>
        <w:tc>
          <w:tcPr>
            <w:tcW w:w="670" w:type="dxa"/>
            <w:noWrap w:val="0"/>
            <w:vAlign w:val="center"/>
          </w:tcPr>
          <w:p w14:paraId="21912404">
            <w:pPr>
              <w:keepNext w:val="0"/>
              <w:keepLines w:val="0"/>
              <w:pageBreakBefore w:val="0"/>
              <w:kinsoku/>
              <w:wordWrap/>
              <w:overflowPunct/>
              <w:topLinePunct w:val="0"/>
              <w:autoSpaceDE/>
              <w:autoSpaceDN/>
              <w:bidi w:val="0"/>
              <w:spacing w:line="240" w:lineRule="auto"/>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5分</w:t>
            </w:r>
          </w:p>
        </w:tc>
      </w:tr>
      <w:tr w14:paraId="4029B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7" w:type="dxa"/>
            <w:noWrap w:val="0"/>
            <w:vAlign w:val="center"/>
          </w:tcPr>
          <w:p w14:paraId="6E04B4AC">
            <w:pPr>
              <w:keepNext w:val="0"/>
              <w:keepLines w:val="0"/>
              <w:pageBreakBefore w:val="0"/>
              <w:widowControl/>
              <w:kinsoku/>
              <w:wordWrap/>
              <w:overflowPunct/>
              <w:topLinePunct w:val="0"/>
              <w:autoSpaceDE/>
              <w:autoSpaceDN/>
              <w:bidi w:val="0"/>
              <w:spacing w:line="240" w:lineRule="auto"/>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3</w:t>
            </w:r>
          </w:p>
        </w:tc>
        <w:tc>
          <w:tcPr>
            <w:tcW w:w="1174" w:type="dxa"/>
            <w:noWrap w:val="0"/>
            <w:vAlign w:val="center"/>
          </w:tcPr>
          <w:p w14:paraId="4F4BCE9F">
            <w:pPr>
              <w:keepNext w:val="0"/>
              <w:keepLines w:val="0"/>
              <w:pageBreakBefore w:val="0"/>
              <w:widowControl/>
              <w:kinsoku/>
              <w:wordWrap/>
              <w:overflowPunct/>
              <w:topLinePunct w:val="0"/>
              <w:autoSpaceDE/>
              <w:autoSpaceDN/>
              <w:bidi w:val="0"/>
              <w:spacing w:line="240"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商务分</w:t>
            </w:r>
          </w:p>
        </w:tc>
        <w:tc>
          <w:tcPr>
            <w:tcW w:w="7279" w:type="dxa"/>
            <w:gridSpan w:val="2"/>
            <w:noWrap w:val="0"/>
            <w:vAlign w:val="center"/>
          </w:tcPr>
          <w:p w14:paraId="36770FBF">
            <w:pPr>
              <w:keepNext w:val="0"/>
              <w:keepLines w:val="0"/>
              <w:pageBreakBefore w:val="0"/>
              <w:widowControl/>
              <w:kinsoku/>
              <w:wordWrap/>
              <w:overflowPunct/>
              <w:topLinePunct w:val="0"/>
              <w:autoSpaceDE/>
              <w:autoSpaceDN/>
              <w:bidi w:val="0"/>
              <w:spacing w:line="240" w:lineRule="auto"/>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评审因素</w:t>
            </w:r>
          </w:p>
        </w:tc>
      </w:tr>
      <w:tr w14:paraId="21642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37" w:type="dxa"/>
            <w:noWrap w:val="0"/>
            <w:vAlign w:val="center"/>
          </w:tcPr>
          <w:p w14:paraId="13392BB9">
            <w:pPr>
              <w:keepNext w:val="0"/>
              <w:keepLines w:val="0"/>
              <w:pageBreakBefore w:val="0"/>
              <w:kinsoku/>
              <w:wordWrap/>
              <w:overflowPunct/>
              <w:topLinePunct w:val="0"/>
              <w:autoSpaceDE/>
              <w:autoSpaceDN/>
              <w:bidi w:val="0"/>
              <w:spacing w:line="240" w:lineRule="auto"/>
              <w:jc w:val="center"/>
              <w:rPr>
                <w:rFonts w:hint="eastAsia" w:asciiTheme="minorEastAsia" w:hAnsiTheme="minorEastAsia" w:eastAsiaTheme="minorEastAsia" w:cstheme="minorEastAsia"/>
                <w:b/>
                <w:bCs/>
                <w:color w:val="auto"/>
                <w:kern w:val="0"/>
                <w:sz w:val="21"/>
                <w:szCs w:val="21"/>
                <w:lang w:eastAsia="zh-CN"/>
              </w:rPr>
            </w:pPr>
            <w:r>
              <w:rPr>
                <w:rFonts w:hint="eastAsia" w:asciiTheme="minorEastAsia" w:hAnsiTheme="minorEastAsia" w:eastAsiaTheme="minorEastAsia" w:cstheme="minorEastAsia"/>
                <w:b/>
                <w:bCs/>
                <w:color w:val="auto"/>
                <w:kern w:val="0"/>
                <w:sz w:val="21"/>
                <w:szCs w:val="21"/>
              </w:rPr>
              <w:t>3.</w:t>
            </w:r>
            <w:r>
              <w:rPr>
                <w:rFonts w:hint="eastAsia" w:asciiTheme="minorEastAsia" w:hAnsiTheme="minorEastAsia" w:eastAsiaTheme="minorEastAsia" w:cstheme="minorEastAsia"/>
                <w:b/>
                <w:bCs/>
                <w:color w:val="auto"/>
                <w:kern w:val="0"/>
                <w:sz w:val="21"/>
                <w:szCs w:val="21"/>
                <w:lang w:val="en-US" w:eastAsia="zh-CN"/>
              </w:rPr>
              <w:t>1</w:t>
            </w:r>
          </w:p>
        </w:tc>
        <w:tc>
          <w:tcPr>
            <w:tcW w:w="1174" w:type="dxa"/>
            <w:noWrap w:val="0"/>
            <w:vAlign w:val="center"/>
          </w:tcPr>
          <w:p w14:paraId="5E743112">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
                <w:bCs/>
                <w:kern w:val="0"/>
                <w:sz w:val="21"/>
                <w:szCs w:val="21"/>
              </w:rPr>
              <w:t>业绩分</w:t>
            </w:r>
          </w:p>
        </w:tc>
        <w:tc>
          <w:tcPr>
            <w:tcW w:w="6609" w:type="dxa"/>
            <w:noWrap w:val="0"/>
            <w:vAlign w:val="center"/>
          </w:tcPr>
          <w:p w14:paraId="2AA75B6E">
            <w:pPr>
              <w:pStyle w:val="18"/>
              <w:keepNext w:val="0"/>
              <w:keepLines w:val="0"/>
              <w:pageBreakBefore w:val="0"/>
              <w:kinsoku/>
              <w:wordWrap/>
              <w:overflowPunct/>
              <w:topLinePunct w:val="0"/>
              <w:autoSpaceDE/>
              <w:autoSpaceDN/>
              <w:bidi w:val="0"/>
              <w:spacing w:line="240" w:lineRule="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sz w:val="21"/>
                <w:szCs w:val="21"/>
                <w:lang w:eastAsia="zh-CN"/>
              </w:rPr>
              <w:t>供应商完成同类项目（政府区域公共品牌组团推介，或者茶叶产区活动）实施案例的，</w:t>
            </w:r>
            <w:r>
              <w:rPr>
                <w:rFonts w:hint="eastAsia" w:asciiTheme="minorEastAsia" w:hAnsiTheme="minorEastAsia" w:eastAsiaTheme="minorEastAsia" w:cstheme="minorEastAsia"/>
                <w:bCs/>
                <w:sz w:val="21"/>
                <w:szCs w:val="21"/>
              </w:rPr>
              <w:t>每个得</w:t>
            </w:r>
            <w:r>
              <w:rPr>
                <w:rFonts w:hint="eastAsia" w:asciiTheme="minorEastAsia" w:hAnsiTheme="minorEastAsia" w:eastAsiaTheme="minorEastAsia" w:cstheme="minorEastAsia"/>
                <w:bCs/>
                <w:sz w:val="21"/>
                <w:szCs w:val="21"/>
                <w:lang w:val="en-US" w:eastAsia="zh-CN"/>
              </w:rPr>
              <w:t>1</w:t>
            </w:r>
            <w:r>
              <w:rPr>
                <w:rFonts w:hint="eastAsia" w:asciiTheme="minorEastAsia" w:hAnsiTheme="minorEastAsia" w:eastAsiaTheme="minorEastAsia" w:cstheme="minorEastAsia"/>
                <w:bCs/>
                <w:sz w:val="21"/>
                <w:szCs w:val="21"/>
              </w:rPr>
              <w:t>分，满分</w:t>
            </w:r>
            <w:r>
              <w:rPr>
                <w:rFonts w:hint="eastAsia" w:asciiTheme="minorEastAsia" w:hAnsiTheme="minorEastAsia" w:eastAsiaTheme="minorEastAsia" w:cstheme="minorEastAsia"/>
                <w:bCs/>
                <w:sz w:val="21"/>
                <w:szCs w:val="21"/>
                <w:lang w:val="en-US" w:eastAsia="zh-CN"/>
              </w:rPr>
              <w:t>10</w:t>
            </w:r>
            <w:r>
              <w:rPr>
                <w:rFonts w:hint="eastAsia" w:asciiTheme="minorEastAsia" w:hAnsiTheme="minorEastAsia" w:eastAsiaTheme="minorEastAsia" w:cstheme="minorEastAsia"/>
                <w:bCs/>
                <w:sz w:val="21"/>
                <w:szCs w:val="21"/>
              </w:rPr>
              <w:t>分；（注：以中标</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lang w:val="en-US" w:eastAsia="zh-CN"/>
              </w:rPr>
              <w:t>成交</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通知书或采购合同复印件为准，合同需提供合同首尾页、清单页等合同关键页复印件，否则评标委员会将不予采纳）。</w:t>
            </w:r>
          </w:p>
        </w:tc>
        <w:tc>
          <w:tcPr>
            <w:tcW w:w="670" w:type="dxa"/>
            <w:noWrap w:val="0"/>
            <w:vAlign w:val="center"/>
          </w:tcPr>
          <w:p w14:paraId="5C20F73C">
            <w:pPr>
              <w:keepNext w:val="0"/>
              <w:keepLines w:val="0"/>
              <w:pageBreakBefore w:val="0"/>
              <w:widowControl/>
              <w:kinsoku/>
              <w:wordWrap/>
              <w:overflowPunct/>
              <w:topLinePunct w:val="0"/>
              <w:autoSpaceDE/>
              <w:autoSpaceDN/>
              <w:bidi w:val="0"/>
              <w:spacing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10</w:t>
            </w:r>
            <w:r>
              <w:rPr>
                <w:rFonts w:hint="eastAsia" w:asciiTheme="minorEastAsia" w:hAnsiTheme="minorEastAsia" w:eastAsiaTheme="minorEastAsia" w:cstheme="minorEastAsia"/>
                <w:color w:val="auto"/>
                <w:kern w:val="0"/>
                <w:sz w:val="21"/>
                <w:szCs w:val="21"/>
              </w:rPr>
              <w:t>分</w:t>
            </w:r>
          </w:p>
        </w:tc>
      </w:tr>
      <w:tr w14:paraId="40B5F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420" w:type="dxa"/>
            <w:gridSpan w:val="3"/>
            <w:noWrap w:val="0"/>
            <w:vAlign w:val="top"/>
          </w:tcPr>
          <w:p w14:paraId="783FC275">
            <w:pPr>
              <w:pStyle w:val="18"/>
              <w:keepNext w:val="0"/>
              <w:keepLines w:val="0"/>
              <w:pageBreakBefore w:val="0"/>
              <w:kinsoku/>
              <w:wordWrap/>
              <w:overflowPunct/>
              <w:topLinePunct w:val="0"/>
              <w:autoSpaceDE/>
              <w:autoSpaceDN/>
              <w:bidi w:val="0"/>
              <w:spacing w:line="240" w:lineRule="auto"/>
              <w:ind w:firstLine="422" w:firstLineChars="200"/>
              <w:rPr>
                <w:rFonts w:hint="eastAsia" w:asciiTheme="minorEastAsia" w:hAnsiTheme="minorEastAsia" w:eastAsiaTheme="minorEastAsia" w:cstheme="minorEastAsia"/>
                <w:b/>
                <w:bCs/>
                <w:color w:val="auto"/>
                <w:kern w:val="2"/>
                <w:sz w:val="21"/>
                <w:szCs w:val="21"/>
                <w:lang w:val="en-US" w:eastAsia="zh-CN"/>
              </w:rPr>
            </w:pPr>
            <w:r>
              <w:rPr>
                <w:rFonts w:hint="eastAsia" w:asciiTheme="minorEastAsia" w:hAnsiTheme="minorEastAsia" w:eastAsiaTheme="minorEastAsia" w:cstheme="minorEastAsia"/>
                <w:b/>
                <w:bCs/>
                <w:color w:val="auto"/>
                <w:kern w:val="2"/>
                <w:sz w:val="21"/>
                <w:szCs w:val="21"/>
                <w:lang w:val="en-US" w:eastAsia="zh-CN"/>
              </w:rPr>
              <w:t>总得分＝1＋2＋3</w:t>
            </w:r>
          </w:p>
        </w:tc>
        <w:tc>
          <w:tcPr>
            <w:tcW w:w="670" w:type="dxa"/>
            <w:noWrap w:val="0"/>
            <w:vAlign w:val="center"/>
          </w:tcPr>
          <w:p w14:paraId="1B288690">
            <w:pPr>
              <w:keepNext w:val="0"/>
              <w:keepLines w:val="0"/>
              <w:pageBreakBefore w:val="0"/>
              <w:widowControl/>
              <w:kinsoku/>
              <w:wordWrap/>
              <w:overflowPunct/>
              <w:topLinePunct w:val="0"/>
              <w:autoSpaceDE/>
              <w:autoSpaceDN/>
              <w:bidi w:val="0"/>
              <w:spacing w:line="240" w:lineRule="auto"/>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100</w:t>
            </w:r>
          </w:p>
        </w:tc>
      </w:tr>
    </w:tbl>
    <w:p w14:paraId="00084106">
      <w:pPr>
        <w:pageBreakBefore w:val="0"/>
        <w:kinsoku/>
        <w:wordWrap/>
        <w:topLinePunct w:val="0"/>
        <w:bidi w:val="0"/>
        <w:spacing w:line="312" w:lineRule="auto"/>
        <w:ind w:firstLine="420" w:firstLineChars="200"/>
        <w:rPr>
          <w:rFonts w:hint="eastAsia" w:ascii="宋体" w:hAnsi="宋体"/>
          <w:bCs/>
          <w:color w:val="auto"/>
          <w:szCs w:val="21"/>
          <w:highlight w:val="none"/>
        </w:rPr>
      </w:pPr>
    </w:p>
    <w:p w14:paraId="7A8A3981">
      <w:pPr>
        <w:pageBreakBefore w:val="0"/>
        <w:kinsoku/>
        <w:wordWrap/>
        <w:topLinePunct w:val="0"/>
        <w:bidi w:val="0"/>
        <w:spacing w:line="312" w:lineRule="auto"/>
        <w:ind w:firstLine="420" w:firstLineChars="200"/>
        <w:rPr>
          <w:rFonts w:hint="eastAsia" w:ascii="宋体" w:hAnsi="宋体"/>
          <w:color w:val="auto"/>
          <w:szCs w:val="21"/>
          <w:highlight w:val="none"/>
        </w:rPr>
      </w:pPr>
      <w:r>
        <w:rPr>
          <w:rFonts w:ascii="宋体" w:hAnsi="宋体"/>
          <w:bCs/>
          <w:color w:val="auto"/>
          <w:szCs w:val="21"/>
          <w:highlight w:val="none"/>
        </w:rPr>
        <w:t>7.</w:t>
      </w:r>
      <w:r>
        <w:rPr>
          <w:rFonts w:hint="eastAsia" w:ascii="宋体" w:hAnsi="宋体"/>
          <w:bCs/>
          <w:color w:val="auto"/>
          <w:szCs w:val="21"/>
          <w:highlight w:val="none"/>
        </w:rPr>
        <w:t>由磋商小组根据综合评分情况，按照评审得分由高到低顺序推荐3名以上成交候选供应商，并编写评审报告。符合本章第</w:t>
      </w:r>
      <w:r>
        <w:rPr>
          <w:rFonts w:ascii="宋体" w:hAnsi="宋体"/>
          <w:bCs/>
          <w:color w:val="auto"/>
          <w:szCs w:val="21"/>
          <w:highlight w:val="none"/>
        </w:rPr>
        <w:t>4.3</w:t>
      </w:r>
      <w:r>
        <w:rPr>
          <w:rFonts w:hint="eastAsia" w:ascii="宋体" w:hAnsi="宋体"/>
          <w:bCs/>
          <w:color w:val="auto"/>
          <w:szCs w:val="21"/>
          <w:highlight w:val="none"/>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w:t>
      </w:r>
      <w:r>
        <w:rPr>
          <w:rFonts w:hint="eastAsia" w:ascii="宋体" w:hAnsi="宋体"/>
          <w:bCs/>
          <w:color w:val="auto"/>
          <w:szCs w:val="21"/>
          <w:highlight w:val="none"/>
          <w:lang w:val="en-US" w:eastAsia="zh-CN"/>
        </w:rPr>
        <w:t>技术</w:t>
      </w:r>
      <w:r>
        <w:rPr>
          <w:rFonts w:hint="eastAsia" w:ascii="宋体" w:hAnsi="宋体"/>
          <w:bCs/>
          <w:color w:val="auto"/>
          <w:szCs w:val="21"/>
          <w:highlight w:val="none"/>
        </w:rPr>
        <w:t>需求偏离分由高到低排序）。评审得分、最后报价（不计算价格折扣）、技术得分、</w:t>
      </w:r>
      <w:r>
        <w:rPr>
          <w:rFonts w:hint="eastAsia" w:ascii="宋体" w:hAnsi="宋体" w:eastAsia="宋体" w:cs="仿宋_GB2312"/>
          <w:color w:val="auto"/>
          <w:kern w:val="2"/>
          <w:sz w:val="24"/>
          <w:szCs w:val="24"/>
          <w:highlight w:val="none"/>
          <w:lang w:val="en-US" w:eastAsia="zh-CN"/>
        </w:rPr>
        <w:t>技术</w:t>
      </w:r>
      <w:r>
        <w:rPr>
          <w:rFonts w:hint="eastAsia" w:ascii="宋体" w:hAnsi="宋体"/>
          <w:bCs/>
          <w:color w:val="auto"/>
          <w:szCs w:val="21"/>
          <w:highlight w:val="none"/>
        </w:rPr>
        <w:t>需求偏离分均相同的，由磋商小组随机抽取推荐。</w:t>
      </w:r>
    </w:p>
    <w:p w14:paraId="73DA1848">
      <w:pPr>
        <w:pageBreakBefore w:val="0"/>
        <w:kinsoku/>
        <w:wordWrap/>
        <w:topLinePunct w:val="0"/>
        <w:bidi w:val="0"/>
        <w:spacing w:line="312" w:lineRule="auto"/>
        <w:ind w:firstLine="420" w:firstLineChars="200"/>
        <w:rPr>
          <w:rFonts w:hint="eastAsia" w:ascii="宋体" w:hAnsi="宋体" w:cs="宋体"/>
          <w:color w:val="auto"/>
          <w:highlight w:val="none"/>
        </w:rPr>
      </w:pPr>
    </w:p>
    <w:p w14:paraId="1A67F851">
      <w:pPr>
        <w:pStyle w:val="4"/>
        <w:pageBreakBefore w:val="0"/>
        <w:kinsoku/>
        <w:wordWrap/>
        <w:topLinePunct w:val="0"/>
        <w:bidi w:val="0"/>
        <w:spacing w:line="312" w:lineRule="auto"/>
        <w:jc w:val="center"/>
        <w:outlineLvl w:val="0"/>
        <w:rPr>
          <w:rFonts w:hint="eastAsia"/>
          <w:color w:val="auto"/>
          <w:highlight w:val="none"/>
        </w:rPr>
      </w:pPr>
      <w:r>
        <w:rPr>
          <w:color w:val="auto"/>
          <w:highlight w:val="none"/>
        </w:rPr>
        <w:br w:type="page"/>
      </w:r>
      <w:bookmarkStart w:id="91" w:name="_Toc23994"/>
      <w:bookmarkStart w:id="92" w:name="_Toc15054"/>
      <w:r>
        <w:rPr>
          <w:rFonts w:hint="eastAsia"/>
          <w:color w:val="auto"/>
          <w:highlight w:val="none"/>
        </w:rPr>
        <w:t>第</w:t>
      </w:r>
      <w:r>
        <w:rPr>
          <w:rFonts w:hint="eastAsia"/>
          <w:color w:val="auto"/>
          <w:highlight w:val="none"/>
          <w:lang w:val="en-US" w:eastAsia="zh-CN"/>
        </w:rPr>
        <w:t>五</w:t>
      </w:r>
      <w:r>
        <w:rPr>
          <w:rFonts w:hint="eastAsia"/>
          <w:color w:val="auto"/>
          <w:highlight w:val="none"/>
        </w:rPr>
        <w:t>章 响应文件格式</w:t>
      </w:r>
      <w:bookmarkEnd w:id="91"/>
      <w:bookmarkEnd w:id="92"/>
    </w:p>
    <w:p w14:paraId="5361390E">
      <w:pPr>
        <w:pageBreakBefore w:val="0"/>
        <w:kinsoku/>
        <w:wordWrap/>
        <w:topLinePunct w:val="0"/>
        <w:bidi w:val="0"/>
        <w:snapToGrid w:val="0"/>
        <w:spacing w:before="120" w:beforeLines="50" w:after="50" w:line="312" w:lineRule="auto"/>
        <w:outlineLvl w:val="0"/>
        <w:rPr>
          <w:rFonts w:hint="eastAsia" w:ascii="宋体" w:hAnsi="宋体"/>
          <w:b/>
          <w:bCs/>
          <w:color w:val="auto"/>
          <w:sz w:val="32"/>
          <w:szCs w:val="32"/>
          <w:highlight w:val="none"/>
        </w:rPr>
      </w:pPr>
      <w:bookmarkStart w:id="93" w:name="_Toc44229899"/>
      <w:bookmarkStart w:id="94" w:name="_Toc35611516"/>
      <w:bookmarkStart w:id="95" w:name="_Toc31728084"/>
      <w:bookmarkStart w:id="96" w:name="_Toc31108"/>
      <w:bookmarkStart w:id="97" w:name="_Toc5378"/>
      <w:bookmarkStart w:id="98" w:name="_Toc31723070"/>
      <w:bookmarkStart w:id="99" w:name="_Toc35611438"/>
      <w:r>
        <w:rPr>
          <w:rFonts w:hint="eastAsia" w:ascii="宋体" w:hAnsi="宋体"/>
          <w:b/>
          <w:bCs/>
          <w:color w:val="auto"/>
          <w:sz w:val="32"/>
          <w:szCs w:val="32"/>
          <w:highlight w:val="none"/>
        </w:rPr>
        <w:t>一、资格证明文件格式</w:t>
      </w:r>
      <w:bookmarkEnd w:id="93"/>
      <w:bookmarkEnd w:id="94"/>
      <w:bookmarkEnd w:id="95"/>
      <w:bookmarkEnd w:id="96"/>
      <w:bookmarkEnd w:id="97"/>
      <w:bookmarkEnd w:id="98"/>
      <w:bookmarkEnd w:id="99"/>
    </w:p>
    <w:p w14:paraId="0095B1A5">
      <w:pPr>
        <w:pageBreakBefore w:val="0"/>
        <w:kinsoku/>
        <w:wordWrap/>
        <w:topLinePunct w:val="0"/>
        <w:bidi w:val="0"/>
        <w:snapToGrid w:val="0"/>
        <w:spacing w:before="120" w:beforeLines="50" w:after="50" w:line="312" w:lineRule="auto"/>
        <w:jc w:val="left"/>
        <w:outlineLvl w:val="1"/>
        <w:rPr>
          <w:rFonts w:hint="eastAsia"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788E2DEE">
      <w:pPr>
        <w:pageBreakBefore w:val="0"/>
        <w:kinsoku/>
        <w:wordWrap/>
        <w:topLinePunct w:val="0"/>
        <w:bidi w:val="0"/>
        <w:snapToGrid w:val="0"/>
        <w:spacing w:before="120" w:beforeLines="50" w:after="50" w:line="312" w:lineRule="auto"/>
        <w:rPr>
          <w:rFonts w:hint="eastAsia" w:ascii="宋体" w:hAnsi="宋体"/>
          <w:bCs/>
          <w:color w:val="auto"/>
          <w:sz w:val="32"/>
          <w:szCs w:val="20"/>
          <w:highlight w:val="none"/>
        </w:rPr>
      </w:pPr>
      <w:r>
        <w:rPr>
          <w:rFonts w:hint="eastAsia" w:ascii="宋体" w:hAnsi="宋体"/>
          <w:color w:val="auto"/>
          <w:sz w:val="24"/>
          <w:highlight w:val="none"/>
        </w:rPr>
        <w:t xml:space="preserve">                                                    </w:t>
      </w:r>
    </w:p>
    <w:p w14:paraId="2516109B">
      <w:pPr>
        <w:pageBreakBefore w:val="0"/>
        <w:kinsoku/>
        <w:wordWrap/>
        <w:topLinePunct w:val="0"/>
        <w:bidi w:val="0"/>
        <w:snapToGrid w:val="0"/>
        <w:spacing w:before="120" w:beforeLines="50" w:after="50" w:line="312" w:lineRule="auto"/>
        <w:rPr>
          <w:rFonts w:hint="eastAsia" w:ascii="宋体" w:hAnsi="宋体"/>
          <w:color w:val="auto"/>
          <w:sz w:val="24"/>
          <w:szCs w:val="20"/>
          <w:highlight w:val="none"/>
        </w:rPr>
      </w:pPr>
    </w:p>
    <w:p w14:paraId="08C71050">
      <w:pPr>
        <w:pageBreakBefore w:val="0"/>
        <w:kinsoku/>
        <w:wordWrap/>
        <w:topLinePunct w:val="0"/>
        <w:bidi w:val="0"/>
        <w:snapToGrid w:val="0"/>
        <w:spacing w:before="120" w:beforeLines="50" w:after="50" w:line="312" w:lineRule="auto"/>
        <w:rPr>
          <w:rFonts w:hint="eastAsia" w:ascii="宋体" w:hAnsi="宋体"/>
          <w:color w:val="auto"/>
          <w:sz w:val="24"/>
          <w:szCs w:val="20"/>
          <w:highlight w:val="none"/>
        </w:rPr>
      </w:pPr>
    </w:p>
    <w:p w14:paraId="76160886">
      <w:pPr>
        <w:pageBreakBefore w:val="0"/>
        <w:kinsoku/>
        <w:wordWrap/>
        <w:topLinePunct w:val="0"/>
        <w:bidi w:val="0"/>
        <w:snapToGrid w:val="0"/>
        <w:spacing w:before="120" w:beforeLines="50" w:after="50" w:line="312" w:lineRule="auto"/>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1B81BE6F">
      <w:pPr>
        <w:pageBreakBefore w:val="0"/>
        <w:kinsoku/>
        <w:wordWrap/>
        <w:topLinePunct w:val="0"/>
        <w:bidi w:val="0"/>
        <w:snapToGrid w:val="0"/>
        <w:spacing w:before="120" w:beforeLines="50" w:after="50" w:line="312" w:lineRule="auto"/>
        <w:rPr>
          <w:rFonts w:hint="eastAsia" w:ascii="宋体" w:hAnsi="宋体"/>
          <w:bCs/>
          <w:color w:val="auto"/>
          <w:sz w:val="24"/>
          <w:szCs w:val="20"/>
          <w:highlight w:val="none"/>
        </w:rPr>
      </w:pPr>
    </w:p>
    <w:p w14:paraId="051F80BD">
      <w:pPr>
        <w:pageBreakBefore w:val="0"/>
        <w:kinsoku/>
        <w:wordWrap/>
        <w:topLinePunct w:val="0"/>
        <w:bidi w:val="0"/>
        <w:snapToGrid w:val="0"/>
        <w:spacing w:before="120" w:beforeLines="50" w:after="50" w:line="312" w:lineRule="auto"/>
        <w:rPr>
          <w:rFonts w:hint="eastAsia" w:ascii="宋体" w:hAnsi="宋体"/>
          <w:bCs/>
          <w:color w:val="auto"/>
          <w:sz w:val="24"/>
          <w:szCs w:val="20"/>
          <w:highlight w:val="none"/>
        </w:rPr>
      </w:pPr>
    </w:p>
    <w:p w14:paraId="582496E6">
      <w:pPr>
        <w:pageBreakBefore w:val="0"/>
        <w:kinsoku/>
        <w:wordWrap/>
        <w:topLinePunct w:val="0"/>
        <w:bidi w:val="0"/>
        <w:snapToGrid w:val="0"/>
        <w:spacing w:before="120" w:beforeLines="50" w:after="50" w:line="312" w:lineRule="auto"/>
        <w:rPr>
          <w:rFonts w:hint="eastAsia" w:ascii="宋体" w:hAnsi="宋体"/>
          <w:bCs/>
          <w:color w:val="auto"/>
          <w:sz w:val="24"/>
          <w:szCs w:val="20"/>
          <w:highlight w:val="none"/>
        </w:rPr>
      </w:pPr>
    </w:p>
    <w:p w14:paraId="751AF78E">
      <w:pPr>
        <w:pageBreakBefore w:val="0"/>
        <w:kinsoku/>
        <w:wordWrap/>
        <w:topLinePunct w:val="0"/>
        <w:bidi w:val="0"/>
        <w:snapToGrid w:val="0"/>
        <w:spacing w:before="120" w:beforeLines="50" w:after="50" w:line="312" w:lineRule="auto"/>
        <w:rPr>
          <w:rFonts w:hint="eastAsia" w:ascii="宋体" w:hAnsi="宋体"/>
          <w:bCs/>
          <w:color w:val="auto"/>
          <w:sz w:val="24"/>
          <w:szCs w:val="20"/>
          <w:highlight w:val="none"/>
        </w:rPr>
      </w:pPr>
    </w:p>
    <w:p w14:paraId="195AF48E">
      <w:pPr>
        <w:pageBreakBefore w:val="0"/>
        <w:kinsoku/>
        <w:wordWrap/>
        <w:topLinePunct w:val="0"/>
        <w:bidi w:val="0"/>
        <w:snapToGrid w:val="0"/>
        <w:spacing w:before="120" w:beforeLines="50" w:after="50" w:line="312" w:lineRule="auto"/>
        <w:rPr>
          <w:rFonts w:hint="eastAsia" w:ascii="宋体" w:hAnsi="宋体"/>
          <w:bCs/>
          <w:color w:val="auto"/>
          <w:sz w:val="24"/>
          <w:szCs w:val="20"/>
          <w:highlight w:val="none"/>
        </w:rPr>
      </w:pPr>
    </w:p>
    <w:p w14:paraId="5534C5C7">
      <w:pPr>
        <w:pageBreakBefore w:val="0"/>
        <w:kinsoku/>
        <w:wordWrap/>
        <w:topLinePunct w:val="0"/>
        <w:bidi w:val="0"/>
        <w:snapToGrid w:val="0"/>
        <w:spacing w:before="120" w:beforeLines="50" w:after="50" w:line="312" w:lineRule="auto"/>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5D41186C">
      <w:pPr>
        <w:pageBreakBefore w:val="0"/>
        <w:kinsoku/>
        <w:wordWrap/>
        <w:topLinePunct w:val="0"/>
        <w:bidi w:val="0"/>
        <w:snapToGrid w:val="0"/>
        <w:spacing w:before="120" w:beforeLines="50" w:after="50" w:line="312" w:lineRule="auto"/>
        <w:ind w:firstLine="720" w:firstLineChars="225"/>
        <w:rPr>
          <w:rFonts w:hint="eastAsia" w:ascii="宋体" w:hAnsi="宋体" w:cs="仿宋_GB2312"/>
          <w:bCs/>
          <w:color w:val="auto"/>
          <w:sz w:val="32"/>
          <w:szCs w:val="32"/>
          <w:highlight w:val="none"/>
        </w:rPr>
      </w:pPr>
    </w:p>
    <w:p w14:paraId="5070682E">
      <w:pPr>
        <w:pageBreakBefore w:val="0"/>
        <w:kinsoku/>
        <w:wordWrap/>
        <w:topLinePunct w:val="0"/>
        <w:bidi w:val="0"/>
        <w:snapToGrid w:val="0"/>
        <w:spacing w:before="120" w:beforeLines="50" w:after="50" w:line="312" w:lineRule="auto"/>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79CE307E">
      <w:pPr>
        <w:pageBreakBefore w:val="0"/>
        <w:kinsoku/>
        <w:wordWrap/>
        <w:topLinePunct w:val="0"/>
        <w:bidi w:val="0"/>
        <w:snapToGrid w:val="0"/>
        <w:spacing w:before="120" w:beforeLines="50" w:after="50" w:line="312" w:lineRule="auto"/>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4CD2D928">
      <w:pPr>
        <w:pageBreakBefore w:val="0"/>
        <w:kinsoku/>
        <w:wordWrap/>
        <w:topLinePunct w:val="0"/>
        <w:bidi w:val="0"/>
        <w:snapToGrid w:val="0"/>
        <w:spacing w:before="120" w:beforeLines="50" w:after="50" w:line="312" w:lineRule="auto"/>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05C52184">
      <w:pPr>
        <w:pageBreakBefore w:val="0"/>
        <w:kinsoku/>
        <w:wordWrap/>
        <w:topLinePunct w:val="0"/>
        <w:bidi w:val="0"/>
        <w:snapToGrid w:val="0"/>
        <w:spacing w:before="120" w:beforeLines="50" w:after="50" w:line="312" w:lineRule="auto"/>
        <w:ind w:firstLine="720" w:firstLineChars="225"/>
        <w:rPr>
          <w:rFonts w:hint="eastAsia" w:ascii="宋体" w:hAnsi="宋体" w:cs="仿宋_GB2312"/>
          <w:bCs/>
          <w:color w:val="auto"/>
          <w:sz w:val="32"/>
          <w:szCs w:val="32"/>
          <w:highlight w:val="none"/>
        </w:rPr>
      </w:pPr>
    </w:p>
    <w:p w14:paraId="775A3290">
      <w:pPr>
        <w:pStyle w:val="8"/>
        <w:pageBreakBefore w:val="0"/>
        <w:kinsoku/>
        <w:wordWrap/>
        <w:topLinePunct w:val="0"/>
        <w:bidi w:val="0"/>
        <w:snapToGrid w:val="0"/>
        <w:spacing w:before="50" w:after="50" w:line="312" w:lineRule="auto"/>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5D49392C">
      <w:pPr>
        <w:pStyle w:val="8"/>
        <w:pageBreakBefore w:val="0"/>
        <w:kinsoku/>
        <w:wordWrap/>
        <w:topLinePunct w:val="0"/>
        <w:bidi w:val="0"/>
        <w:snapToGrid w:val="0"/>
        <w:spacing w:before="50" w:after="50" w:line="312" w:lineRule="auto"/>
        <w:ind w:firstLine="720" w:firstLineChars="225"/>
        <w:rPr>
          <w:rFonts w:hint="eastAsia" w:ascii="宋体" w:hAnsi="宋体" w:cs="仿宋_GB2312"/>
          <w:bCs/>
          <w:color w:val="auto"/>
          <w:sz w:val="32"/>
          <w:szCs w:val="32"/>
          <w:highlight w:val="none"/>
        </w:rPr>
      </w:pPr>
    </w:p>
    <w:p w14:paraId="6509CC66">
      <w:pPr>
        <w:pStyle w:val="8"/>
        <w:pageBreakBefore w:val="0"/>
        <w:kinsoku/>
        <w:wordWrap/>
        <w:topLinePunct w:val="0"/>
        <w:bidi w:val="0"/>
        <w:snapToGrid w:val="0"/>
        <w:spacing w:before="50" w:after="50" w:line="312" w:lineRule="auto"/>
        <w:ind w:firstLine="720" w:firstLineChars="225"/>
        <w:rPr>
          <w:rFonts w:hint="eastAsia" w:ascii="宋体" w:hAnsi="宋体" w:cs="仿宋_GB2312"/>
          <w:bCs/>
          <w:color w:val="auto"/>
          <w:sz w:val="32"/>
          <w:szCs w:val="32"/>
          <w:highlight w:val="none"/>
        </w:rPr>
      </w:pPr>
    </w:p>
    <w:p w14:paraId="1F26B2DD">
      <w:pPr>
        <w:pageBreakBefore w:val="0"/>
        <w:kinsoku/>
        <w:wordWrap/>
        <w:topLinePunct w:val="0"/>
        <w:bidi w:val="0"/>
        <w:snapToGrid w:val="0"/>
        <w:spacing w:before="120" w:beforeLines="50" w:after="50" w:line="312" w:lineRule="auto"/>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74965E0F">
      <w:pPr>
        <w:pageBreakBefore w:val="0"/>
        <w:kinsoku/>
        <w:wordWrap/>
        <w:topLinePunct w:val="0"/>
        <w:bidi w:val="0"/>
        <w:snapToGrid w:val="0"/>
        <w:spacing w:before="120" w:beforeLines="50" w:after="50" w:line="312" w:lineRule="auto"/>
        <w:ind w:left="142" w:leftChars="0"/>
        <w:jc w:val="left"/>
        <w:outlineLvl w:val="1"/>
        <w:rPr>
          <w:rFonts w:hint="eastAsia" w:ascii="宋体" w:hAnsi="宋体"/>
          <w:b/>
          <w:bCs/>
          <w:color w:val="auto"/>
          <w:sz w:val="30"/>
          <w:szCs w:val="30"/>
          <w:highlight w:val="none"/>
        </w:rPr>
      </w:pPr>
      <w:r>
        <w:rPr>
          <w:rFonts w:hint="eastAsia" w:ascii="宋体" w:hAnsi="宋体"/>
          <w:b/>
          <w:bCs/>
          <w:color w:val="auto"/>
          <w:sz w:val="30"/>
          <w:szCs w:val="30"/>
          <w:highlight w:val="none"/>
        </w:rPr>
        <w:t>2.资格证明文件目录</w:t>
      </w:r>
    </w:p>
    <w:p w14:paraId="1C8FF577">
      <w:pPr>
        <w:pageBreakBefore w:val="0"/>
        <w:kinsoku/>
        <w:wordWrap/>
        <w:topLinePunct w:val="0"/>
        <w:bidi w:val="0"/>
        <w:snapToGrid w:val="0"/>
        <w:spacing w:before="120" w:beforeLines="50" w:after="50" w:line="312" w:lineRule="auto"/>
        <w:ind w:firstLine="645"/>
        <w:rPr>
          <w:rFonts w:hint="eastAsia" w:ascii="宋体" w:hAnsi="宋体"/>
          <w:color w:val="auto"/>
          <w:sz w:val="30"/>
          <w:szCs w:val="30"/>
          <w:highlight w:val="none"/>
        </w:rPr>
      </w:pPr>
      <w:r>
        <w:rPr>
          <w:rFonts w:hint="eastAsia" w:ascii="宋体" w:hAnsi="宋体"/>
          <w:color w:val="auto"/>
          <w:sz w:val="30"/>
          <w:szCs w:val="30"/>
          <w:highlight w:val="none"/>
        </w:rPr>
        <w:t>根据磋商文件规定及供应商提供的材料自行编写目录（部分格式后附）。</w:t>
      </w:r>
    </w:p>
    <w:p w14:paraId="41CFB3D1">
      <w:pPr>
        <w:keepNext/>
        <w:keepLines/>
        <w:pageBreakBefore w:val="0"/>
        <w:widowControl w:val="0"/>
        <w:kinsoku/>
        <w:wordWrap/>
        <w:topLinePunct w:val="0"/>
        <w:bidi w:val="0"/>
        <w:spacing w:before="340" w:after="330" w:line="312" w:lineRule="auto"/>
        <w:jc w:val="both"/>
        <w:outlineLvl w:val="9"/>
        <w:rPr>
          <w:rFonts w:hint="eastAsia" w:ascii="宋体" w:hAnsi="宋体" w:eastAsia="宋体" w:cs="Times New Roman"/>
          <w:b/>
          <w:bCs/>
          <w:color w:val="auto"/>
          <w:kern w:val="44"/>
          <w:sz w:val="32"/>
          <w:szCs w:val="32"/>
          <w:highlight w:val="none"/>
          <w:lang w:val="en-US" w:eastAsia="zh-CN" w:bidi="ar-SA"/>
        </w:rPr>
      </w:pPr>
    </w:p>
    <w:p w14:paraId="280D5F48">
      <w:pPr>
        <w:pageBreakBefore w:val="0"/>
        <w:kinsoku/>
        <w:wordWrap/>
        <w:topLinePunct w:val="0"/>
        <w:bidi w:val="0"/>
        <w:spacing w:line="312" w:lineRule="auto"/>
        <w:rPr>
          <w:rFonts w:hint="eastAsia" w:ascii="宋体" w:hAnsi="宋体"/>
          <w:color w:val="auto"/>
          <w:sz w:val="32"/>
          <w:szCs w:val="32"/>
          <w:highlight w:val="none"/>
        </w:rPr>
      </w:pPr>
    </w:p>
    <w:p w14:paraId="55FAF899">
      <w:pPr>
        <w:keepNext/>
        <w:keepLines/>
        <w:pageBreakBefore w:val="0"/>
        <w:widowControl w:val="0"/>
        <w:kinsoku/>
        <w:wordWrap/>
        <w:topLinePunct w:val="0"/>
        <w:bidi w:val="0"/>
        <w:spacing w:before="340" w:after="330" w:line="312" w:lineRule="auto"/>
        <w:jc w:val="both"/>
        <w:outlineLvl w:val="9"/>
        <w:rPr>
          <w:rFonts w:hint="eastAsia" w:ascii="宋体" w:hAnsi="宋体" w:eastAsia="宋体" w:cs="Times New Roman"/>
          <w:b/>
          <w:bCs/>
          <w:color w:val="auto"/>
          <w:kern w:val="44"/>
          <w:sz w:val="32"/>
          <w:szCs w:val="32"/>
          <w:highlight w:val="none"/>
          <w:lang w:val="en-US" w:eastAsia="zh-CN" w:bidi="ar-SA"/>
        </w:rPr>
      </w:pPr>
    </w:p>
    <w:p w14:paraId="6D2681C1">
      <w:pPr>
        <w:pageBreakBefore w:val="0"/>
        <w:kinsoku/>
        <w:wordWrap/>
        <w:topLinePunct w:val="0"/>
        <w:bidi w:val="0"/>
        <w:spacing w:line="312" w:lineRule="auto"/>
        <w:rPr>
          <w:rFonts w:hint="eastAsia" w:ascii="宋体" w:hAnsi="宋体"/>
          <w:color w:val="auto"/>
          <w:sz w:val="32"/>
          <w:szCs w:val="32"/>
          <w:highlight w:val="none"/>
        </w:rPr>
      </w:pPr>
    </w:p>
    <w:p w14:paraId="76B16E11">
      <w:pPr>
        <w:keepNext/>
        <w:keepLines/>
        <w:pageBreakBefore w:val="0"/>
        <w:widowControl w:val="0"/>
        <w:kinsoku/>
        <w:wordWrap/>
        <w:topLinePunct w:val="0"/>
        <w:bidi w:val="0"/>
        <w:spacing w:before="340" w:after="330" w:line="312" w:lineRule="auto"/>
        <w:jc w:val="both"/>
        <w:outlineLvl w:val="9"/>
        <w:rPr>
          <w:rFonts w:hint="eastAsia" w:ascii="宋体" w:hAnsi="宋体" w:eastAsia="宋体" w:cs="Times New Roman"/>
          <w:b/>
          <w:bCs/>
          <w:color w:val="auto"/>
          <w:kern w:val="44"/>
          <w:sz w:val="32"/>
          <w:szCs w:val="32"/>
          <w:highlight w:val="none"/>
          <w:lang w:val="en-US" w:eastAsia="zh-CN" w:bidi="ar-SA"/>
        </w:rPr>
      </w:pPr>
    </w:p>
    <w:p w14:paraId="465CAB95">
      <w:pPr>
        <w:pageBreakBefore w:val="0"/>
        <w:kinsoku/>
        <w:wordWrap/>
        <w:topLinePunct w:val="0"/>
        <w:bidi w:val="0"/>
        <w:spacing w:line="312" w:lineRule="auto"/>
        <w:rPr>
          <w:rFonts w:hint="eastAsia" w:ascii="宋体" w:hAnsi="宋体"/>
          <w:color w:val="auto"/>
          <w:sz w:val="32"/>
          <w:szCs w:val="32"/>
          <w:highlight w:val="none"/>
        </w:rPr>
      </w:pPr>
    </w:p>
    <w:p w14:paraId="2BB901B9">
      <w:pPr>
        <w:keepNext/>
        <w:keepLines/>
        <w:pageBreakBefore w:val="0"/>
        <w:widowControl w:val="0"/>
        <w:kinsoku/>
        <w:wordWrap/>
        <w:topLinePunct w:val="0"/>
        <w:bidi w:val="0"/>
        <w:spacing w:before="340" w:after="330" w:line="312" w:lineRule="auto"/>
        <w:jc w:val="both"/>
        <w:outlineLvl w:val="9"/>
        <w:rPr>
          <w:rFonts w:hint="eastAsia" w:ascii="宋体" w:hAnsi="宋体" w:eastAsia="宋体" w:cs="Times New Roman"/>
          <w:b/>
          <w:bCs/>
          <w:color w:val="auto"/>
          <w:kern w:val="44"/>
          <w:sz w:val="32"/>
          <w:szCs w:val="32"/>
          <w:highlight w:val="none"/>
          <w:lang w:val="en-US" w:eastAsia="zh-CN" w:bidi="ar-SA"/>
        </w:rPr>
      </w:pPr>
    </w:p>
    <w:p w14:paraId="617D5BF3">
      <w:pPr>
        <w:rPr>
          <w:rFonts w:hint="eastAsia" w:ascii="宋体" w:hAnsi="宋体"/>
          <w:color w:val="auto"/>
          <w:sz w:val="32"/>
          <w:szCs w:val="32"/>
          <w:highlight w:val="none"/>
        </w:rPr>
      </w:pPr>
    </w:p>
    <w:p w14:paraId="3CFAA1C6">
      <w:pPr>
        <w:pStyle w:val="8"/>
        <w:rPr>
          <w:rFonts w:hint="eastAsia" w:ascii="宋体" w:hAnsi="宋体"/>
          <w:color w:val="auto"/>
          <w:sz w:val="32"/>
          <w:szCs w:val="32"/>
          <w:highlight w:val="none"/>
        </w:rPr>
      </w:pPr>
    </w:p>
    <w:p w14:paraId="2B6DD04D">
      <w:pPr>
        <w:pStyle w:val="8"/>
        <w:rPr>
          <w:rFonts w:hint="eastAsia" w:ascii="宋体" w:hAnsi="宋体"/>
          <w:color w:val="auto"/>
          <w:sz w:val="32"/>
          <w:szCs w:val="32"/>
          <w:highlight w:val="none"/>
        </w:rPr>
      </w:pPr>
    </w:p>
    <w:p w14:paraId="421D7AFC">
      <w:pPr>
        <w:pStyle w:val="8"/>
        <w:rPr>
          <w:rFonts w:hint="eastAsia" w:ascii="宋体" w:hAnsi="宋体"/>
          <w:color w:val="auto"/>
          <w:sz w:val="32"/>
          <w:szCs w:val="32"/>
          <w:highlight w:val="none"/>
        </w:rPr>
      </w:pPr>
    </w:p>
    <w:p w14:paraId="3C3320D8">
      <w:pPr>
        <w:pStyle w:val="8"/>
        <w:rPr>
          <w:rFonts w:hint="eastAsia" w:ascii="宋体" w:hAnsi="宋体"/>
          <w:color w:val="auto"/>
          <w:sz w:val="32"/>
          <w:szCs w:val="32"/>
          <w:highlight w:val="none"/>
        </w:rPr>
      </w:pPr>
    </w:p>
    <w:p w14:paraId="5B8A7C83">
      <w:pPr>
        <w:pageBreakBefore w:val="0"/>
        <w:kinsoku/>
        <w:wordWrap/>
        <w:topLinePunct w:val="0"/>
        <w:bidi w:val="0"/>
        <w:spacing w:line="312" w:lineRule="auto"/>
        <w:rPr>
          <w:rFonts w:hint="eastAsia" w:ascii="宋体" w:hAnsi="宋体"/>
          <w:color w:val="auto"/>
          <w:sz w:val="32"/>
          <w:szCs w:val="32"/>
          <w:highlight w:val="none"/>
        </w:rPr>
      </w:pPr>
    </w:p>
    <w:p w14:paraId="22832D91">
      <w:pPr>
        <w:keepNext/>
        <w:keepLines/>
        <w:pageBreakBefore w:val="0"/>
        <w:widowControl w:val="0"/>
        <w:kinsoku/>
        <w:wordWrap/>
        <w:topLinePunct w:val="0"/>
        <w:bidi w:val="0"/>
        <w:spacing w:before="340" w:after="330" w:line="312" w:lineRule="auto"/>
        <w:jc w:val="both"/>
        <w:outlineLvl w:val="9"/>
        <w:rPr>
          <w:rFonts w:hint="eastAsia" w:ascii="宋体" w:hAnsi="宋体" w:eastAsia="宋体" w:cs="Times New Roman"/>
          <w:b/>
          <w:bCs/>
          <w:color w:val="auto"/>
          <w:kern w:val="44"/>
          <w:sz w:val="32"/>
          <w:szCs w:val="32"/>
          <w:highlight w:val="none"/>
          <w:lang w:val="en-US" w:eastAsia="zh-CN" w:bidi="ar-SA"/>
        </w:rPr>
      </w:pPr>
    </w:p>
    <w:p w14:paraId="3F9040FF">
      <w:pPr>
        <w:pageBreakBefore w:val="0"/>
        <w:kinsoku/>
        <w:wordWrap/>
        <w:topLinePunct w:val="0"/>
        <w:bidi w:val="0"/>
        <w:spacing w:line="312" w:lineRule="auto"/>
        <w:rPr>
          <w:rFonts w:hint="eastAsia" w:ascii="宋体" w:hAnsi="宋体"/>
          <w:color w:val="auto"/>
          <w:sz w:val="32"/>
          <w:szCs w:val="32"/>
          <w:highlight w:val="none"/>
        </w:rPr>
      </w:pPr>
    </w:p>
    <w:p w14:paraId="0480BABD">
      <w:pPr>
        <w:pStyle w:val="3"/>
        <w:spacing w:before="156" w:beforeLines="50" w:line="360" w:lineRule="exact"/>
        <w:jc w:val="center"/>
        <w:outlineLvl w:val="2"/>
        <w:rPr>
          <w:rFonts w:hint="eastAsia" w:ascii="宋体" w:hAnsi="宋体" w:cs="宋体"/>
          <w:color w:val="auto"/>
          <w:sz w:val="30"/>
          <w:szCs w:val="30"/>
        </w:rPr>
      </w:pPr>
      <w:bookmarkStart w:id="100" w:name="_Toc18624"/>
      <w:bookmarkStart w:id="101" w:name="_Toc361842862"/>
      <w:bookmarkStart w:id="102" w:name="_Toc403396862"/>
      <w:bookmarkStart w:id="103" w:name="_Toc4866"/>
      <w:bookmarkStart w:id="104" w:name="_Toc20210534"/>
      <w:r>
        <w:rPr>
          <w:rFonts w:hint="eastAsia" w:ascii="宋体" w:hAnsi="宋体" w:cs="宋体"/>
          <w:color w:val="auto"/>
          <w:sz w:val="30"/>
          <w:szCs w:val="30"/>
        </w:rPr>
        <w:t>（</w:t>
      </w:r>
      <w:r>
        <w:rPr>
          <w:rFonts w:hint="eastAsia" w:ascii="宋体" w:hAnsi="宋体" w:cs="宋体"/>
          <w:color w:val="auto"/>
          <w:sz w:val="30"/>
          <w:szCs w:val="30"/>
          <w:highlight w:val="none"/>
          <w:lang w:val="en-US" w:eastAsia="zh-CN"/>
        </w:rPr>
        <w:t>一</w:t>
      </w:r>
      <w:r>
        <w:rPr>
          <w:rFonts w:hint="eastAsia" w:ascii="宋体" w:hAnsi="宋体" w:cs="宋体"/>
          <w:color w:val="auto"/>
          <w:sz w:val="30"/>
          <w:szCs w:val="30"/>
        </w:rPr>
        <w:t>）</w:t>
      </w:r>
      <w:r>
        <w:rPr>
          <w:rFonts w:hint="eastAsia" w:ascii="宋体" w:hAnsi="宋体" w:cs="宋体"/>
          <w:color w:val="auto"/>
          <w:kern w:val="0"/>
          <w:sz w:val="30"/>
          <w:szCs w:val="30"/>
        </w:rPr>
        <w:t>法定代表人身份证明或附有法定代表人身份证明的授权委托书</w:t>
      </w:r>
      <w:bookmarkEnd w:id="100"/>
      <w:bookmarkEnd w:id="101"/>
      <w:bookmarkEnd w:id="102"/>
      <w:bookmarkEnd w:id="103"/>
      <w:bookmarkEnd w:id="104"/>
    </w:p>
    <w:p w14:paraId="247C0884">
      <w:pPr>
        <w:pStyle w:val="3"/>
        <w:spacing w:before="312" w:beforeLines="100" w:after="468" w:afterLines="150" w:line="360" w:lineRule="exact"/>
        <w:jc w:val="center"/>
        <w:outlineLvl w:val="3"/>
        <w:rPr>
          <w:rFonts w:hint="eastAsia" w:ascii="宋体" w:hAnsi="宋体" w:cs="宋体"/>
          <w:color w:val="auto"/>
          <w:sz w:val="28"/>
          <w:szCs w:val="28"/>
        </w:rPr>
      </w:pPr>
      <w:bookmarkStart w:id="105" w:name="_Toc20210535"/>
      <w:bookmarkStart w:id="106" w:name="_Toc234382962"/>
      <w:bookmarkStart w:id="107" w:name="_Toc27506"/>
      <w:bookmarkStart w:id="108" w:name="_Toc361842863"/>
      <w:bookmarkStart w:id="109" w:name="_Toc403396863"/>
      <w:r>
        <w:rPr>
          <w:rFonts w:hint="eastAsia" w:ascii="宋体" w:hAnsi="宋体" w:cs="宋体"/>
          <w:color w:val="auto"/>
          <w:sz w:val="28"/>
          <w:szCs w:val="28"/>
        </w:rPr>
        <w:t>1、法定代表人身份证明</w:t>
      </w:r>
      <w:bookmarkEnd w:id="105"/>
      <w:bookmarkEnd w:id="106"/>
      <w:bookmarkEnd w:id="107"/>
      <w:bookmarkEnd w:id="108"/>
      <w:bookmarkEnd w:id="109"/>
    </w:p>
    <w:p w14:paraId="6E68A14F">
      <w:pPr>
        <w:rPr>
          <w:rFonts w:hint="eastAsia" w:ascii="宋体" w:hAnsi="宋体" w:cs="宋体"/>
          <w:color w:val="auto"/>
          <w:sz w:val="24"/>
        </w:rPr>
      </w:pPr>
    </w:p>
    <w:p w14:paraId="1464B316">
      <w:pPr>
        <w:rPr>
          <w:rFonts w:hint="eastAsia" w:ascii="宋体" w:hAnsi="宋体" w:cs="宋体"/>
          <w:color w:val="auto"/>
          <w:sz w:val="24"/>
        </w:rPr>
      </w:pPr>
    </w:p>
    <w:p w14:paraId="58B54F9F">
      <w:pPr>
        <w:spacing w:line="500" w:lineRule="exact"/>
        <w:rPr>
          <w:rFonts w:hint="eastAsia" w:ascii="宋体" w:hAnsi="宋体" w:cs="宋体"/>
          <w:color w:val="auto"/>
          <w:sz w:val="21"/>
          <w:szCs w:val="21"/>
        </w:rPr>
      </w:pPr>
      <w:r>
        <w:rPr>
          <w:rFonts w:hint="eastAsia" w:ascii="宋体" w:hAnsi="宋体" w:cs="宋体"/>
          <w:color w:val="auto"/>
          <w:sz w:val="21"/>
          <w:szCs w:val="21"/>
          <w:lang w:eastAsia="zh-CN"/>
        </w:rPr>
        <w:t>供应商</w:t>
      </w:r>
      <w:r>
        <w:rPr>
          <w:rFonts w:hint="eastAsia" w:ascii="宋体" w:hAnsi="宋体" w:cs="宋体"/>
          <w:color w:val="auto"/>
          <w:sz w:val="21"/>
          <w:szCs w:val="21"/>
        </w:rPr>
        <w:t>名称：</w:t>
      </w:r>
      <w:r>
        <w:rPr>
          <w:rFonts w:hint="eastAsia" w:ascii="宋体" w:hAnsi="宋体" w:cs="宋体"/>
          <w:color w:val="auto"/>
          <w:sz w:val="21"/>
          <w:szCs w:val="21"/>
          <w:u w:val="single"/>
        </w:rPr>
        <w:t xml:space="preserve">                        </w:t>
      </w:r>
    </w:p>
    <w:p w14:paraId="71186092">
      <w:pPr>
        <w:spacing w:line="500" w:lineRule="exact"/>
        <w:rPr>
          <w:rFonts w:hint="eastAsia" w:ascii="宋体" w:hAnsi="宋体" w:cs="宋体"/>
          <w:color w:val="auto"/>
          <w:sz w:val="21"/>
          <w:szCs w:val="21"/>
          <w:u w:val="single"/>
        </w:rPr>
      </w:pPr>
      <w:r>
        <w:rPr>
          <w:rFonts w:hint="eastAsia" w:ascii="宋体" w:hAnsi="宋体" w:cs="宋体"/>
          <w:color w:val="auto"/>
          <w:spacing w:val="40"/>
          <w:kern w:val="0"/>
          <w:sz w:val="21"/>
          <w:szCs w:val="21"/>
        </w:rPr>
        <w:t>单位性</w:t>
      </w:r>
      <w:r>
        <w:rPr>
          <w:rFonts w:hint="eastAsia" w:ascii="宋体" w:hAnsi="宋体" w:cs="宋体"/>
          <w:color w:val="auto"/>
          <w:kern w:val="0"/>
          <w:sz w:val="21"/>
          <w:szCs w:val="21"/>
        </w:rPr>
        <w:t>质</w:t>
      </w:r>
      <w:r>
        <w:rPr>
          <w:rFonts w:hint="eastAsia" w:ascii="宋体" w:hAnsi="宋体" w:cs="宋体"/>
          <w:color w:val="auto"/>
          <w:sz w:val="21"/>
          <w:szCs w:val="21"/>
        </w:rPr>
        <w:t>：</w:t>
      </w:r>
      <w:r>
        <w:rPr>
          <w:rFonts w:hint="eastAsia" w:ascii="宋体" w:hAnsi="宋体" w:cs="宋体"/>
          <w:color w:val="auto"/>
          <w:sz w:val="21"/>
          <w:szCs w:val="21"/>
          <w:u w:val="single"/>
        </w:rPr>
        <w:t xml:space="preserve">                        </w:t>
      </w:r>
    </w:p>
    <w:p w14:paraId="2F9D0B44">
      <w:pPr>
        <w:spacing w:line="500" w:lineRule="exact"/>
        <w:rPr>
          <w:rFonts w:hint="eastAsia" w:ascii="宋体" w:hAnsi="宋体" w:cs="宋体"/>
          <w:color w:val="auto"/>
          <w:sz w:val="21"/>
          <w:szCs w:val="21"/>
        </w:rPr>
      </w:pPr>
      <w:r>
        <w:rPr>
          <w:rFonts w:hint="eastAsia" w:ascii="宋体" w:hAnsi="宋体" w:cs="宋体"/>
          <w:color w:val="auto"/>
          <w:spacing w:val="360"/>
          <w:kern w:val="0"/>
          <w:sz w:val="21"/>
          <w:szCs w:val="21"/>
        </w:rPr>
        <w:t>地</w:t>
      </w:r>
      <w:r>
        <w:rPr>
          <w:rFonts w:hint="eastAsia" w:ascii="宋体" w:hAnsi="宋体" w:cs="宋体"/>
          <w:color w:val="auto"/>
          <w:kern w:val="0"/>
          <w:sz w:val="21"/>
          <w:szCs w:val="21"/>
        </w:rPr>
        <w:t>址</w:t>
      </w:r>
      <w:r>
        <w:rPr>
          <w:rFonts w:hint="eastAsia" w:ascii="宋体" w:hAnsi="宋体" w:cs="宋体"/>
          <w:color w:val="auto"/>
          <w:sz w:val="21"/>
          <w:szCs w:val="21"/>
        </w:rPr>
        <w:t>：</w:t>
      </w:r>
      <w:r>
        <w:rPr>
          <w:rFonts w:hint="eastAsia" w:ascii="宋体" w:hAnsi="宋体" w:cs="宋体"/>
          <w:color w:val="auto"/>
          <w:sz w:val="21"/>
          <w:szCs w:val="21"/>
          <w:u w:val="single"/>
        </w:rPr>
        <w:t xml:space="preserve">                        </w:t>
      </w:r>
    </w:p>
    <w:p w14:paraId="4A3A08F9">
      <w:pPr>
        <w:spacing w:line="500" w:lineRule="exact"/>
        <w:rPr>
          <w:rFonts w:hint="eastAsia" w:ascii="宋体" w:hAnsi="宋体" w:cs="宋体"/>
          <w:color w:val="auto"/>
          <w:sz w:val="21"/>
          <w:szCs w:val="21"/>
        </w:rPr>
      </w:pPr>
      <w:r>
        <w:rPr>
          <w:rFonts w:hint="eastAsia" w:ascii="宋体" w:hAnsi="宋体" w:cs="宋体"/>
          <w:color w:val="auto"/>
          <w:sz w:val="21"/>
          <w:szCs w:val="21"/>
        </w:rPr>
        <w:t>成立时间：</w:t>
      </w:r>
      <w:r>
        <w:rPr>
          <w:rFonts w:hint="eastAsia" w:ascii="宋体" w:hAnsi="宋体" w:cs="宋体"/>
          <w:color w:val="auto"/>
          <w:sz w:val="21"/>
          <w:szCs w:val="21"/>
          <w:u w:val="single"/>
        </w:rPr>
        <w:t xml:space="preserve">        </w:t>
      </w:r>
      <w:r>
        <w:rPr>
          <w:rFonts w:hint="eastAsia" w:ascii="宋体" w:hAnsi="宋体" w:cs="宋体"/>
          <w:color w:val="auto"/>
          <w:sz w:val="21"/>
          <w:szCs w:val="21"/>
        </w:rPr>
        <w:t>年</w:t>
      </w:r>
      <w:r>
        <w:rPr>
          <w:rFonts w:hint="eastAsia" w:ascii="宋体" w:hAnsi="宋体" w:cs="宋体"/>
          <w:color w:val="auto"/>
          <w:sz w:val="21"/>
          <w:szCs w:val="21"/>
          <w:u w:val="single"/>
        </w:rPr>
        <w:t xml:space="preserve">      </w:t>
      </w:r>
      <w:r>
        <w:rPr>
          <w:rFonts w:hint="eastAsia" w:ascii="宋体" w:hAnsi="宋体" w:cs="宋体"/>
          <w:color w:val="auto"/>
          <w:sz w:val="21"/>
          <w:szCs w:val="21"/>
        </w:rPr>
        <w:t>月</w:t>
      </w:r>
      <w:r>
        <w:rPr>
          <w:rFonts w:hint="eastAsia" w:ascii="宋体" w:hAnsi="宋体" w:cs="宋体"/>
          <w:color w:val="auto"/>
          <w:sz w:val="21"/>
          <w:szCs w:val="21"/>
          <w:u w:val="single"/>
        </w:rPr>
        <w:t xml:space="preserve">      </w:t>
      </w:r>
      <w:r>
        <w:rPr>
          <w:rFonts w:hint="eastAsia" w:ascii="宋体" w:hAnsi="宋体" w:cs="宋体"/>
          <w:color w:val="auto"/>
          <w:sz w:val="21"/>
          <w:szCs w:val="21"/>
        </w:rPr>
        <w:t>日</w:t>
      </w:r>
    </w:p>
    <w:p w14:paraId="2DD5E114">
      <w:pPr>
        <w:spacing w:line="500" w:lineRule="exact"/>
        <w:rPr>
          <w:rFonts w:hint="eastAsia" w:ascii="宋体" w:hAnsi="宋体" w:cs="宋体"/>
          <w:color w:val="auto"/>
          <w:sz w:val="21"/>
          <w:szCs w:val="21"/>
        </w:rPr>
      </w:pPr>
      <w:r>
        <w:rPr>
          <w:rFonts w:hint="eastAsia" w:ascii="宋体" w:hAnsi="宋体" w:cs="宋体"/>
          <w:color w:val="auto"/>
          <w:sz w:val="21"/>
          <w:szCs w:val="21"/>
        </w:rPr>
        <w:t>经营期限：</w:t>
      </w:r>
      <w:r>
        <w:rPr>
          <w:rFonts w:hint="eastAsia" w:ascii="宋体" w:hAnsi="宋体" w:cs="宋体"/>
          <w:color w:val="auto"/>
          <w:sz w:val="21"/>
          <w:szCs w:val="21"/>
          <w:u w:val="single"/>
        </w:rPr>
        <w:t xml:space="preserve">          </w:t>
      </w:r>
    </w:p>
    <w:p w14:paraId="384387DE">
      <w:pPr>
        <w:spacing w:line="500" w:lineRule="exact"/>
        <w:rPr>
          <w:rFonts w:hint="eastAsia" w:ascii="宋体" w:hAnsi="宋体" w:cs="宋体"/>
          <w:color w:val="auto"/>
          <w:sz w:val="21"/>
          <w:szCs w:val="21"/>
        </w:rPr>
      </w:pPr>
      <w:r>
        <w:rPr>
          <w:rFonts w:hint="eastAsia" w:ascii="宋体" w:hAnsi="宋体" w:cs="宋体"/>
          <w:color w:val="auto"/>
          <w:sz w:val="21"/>
          <w:szCs w:val="21"/>
        </w:rPr>
        <w:t>姓名：</w:t>
      </w:r>
      <w:r>
        <w:rPr>
          <w:rFonts w:hint="eastAsia" w:ascii="宋体" w:hAnsi="宋体" w:cs="宋体"/>
          <w:color w:val="auto"/>
          <w:sz w:val="21"/>
          <w:szCs w:val="21"/>
          <w:u w:val="single"/>
        </w:rPr>
        <w:t xml:space="preserve"> （法定代表人亲笔签名） </w:t>
      </w:r>
      <w:r>
        <w:rPr>
          <w:rFonts w:hint="eastAsia" w:ascii="宋体" w:hAnsi="宋体" w:cs="宋体"/>
          <w:color w:val="auto"/>
          <w:sz w:val="21"/>
          <w:szCs w:val="21"/>
        </w:rPr>
        <w:t xml:space="preserve">  性别：</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年龄：</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职务：</w:t>
      </w:r>
      <w:r>
        <w:rPr>
          <w:rFonts w:hint="eastAsia" w:ascii="宋体" w:hAnsi="宋体" w:cs="宋体"/>
          <w:color w:val="auto"/>
          <w:sz w:val="21"/>
          <w:szCs w:val="21"/>
          <w:u w:val="single"/>
        </w:rPr>
        <w:t xml:space="preserve">        </w:t>
      </w:r>
    </w:p>
    <w:p w14:paraId="393D160D">
      <w:pPr>
        <w:spacing w:line="500" w:lineRule="exact"/>
        <w:rPr>
          <w:rFonts w:hint="eastAsia" w:ascii="宋体" w:hAnsi="宋体" w:cs="宋体"/>
          <w:color w:val="auto"/>
          <w:sz w:val="21"/>
          <w:szCs w:val="21"/>
        </w:rPr>
      </w:pPr>
      <w:r>
        <w:rPr>
          <w:rFonts w:hint="eastAsia" w:ascii="宋体" w:hAnsi="宋体" w:cs="宋体"/>
          <w:color w:val="auto"/>
          <w:sz w:val="21"/>
          <w:szCs w:val="21"/>
        </w:rPr>
        <w:t>系</w:t>
      </w:r>
      <w:r>
        <w:rPr>
          <w:rFonts w:hint="eastAsia" w:ascii="宋体" w:hAnsi="宋体" w:cs="宋体"/>
          <w:color w:val="auto"/>
          <w:sz w:val="21"/>
          <w:szCs w:val="21"/>
          <w:u w:val="single"/>
        </w:rPr>
        <w:t xml:space="preserve">                   </w:t>
      </w:r>
      <w:r>
        <w:rPr>
          <w:rFonts w:hint="eastAsia" w:ascii="宋体" w:hAnsi="宋体" w:cs="宋体"/>
          <w:color w:val="auto"/>
          <w:sz w:val="21"/>
          <w:szCs w:val="21"/>
        </w:rPr>
        <w:t>（</w:t>
      </w:r>
      <w:r>
        <w:rPr>
          <w:rFonts w:hint="eastAsia" w:ascii="宋体" w:hAnsi="宋体" w:cs="宋体"/>
          <w:color w:val="auto"/>
          <w:sz w:val="21"/>
          <w:szCs w:val="21"/>
          <w:lang w:eastAsia="zh-CN"/>
        </w:rPr>
        <w:t>供应商</w:t>
      </w:r>
      <w:r>
        <w:rPr>
          <w:rFonts w:hint="eastAsia" w:ascii="宋体" w:hAnsi="宋体" w:cs="宋体"/>
          <w:color w:val="auto"/>
          <w:sz w:val="21"/>
          <w:szCs w:val="21"/>
        </w:rPr>
        <w:t>名称）的法定代表人。</w:t>
      </w:r>
    </w:p>
    <w:p w14:paraId="29289A06">
      <w:pPr>
        <w:spacing w:line="500" w:lineRule="exact"/>
        <w:ind w:firstLine="420" w:firstLineChars="200"/>
        <w:rPr>
          <w:rFonts w:hint="eastAsia" w:ascii="宋体" w:hAnsi="宋体" w:cs="宋体"/>
          <w:color w:val="auto"/>
          <w:sz w:val="21"/>
          <w:szCs w:val="21"/>
        </w:rPr>
      </w:pPr>
    </w:p>
    <w:p w14:paraId="1B54644B">
      <w:pPr>
        <w:spacing w:line="50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特此证明。</w:t>
      </w:r>
    </w:p>
    <w:p w14:paraId="21DAA4F9">
      <w:pPr>
        <w:spacing w:line="500" w:lineRule="exact"/>
        <w:rPr>
          <w:rFonts w:hint="eastAsia" w:ascii="宋体" w:hAnsi="宋体" w:cs="宋体"/>
          <w:color w:val="auto"/>
          <w:sz w:val="21"/>
          <w:szCs w:val="21"/>
        </w:rPr>
      </w:pPr>
    </w:p>
    <w:p w14:paraId="2A9A4916">
      <w:pPr>
        <w:spacing w:line="500" w:lineRule="exact"/>
        <w:rPr>
          <w:rFonts w:hint="eastAsia" w:ascii="宋体" w:hAnsi="宋体" w:cs="宋体"/>
          <w:color w:val="auto"/>
          <w:sz w:val="21"/>
          <w:szCs w:val="21"/>
        </w:rPr>
      </w:pPr>
    </w:p>
    <w:p w14:paraId="2DF6EAD4">
      <w:pPr>
        <w:spacing w:line="500" w:lineRule="exact"/>
        <w:rPr>
          <w:rFonts w:hint="eastAsia" w:ascii="宋体" w:hAnsi="宋体" w:cs="宋体"/>
          <w:color w:val="auto"/>
          <w:sz w:val="21"/>
          <w:szCs w:val="21"/>
        </w:rPr>
      </w:pPr>
      <w:r>
        <w:rPr>
          <w:rFonts w:hint="eastAsia" w:ascii="宋体" w:hAnsi="宋体" w:cs="宋体"/>
          <w:color w:val="auto"/>
          <w:sz w:val="21"/>
          <w:szCs w:val="21"/>
        </w:rPr>
        <w:t xml:space="preserve">                             </w:t>
      </w:r>
      <w:r>
        <w:rPr>
          <w:rFonts w:hint="eastAsia" w:ascii="宋体" w:hAnsi="宋体" w:cs="宋体"/>
          <w:color w:val="auto"/>
          <w:sz w:val="21"/>
          <w:szCs w:val="21"/>
          <w:lang w:eastAsia="zh-CN"/>
        </w:rPr>
        <w:t>供应商</w:t>
      </w:r>
      <w:r>
        <w:rPr>
          <w:rFonts w:hint="eastAsia" w:ascii="宋体" w:hAnsi="宋体" w:cs="宋体"/>
          <w:color w:val="auto"/>
          <w:sz w:val="21"/>
          <w:szCs w:val="21"/>
        </w:rPr>
        <w:t>：</w:t>
      </w:r>
      <w:r>
        <w:rPr>
          <w:rFonts w:hint="eastAsia" w:ascii="宋体" w:hAnsi="宋体" w:cs="宋体"/>
          <w:color w:val="auto"/>
          <w:sz w:val="21"/>
          <w:szCs w:val="21"/>
          <w:u w:val="single"/>
        </w:rPr>
        <w:t xml:space="preserve">              </w:t>
      </w:r>
      <w:r>
        <w:rPr>
          <w:rFonts w:hint="eastAsia" w:ascii="宋体" w:hAnsi="宋体" w:cs="宋体"/>
          <w:color w:val="auto"/>
          <w:sz w:val="21"/>
          <w:szCs w:val="21"/>
        </w:rPr>
        <w:t>（</w:t>
      </w:r>
      <w:r>
        <w:rPr>
          <w:rFonts w:hint="eastAsia" w:ascii="宋体" w:hAnsi="宋体" w:cs="宋体"/>
          <w:color w:val="auto"/>
          <w:sz w:val="21"/>
          <w:szCs w:val="21"/>
          <w:lang w:eastAsia="zh-CN"/>
        </w:rPr>
        <w:t>CA电子签章</w:t>
      </w:r>
      <w:r>
        <w:rPr>
          <w:rFonts w:hint="eastAsia" w:ascii="宋体" w:hAnsi="宋体" w:cs="宋体"/>
          <w:color w:val="auto"/>
          <w:sz w:val="21"/>
          <w:szCs w:val="21"/>
        </w:rPr>
        <w:t>）</w:t>
      </w:r>
    </w:p>
    <w:p w14:paraId="0B38F02A">
      <w:pPr>
        <w:spacing w:line="500" w:lineRule="exact"/>
        <w:rPr>
          <w:rFonts w:hint="eastAsia" w:ascii="宋体" w:hAnsi="宋体" w:cs="宋体"/>
          <w:color w:val="auto"/>
          <w:sz w:val="21"/>
          <w:szCs w:val="21"/>
        </w:rPr>
      </w:pPr>
    </w:p>
    <w:p w14:paraId="5FEC6E80">
      <w:pPr>
        <w:spacing w:line="400" w:lineRule="exact"/>
        <w:rPr>
          <w:rFonts w:hint="eastAsia" w:ascii="宋体" w:hAnsi="宋体" w:cs="宋体"/>
          <w:color w:val="auto"/>
          <w:sz w:val="21"/>
          <w:szCs w:val="21"/>
        </w:rPr>
      </w:pPr>
      <w:r>
        <w:rPr>
          <w:rFonts w:hint="eastAsia" w:ascii="宋体" w:hAnsi="宋体" w:cs="宋体"/>
          <w:color w:val="auto"/>
          <w:sz w:val="21"/>
          <w:szCs w:val="21"/>
        </w:rPr>
        <w:t xml:space="preserve">                                         </w:t>
      </w:r>
      <w:r>
        <w:rPr>
          <w:rFonts w:hint="eastAsia" w:ascii="宋体" w:hAnsi="宋体" w:cs="宋体"/>
          <w:color w:val="auto"/>
          <w:sz w:val="21"/>
          <w:szCs w:val="21"/>
          <w:u w:val="single"/>
        </w:rPr>
        <w:t xml:space="preserve">      </w:t>
      </w:r>
      <w:r>
        <w:rPr>
          <w:rFonts w:hint="eastAsia" w:ascii="宋体" w:hAnsi="宋体" w:cs="宋体"/>
          <w:color w:val="auto"/>
          <w:sz w:val="21"/>
          <w:szCs w:val="21"/>
        </w:rPr>
        <w:t>年</w:t>
      </w:r>
      <w:r>
        <w:rPr>
          <w:rFonts w:hint="eastAsia" w:ascii="宋体" w:hAnsi="宋体" w:cs="宋体"/>
          <w:color w:val="auto"/>
          <w:sz w:val="21"/>
          <w:szCs w:val="21"/>
          <w:u w:val="single"/>
        </w:rPr>
        <w:t xml:space="preserve">    </w:t>
      </w:r>
      <w:r>
        <w:rPr>
          <w:rFonts w:hint="eastAsia" w:ascii="宋体" w:hAnsi="宋体" w:cs="宋体"/>
          <w:color w:val="auto"/>
          <w:sz w:val="21"/>
          <w:szCs w:val="21"/>
        </w:rPr>
        <w:t>月</w:t>
      </w:r>
      <w:r>
        <w:rPr>
          <w:rFonts w:hint="eastAsia" w:ascii="宋体" w:hAnsi="宋体" w:cs="宋体"/>
          <w:color w:val="auto"/>
          <w:sz w:val="21"/>
          <w:szCs w:val="21"/>
          <w:u w:val="single"/>
        </w:rPr>
        <w:t xml:space="preserve">    </w:t>
      </w:r>
      <w:r>
        <w:rPr>
          <w:rFonts w:hint="eastAsia" w:ascii="宋体" w:hAnsi="宋体" w:cs="宋体"/>
          <w:color w:val="auto"/>
          <w:sz w:val="21"/>
          <w:szCs w:val="21"/>
        </w:rPr>
        <w:t>日</w:t>
      </w:r>
    </w:p>
    <w:p w14:paraId="2FE81465">
      <w:pPr>
        <w:spacing w:line="400" w:lineRule="exact"/>
        <w:rPr>
          <w:rFonts w:hint="eastAsia" w:ascii="宋体" w:hAnsi="宋体" w:cs="宋体"/>
          <w:color w:val="auto"/>
          <w:sz w:val="24"/>
        </w:rPr>
      </w:pPr>
    </w:p>
    <w:p w14:paraId="441CB500">
      <w:pPr>
        <w:rPr>
          <w:rFonts w:hint="eastAsia" w:ascii="宋体" w:hAnsi="宋体" w:cs="宋体"/>
          <w:color w:val="auto"/>
          <w:sz w:val="24"/>
        </w:rPr>
      </w:pPr>
    </w:p>
    <w:p w14:paraId="1B595E4A">
      <w:pPr>
        <w:rPr>
          <w:rFonts w:hint="eastAsia" w:ascii="宋体" w:hAnsi="宋体" w:cs="宋体"/>
          <w:color w:val="auto"/>
          <w:sz w:val="24"/>
        </w:rPr>
      </w:pPr>
    </w:p>
    <w:p w14:paraId="20BC0380">
      <w:pPr>
        <w:rPr>
          <w:rFonts w:hint="eastAsia" w:ascii="宋体" w:hAnsi="宋体" w:cs="宋体"/>
          <w:color w:val="auto"/>
          <w:sz w:val="24"/>
        </w:rPr>
      </w:pPr>
    </w:p>
    <w:p w14:paraId="1B3A16B8">
      <w:pPr>
        <w:rPr>
          <w:rFonts w:hint="eastAsia" w:ascii="宋体" w:hAnsi="宋体" w:cs="宋体"/>
          <w:color w:val="auto"/>
          <w:sz w:val="24"/>
        </w:rPr>
      </w:pPr>
      <w:r>
        <w:rPr>
          <w:rFonts w:hint="eastAsia" w:ascii="宋体" w:hAnsi="宋体" w:cs="宋体"/>
          <w:color w:val="auto"/>
          <w:sz w:val="24"/>
        </w:rPr>
        <w:t>注：法定代表人的签字必须是亲笔签名，不得使用印章、签名章或其他电子制版签名，否则投标无效。</w:t>
      </w:r>
    </w:p>
    <w:p w14:paraId="3AA7A018">
      <w:pPr>
        <w:rPr>
          <w:rFonts w:hint="eastAsia" w:ascii="宋体" w:hAnsi="宋体" w:cs="宋体"/>
          <w:color w:val="auto"/>
          <w:sz w:val="24"/>
        </w:rPr>
      </w:pPr>
    </w:p>
    <w:p w14:paraId="16654AC9">
      <w:pPr>
        <w:jc w:val="center"/>
        <w:rPr>
          <w:rFonts w:hint="eastAsia" w:ascii="宋体" w:hAnsi="宋体" w:cs="宋体"/>
          <w:color w:val="auto"/>
          <w:sz w:val="24"/>
        </w:rPr>
      </w:pPr>
    </w:p>
    <w:p w14:paraId="668087B6">
      <w:pPr>
        <w:jc w:val="center"/>
        <w:rPr>
          <w:rFonts w:hint="eastAsia" w:ascii="宋体" w:hAnsi="宋体" w:cs="宋体"/>
          <w:color w:val="auto"/>
          <w:sz w:val="24"/>
        </w:rPr>
      </w:pPr>
    </w:p>
    <w:p w14:paraId="3F8AC193">
      <w:pPr>
        <w:jc w:val="center"/>
        <w:rPr>
          <w:rFonts w:hint="eastAsia" w:ascii="宋体" w:hAnsi="宋体" w:cs="宋体"/>
          <w:color w:val="auto"/>
          <w:sz w:val="24"/>
        </w:rPr>
      </w:pPr>
    </w:p>
    <w:p w14:paraId="79EC6F14">
      <w:pPr>
        <w:jc w:val="center"/>
        <w:rPr>
          <w:rFonts w:hint="eastAsia" w:ascii="宋体" w:hAnsi="宋体" w:cs="宋体"/>
          <w:color w:val="auto"/>
          <w:sz w:val="24"/>
        </w:rPr>
      </w:pPr>
    </w:p>
    <w:p w14:paraId="028B187D">
      <w:pPr>
        <w:jc w:val="center"/>
        <w:rPr>
          <w:rFonts w:hint="eastAsia" w:ascii="宋体" w:hAnsi="宋体" w:cs="宋体"/>
          <w:color w:val="auto"/>
          <w:sz w:val="24"/>
        </w:rPr>
      </w:pPr>
    </w:p>
    <w:p w14:paraId="220C6810">
      <w:pPr>
        <w:jc w:val="center"/>
        <w:rPr>
          <w:rFonts w:hint="eastAsia" w:ascii="宋体" w:hAnsi="宋体" w:cs="宋体"/>
          <w:color w:val="auto"/>
          <w:sz w:val="24"/>
        </w:rPr>
      </w:pPr>
    </w:p>
    <w:p w14:paraId="1F6E7443">
      <w:pPr>
        <w:jc w:val="center"/>
        <w:rPr>
          <w:rFonts w:hint="eastAsia" w:ascii="宋体" w:hAnsi="宋体" w:cs="宋体"/>
          <w:color w:val="auto"/>
          <w:sz w:val="24"/>
        </w:rPr>
      </w:pPr>
    </w:p>
    <w:p w14:paraId="0603FB85">
      <w:pPr>
        <w:rPr>
          <w:rFonts w:hint="eastAsia" w:ascii="宋体" w:hAnsi="宋体" w:cs="宋体"/>
          <w:color w:val="auto"/>
          <w:sz w:val="24"/>
        </w:rPr>
      </w:pPr>
    </w:p>
    <w:p w14:paraId="31498D8C">
      <w:pPr>
        <w:jc w:val="center"/>
        <w:outlineLvl w:val="3"/>
        <w:rPr>
          <w:rFonts w:hint="eastAsia" w:ascii="宋体" w:hAnsi="宋体" w:cs="宋体"/>
          <w:b/>
          <w:color w:val="auto"/>
          <w:sz w:val="32"/>
          <w:szCs w:val="32"/>
        </w:rPr>
      </w:pPr>
      <w:r>
        <w:rPr>
          <w:rFonts w:hint="eastAsia" w:ascii="宋体" w:hAnsi="宋体" w:cs="宋体"/>
          <w:b/>
          <w:bCs/>
          <w:color w:val="auto"/>
          <w:kern w:val="44"/>
          <w:sz w:val="28"/>
          <w:szCs w:val="28"/>
        </w:rPr>
        <w:t>2、授权委托书</w:t>
      </w:r>
    </w:p>
    <w:p w14:paraId="394F1C43">
      <w:pPr>
        <w:spacing w:line="500" w:lineRule="exact"/>
        <w:rPr>
          <w:rFonts w:hint="eastAsia" w:ascii="宋体" w:hAnsi="宋体" w:cs="宋体"/>
          <w:color w:val="auto"/>
          <w:sz w:val="24"/>
        </w:rPr>
      </w:pPr>
    </w:p>
    <w:p w14:paraId="639355D0">
      <w:pPr>
        <w:spacing w:line="50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本人</w:t>
      </w:r>
      <w:r>
        <w:rPr>
          <w:rFonts w:hint="eastAsia" w:ascii="宋体" w:hAnsi="宋体" w:cs="宋体"/>
          <w:color w:val="auto"/>
          <w:sz w:val="21"/>
          <w:szCs w:val="21"/>
          <w:u w:val="single"/>
        </w:rPr>
        <w:t xml:space="preserve">        </w:t>
      </w:r>
      <w:r>
        <w:rPr>
          <w:rFonts w:hint="eastAsia" w:ascii="宋体" w:hAnsi="宋体" w:cs="宋体"/>
          <w:color w:val="auto"/>
          <w:sz w:val="21"/>
          <w:szCs w:val="21"/>
        </w:rPr>
        <w:t>（姓名）系</w:t>
      </w:r>
      <w:r>
        <w:rPr>
          <w:rFonts w:hint="eastAsia" w:ascii="宋体" w:hAnsi="宋体" w:cs="宋体"/>
          <w:color w:val="auto"/>
          <w:sz w:val="21"/>
          <w:szCs w:val="21"/>
          <w:u w:val="single"/>
        </w:rPr>
        <w:t xml:space="preserve">                          </w:t>
      </w:r>
      <w:r>
        <w:rPr>
          <w:rFonts w:hint="eastAsia" w:ascii="宋体" w:hAnsi="宋体" w:cs="宋体"/>
          <w:color w:val="auto"/>
          <w:sz w:val="21"/>
          <w:szCs w:val="21"/>
        </w:rPr>
        <w:t>（</w:t>
      </w:r>
      <w:r>
        <w:rPr>
          <w:rFonts w:hint="eastAsia" w:ascii="宋体" w:hAnsi="宋体" w:cs="宋体"/>
          <w:color w:val="auto"/>
          <w:sz w:val="21"/>
          <w:szCs w:val="21"/>
          <w:lang w:eastAsia="zh-CN"/>
        </w:rPr>
        <w:t>供应商</w:t>
      </w:r>
      <w:r>
        <w:rPr>
          <w:rFonts w:hint="eastAsia" w:ascii="宋体" w:hAnsi="宋体" w:cs="宋体"/>
          <w:color w:val="auto"/>
          <w:sz w:val="21"/>
          <w:szCs w:val="21"/>
        </w:rPr>
        <w:t>名称）的法定代表人，现委托</w:t>
      </w:r>
      <w:r>
        <w:rPr>
          <w:rFonts w:hint="eastAsia" w:ascii="宋体" w:hAnsi="宋体" w:cs="宋体"/>
          <w:color w:val="auto"/>
          <w:sz w:val="21"/>
          <w:szCs w:val="21"/>
          <w:u w:val="single"/>
        </w:rPr>
        <w:t xml:space="preserve">   </w:t>
      </w:r>
      <w:r>
        <w:rPr>
          <w:rFonts w:hint="eastAsia" w:ascii="宋体" w:hAnsi="宋体" w:cs="宋体"/>
          <w:color w:val="auto"/>
          <w:sz w:val="21"/>
          <w:szCs w:val="21"/>
        </w:rPr>
        <w:t>（姓名）为我方代理人。代理人根据授权，以我方名义签署、澄清、递交、撤回、修改</w:t>
      </w:r>
      <w:r>
        <w:rPr>
          <w:rFonts w:hint="eastAsia" w:ascii="宋体" w:hAnsi="宋体" w:cs="宋体"/>
          <w:color w:val="auto"/>
          <w:sz w:val="21"/>
          <w:szCs w:val="21"/>
          <w:u w:val="single"/>
        </w:rPr>
        <w:t xml:space="preserve">                  </w:t>
      </w:r>
      <w:r>
        <w:rPr>
          <w:rFonts w:hint="eastAsia" w:ascii="宋体" w:hAnsi="宋体" w:cs="宋体"/>
          <w:color w:val="auto"/>
          <w:sz w:val="21"/>
          <w:szCs w:val="21"/>
        </w:rPr>
        <w:t>（项目名称）施工</w:t>
      </w:r>
      <w:r>
        <w:rPr>
          <w:rFonts w:hint="eastAsia" w:ascii="宋体" w:hAnsi="宋体" w:cs="宋体"/>
          <w:color w:val="auto"/>
          <w:sz w:val="21"/>
          <w:szCs w:val="21"/>
          <w:lang w:eastAsia="zh-CN"/>
        </w:rPr>
        <w:t>响应文件</w:t>
      </w:r>
      <w:r>
        <w:rPr>
          <w:rFonts w:hint="eastAsia" w:ascii="宋体" w:hAnsi="宋体" w:cs="宋体"/>
          <w:color w:val="auto"/>
          <w:sz w:val="21"/>
          <w:szCs w:val="21"/>
        </w:rPr>
        <w:t>、签订合同和处理有关事宜，其法律后果由我方承担。</w:t>
      </w:r>
    </w:p>
    <w:p w14:paraId="1D393D54">
      <w:pPr>
        <w:spacing w:line="50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委托期限：</w:t>
      </w:r>
      <w:r>
        <w:rPr>
          <w:rFonts w:hint="eastAsia" w:ascii="宋体" w:hAnsi="宋体" w:cs="宋体"/>
          <w:color w:val="auto"/>
          <w:sz w:val="21"/>
          <w:szCs w:val="21"/>
          <w:u w:val="single"/>
        </w:rPr>
        <w:t xml:space="preserve">          </w:t>
      </w:r>
      <w:r>
        <w:rPr>
          <w:rFonts w:hint="eastAsia" w:ascii="宋体" w:hAnsi="宋体" w:cs="宋体"/>
          <w:color w:val="auto"/>
          <w:sz w:val="21"/>
          <w:szCs w:val="21"/>
        </w:rPr>
        <w:t>。</w:t>
      </w:r>
    </w:p>
    <w:p w14:paraId="0DE6D3D4">
      <w:pPr>
        <w:spacing w:line="50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 xml:space="preserve">代理人无转委托权。 </w:t>
      </w:r>
    </w:p>
    <w:p w14:paraId="16E1C3DE">
      <w:pPr>
        <w:spacing w:line="50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附：法定代表人身份证明</w:t>
      </w:r>
    </w:p>
    <w:p w14:paraId="7244B862">
      <w:pPr>
        <w:spacing w:line="500" w:lineRule="exact"/>
        <w:rPr>
          <w:rFonts w:hint="eastAsia" w:ascii="宋体" w:hAnsi="宋体" w:cs="宋体"/>
          <w:color w:val="auto"/>
          <w:sz w:val="21"/>
          <w:szCs w:val="21"/>
        </w:rPr>
      </w:pPr>
    </w:p>
    <w:p w14:paraId="5941E520">
      <w:pPr>
        <w:spacing w:line="500" w:lineRule="exact"/>
        <w:rPr>
          <w:rFonts w:hint="eastAsia" w:ascii="宋体" w:hAnsi="宋体" w:cs="宋体"/>
          <w:color w:val="auto"/>
          <w:sz w:val="21"/>
          <w:szCs w:val="21"/>
        </w:rPr>
      </w:pPr>
    </w:p>
    <w:p w14:paraId="7710BFC1">
      <w:pPr>
        <w:spacing w:line="500" w:lineRule="exact"/>
        <w:rPr>
          <w:rFonts w:hint="eastAsia" w:ascii="宋体" w:hAnsi="宋体" w:cs="宋体"/>
          <w:color w:val="auto"/>
          <w:sz w:val="21"/>
          <w:szCs w:val="21"/>
        </w:rPr>
      </w:pPr>
      <w:r>
        <w:rPr>
          <w:rFonts w:hint="eastAsia" w:ascii="宋体" w:hAnsi="宋体" w:cs="宋体"/>
          <w:color w:val="auto"/>
          <w:sz w:val="21"/>
          <w:szCs w:val="21"/>
        </w:rPr>
        <w:t xml:space="preserve">                                </w:t>
      </w:r>
      <w:r>
        <w:rPr>
          <w:rFonts w:hint="eastAsia" w:ascii="宋体" w:hAnsi="宋体" w:cs="宋体"/>
          <w:color w:val="auto"/>
          <w:spacing w:val="121"/>
          <w:kern w:val="0"/>
          <w:sz w:val="21"/>
          <w:szCs w:val="21"/>
        </w:rPr>
        <w:t>申请</w:t>
      </w:r>
      <w:r>
        <w:rPr>
          <w:rFonts w:hint="eastAsia" w:ascii="宋体" w:hAnsi="宋体" w:cs="宋体"/>
          <w:color w:val="auto"/>
          <w:spacing w:val="-1"/>
          <w:kern w:val="0"/>
          <w:sz w:val="21"/>
          <w:szCs w:val="21"/>
        </w:rPr>
        <w:t>人</w:t>
      </w:r>
      <w:r>
        <w:rPr>
          <w:rFonts w:hint="eastAsia" w:ascii="宋体" w:hAnsi="宋体" w:cs="宋体"/>
          <w:color w:val="auto"/>
          <w:sz w:val="21"/>
          <w:szCs w:val="21"/>
        </w:rPr>
        <w:t>：</w:t>
      </w:r>
      <w:r>
        <w:rPr>
          <w:rFonts w:hint="eastAsia" w:ascii="宋体" w:hAnsi="宋体" w:cs="宋体"/>
          <w:color w:val="auto"/>
          <w:sz w:val="21"/>
          <w:szCs w:val="21"/>
          <w:u w:val="single"/>
        </w:rPr>
        <w:t xml:space="preserve">                </w:t>
      </w:r>
      <w:r>
        <w:rPr>
          <w:rFonts w:hint="eastAsia" w:ascii="宋体" w:hAnsi="宋体" w:cs="宋体"/>
          <w:color w:val="auto"/>
          <w:sz w:val="21"/>
          <w:szCs w:val="21"/>
        </w:rPr>
        <w:t>（</w:t>
      </w:r>
      <w:r>
        <w:rPr>
          <w:rFonts w:hint="eastAsia" w:ascii="宋体" w:hAnsi="宋体" w:cs="宋体"/>
          <w:color w:val="auto"/>
          <w:sz w:val="21"/>
          <w:szCs w:val="21"/>
          <w:lang w:eastAsia="zh-CN"/>
        </w:rPr>
        <w:t>CA电子签章</w:t>
      </w:r>
      <w:r>
        <w:rPr>
          <w:rFonts w:hint="eastAsia" w:ascii="宋体" w:hAnsi="宋体" w:cs="宋体"/>
          <w:color w:val="auto"/>
          <w:sz w:val="21"/>
          <w:szCs w:val="21"/>
        </w:rPr>
        <w:t>）</w:t>
      </w:r>
    </w:p>
    <w:p w14:paraId="0C938B13">
      <w:pPr>
        <w:spacing w:line="500" w:lineRule="exact"/>
        <w:rPr>
          <w:rFonts w:hint="eastAsia" w:ascii="宋体" w:hAnsi="宋体" w:cs="宋体"/>
          <w:color w:val="auto"/>
          <w:sz w:val="21"/>
          <w:szCs w:val="21"/>
        </w:rPr>
      </w:pPr>
      <w:r>
        <w:rPr>
          <w:rFonts w:hint="eastAsia" w:ascii="宋体" w:hAnsi="宋体" w:cs="宋体"/>
          <w:color w:val="auto"/>
          <w:sz w:val="21"/>
          <w:szCs w:val="21"/>
        </w:rPr>
        <w:t xml:space="preserve">                                法定代表人：</w:t>
      </w:r>
      <w:r>
        <w:rPr>
          <w:rFonts w:hint="eastAsia" w:ascii="宋体" w:hAnsi="宋体" w:cs="宋体"/>
          <w:color w:val="auto"/>
          <w:sz w:val="21"/>
          <w:szCs w:val="21"/>
          <w:u w:val="single"/>
        </w:rPr>
        <w:t xml:space="preserve">                    </w:t>
      </w:r>
      <w:r>
        <w:rPr>
          <w:rFonts w:hint="eastAsia" w:ascii="宋体" w:hAnsi="宋体" w:cs="宋体"/>
          <w:color w:val="auto"/>
          <w:sz w:val="21"/>
          <w:szCs w:val="21"/>
        </w:rPr>
        <w:t>（签字</w:t>
      </w:r>
      <w:r>
        <w:rPr>
          <w:rFonts w:hint="eastAsia" w:ascii="宋体" w:hAnsi="宋体" w:cs="宋体"/>
          <w:color w:val="auto"/>
          <w:sz w:val="21"/>
          <w:szCs w:val="21"/>
          <w:lang w:val="en-US" w:eastAsia="zh-CN"/>
        </w:rPr>
        <w:t>或电子签名</w:t>
      </w:r>
      <w:r>
        <w:rPr>
          <w:rFonts w:hint="eastAsia" w:ascii="宋体" w:hAnsi="宋体" w:cs="宋体"/>
          <w:color w:val="auto"/>
          <w:sz w:val="21"/>
          <w:szCs w:val="21"/>
        </w:rPr>
        <w:t>）</w:t>
      </w:r>
    </w:p>
    <w:p w14:paraId="7C11E5E7">
      <w:pPr>
        <w:spacing w:line="500" w:lineRule="exact"/>
        <w:rPr>
          <w:rFonts w:hint="eastAsia" w:ascii="宋体" w:hAnsi="宋体" w:cs="宋体"/>
          <w:color w:val="auto"/>
          <w:sz w:val="21"/>
          <w:szCs w:val="21"/>
        </w:rPr>
      </w:pPr>
      <w:r>
        <w:rPr>
          <w:rFonts w:hint="eastAsia" w:ascii="宋体" w:hAnsi="宋体" w:cs="宋体"/>
          <w:color w:val="auto"/>
          <w:sz w:val="21"/>
          <w:szCs w:val="21"/>
        </w:rPr>
        <w:t xml:space="preserve">                                身份证号码：</w:t>
      </w:r>
      <w:r>
        <w:rPr>
          <w:rFonts w:hint="eastAsia" w:ascii="宋体" w:hAnsi="宋体" w:cs="宋体"/>
          <w:color w:val="auto"/>
          <w:sz w:val="21"/>
          <w:szCs w:val="21"/>
          <w:u w:val="single"/>
        </w:rPr>
        <w:t xml:space="preserve">                           </w:t>
      </w:r>
    </w:p>
    <w:p w14:paraId="39895C38">
      <w:pPr>
        <w:spacing w:line="500" w:lineRule="exact"/>
        <w:rPr>
          <w:rFonts w:hint="eastAsia" w:ascii="宋体" w:hAnsi="宋体" w:cs="宋体"/>
          <w:color w:val="auto"/>
          <w:sz w:val="21"/>
          <w:szCs w:val="21"/>
        </w:rPr>
      </w:pPr>
      <w:r>
        <w:rPr>
          <w:rFonts w:hint="eastAsia" w:ascii="宋体" w:hAnsi="宋体" w:cs="宋体"/>
          <w:color w:val="auto"/>
          <w:sz w:val="21"/>
          <w:szCs w:val="21"/>
        </w:rPr>
        <w:t xml:space="preserve">                                委托代理人：</w:t>
      </w:r>
      <w:r>
        <w:rPr>
          <w:rFonts w:hint="eastAsia" w:ascii="宋体" w:hAnsi="宋体" w:cs="宋体"/>
          <w:color w:val="auto"/>
          <w:sz w:val="21"/>
          <w:szCs w:val="21"/>
          <w:u w:val="single"/>
        </w:rPr>
        <w:t xml:space="preserve">                    </w:t>
      </w:r>
      <w:r>
        <w:rPr>
          <w:rFonts w:hint="eastAsia" w:ascii="宋体" w:hAnsi="宋体" w:cs="宋体"/>
          <w:color w:val="auto"/>
          <w:sz w:val="21"/>
          <w:szCs w:val="21"/>
        </w:rPr>
        <w:t>（签字</w:t>
      </w:r>
      <w:r>
        <w:rPr>
          <w:rFonts w:hint="eastAsia" w:ascii="宋体" w:hAnsi="宋体" w:cs="宋体"/>
          <w:color w:val="auto"/>
          <w:sz w:val="21"/>
          <w:szCs w:val="21"/>
          <w:lang w:val="en-US" w:eastAsia="zh-CN"/>
        </w:rPr>
        <w:t>或电子签名</w:t>
      </w:r>
      <w:r>
        <w:rPr>
          <w:rFonts w:hint="eastAsia" w:ascii="宋体" w:hAnsi="宋体" w:cs="宋体"/>
          <w:color w:val="auto"/>
          <w:sz w:val="21"/>
          <w:szCs w:val="21"/>
        </w:rPr>
        <w:t>）</w:t>
      </w:r>
    </w:p>
    <w:p w14:paraId="62482169">
      <w:pPr>
        <w:spacing w:line="500" w:lineRule="exact"/>
        <w:rPr>
          <w:rFonts w:hint="eastAsia" w:ascii="宋体" w:hAnsi="宋体" w:cs="宋体"/>
          <w:color w:val="auto"/>
          <w:sz w:val="21"/>
          <w:szCs w:val="21"/>
        </w:rPr>
      </w:pPr>
      <w:r>
        <w:rPr>
          <w:rFonts w:hint="eastAsia" w:ascii="宋体" w:hAnsi="宋体" w:cs="宋体"/>
          <w:color w:val="auto"/>
          <w:sz w:val="21"/>
          <w:szCs w:val="21"/>
        </w:rPr>
        <w:t xml:space="preserve">                                身份证号码：</w:t>
      </w:r>
      <w:r>
        <w:rPr>
          <w:rFonts w:hint="eastAsia" w:ascii="宋体" w:hAnsi="宋体" w:cs="宋体"/>
          <w:color w:val="auto"/>
          <w:sz w:val="21"/>
          <w:szCs w:val="21"/>
          <w:u w:val="single"/>
        </w:rPr>
        <w:t xml:space="preserve">                           </w:t>
      </w:r>
    </w:p>
    <w:p w14:paraId="73AC785C">
      <w:pPr>
        <w:spacing w:line="500" w:lineRule="exact"/>
        <w:rPr>
          <w:rFonts w:hint="eastAsia" w:ascii="宋体" w:hAnsi="宋体" w:cs="宋体"/>
          <w:color w:val="auto"/>
          <w:sz w:val="21"/>
          <w:szCs w:val="21"/>
        </w:rPr>
      </w:pPr>
    </w:p>
    <w:p w14:paraId="4CBE36A4">
      <w:pPr>
        <w:spacing w:line="500" w:lineRule="exact"/>
        <w:rPr>
          <w:rFonts w:hint="eastAsia" w:ascii="宋体" w:hAnsi="宋体" w:cs="宋体"/>
          <w:color w:val="auto"/>
          <w:sz w:val="21"/>
          <w:szCs w:val="21"/>
        </w:rPr>
      </w:pPr>
      <w:r>
        <w:rPr>
          <w:rFonts w:hint="eastAsia" w:ascii="宋体" w:hAnsi="宋体" w:cs="宋体"/>
          <w:color w:val="auto"/>
          <w:sz w:val="21"/>
          <w:szCs w:val="21"/>
        </w:rPr>
        <w:t xml:space="preserve">                                              </w:t>
      </w:r>
      <w:r>
        <w:rPr>
          <w:rFonts w:hint="eastAsia" w:ascii="宋体" w:hAnsi="宋体" w:cs="宋体"/>
          <w:color w:val="auto"/>
          <w:sz w:val="21"/>
          <w:szCs w:val="21"/>
          <w:u w:val="single"/>
        </w:rPr>
        <w:t xml:space="preserve">       </w:t>
      </w:r>
      <w:r>
        <w:rPr>
          <w:rFonts w:hint="eastAsia" w:ascii="宋体" w:hAnsi="宋体" w:cs="宋体"/>
          <w:color w:val="auto"/>
          <w:sz w:val="21"/>
          <w:szCs w:val="21"/>
        </w:rPr>
        <w:t>年</w:t>
      </w:r>
      <w:r>
        <w:rPr>
          <w:rFonts w:hint="eastAsia" w:ascii="宋体" w:hAnsi="宋体" w:cs="宋体"/>
          <w:color w:val="auto"/>
          <w:sz w:val="21"/>
          <w:szCs w:val="21"/>
          <w:u w:val="single"/>
        </w:rPr>
        <w:t xml:space="preserve">    </w:t>
      </w:r>
      <w:r>
        <w:rPr>
          <w:rFonts w:hint="eastAsia" w:ascii="宋体" w:hAnsi="宋体" w:cs="宋体"/>
          <w:color w:val="auto"/>
          <w:sz w:val="21"/>
          <w:szCs w:val="21"/>
        </w:rPr>
        <w:t>月</w:t>
      </w:r>
      <w:r>
        <w:rPr>
          <w:rFonts w:hint="eastAsia" w:ascii="宋体" w:hAnsi="宋体" w:cs="宋体"/>
          <w:color w:val="auto"/>
          <w:sz w:val="21"/>
          <w:szCs w:val="21"/>
          <w:u w:val="single"/>
        </w:rPr>
        <w:t xml:space="preserve">    </w:t>
      </w:r>
      <w:r>
        <w:rPr>
          <w:rFonts w:hint="eastAsia" w:ascii="宋体" w:hAnsi="宋体" w:cs="宋体"/>
          <w:color w:val="auto"/>
          <w:sz w:val="21"/>
          <w:szCs w:val="21"/>
        </w:rPr>
        <w:t>日</w:t>
      </w:r>
    </w:p>
    <w:p w14:paraId="6C19E6DE">
      <w:pPr>
        <w:spacing w:line="500" w:lineRule="exact"/>
        <w:rPr>
          <w:rFonts w:hint="eastAsia" w:ascii="宋体" w:hAnsi="宋体" w:cs="宋体"/>
          <w:color w:val="auto"/>
          <w:sz w:val="21"/>
          <w:szCs w:val="21"/>
        </w:rPr>
      </w:pPr>
    </w:p>
    <w:p w14:paraId="2F0AEC98">
      <w:pPr>
        <w:rPr>
          <w:rFonts w:hint="eastAsia" w:ascii="宋体" w:hAnsi="宋体" w:cs="宋体"/>
          <w:color w:val="auto"/>
          <w:sz w:val="21"/>
          <w:szCs w:val="21"/>
        </w:rPr>
      </w:pPr>
    </w:p>
    <w:p w14:paraId="039A625E">
      <w:pPr>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注：法定代表人和委托代理人必须在授权书上亲笔签名，不得使用印章、签名章或其他电子制版签名，否则投标无效。</w:t>
      </w:r>
    </w:p>
    <w:p w14:paraId="769DB5D7">
      <w:pPr>
        <w:spacing w:line="320" w:lineRule="exact"/>
        <w:jc w:val="center"/>
        <w:rPr>
          <w:rFonts w:hint="eastAsia" w:ascii="微软雅黑" w:hAnsi="微软雅黑" w:eastAsia="微软雅黑" w:cs="微软雅黑"/>
          <w:b/>
          <w:color w:val="auto"/>
          <w:sz w:val="28"/>
          <w:szCs w:val="28"/>
          <w:highlight w:val="none"/>
        </w:rPr>
      </w:pPr>
      <w:r>
        <w:rPr>
          <w:rFonts w:hint="eastAsia" w:ascii="宋体" w:hAnsi="宋体" w:cs="宋体"/>
          <w:color w:val="auto"/>
          <w:sz w:val="24"/>
        </w:rPr>
        <w:br w:type="page"/>
      </w:r>
      <w:r>
        <w:rPr>
          <w:rFonts w:hint="eastAsia" w:ascii="微软雅黑" w:hAnsi="微软雅黑" w:eastAsia="微软雅黑" w:cs="微软雅黑"/>
          <w:b/>
          <w:color w:val="auto"/>
          <w:sz w:val="28"/>
          <w:szCs w:val="28"/>
          <w:highlight w:val="none"/>
        </w:rPr>
        <w:t>供应商直接控股、管理关系信息表</w:t>
      </w:r>
    </w:p>
    <w:p w14:paraId="2801C909">
      <w:pPr>
        <w:snapToGrid w:val="0"/>
        <w:spacing w:before="120" w:beforeLines="50" w:after="50" w:line="360" w:lineRule="auto"/>
        <w:jc w:val="center"/>
        <w:rPr>
          <w:rFonts w:hint="eastAsia" w:ascii="微软雅黑" w:hAnsi="微软雅黑" w:eastAsia="微软雅黑" w:cs="微软雅黑"/>
          <w:b/>
          <w:color w:val="auto"/>
          <w:sz w:val="24"/>
          <w:highlight w:val="none"/>
        </w:rPr>
      </w:pPr>
    </w:p>
    <w:p w14:paraId="774F98B7">
      <w:pPr>
        <w:spacing w:line="360" w:lineRule="auto"/>
        <w:contextualSpacing/>
        <w:jc w:val="center"/>
        <w:rPr>
          <w:rFonts w:hint="eastAsia" w:ascii="微软雅黑" w:hAnsi="微软雅黑" w:eastAsia="微软雅黑" w:cs="微软雅黑"/>
          <w:b/>
          <w:color w:val="auto"/>
          <w:sz w:val="28"/>
          <w:szCs w:val="28"/>
          <w:highlight w:val="none"/>
        </w:rPr>
      </w:pPr>
      <w:r>
        <w:rPr>
          <w:rFonts w:hint="eastAsia" w:ascii="微软雅黑" w:hAnsi="微软雅黑" w:eastAsia="微软雅黑" w:cs="微软雅黑"/>
          <w:b/>
          <w:color w:val="auto"/>
          <w:sz w:val="28"/>
          <w:szCs w:val="28"/>
          <w:highlight w:val="none"/>
        </w:rPr>
        <w:t>供应商直接控股股东信息表</w:t>
      </w:r>
    </w:p>
    <w:p w14:paraId="7F305AA7">
      <w:pPr>
        <w:spacing w:line="360" w:lineRule="auto"/>
        <w:contextualSpacing/>
        <w:jc w:val="center"/>
        <w:rPr>
          <w:rFonts w:hint="eastAsia" w:ascii="微软雅黑" w:hAnsi="微软雅黑" w:eastAsia="微软雅黑" w:cs="微软雅黑"/>
          <w:b/>
          <w:color w:val="auto"/>
          <w:sz w:val="24"/>
          <w:highlight w:val="none"/>
        </w:rPr>
      </w:pPr>
    </w:p>
    <w:tbl>
      <w:tblPr>
        <w:tblStyle w:val="2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E529C28">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3776D1">
            <w:pPr>
              <w:widowControl/>
              <w:spacing w:line="360" w:lineRule="auto"/>
              <w:contextualSpacing/>
              <w:jc w:val="center"/>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bCs/>
                <w:color w:val="auto"/>
                <w:kern w:val="0"/>
                <w:sz w:val="21"/>
                <w:szCs w:val="21"/>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7CFCAB">
            <w:pPr>
              <w:widowControl/>
              <w:spacing w:line="360" w:lineRule="auto"/>
              <w:contextualSpacing/>
              <w:jc w:val="center"/>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bCs/>
                <w:color w:val="auto"/>
                <w:kern w:val="0"/>
                <w:sz w:val="21"/>
                <w:szCs w:val="21"/>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1875E8">
            <w:pPr>
              <w:widowControl/>
              <w:spacing w:line="360" w:lineRule="auto"/>
              <w:contextualSpacing/>
              <w:jc w:val="center"/>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bCs/>
                <w:color w:val="auto"/>
                <w:kern w:val="0"/>
                <w:sz w:val="21"/>
                <w:szCs w:val="21"/>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1D9247">
            <w:pPr>
              <w:widowControl/>
              <w:spacing w:line="360" w:lineRule="auto"/>
              <w:contextualSpacing/>
              <w:jc w:val="center"/>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bCs/>
                <w:color w:val="auto"/>
                <w:kern w:val="0"/>
                <w:sz w:val="21"/>
                <w:szCs w:val="21"/>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578AAC">
            <w:pPr>
              <w:widowControl/>
              <w:spacing w:line="360" w:lineRule="auto"/>
              <w:contextualSpacing/>
              <w:jc w:val="center"/>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bCs/>
                <w:color w:val="auto"/>
                <w:kern w:val="0"/>
                <w:sz w:val="21"/>
                <w:szCs w:val="21"/>
                <w:highlight w:val="none"/>
              </w:rPr>
              <w:t>备注</w:t>
            </w:r>
          </w:p>
        </w:tc>
      </w:tr>
      <w:tr w14:paraId="58C33A8C">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841862">
            <w:pPr>
              <w:widowControl/>
              <w:spacing w:line="360" w:lineRule="auto"/>
              <w:contextualSpacing/>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887D85">
            <w:pPr>
              <w:widowControl/>
              <w:spacing w:line="360" w:lineRule="auto"/>
              <w:contextualSpacing/>
              <w:jc w:val="center"/>
              <w:rPr>
                <w:rFonts w:hint="eastAsia" w:ascii="微软雅黑" w:hAnsi="微软雅黑" w:eastAsia="微软雅黑" w:cs="微软雅黑"/>
                <w:color w:val="auto"/>
                <w:kern w:val="0"/>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E52C2F">
            <w:pPr>
              <w:widowControl/>
              <w:spacing w:line="360" w:lineRule="auto"/>
              <w:contextualSpacing/>
              <w:jc w:val="center"/>
              <w:rPr>
                <w:rFonts w:hint="eastAsia" w:ascii="微软雅黑" w:hAnsi="微软雅黑" w:eastAsia="微软雅黑" w:cs="微软雅黑"/>
                <w:color w:val="auto"/>
                <w:kern w:val="0"/>
                <w:sz w:val="21"/>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5D6E40">
            <w:pPr>
              <w:widowControl/>
              <w:spacing w:line="360" w:lineRule="auto"/>
              <w:contextualSpacing/>
              <w:jc w:val="center"/>
              <w:rPr>
                <w:rFonts w:hint="eastAsia" w:ascii="微软雅黑" w:hAnsi="微软雅黑" w:eastAsia="微软雅黑" w:cs="微软雅黑"/>
                <w:color w:val="auto"/>
                <w:kern w:val="0"/>
                <w:sz w:val="21"/>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7E7C80">
            <w:pPr>
              <w:widowControl/>
              <w:spacing w:line="360" w:lineRule="auto"/>
              <w:contextualSpacing/>
              <w:jc w:val="center"/>
              <w:rPr>
                <w:rFonts w:hint="eastAsia" w:ascii="微软雅黑" w:hAnsi="微软雅黑" w:eastAsia="微软雅黑" w:cs="微软雅黑"/>
                <w:color w:val="auto"/>
                <w:kern w:val="0"/>
                <w:sz w:val="21"/>
                <w:szCs w:val="21"/>
                <w:highlight w:val="none"/>
              </w:rPr>
            </w:pPr>
          </w:p>
        </w:tc>
      </w:tr>
      <w:tr w14:paraId="486EE3B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69AB9E">
            <w:pPr>
              <w:widowControl/>
              <w:spacing w:line="360" w:lineRule="auto"/>
              <w:contextualSpacing/>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111C8B">
            <w:pPr>
              <w:widowControl/>
              <w:spacing w:line="360" w:lineRule="auto"/>
              <w:contextualSpacing/>
              <w:jc w:val="center"/>
              <w:rPr>
                <w:rFonts w:hint="eastAsia" w:ascii="微软雅黑" w:hAnsi="微软雅黑" w:eastAsia="微软雅黑" w:cs="微软雅黑"/>
                <w:color w:val="auto"/>
                <w:kern w:val="0"/>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6DDAE9">
            <w:pPr>
              <w:widowControl/>
              <w:spacing w:line="360" w:lineRule="auto"/>
              <w:contextualSpacing/>
              <w:jc w:val="center"/>
              <w:rPr>
                <w:rFonts w:hint="eastAsia" w:ascii="微软雅黑" w:hAnsi="微软雅黑" w:eastAsia="微软雅黑" w:cs="微软雅黑"/>
                <w:color w:val="auto"/>
                <w:kern w:val="0"/>
                <w:sz w:val="21"/>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FA9205">
            <w:pPr>
              <w:widowControl/>
              <w:spacing w:line="360" w:lineRule="auto"/>
              <w:contextualSpacing/>
              <w:jc w:val="center"/>
              <w:rPr>
                <w:rFonts w:hint="eastAsia" w:ascii="微软雅黑" w:hAnsi="微软雅黑" w:eastAsia="微软雅黑" w:cs="微软雅黑"/>
                <w:color w:val="auto"/>
                <w:kern w:val="0"/>
                <w:sz w:val="21"/>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BE8F7E">
            <w:pPr>
              <w:widowControl/>
              <w:spacing w:line="360" w:lineRule="auto"/>
              <w:contextualSpacing/>
              <w:jc w:val="center"/>
              <w:rPr>
                <w:rFonts w:hint="eastAsia" w:ascii="微软雅黑" w:hAnsi="微软雅黑" w:eastAsia="微软雅黑" w:cs="微软雅黑"/>
                <w:color w:val="auto"/>
                <w:kern w:val="0"/>
                <w:sz w:val="21"/>
                <w:szCs w:val="21"/>
                <w:highlight w:val="none"/>
              </w:rPr>
            </w:pPr>
          </w:p>
        </w:tc>
      </w:tr>
      <w:tr w14:paraId="15CB3D7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26E5EA">
            <w:pPr>
              <w:widowControl/>
              <w:spacing w:line="360" w:lineRule="auto"/>
              <w:contextualSpacing/>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AE1B4E">
            <w:pPr>
              <w:widowControl/>
              <w:spacing w:line="360" w:lineRule="auto"/>
              <w:contextualSpacing/>
              <w:jc w:val="center"/>
              <w:rPr>
                <w:rFonts w:hint="eastAsia" w:ascii="微软雅黑" w:hAnsi="微软雅黑" w:eastAsia="微软雅黑" w:cs="微软雅黑"/>
                <w:color w:val="auto"/>
                <w:kern w:val="0"/>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8B6634">
            <w:pPr>
              <w:widowControl/>
              <w:spacing w:line="360" w:lineRule="auto"/>
              <w:contextualSpacing/>
              <w:jc w:val="center"/>
              <w:rPr>
                <w:rFonts w:hint="eastAsia" w:ascii="微软雅黑" w:hAnsi="微软雅黑" w:eastAsia="微软雅黑" w:cs="微软雅黑"/>
                <w:color w:val="auto"/>
                <w:kern w:val="0"/>
                <w:sz w:val="21"/>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57B270">
            <w:pPr>
              <w:widowControl/>
              <w:spacing w:line="360" w:lineRule="auto"/>
              <w:contextualSpacing/>
              <w:jc w:val="center"/>
              <w:rPr>
                <w:rFonts w:hint="eastAsia" w:ascii="微软雅黑" w:hAnsi="微软雅黑" w:eastAsia="微软雅黑" w:cs="微软雅黑"/>
                <w:color w:val="auto"/>
                <w:kern w:val="0"/>
                <w:sz w:val="21"/>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712159">
            <w:pPr>
              <w:widowControl/>
              <w:spacing w:line="360" w:lineRule="auto"/>
              <w:contextualSpacing/>
              <w:jc w:val="center"/>
              <w:rPr>
                <w:rFonts w:hint="eastAsia" w:ascii="微软雅黑" w:hAnsi="微软雅黑" w:eastAsia="微软雅黑" w:cs="微软雅黑"/>
                <w:color w:val="auto"/>
                <w:kern w:val="0"/>
                <w:sz w:val="21"/>
                <w:szCs w:val="21"/>
                <w:highlight w:val="none"/>
              </w:rPr>
            </w:pPr>
          </w:p>
        </w:tc>
      </w:tr>
      <w:tr w14:paraId="36524C7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CB89C7">
            <w:pPr>
              <w:widowControl/>
              <w:spacing w:line="360" w:lineRule="auto"/>
              <w:contextualSpacing/>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F49AAF">
            <w:pPr>
              <w:widowControl/>
              <w:spacing w:line="360" w:lineRule="auto"/>
              <w:contextualSpacing/>
              <w:jc w:val="center"/>
              <w:rPr>
                <w:rFonts w:hint="eastAsia" w:ascii="微软雅黑" w:hAnsi="微软雅黑" w:eastAsia="微软雅黑" w:cs="微软雅黑"/>
                <w:color w:val="auto"/>
                <w:kern w:val="0"/>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0FE6B7">
            <w:pPr>
              <w:widowControl/>
              <w:spacing w:line="360" w:lineRule="auto"/>
              <w:contextualSpacing/>
              <w:jc w:val="center"/>
              <w:rPr>
                <w:rFonts w:hint="eastAsia" w:ascii="微软雅黑" w:hAnsi="微软雅黑" w:eastAsia="微软雅黑" w:cs="微软雅黑"/>
                <w:color w:val="auto"/>
                <w:kern w:val="0"/>
                <w:sz w:val="21"/>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46630A">
            <w:pPr>
              <w:widowControl/>
              <w:spacing w:line="360" w:lineRule="auto"/>
              <w:contextualSpacing/>
              <w:jc w:val="center"/>
              <w:rPr>
                <w:rFonts w:hint="eastAsia" w:ascii="微软雅黑" w:hAnsi="微软雅黑" w:eastAsia="微软雅黑" w:cs="微软雅黑"/>
                <w:color w:val="auto"/>
                <w:kern w:val="0"/>
                <w:sz w:val="21"/>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CF9B58">
            <w:pPr>
              <w:widowControl/>
              <w:spacing w:line="360" w:lineRule="auto"/>
              <w:contextualSpacing/>
              <w:jc w:val="center"/>
              <w:rPr>
                <w:rFonts w:hint="eastAsia" w:ascii="微软雅黑" w:hAnsi="微软雅黑" w:eastAsia="微软雅黑" w:cs="微软雅黑"/>
                <w:color w:val="auto"/>
                <w:kern w:val="0"/>
                <w:sz w:val="21"/>
                <w:szCs w:val="21"/>
                <w:highlight w:val="none"/>
              </w:rPr>
            </w:pPr>
          </w:p>
        </w:tc>
      </w:tr>
    </w:tbl>
    <w:p w14:paraId="7E8F8AA4">
      <w:pPr>
        <w:spacing w:line="360" w:lineRule="auto"/>
        <w:contextualSpacing/>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注：</w:t>
      </w:r>
    </w:p>
    <w:p w14:paraId="761EE7D3">
      <w:pPr>
        <w:spacing w:line="240" w:lineRule="auto"/>
        <w:ind w:firstLine="420" w:firstLineChars="200"/>
        <w:contextualSpacing/>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E076F3A">
      <w:pPr>
        <w:spacing w:line="240" w:lineRule="auto"/>
        <w:ind w:firstLine="420" w:firstLineChars="200"/>
        <w:contextualSpacing/>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2.本表所指的控股关系仅限于直接控股关系，不包括间接的控股关系。公司实际控制人与公司之间的关系不属于本表所指的直接控股关系。</w:t>
      </w:r>
    </w:p>
    <w:p w14:paraId="1649C45C">
      <w:pPr>
        <w:spacing w:line="240" w:lineRule="auto"/>
        <w:ind w:firstLine="420" w:firstLineChars="200"/>
        <w:contextualSpacing/>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3.供应商不存在直接控股股东的，则在“直接控股股东名称”填“无”。</w:t>
      </w:r>
    </w:p>
    <w:p w14:paraId="09A806E7">
      <w:pPr>
        <w:spacing w:line="360" w:lineRule="auto"/>
        <w:ind w:firstLine="420" w:firstLineChars="200"/>
        <w:contextualSpacing/>
        <w:jc w:val="left"/>
        <w:rPr>
          <w:rFonts w:hint="eastAsia" w:ascii="微软雅黑" w:hAnsi="微软雅黑" w:eastAsia="微软雅黑" w:cs="微软雅黑"/>
          <w:color w:val="auto"/>
          <w:sz w:val="21"/>
          <w:szCs w:val="21"/>
          <w:highlight w:val="none"/>
        </w:rPr>
      </w:pPr>
    </w:p>
    <w:p w14:paraId="54F41E8B">
      <w:pPr>
        <w:spacing w:line="360" w:lineRule="auto"/>
        <w:ind w:right="480"/>
        <w:contextualSpacing/>
        <w:jc w:val="center"/>
        <w:rPr>
          <w:rFonts w:hint="eastAsia" w:ascii="微软雅黑" w:hAnsi="微软雅黑" w:eastAsia="微软雅黑" w:cs="微软雅黑"/>
          <w:color w:val="auto"/>
          <w:sz w:val="21"/>
          <w:szCs w:val="21"/>
          <w:highlight w:val="none"/>
          <w:u w:val="single"/>
        </w:rPr>
      </w:pPr>
      <w:r>
        <w:rPr>
          <w:rFonts w:hint="eastAsia" w:ascii="微软雅黑" w:hAnsi="微软雅黑" w:eastAsia="微软雅黑" w:cs="微软雅黑"/>
          <w:color w:val="auto"/>
          <w:sz w:val="21"/>
          <w:szCs w:val="21"/>
          <w:highlight w:val="none"/>
        </w:rPr>
        <w:t xml:space="preserve">        法定代表人或者</w:t>
      </w:r>
      <w:r>
        <w:rPr>
          <w:rFonts w:hint="eastAsia" w:ascii="微软雅黑" w:hAnsi="微软雅黑" w:eastAsia="微软雅黑" w:cs="微软雅黑"/>
          <w:color w:val="auto"/>
          <w:sz w:val="21"/>
          <w:szCs w:val="21"/>
          <w:highlight w:val="none"/>
          <w:lang w:val="en-US" w:eastAsia="zh-CN"/>
        </w:rPr>
        <w:t>其</w:t>
      </w:r>
      <w:r>
        <w:rPr>
          <w:rFonts w:hint="eastAsia" w:ascii="微软雅黑" w:hAnsi="微软雅黑" w:eastAsia="微软雅黑" w:cs="微软雅黑"/>
          <w:color w:val="auto"/>
          <w:sz w:val="21"/>
          <w:szCs w:val="21"/>
          <w:highlight w:val="none"/>
        </w:rPr>
        <w:t>委托代理人（签字或者电子签名）：</w:t>
      </w:r>
      <w:r>
        <w:rPr>
          <w:rFonts w:hint="eastAsia" w:ascii="微软雅黑" w:hAnsi="微软雅黑" w:eastAsia="微软雅黑" w:cs="微软雅黑"/>
          <w:color w:val="auto"/>
          <w:sz w:val="21"/>
          <w:szCs w:val="21"/>
          <w:highlight w:val="none"/>
          <w:u w:val="single"/>
        </w:rPr>
        <w:t xml:space="preserve">                    </w:t>
      </w:r>
    </w:p>
    <w:p w14:paraId="54BE333F">
      <w:pPr>
        <w:spacing w:line="360" w:lineRule="auto"/>
        <w:ind w:right="480" w:firstLine="2625" w:firstLineChars="1250"/>
        <w:contextualSpacing/>
        <w:rPr>
          <w:rFonts w:hint="eastAsia" w:ascii="微软雅黑" w:hAnsi="微软雅黑" w:eastAsia="微软雅黑" w:cs="微软雅黑"/>
          <w:color w:val="auto"/>
          <w:sz w:val="21"/>
          <w:szCs w:val="21"/>
          <w:highlight w:val="none"/>
          <w:u w:val="single"/>
        </w:rPr>
      </w:pPr>
      <w:r>
        <w:rPr>
          <w:rFonts w:hint="eastAsia" w:ascii="微软雅黑" w:hAnsi="微软雅黑" w:eastAsia="微软雅黑" w:cs="微软雅黑"/>
          <w:color w:val="auto"/>
          <w:sz w:val="21"/>
          <w:szCs w:val="21"/>
          <w:highlight w:val="none"/>
        </w:rPr>
        <w:t>供应商（</w:t>
      </w:r>
      <w:r>
        <w:rPr>
          <w:rFonts w:hint="eastAsia" w:ascii="微软雅黑" w:hAnsi="微软雅黑" w:eastAsia="微软雅黑" w:cs="微软雅黑"/>
          <w:color w:val="auto"/>
          <w:sz w:val="21"/>
          <w:szCs w:val="21"/>
          <w:highlight w:val="none"/>
          <w:lang w:val="en-US" w:eastAsia="zh-CN"/>
        </w:rPr>
        <w:t>CA</w:t>
      </w:r>
      <w:r>
        <w:rPr>
          <w:rFonts w:hint="eastAsia" w:ascii="微软雅黑" w:hAnsi="微软雅黑" w:eastAsia="微软雅黑" w:cs="微软雅黑"/>
          <w:color w:val="auto"/>
          <w:sz w:val="21"/>
          <w:szCs w:val="21"/>
          <w:highlight w:val="none"/>
        </w:rPr>
        <w:t xml:space="preserve">电子签章）： </w:t>
      </w:r>
      <w:r>
        <w:rPr>
          <w:rFonts w:hint="eastAsia" w:ascii="微软雅黑" w:hAnsi="微软雅黑" w:eastAsia="微软雅黑" w:cs="微软雅黑"/>
          <w:color w:val="auto"/>
          <w:sz w:val="21"/>
          <w:szCs w:val="21"/>
          <w:highlight w:val="none"/>
          <w:u w:val="single"/>
        </w:rPr>
        <w:t xml:space="preserve">                              </w:t>
      </w:r>
    </w:p>
    <w:p w14:paraId="0AA03697">
      <w:pPr>
        <w:spacing w:line="360" w:lineRule="auto"/>
        <w:ind w:firstLine="420" w:firstLineChars="200"/>
        <w:contextualSpacing/>
        <w:jc w:val="right"/>
        <w:rPr>
          <w:rFonts w:hint="eastAsia" w:ascii="宋体" w:hAnsi="宋体" w:cs="宋体"/>
          <w:color w:val="auto"/>
          <w:sz w:val="21"/>
          <w:szCs w:val="21"/>
          <w:highlight w:val="none"/>
        </w:rPr>
      </w:pPr>
      <w:r>
        <w:rPr>
          <w:rFonts w:hint="eastAsia" w:ascii="微软雅黑" w:hAnsi="微软雅黑" w:eastAsia="微软雅黑" w:cs="微软雅黑"/>
          <w:color w:val="auto"/>
          <w:sz w:val="21"/>
          <w:szCs w:val="21"/>
          <w:highlight w:val="none"/>
        </w:rPr>
        <w:t>年    月    日</w:t>
      </w:r>
    </w:p>
    <w:p w14:paraId="58504513">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07743B98">
      <w:pPr>
        <w:spacing w:line="360" w:lineRule="auto"/>
        <w:contextualSpacing/>
        <w:jc w:val="center"/>
        <w:outlineLvl w:val="4"/>
        <w:rPr>
          <w:rFonts w:hint="eastAsia" w:ascii="微软雅黑" w:hAnsi="微软雅黑" w:eastAsia="微软雅黑" w:cs="微软雅黑"/>
          <w:b/>
          <w:color w:val="auto"/>
          <w:sz w:val="28"/>
          <w:szCs w:val="28"/>
          <w:highlight w:val="none"/>
        </w:rPr>
      </w:pPr>
      <w:r>
        <w:rPr>
          <w:rFonts w:hint="eastAsia" w:ascii="微软雅黑" w:hAnsi="微软雅黑" w:eastAsia="微软雅黑" w:cs="微软雅黑"/>
          <w:b/>
          <w:color w:val="auto"/>
          <w:sz w:val="28"/>
          <w:szCs w:val="28"/>
          <w:highlight w:val="none"/>
        </w:rPr>
        <w:t>供应商直接管理关系信息表</w:t>
      </w:r>
    </w:p>
    <w:p w14:paraId="5441981A">
      <w:pPr>
        <w:snapToGrid w:val="0"/>
        <w:spacing w:line="360" w:lineRule="auto"/>
        <w:jc w:val="center"/>
        <w:rPr>
          <w:rFonts w:hint="eastAsia" w:ascii="宋体" w:hAnsi="宋体"/>
          <w:b/>
          <w:color w:val="auto"/>
          <w:sz w:val="24"/>
          <w:highlight w:val="none"/>
        </w:rPr>
      </w:pPr>
    </w:p>
    <w:tbl>
      <w:tblPr>
        <w:tblStyle w:val="2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430D2F7">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0DAC2A">
            <w:pPr>
              <w:widowControl/>
              <w:spacing w:line="360" w:lineRule="auto"/>
              <w:contextualSpacing/>
              <w:jc w:val="center"/>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bCs/>
                <w:color w:val="auto"/>
                <w:kern w:val="0"/>
                <w:sz w:val="21"/>
                <w:szCs w:val="21"/>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4E637E">
            <w:pPr>
              <w:widowControl/>
              <w:spacing w:line="360" w:lineRule="auto"/>
              <w:contextualSpacing/>
              <w:jc w:val="center"/>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bCs/>
                <w:color w:val="auto"/>
                <w:kern w:val="0"/>
                <w:sz w:val="21"/>
                <w:szCs w:val="21"/>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51F3E8">
            <w:pPr>
              <w:widowControl/>
              <w:spacing w:line="360" w:lineRule="auto"/>
              <w:contextualSpacing/>
              <w:jc w:val="center"/>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bCs/>
                <w:color w:val="auto"/>
                <w:kern w:val="0"/>
                <w:sz w:val="21"/>
                <w:szCs w:val="21"/>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43BE91">
            <w:pPr>
              <w:widowControl/>
              <w:spacing w:line="360" w:lineRule="auto"/>
              <w:contextualSpacing/>
              <w:jc w:val="center"/>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bCs/>
                <w:color w:val="auto"/>
                <w:kern w:val="0"/>
                <w:sz w:val="21"/>
                <w:szCs w:val="21"/>
                <w:highlight w:val="none"/>
              </w:rPr>
              <w:t>相互关系</w:t>
            </w:r>
          </w:p>
        </w:tc>
      </w:tr>
      <w:tr w14:paraId="1A2A45B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5754C0">
            <w:pPr>
              <w:widowControl/>
              <w:spacing w:line="360" w:lineRule="auto"/>
              <w:contextualSpacing/>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5B346F">
            <w:pPr>
              <w:widowControl/>
              <w:spacing w:line="360" w:lineRule="auto"/>
              <w:contextualSpacing/>
              <w:jc w:val="center"/>
              <w:rPr>
                <w:rFonts w:hint="eastAsia" w:ascii="微软雅黑" w:hAnsi="微软雅黑" w:eastAsia="微软雅黑" w:cs="微软雅黑"/>
                <w:color w:val="auto"/>
                <w:kern w:val="0"/>
                <w:sz w:val="21"/>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886337">
            <w:pPr>
              <w:widowControl/>
              <w:spacing w:line="360" w:lineRule="auto"/>
              <w:contextualSpacing/>
              <w:jc w:val="center"/>
              <w:rPr>
                <w:rFonts w:hint="eastAsia" w:ascii="微软雅黑" w:hAnsi="微软雅黑" w:eastAsia="微软雅黑" w:cs="微软雅黑"/>
                <w:color w:val="auto"/>
                <w:kern w:val="0"/>
                <w:sz w:val="21"/>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FD6B1E">
            <w:pPr>
              <w:widowControl/>
              <w:spacing w:line="360" w:lineRule="auto"/>
              <w:contextualSpacing/>
              <w:jc w:val="center"/>
              <w:rPr>
                <w:rFonts w:hint="eastAsia" w:ascii="微软雅黑" w:hAnsi="微软雅黑" w:eastAsia="微软雅黑" w:cs="微软雅黑"/>
                <w:color w:val="auto"/>
                <w:kern w:val="0"/>
                <w:sz w:val="21"/>
                <w:szCs w:val="21"/>
                <w:highlight w:val="none"/>
              </w:rPr>
            </w:pPr>
          </w:p>
        </w:tc>
      </w:tr>
      <w:tr w14:paraId="6116260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8F98E6">
            <w:pPr>
              <w:widowControl/>
              <w:spacing w:line="360" w:lineRule="auto"/>
              <w:contextualSpacing/>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94BF19">
            <w:pPr>
              <w:widowControl/>
              <w:spacing w:line="360" w:lineRule="auto"/>
              <w:contextualSpacing/>
              <w:jc w:val="center"/>
              <w:rPr>
                <w:rFonts w:hint="eastAsia" w:ascii="微软雅黑" w:hAnsi="微软雅黑" w:eastAsia="微软雅黑" w:cs="微软雅黑"/>
                <w:color w:val="auto"/>
                <w:kern w:val="0"/>
                <w:sz w:val="21"/>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67CFB4">
            <w:pPr>
              <w:widowControl/>
              <w:spacing w:line="360" w:lineRule="auto"/>
              <w:contextualSpacing/>
              <w:jc w:val="center"/>
              <w:rPr>
                <w:rFonts w:hint="eastAsia" w:ascii="微软雅黑" w:hAnsi="微软雅黑" w:eastAsia="微软雅黑" w:cs="微软雅黑"/>
                <w:color w:val="auto"/>
                <w:kern w:val="0"/>
                <w:sz w:val="21"/>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5DD6D1">
            <w:pPr>
              <w:widowControl/>
              <w:spacing w:line="360" w:lineRule="auto"/>
              <w:contextualSpacing/>
              <w:jc w:val="center"/>
              <w:rPr>
                <w:rFonts w:hint="eastAsia" w:ascii="微软雅黑" w:hAnsi="微软雅黑" w:eastAsia="微软雅黑" w:cs="微软雅黑"/>
                <w:color w:val="auto"/>
                <w:kern w:val="0"/>
                <w:sz w:val="21"/>
                <w:szCs w:val="21"/>
                <w:highlight w:val="none"/>
              </w:rPr>
            </w:pPr>
          </w:p>
        </w:tc>
      </w:tr>
      <w:tr w14:paraId="5148EEA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592E62">
            <w:pPr>
              <w:widowControl/>
              <w:spacing w:line="360" w:lineRule="auto"/>
              <w:contextualSpacing/>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3912CB">
            <w:pPr>
              <w:widowControl/>
              <w:spacing w:line="360" w:lineRule="auto"/>
              <w:contextualSpacing/>
              <w:jc w:val="center"/>
              <w:rPr>
                <w:rFonts w:hint="eastAsia" w:ascii="微软雅黑" w:hAnsi="微软雅黑" w:eastAsia="微软雅黑" w:cs="微软雅黑"/>
                <w:color w:val="auto"/>
                <w:kern w:val="0"/>
                <w:sz w:val="21"/>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08AF23">
            <w:pPr>
              <w:widowControl/>
              <w:spacing w:line="360" w:lineRule="auto"/>
              <w:contextualSpacing/>
              <w:jc w:val="center"/>
              <w:rPr>
                <w:rFonts w:hint="eastAsia" w:ascii="微软雅黑" w:hAnsi="微软雅黑" w:eastAsia="微软雅黑" w:cs="微软雅黑"/>
                <w:color w:val="auto"/>
                <w:kern w:val="0"/>
                <w:sz w:val="21"/>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956FFB">
            <w:pPr>
              <w:widowControl/>
              <w:spacing w:line="360" w:lineRule="auto"/>
              <w:contextualSpacing/>
              <w:jc w:val="center"/>
              <w:rPr>
                <w:rFonts w:hint="eastAsia" w:ascii="微软雅黑" w:hAnsi="微软雅黑" w:eastAsia="微软雅黑" w:cs="微软雅黑"/>
                <w:color w:val="auto"/>
                <w:kern w:val="0"/>
                <w:sz w:val="21"/>
                <w:szCs w:val="21"/>
                <w:highlight w:val="none"/>
              </w:rPr>
            </w:pPr>
          </w:p>
        </w:tc>
      </w:tr>
      <w:tr w14:paraId="2793283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AA817A">
            <w:pPr>
              <w:widowControl/>
              <w:spacing w:line="360" w:lineRule="auto"/>
              <w:contextualSpacing/>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966B06">
            <w:pPr>
              <w:widowControl/>
              <w:spacing w:line="360" w:lineRule="auto"/>
              <w:contextualSpacing/>
              <w:jc w:val="center"/>
              <w:rPr>
                <w:rFonts w:hint="eastAsia" w:ascii="微软雅黑" w:hAnsi="微软雅黑" w:eastAsia="微软雅黑" w:cs="微软雅黑"/>
                <w:color w:val="auto"/>
                <w:kern w:val="0"/>
                <w:sz w:val="21"/>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2A0D43">
            <w:pPr>
              <w:widowControl/>
              <w:spacing w:line="360" w:lineRule="auto"/>
              <w:contextualSpacing/>
              <w:jc w:val="center"/>
              <w:rPr>
                <w:rFonts w:hint="eastAsia" w:ascii="微软雅黑" w:hAnsi="微软雅黑" w:eastAsia="微软雅黑" w:cs="微软雅黑"/>
                <w:color w:val="auto"/>
                <w:kern w:val="0"/>
                <w:sz w:val="21"/>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1C73A8">
            <w:pPr>
              <w:widowControl/>
              <w:spacing w:line="360" w:lineRule="auto"/>
              <w:contextualSpacing/>
              <w:jc w:val="center"/>
              <w:rPr>
                <w:rFonts w:hint="eastAsia" w:ascii="微软雅黑" w:hAnsi="微软雅黑" w:eastAsia="微软雅黑" w:cs="微软雅黑"/>
                <w:color w:val="auto"/>
                <w:kern w:val="0"/>
                <w:sz w:val="21"/>
                <w:szCs w:val="21"/>
                <w:highlight w:val="none"/>
              </w:rPr>
            </w:pPr>
          </w:p>
        </w:tc>
      </w:tr>
    </w:tbl>
    <w:p w14:paraId="3D36A820">
      <w:pPr>
        <w:spacing w:line="360" w:lineRule="auto"/>
        <w:contextualSpacing/>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注：</w:t>
      </w:r>
    </w:p>
    <w:p w14:paraId="276DEB72">
      <w:pPr>
        <w:spacing w:line="360" w:lineRule="auto"/>
        <w:ind w:firstLine="420" w:firstLineChars="200"/>
        <w:contextualSpacing/>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1.管理关系：是指不具有出资持股关系的其他单位之间存在的管理与被管理关系，如一些上下级关系的事业单位和团体组织。</w:t>
      </w:r>
    </w:p>
    <w:p w14:paraId="6E59180F">
      <w:pPr>
        <w:spacing w:line="360" w:lineRule="auto"/>
        <w:ind w:firstLine="420" w:firstLineChars="200"/>
        <w:contextualSpacing/>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w:t>
      </w:r>
      <w:r>
        <w:rPr>
          <w:rFonts w:hint="eastAsia" w:ascii="微软雅黑" w:hAnsi="微软雅黑" w:eastAsia="微软雅黑" w:cs="微软雅黑"/>
          <w:color w:val="auto"/>
          <w:spacing w:val="-6"/>
          <w:sz w:val="21"/>
          <w:szCs w:val="21"/>
          <w:highlight w:val="none"/>
        </w:rPr>
        <w:t>本表所指的管理关系仅限于直接管理关系，不包括间接的管理关系。</w:t>
      </w:r>
    </w:p>
    <w:p w14:paraId="60945374">
      <w:pPr>
        <w:spacing w:line="360" w:lineRule="auto"/>
        <w:ind w:firstLine="420" w:firstLineChars="200"/>
        <w:contextualSpacing/>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3.供应商不存在直接管理关系的，则在“直接管理关系单位名称”填“无”。</w:t>
      </w:r>
    </w:p>
    <w:p w14:paraId="66F9485F">
      <w:pPr>
        <w:spacing w:line="360" w:lineRule="auto"/>
        <w:contextualSpacing/>
        <w:jc w:val="left"/>
        <w:rPr>
          <w:rFonts w:hint="eastAsia" w:ascii="微软雅黑" w:hAnsi="微软雅黑" w:eastAsia="微软雅黑" w:cs="微软雅黑"/>
          <w:color w:val="auto"/>
          <w:sz w:val="21"/>
          <w:szCs w:val="21"/>
          <w:highlight w:val="none"/>
        </w:rPr>
      </w:pPr>
    </w:p>
    <w:p w14:paraId="53917903">
      <w:pPr>
        <w:spacing w:line="360" w:lineRule="auto"/>
        <w:contextualSpacing/>
        <w:jc w:val="left"/>
        <w:rPr>
          <w:rFonts w:hint="eastAsia" w:ascii="微软雅黑" w:hAnsi="微软雅黑" w:eastAsia="微软雅黑" w:cs="微软雅黑"/>
          <w:color w:val="auto"/>
          <w:sz w:val="21"/>
          <w:szCs w:val="21"/>
          <w:highlight w:val="none"/>
        </w:rPr>
      </w:pPr>
    </w:p>
    <w:p w14:paraId="1CCDC66D">
      <w:pPr>
        <w:spacing w:line="360" w:lineRule="auto"/>
        <w:ind w:right="480"/>
        <w:contextualSpacing/>
        <w:jc w:val="center"/>
        <w:rPr>
          <w:rFonts w:hint="eastAsia" w:ascii="微软雅黑" w:hAnsi="微软雅黑" w:eastAsia="微软雅黑" w:cs="微软雅黑"/>
          <w:color w:val="auto"/>
          <w:sz w:val="21"/>
          <w:szCs w:val="21"/>
          <w:highlight w:val="none"/>
          <w:u w:val="single"/>
        </w:rPr>
      </w:pPr>
      <w:r>
        <w:rPr>
          <w:rFonts w:hint="eastAsia" w:ascii="微软雅黑" w:hAnsi="微软雅黑" w:eastAsia="微软雅黑" w:cs="微软雅黑"/>
          <w:color w:val="auto"/>
          <w:sz w:val="21"/>
          <w:szCs w:val="21"/>
          <w:highlight w:val="none"/>
        </w:rPr>
        <w:t xml:space="preserve">              法定代表人或者</w:t>
      </w:r>
      <w:r>
        <w:rPr>
          <w:rFonts w:hint="eastAsia" w:ascii="微软雅黑" w:hAnsi="微软雅黑" w:eastAsia="微软雅黑" w:cs="微软雅黑"/>
          <w:color w:val="auto"/>
          <w:sz w:val="21"/>
          <w:szCs w:val="21"/>
          <w:highlight w:val="none"/>
          <w:lang w:val="en-US" w:eastAsia="zh-CN"/>
        </w:rPr>
        <w:t>其</w:t>
      </w:r>
      <w:r>
        <w:rPr>
          <w:rFonts w:hint="eastAsia" w:ascii="微软雅黑" w:hAnsi="微软雅黑" w:eastAsia="微软雅黑" w:cs="微软雅黑"/>
          <w:color w:val="auto"/>
          <w:sz w:val="21"/>
          <w:szCs w:val="21"/>
          <w:highlight w:val="none"/>
        </w:rPr>
        <w:t>委托代理人（签字或者电子签名）：</w:t>
      </w:r>
      <w:r>
        <w:rPr>
          <w:rFonts w:hint="eastAsia" w:ascii="微软雅黑" w:hAnsi="微软雅黑" w:eastAsia="微软雅黑" w:cs="微软雅黑"/>
          <w:color w:val="auto"/>
          <w:sz w:val="21"/>
          <w:szCs w:val="21"/>
          <w:highlight w:val="none"/>
          <w:u w:val="single"/>
        </w:rPr>
        <w:t xml:space="preserve">                   </w:t>
      </w:r>
    </w:p>
    <w:p w14:paraId="7ABE4B5C">
      <w:pPr>
        <w:spacing w:line="360" w:lineRule="auto"/>
        <w:ind w:right="480" w:firstLine="2940" w:firstLineChars="1400"/>
        <w:contextualSpacing/>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供应商（</w:t>
      </w:r>
      <w:r>
        <w:rPr>
          <w:rFonts w:hint="eastAsia" w:ascii="微软雅黑" w:hAnsi="微软雅黑" w:eastAsia="微软雅黑" w:cs="微软雅黑"/>
          <w:color w:val="auto"/>
          <w:sz w:val="21"/>
          <w:szCs w:val="21"/>
          <w:highlight w:val="none"/>
          <w:lang w:val="en-US" w:eastAsia="zh-CN"/>
        </w:rPr>
        <w:t>CA</w:t>
      </w:r>
      <w:r>
        <w:rPr>
          <w:rFonts w:hint="eastAsia" w:ascii="微软雅黑" w:hAnsi="微软雅黑" w:eastAsia="微软雅黑" w:cs="微软雅黑"/>
          <w:color w:val="auto"/>
          <w:sz w:val="21"/>
          <w:szCs w:val="21"/>
          <w:highlight w:val="none"/>
        </w:rPr>
        <w:t>电子签章）：</w:t>
      </w:r>
      <w:r>
        <w:rPr>
          <w:rFonts w:hint="eastAsia" w:ascii="微软雅黑" w:hAnsi="微软雅黑" w:eastAsia="微软雅黑" w:cs="微软雅黑"/>
          <w:color w:val="auto"/>
          <w:sz w:val="21"/>
          <w:szCs w:val="21"/>
          <w:highlight w:val="none"/>
          <w:u w:val="single"/>
        </w:rPr>
        <w:t xml:space="preserve">                </w:t>
      </w:r>
    </w:p>
    <w:p w14:paraId="1D3E1754">
      <w:pPr>
        <w:rPr>
          <w:rFonts w:hint="eastAsia" w:ascii="宋体" w:hAnsi="宋体" w:cs="宋体"/>
          <w:color w:val="auto"/>
          <w:sz w:val="24"/>
        </w:rPr>
      </w:pPr>
      <w:r>
        <w:rPr>
          <w:rFonts w:hint="eastAsia" w:ascii="微软雅黑" w:hAnsi="微软雅黑" w:eastAsia="微软雅黑" w:cs="微软雅黑"/>
          <w:color w:val="auto"/>
          <w:sz w:val="21"/>
          <w:szCs w:val="21"/>
          <w:highlight w:val="none"/>
        </w:rPr>
        <w:t xml:space="preserve">                                        年    月    日</w:t>
      </w:r>
    </w:p>
    <w:p w14:paraId="447F8A75">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4FA49DBC">
      <w:pPr>
        <w:spacing w:line="320" w:lineRule="exact"/>
        <w:jc w:val="center"/>
        <w:outlineLvl w:val="4"/>
        <w:rPr>
          <w:rFonts w:hint="eastAsia" w:ascii="宋体" w:hAnsi="宋体"/>
          <w:b/>
          <w:color w:val="auto"/>
          <w:sz w:val="32"/>
          <w:szCs w:val="32"/>
          <w:highlight w:val="none"/>
        </w:rPr>
      </w:pPr>
      <w:r>
        <w:rPr>
          <w:rFonts w:hint="eastAsia" w:ascii="宋体" w:hAnsi="宋体"/>
          <w:b/>
          <w:color w:val="auto"/>
          <w:sz w:val="32"/>
          <w:szCs w:val="32"/>
          <w:highlight w:val="none"/>
        </w:rPr>
        <w:t>竞标声明</w:t>
      </w:r>
    </w:p>
    <w:p w14:paraId="08402E0F">
      <w:pPr>
        <w:spacing w:line="320" w:lineRule="exact"/>
        <w:jc w:val="center"/>
        <w:rPr>
          <w:rFonts w:hint="eastAsia" w:ascii="宋体" w:hAnsi="宋体"/>
          <w:color w:val="auto"/>
          <w:sz w:val="24"/>
          <w:szCs w:val="20"/>
          <w:highlight w:val="none"/>
        </w:rPr>
      </w:pPr>
    </w:p>
    <w:p w14:paraId="5FDF12C7">
      <w:pPr>
        <w:spacing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（采购人名称）</w:t>
      </w:r>
      <w:r>
        <w:rPr>
          <w:rFonts w:hint="eastAsia" w:ascii="宋体" w:hAnsi="宋体" w:cs="宋体"/>
          <w:color w:val="auto"/>
          <w:sz w:val="21"/>
          <w:szCs w:val="21"/>
          <w:highlight w:val="none"/>
        </w:rPr>
        <w:t>：</w:t>
      </w:r>
    </w:p>
    <w:p w14:paraId="1B3C8805">
      <w:pPr>
        <w:spacing w:line="360" w:lineRule="auto"/>
        <w:ind w:firstLine="420" w:firstLine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t>（供应商名称）</w:t>
      </w:r>
      <w:r>
        <w:rPr>
          <w:rFonts w:hint="eastAsia" w:ascii="宋体" w:hAnsi="宋体" w:cs="宋体"/>
          <w:color w:val="auto"/>
          <w:sz w:val="21"/>
          <w:szCs w:val="21"/>
          <w:highlight w:val="none"/>
        </w:rPr>
        <w:t>系中华人民共和国合法供应商，经营地址</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69EAF8BA">
      <w:pPr>
        <w:spacing w:line="360" w:lineRule="auto"/>
        <w:ind w:firstLine="420" w:firstLine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我方愿意参加贵方组织的</w:t>
      </w:r>
      <w:r>
        <w:rPr>
          <w:rFonts w:hint="eastAsia" w:ascii="宋体" w:hAnsi="宋体" w:cs="宋体"/>
          <w:color w:val="auto"/>
          <w:sz w:val="21"/>
          <w:szCs w:val="21"/>
          <w:highlight w:val="none"/>
          <w:u w:val="single"/>
        </w:rPr>
        <w:t>（项目名称）</w:t>
      </w:r>
      <w:r>
        <w:rPr>
          <w:rFonts w:hint="eastAsia" w:ascii="宋体" w:hAnsi="宋体" w:cs="宋体"/>
          <w:color w:val="auto"/>
          <w:sz w:val="21"/>
          <w:szCs w:val="21"/>
          <w:highlight w:val="none"/>
        </w:rPr>
        <w:t>项目的竞标，为便于贵方公正、择优地确定成交供应商及其竞标产品和服务，我方就本次竞标有关事项郑重声明如下：</w:t>
      </w:r>
    </w:p>
    <w:p w14:paraId="34B5EC98">
      <w:pPr>
        <w:spacing w:line="360" w:lineRule="auto"/>
        <w:ind w:firstLine="420" w:firstLine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1.我方向贵方提交的所有响应文件、资料都是准确的和真实的。</w:t>
      </w:r>
    </w:p>
    <w:p w14:paraId="3F8E877E">
      <w:pPr>
        <w:spacing w:line="360" w:lineRule="auto"/>
        <w:ind w:firstLine="420" w:firstLine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D1E1B91">
      <w:pPr>
        <w:spacing w:line="360" w:lineRule="auto"/>
        <w:ind w:firstLine="420" w:firstLine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3.在此，我方宣布同意如下：</w:t>
      </w:r>
    </w:p>
    <w:p w14:paraId="5F3869EA">
      <w:pPr>
        <w:spacing w:line="360" w:lineRule="auto"/>
        <w:ind w:firstLine="420" w:firstLine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（1）将按磋商文件的约定履行合同责任和义务；</w:t>
      </w:r>
    </w:p>
    <w:p w14:paraId="00AD4E37">
      <w:pPr>
        <w:spacing w:line="360" w:lineRule="auto"/>
        <w:ind w:firstLine="420" w:firstLine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（2）已详细审查全部磋商文件，包括澄清或者更正公告（如有）；</w:t>
      </w:r>
    </w:p>
    <w:p w14:paraId="190B0857">
      <w:pPr>
        <w:spacing w:line="360" w:lineRule="auto"/>
        <w:ind w:firstLine="420" w:firstLine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（3）同意提供按照贵方可能要求的与磋商有关的一切数据或者资料；</w:t>
      </w:r>
    </w:p>
    <w:p w14:paraId="62A1C16A">
      <w:pPr>
        <w:spacing w:line="360" w:lineRule="auto"/>
        <w:ind w:firstLine="420" w:firstLine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（4）响应磋商文件规定的竞标有效期。</w:t>
      </w:r>
    </w:p>
    <w:p w14:paraId="062242FD">
      <w:pPr>
        <w:spacing w:line="360" w:lineRule="auto"/>
        <w:ind w:firstLine="420" w:firstLine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4.我方承诺符合《中华人民共和国政府采购法》第二十二条规定：</w:t>
      </w:r>
    </w:p>
    <w:p w14:paraId="7D547426">
      <w:pPr>
        <w:spacing w:line="360" w:lineRule="auto"/>
        <w:ind w:firstLine="420" w:firstLine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（1）具有独立承担民事责任的能力；</w:t>
      </w:r>
    </w:p>
    <w:p w14:paraId="5D15DA99">
      <w:pPr>
        <w:spacing w:line="360" w:lineRule="auto"/>
        <w:ind w:firstLine="420" w:firstLine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（2）具有良好的商业信誉和健全的财务会计制度；</w:t>
      </w:r>
    </w:p>
    <w:p w14:paraId="4AA70964">
      <w:pPr>
        <w:spacing w:line="360" w:lineRule="auto"/>
        <w:ind w:firstLine="420" w:firstLine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（3）具有履行合同所必需的设备和专业技术能力；</w:t>
      </w:r>
    </w:p>
    <w:p w14:paraId="359A8D92">
      <w:pPr>
        <w:spacing w:line="360" w:lineRule="auto"/>
        <w:ind w:firstLine="420" w:firstLine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（4）有依法缴纳税收和社会保障资金的良好记录；</w:t>
      </w:r>
    </w:p>
    <w:p w14:paraId="51C9E49F">
      <w:pPr>
        <w:spacing w:line="360" w:lineRule="auto"/>
        <w:ind w:firstLine="420" w:firstLine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（5）参加政府采购活动前三年内，在经营活动中没有重大违法记录；</w:t>
      </w:r>
    </w:p>
    <w:p w14:paraId="6B9C1AA0">
      <w:pPr>
        <w:spacing w:line="360" w:lineRule="auto"/>
        <w:ind w:firstLine="420" w:firstLine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（6）法律、行政法规规定的其他条件。</w:t>
      </w:r>
    </w:p>
    <w:p w14:paraId="3EC41BDC">
      <w:pPr>
        <w:spacing w:line="360" w:lineRule="auto"/>
        <w:ind w:firstLine="420" w:firstLine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CDA4547">
      <w:pPr>
        <w:spacing w:line="360" w:lineRule="auto"/>
        <w:ind w:firstLine="420" w:firstLine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7DFDF93">
      <w:pPr>
        <w:spacing w:line="360" w:lineRule="auto"/>
        <w:ind w:firstLine="420" w:firstLine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□我方本次响应文件</w:t>
      </w:r>
      <w:r>
        <w:rPr>
          <w:rFonts w:hint="eastAsia" w:ascii="宋体" w:hAnsi="宋体" w:cs="宋体"/>
          <w:color w:val="auto"/>
          <w:kern w:val="0"/>
          <w:sz w:val="21"/>
          <w:szCs w:val="21"/>
          <w:highlight w:val="none"/>
        </w:rPr>
        <w:t>内容中</w:t>
      </w:r>
      <w:r>
        <w:rPr>
          <w:rFonts w:hint="eastAsia" w:ascii="宋体" w:hAnsi="宋体" w:cs="宋体"/>
          <w:color w:val="auto"/>
          <w:sz w:val="21"/>
          <w:szCs w:val="21"/>
          <w:highlight w:val="none"/>
        </w:rPr>
        <w:t>未</w:t>
      </w:r>
      <w:r>
        <w:rPr>
          <w:rFonts w:hint="eastAsia" w:ascii="宋体" w:hAnsi="宋体" w:cs="宋体"/>
          <w:color w:val="auto"/>
          <w:kern w:val="0"/>
          <w:sz w:val="21"/>
          <w:szCs w:val="21"/>
          <w:highlight w:val="none"/>
        </w:rPr>
        <w:t>涉及商业秘密；</w:t>
      </w:r>
    </w:p>
    <w:p w14:paraId="371408EE">
      <w:pPr>
        <w:spacing w:line="360" w:lineRule="auto"/>
        <w:ind w:firstLine="420" w:firstLine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□我方本次响应文件</w:t>
      </w:r>
      <w:r>
        <w:rPr>
          <w:rFonts w:hint="eastAsia" w:ascii="宋体" w:hAnsi="宋体" w:cs="宋体"/>
          <w:color w:val="auto"/>
          <w:kern w:val="0"/>
          <w:sz w:val="21"/>
          <w:szCs w:val="21"/>
          <w:highlight w:val="none"/>
        </w:rPr>
        <w:t>涉及商业秘密的内容有：</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w:t>
      </w:r>
    </w:p>
    <w:p w14:paraId="232979BC">
      <w:pPr>
        <w:pStyle w:val="18"/>
        <w:spacing w:line="360" w:lineRule="auto"/>
        <w:ind w:firstLine="420" w:firstLineChars="200"/>
        <w:contextualSpacing/>
        <w:rPr>
          <w:rFonts w:hint="eastAsia" w:hAnsi="宋体" w:cs="宋体"/>
          <w:color w:val="auto"/>
          <w:sz w:val="21"/>
          <w:szCs w:val="21"/>
          <w:highlight w:val="none"/>
          <w:u w:val="single"/>
        </w:rPr>
      </w:pPr>
      <w:r>
        <w:rPr>
          <w:rFonts w:hint="eastAsia" w:hAnsi="宋体" w:cs="宋体"/>
          <w:color w:val="auto"/>
          <w:sz w:val="21"/>
          <w:szCs w:val="21"/>
          <w:highlight w:val="none"/>
        </w:rPr>
        <w:t>7.与本磋商有关的一切正式往来信函请寄：</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邮政编号：</w:t>
      </w:r>
      <w:r>
        <w:rPr>
          <w:rFonts w:hint="eastAsia" w:hAnsi="宋体" w:cs="宋体"/>
          <w:color w:val="auto"/>
          <w:sz w:val="21"/>
          <w:szCs w:val="21"/>
          <w:highlight w:val="none"/>
          <w:u w:val="single"/>
        </w:rPr>
        <w:t xml:space="preserve">        </w:t>
      </w:r>
    </w:p>
    <w:p w14:paraId="149AECFE">
      <w:pPr>
        <w:pStyle w:val="18"/>
        <w:spacing w:line="360" w:lineRule="auto"/>
        <w:ind w:firstLine="420" w:firstLineChars="200"/>
        <w:contextualSpacing/>
        <w:rPr>
          <w:rFonts w:hint="eastAsia" w:hAnsi="宋体" w:cs="宋体"/>
          <w:color w:val="auto"/>
          <w:sz w:val="21"/>
          <w:szCs w:val="21"/>
          <w:highlight w:val="none"/>
        </w:rPr>
      </w:pPr>
      <w:r>
        <w:rPr>
          <w:rFonts w:hint="eastAsia" w:hAnsi="宋体" w:cs="宋体"/>
          <w:color w:val="auto"/>
          <w:sz w:val="21"/>
          <w:szCs w:val="21"/>
          <w:highlight w:val="none"/>
        </w:rPr>
        <w:t>电话/传真：</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电子函件：</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p>
    <w:p w14:paraId="1FCD4C97">
      <w:pPr>
        <w:pStyle w:val="16"/>
        <w:tabs>
          <w:tab w:val="left" w:pos="939"/>
        </w:tabs>
        <w:spacing w:line="360" w:lineRule="auto"/>
        <w:ind w:left="141" w:leftChars="67"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开户银行：</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帐号：</w:t>
      </w:r>
      <w:r>
        <w:rPr>
          <w:rFonts w:hint="eastAsia" w:ascii="宋体" w:hAnsi="宋体" w:cs="宋体"/>
          <w:color w:val="auto"/>
          <w:sz w:val="21"/>
          <w:szCs w:val="21"/>
          <w:highlight w:val="none"/>
          <w:u w:val="single"/>
        </w:rPr>
        <w:t xml:space="preserve">                               </w:t>
      </w:r>
    </w:p>
    <w:p w14:paraId="63018446">
      <w:pPr>
        <w:pStyle w:val="16"/>
        <w:tabs>
          <w:tab w:val="left" w:pos="939"/>
        </w:tabs>
        <w:spacing w:line="360" w:lineRule="auto"/>
        <w:ind w:left="0" w:leftChars="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8.以上事项如有虚假或者隐瞒，我方愿意承担一切后果，并不再寻求任何旨在减轻或者免除法律责任的辩解。</w:t>
      </w:r>
    </w:p>
    <w:p w14:paraId="7B649F6F">
      <w:pPr>
        <w:pStyle w:val="16"/>
        <w:tabs>
          <w:tab w:val="left" w:pos="939"/>
        </w:tabs>
        <w:spacing w:line="360" w:lineRule="auto"/>
        <w:ind w:left="141" w:leftChars="67"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特此承诺。</w:t>
      </w:r>
    </w:p>
    <w:p w14:paraId="4DB9E35D">
      <w:pPr>
        <w:pStyle w:val="16"/>
        <w:tabs>
          <w:tab w:val="left" w:pos="939"/>
        </w:tabs>
        <w:spacing w:line="360" w:lineRule="auto"/>
        <w:ind w:left="0" w:leftChars="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注：如为联合体竞标，盖章处须加盖联合体各方公章并由联合体各方法定代表人签署，否则其响应文件按无效响应处理。</w:t>
      </w:r>
    </w:p>
    <w:p w14:paraId="5EBB6C4C">
      <w:pPr>
        <w:pStyle w:val="16"/>
        <w:tabs>
          <w:tab w:val="left" w:pos="939"/>
        </w:tabs>
        <w:spacing w:line="360" w:lineRule="auto"/>
        <w:ind w:left="0" w:leftChars="0" w:firstLine="420" w:firstLineChars="200"/>
        <w:rPr>
          <w:rFonts w:hint="eastAsia" w:ascii="宋体" w:hAnsi="宋体" w:cs="宋体"/>
          <w:color w:val="auto"/>
          <w:sz w:val="21"/>
          <w:szCs w:val="21"/>
          <w:highlight w:val="none"/>
        </w:rPr>
      </w:pPr>
    </w:p>
    <w:p w14:paraId="2E9DDA00">
      <w:pPr>
        <w:spacing w:line="360" w:lineRule="auto"/>
        <w:ind w:firstLine="3780" w:firstLineChars="1800"/>
        <w:contextualSpacing/>
        <w:rPr>
          <w:rFonts w:hint="eastAsia"/>
          <w:color w:val="auto"/>
          <w:sz w:val="21"/>
          <w:szCs w:val="21"/>
          <w:highlight w:val="none"/>
        </w:rPr>
      </w:pPr>
      <w:r>
        <w:rPr>
          <w:rFonts w:hint="eastAsia"/>
          <w:color w:val="auto"/>
          <w:sz w:val="21"/>
          <w:szCs w:val="21"/>
          <w:highlight w:val="none"/>
        </w:rPr>
        <w:t>法定代表人（签字</w:t>
      </w:r>
      <w:r>
        <w:rPr>
          <w:rFonts w:hint="eastAsia"/>
          <w:color w:val="auto"/>
          <w:sz w:val="21"/>
          <w:szCs w:val="21"/>
          <w:highlight w:val="none"/>
          <w:lang w:val="en-US" w:eastAsia="zh-CN"/>
        </w:rPr>
        <w:t>或电子签名</w:t>
      </w:r>
      <w:r>
        <w:rPr>
          <w:rFonts w:hint="eastAsia"/>
          <w:color w:val="auto"/>
          <w:sz w:val="21"/>
          <w:szCs w:val="21"/>
          <w:highlight w:val="none"/>
        </w:rPr>
        <w:t>）：</w:t>
      </w:r>
      <w:r>
        <w:rPr>
          <w:rFonts w:hint="eastAsia"/>
          <w:color w:val="auto"/>
          <w:sz w:val="21"/>
          <w:szCs w:val="21"/>
          <w:highlight w:val="none"/>
          <w:u w:val="single"/>
        </w:rPr>
        <w:t xml:space="preserve">                             </w:t>
      </w:r>
      <w:r>
        <w:rPr>
          <w:rFonts w:hint="eastAsia"/>
          <w:color w:val="auto"/>
          <w:sz w:val="21"/>
          <w:szCs w:val="21"/>
          <w:highlight w:val="none"/>
        </w:rPr>
        <w:t xml:space="preserve">                                     </w:t>
      </w:r>
    </w:p>
    <w:p w14:paraId="4103B19C">
      <w:pPr>
        <w:spacing w:line="360" w:lineRule="auto"/>
        <w:ind w:firstLine="3780" w:firstLineChars="1800"/>
        <w:contextualSpacing/>
        <w:rPr>
          <w:rFonts w:hint="eastAsia" w:ascii="宋体" w:hAnsi="宋体" w:cs="宋体"/>
          <w:color w:val="auto"/>
          <w:sz w:val="21"/>
          <w:szCs w:val="21"/>
          <w:highlight w:val="none"/>
          <w:u w:val="single"/>
        </w:rPr>
      </w:pPr>
      <w:r>
        <w:rPr>
          <w:rFonts w:hint="eastAsia"/>
          <w:color w:val="auto"/>
          <w:sz w:val="21"/>
          <w:szCs w:val="21"/>
          <w:highlight w:val="none"/>
        </w:rPr>
        <w:t>供应商（</w:t>
      </w:r>
      <w:r>
        <w:rPr>
          <w:rFonts w:hint="eastAsia"/>
          <w:color w:val="auto"/>
          <w:sz w:val="21"/>
          <w:szCs w:val="21"/>
          <w:highlight w:val="none"/>
          <w:lang w:val="en-US" w:eastAsia="zh-CN"/>
        </w:rPr>
        <w:t>CA</w:t>
      </w:r>
      <w:r>
        <w:rPr>
          <w:rFonts w:hint="eastAsia"/>
          <w:color w:val="auto"/>
          <w:sz w:val="21"/>
          <w:szCs w:val="21"/>
          <w:highlight w:val="none"/>
        </w:rPr>
        <w:t>电子签章）：</w:t>
      </w:r>
      <w:r>
        <w:rPr>
          <w:rFonts w:hint="eastAsia"/>
          <w:color w:val="auto"/>
          <w:sz w:val="21"/>
          <w:szCs w:val="21"/>
          <w:highlight w:val="none"/>
          <w:u w:val="single"/>
        </w:rPr>
        <w:t xml:space="preserve">                               </w:t>
      </w:r>
      <w:r>
        <w:rPr>
          <w:rFonts w:hint="eastAsia"/>
          <w:color w:val="auto"/>
          <w:sz w:val="21"/>
          <w:szCs w:val="21"/>
          <w:highlight w:val="none"/>
        </w:rPr>
        <w:t xml:space="preserve">       </w:t>
      </w:r>
      <w:r>
        <w:rPr>
          <w:rFonts w:hint="eastAsia" w:ascii="宋体" w:hAnsi="宋体" w:cs="宋体"/>
          <w:color w:val="auto"/>
          <w:sz w:val="21"/>
          <w:szCs w:val="21"/>
          <w:highlight w:val="none"/>
        </w:rPr>
        <w:t xml:space="preserve">    </w:t>
      </w:r>
    </w:p>
    <w:p w14:paraId="2D7C484E">
      <w:pPr>
        <w:pageBreakBefore w:val="0"/>
        <w:kinsoku/>
        <w:wordWrap/>
        <w:topLinePunct w:val="0"/>
        <w:bidi w:val="0"/>
        <w:spacing w:line="312" w:lineRule="auto"/>
        <w:ind w:right="480" w:firstLine="210" w:firstLineChars="100"/>
        <w:contextualSpacing/>
        <w:jc w:val="center"/>
        <w:rPr>
          <w:rFonts w:ascii="宋体" w:hAnsi="宋体"/>
          <w:color w:val="auto"/>
          <w:sz w:val="28"/>
          <w:szCs w:val="28"/>
          <w:highlight w:val="none"/>
        </w:rPr>
      </w:pPr>
      <w:r>
        <w:rPr>
          <w:rFonts w:hint="eastAsia" w:ascii="宋体" w:hAnsi="宋体" w:cs="宋体"/>
          <w:color w:val="auto"/>
          <w:sz w:val="21"/>
          <w:szCs w:val="21"/>
          <w:highlight w:val="none"/>
        </w:rPr>
        <w:t xml:space="preserve">                                                  </w:t>
      </w:r>
      <w:r>
        <w:rPr>
          <w:rFonts w:hint="eastAsia"/>
          <w:color w:val="auto"/>
          <w:sz w:val="21"/>
          <w:szCs w:val="21"/>
          <w:highlight w:val="none"/>
        </w:rPr>
        <w:t xml:space="preserve"> 年    月    日</w:t>
      </w:r>
    </w:p>
    <w:p w14:paraId="0FF2CEC7">
      <w:pPr>
        <w:pStyle w:val="8"/>
        <w:pageBreakBefore w:val="0"/>
        <w:kinsoku/>
        <w:wordWrap/>
        <w:overflowPunct w:val="0"/>
        <w:topLinePunct w:val="0"/>
        <w:bidi w:val="0"/>
        <w:spacing w:line="312" w:lineRule="auto"/>
        <w:ind w:firstLine="0"/>
        <w:rPr>
          <w:rFonts w:ascii="宋体" w:hAnsi="宋体"/>
          <w:b/>
          <w:bCs/>
          <w:color w:val="auto"/>
          <w:sz w:val="32"/>
          <w:szCs w:val="32"/>
          <w:highlight w:val="none"/>
        </w:rPr>
      </w:pPr>
    </w:p>
    <w:p w14:paraId="668DDF3F">
      <w:pPr>
        <w:pageBreakBefore w:val="0"/>
        <w:kinsoku/>
        <w:wordWrap/>
        <w:topLinePunct w:val="0"/>
        <w:bidi w:val="0"/>
        <w:snapToGrid w:val="0"/>
        <w:spacing w:before="120" w:beforeLines="50" w:after="50" w:line="312" w:lineRule="auto"/>
        <w:ind w:right="480" w:firstLine="321" w:firstLineChars="100"/>
        <w:jc w:val="center"/>
        <w:rPr>
          <w:rFonts w:ascii="宋体" w:hAnsi="宋体"/>
          <w:b/>
          <w:bCs/>
          <w:color w:val="auto"/>
          <w:sz w:val="32"/>
          <w:szCs w:val="32"/>
          <w:highlight w:val="none"/>
        </w:rPr>
        <w:sectPr>
          <w:footerReference r:id="rId8" w:type="default"/>
          <w:pgSz w:w="11907" w:h="16840"/>
          <w:pgMar w:top="1440" w:right="1440" w:bottom="1440" w:left="1797" w:header="567" w:footer="591" w:gutter="0"/>
          <w:pgNumType w:fmt="decimal"/>
          <w:cols w:space="720" w:num="1"/>
          <w:docGrid w:linePitch="312" w:charSpace="0"/>
        </w:sectPr>
      </w:pPr>
    </w:p>
    <w:p w14:paraId="11094BD3">
      <w:pPr>
        <w:pageBreakBefore w:val="0"/>
        <w:kinsoku/>
        <w:wordWrap/>
        <w:topLinePunct w:val="0"/>
        <w:bidi w:val="0"/>
        <w:snapToGrid w:val="0"/>
        <w:spacing w:before="120" w:beforeLines="50" w:after="50" w:line="312" w:lineRule="auto"/>
        <w:ind w:right="480" w:rightChars="0"/>
        <w:jc w:val="both"/>
        <w:outlineLvl w:val="0"/>
        <w:rPr>
          <w:rFonts w:hint="eastAsia" w:ascii="宋体" w:hAnsi="宋体"/>
          <w:b/>
          <w:color w:val="auto"/>
          <w:sz w:val="32"/>
          <w:szCs w:val="32"/>
          <w:highlight w:val="none"/>
        </w:rPr>
      </w:pPr>
      <w:bookmarkStart w:id="110" w:name="_Toc31060"/>
      <w:r>
        <w:rPr>
          <w:rFonts w:hint="eastAsia" w:ascii="宋体" w:hAnsi="宋体"/>
          <w:b/>
          <w:bCs/>
          <w:color w:val="auto"/>
          <w:sz w:val="32"/>
          <w:szCs w:val="32"/>
          <w:highlight w:val="none"/>
        </w:rPr>
        <w:t>二、</w:t>
      </w:r>
      <w:r>
        <w:rPr>
          <w:rFonts w:hint="eastAsia" w:ascii="宋体" w:hAnsi="宋体"/>
          <w:b/>
          <w:color w:val="auto"/>
          <w:sz w:val="32"/>
          <w:szCs w:val="32"/>
          <w:highlight w:val="none"/>
        </w:rPr>
        <w:t>报价文件格式</w:t>
      </w:r>
      <w:bookmarkEnd w:id="110"/>
    </w:p>
    <w:p w14:paraId="03F23EC1">
      <w:pPr>
        <w:pageBreakBefore w:val="0"/>
        <w:kinsoku/>
        <w:wordWrap/>
        <w:topLinePunct w:val="0"/>
        <w:bidi w:val="0"/>
        <w:snapToGrid w:val="0"/>
        <w:spacing w:before="120" w:beforeLines="50" w:after="50" w:line="312" w:lineRule="auto"/>
        <w:jc w:val="left"/>
        <w:outlineLvl w:val="1"/>
        <w:rPr>
          <w:rFonts w:ascii="宋体" w:hAnsi="宋体"/>
          <w:b/>
          <w:color w:val="auto"/>
          <w:sz w:val="32"/>
          <w:szCs w:val="32"/>
          <w:highlight w:val="none"/>
        </w:rPr>
      </w:pPr>
      <w:r>
        <w:rPr>
          <w:rFonts w:hint="eastAsia" w:ascii="宋体" w:hAnsi="宋体"/>
          <w:b/>
          <w:color w:val="auto"/>
          <w:sz w:val="32"/>
          <w:szCs w:val="32"/>
          <w:highlight w:val="none"/>
        </w:rPr>
        <w:t>1.报价文件封面格式</w:t>
      </w:r>
    </w:p>
    <w:p w14:paraId="0E5DE6C7">
      <w:pPr>
        <w:pageBreakBefore w:val="0"/>
        <w:kinsoku/>
        <w:wordWrap/>
        <w:topLinePunct w:val="0"/>
        <w:bidi w:val="0"/>
        <w:snapToGrid w:val="0"/>
        <w:spacing w:before="120" w:beforeLines="50" w:after="50" w:line="312" w:lineRule="auto"/>
        <w:rPr>
          <w:rFonts w:hint="eastAsia" w:ascii="宋体" w:hAnsi="宋体"/>
          <w:bCs/>
          <w:color w:val="auto"/>
          <w:sz w:val="32"/>
          <w:szCs w:val="20"/>
          <w:highlight w:val="none"/>
        </w:rPr>
      </w:pPr>
      <w:r>
        <w:rPr>
          <w:rFonts w:hint="eastAsia" w:ascii="宋体" w:hAnsi="宋体"/>
          <w:color w:val="auto"/>
          <w:sz w:val="24"/>
          <w:highlight w:val="none"/>
        </w:rPr>
        <w:t xml:space="preserve">                                                    </w:t>
      </w:r>
    </w:p>
    <w:p w14:paraId="43C3E86B">
      <w:pPr>
        <w:pageBreakBefore w:val="0"/>
        <w:kinsoku/>
        <w:wordWrap/>
        <w:topLinePunct w:val="0"/>
        <w:bidi w:val="0"/>
        <w:snapToGrid w:val="0"/>
        <w:spacing w:before="120" w:beforeLines="50" w:after="50" w:line="312" w:lineRule="auto"/>
        <w:rPr>
          <w:rFonts w:hint="eastAsia" w:ascii="宋体" w:hAnsi="宋体"/>
          <w:color w:val="auto"/>
          <w:sz w:val="24"/>
          <w:szCs w:val="20"/>
          <w:highlight w:val="none"/>
        </w:rPr>
      </w:pPr>
    </w:p>
    <w:p w14:paraId="5C1D886C">
      <w:pPr>
        <w:pageBreakBefore w:val="0"/>
        <w:kinsoku/>
        <w:wordWrap/>
        <w:topLinePunct w:val="0"/>
        <w:bidi w:val="0"/>
        <w:snapToGrid w:val="0"/>
        <w:spacing w:before="120" w:beforeLines="50" w:after="50" w:line="312" w:lineRule="auto"/>
        <w:rPr>
          <w:rFonts w:hint="eastAsia" w:ascii="宋体" w:hAnsi="宋体"/>
          <w:color w:val="auto"/>
          <w:sz w:val="24"/>
          <w:szCs w:val="20"/>
          <w:highlight w:val="none"/>
        </w:rPr>
      </w:pPr>
    </w:p>
    <w:p w14:paraId="13112115">
      <w:pPr>
        <w:pageBreakBefore w:val="0"/>
        <w:kinsoku/>
        <w:wordWrap/>
        <w:topLinePunct w:val="0"/>
        <w:bidi w:val="0"/>
        <w:snapToGrid w:val="0"/>
        <w:spacing w:before="120" w:beforeLines="50" w:after="0" w:afterLines="0" w:line="312" w:lineRule="auto"/>
        <w:rPr>
          <w:rFonts w:hint="eastAsia" w:ascii="宋体" w:hAnsi="宋体"/>
          <w:color w:val="auto"/>
          <w:sz w:val="24"/>
          <w:szCs w:val="20"/>
          <w:highlight w:val="none"/>
        </w:rPr>
      </w:pPr>
    </w:p>
    <w:p w14:paraId="180199A6">
      <w:pPr>
        <w:pageBreakBefore w:val="0"/>
        <w:kinsoku/>
        <w:wordWrap/>
        <w:topLinePunct w:val="0"/>
        <w:bidi w:val="0"/>
        <w:snapToGrid w:val="0"/>
        <w:spacing w:before="0" w:beforeLines="0" w:after="0" w:afterLines="0" w:line="312" w:lineRule="auto"/>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0D2549E6">
      <w:pPr>
        <w:pageBreakBefore w:val="0"/>
        <w:kinsoku/>
        <w:wordWrap/>
        <w:topLinePunct w:val="0"/>
        <w:bidi w:val="0"/>
        <w:snapToGrid w:val="0"/>
        <w:spacing w:before="0" w:beforeLines="0" w:after="50" w:line="312" w:lineRule="auto"/>
        <w:rPr>
          <w:rFonts w:hint="eastAsia" w:ascii="宋体" w:hAnsi="宋体"/>
          <w:bCs/>
          <w:color w:val="auto"/>
          <w:sz w:val="24"/>
          <w:szCs w:val="20"/>
          <w:highlight w:val="none"/>
        </w:rPr>
      </w:pPr>
    </w:p>
    <w:p w14:paraId="797E889B">
      <w:pPr>
        <w:pageBreakBefore w:val="0"/>
        <w:kinsoku/>
        <w:wordWrap/>
        <w:topLinePunct w:val="0"/>
        <w:bidi w:val="0"/>
        <w:snapToGrid w:val="0"/>
        <w:spacing w:before="120" w:beforeLines="50" w:after="50" w:line="312" w:lineRule="auto"/>
        <w:rPr>
          <w:rFonts w:hint="eastAsia" w:ascii="宋体" w:hAnsi="宋体"/>
          <w:bCs/>
          <w:color w:val="auto"/>
          <w:sz w:val="24"/>
          <w:szCs w:val="20"/>
          <w:highlight w:val="none"/>
        </w:rPr>
      </w:pPr>
    </w:p>
    <w:p w14:paraId="34A8CD1B">
      <w:pPr>
        <w:pageBreakBefore w:val="0"/>
        <w:kinsoku/>
        <w:wordWrap/>
        <w:topLinePunct w:val="0"/>
        <w:bidi w:val="0"/>
        <w:snapToGrid w:val="0"/>
        <w:spacing w:before="120" w:beforeLines="50" w:after="50" w:line="312" w:lineRule="auto"/>
        <w:rPr>
          <w:rFonts w:hint="eastAsia" w:ascii="宋体" w:hAnsi="宋体"/>
          <w:bCs/>
          <w:color w:val="auto"/>
          <w:sz w:val="24"/>
          <w:szCs w:val="20"/>
          <w:highlight w:val="none"/>
        </w:rPr>
      </w:pPr>
    </w:p>
    <w:p w14:paraId="150CAD9C">
      <w:pPr>
        <w:pageBreakBefore w:val="0"/>
        <w:kinsoku/>
        <w:wordWrap/>
        <w:topLinePunct w:val="0"/>
        <w:bidi w:val="0"/>
        <w:snapToGrid w:val="0"/>
        <w:spacing w:before="120" w:beforeLines="50" w:after="50" w:line="312" w:lineRule="auto"/>
        <w:rPr>
          <w:rFonts w:hint="eastAsia" w:ascii="宋体" w:hAnsi="宋体"/>
          <w:bCs/>
          <w:color w:val="auto"/>
          <w:sz w:val="24"/>
          <w:szCs w:val="20"/>
          <w:highlight w:val="none"/>
        </w:rPr>
      </w:pPr>
    </w:p>
    <w:p w14:paraId="56436AE0">
      <w:pPr>
        <w:pageBreakBefore w:val="0"/>
        <w:kinsoku/>
        <w:wordWrap/>
        <w:topLinePunct w:val="0"/>
        <w:bidi w:val="0"/>
        <w:snapToGrid w:val="0"/>
        <w:spacing w:before="120" w:beforeLines="50" w:after="50" w:line="312" w:lineRule="auto"/>
        <w:rPr>
          <w:rFonts w:hint="eastAsia" w:ascii="宋体" w:hAnsi="宋体"/>
          <w:bCs/>
          <w:color w:val="auto"/>
          <w:sz w:val="24"/>
          <w:szCs w:val="20"/>
          <w:highlight w:val="none"/>
        </w:rPr>
      </w:pPr>
    </w:p>
    <w:p w14:paraId="1FA8E956">
      <w:pPr>
        <w:pageBreakBefore w:val="0"/>
        <w:kinsoku/>
        <w:wordWrap/>
        <w:topLinePunct w:val="0"/>
        <w:bidi w:val="0"/>
        <w:snapToGrid w:val="0"/>
        <w:spacing w:before="120" w:beforeLines="50" w:after="50" w:line="312" w:lineRule="auto"/>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1EBC3302">
      <w:pPr>
        <w:pageBreakBefore w:val="0"/>
        <w:kinsoku/>
        <w:wordWrap/>
        <w:topLinePunct w:val="0"/>
        <w:bidi w:val="0"/>
        <w:snapToGrid w:val="0"/>
        <w:spacing w:before="120" w:beforeLines="50" w:after="50" w:line="312" w:lineRule="auto"/>
        <w:ind w:firstLine="720" w:firstLineChars="225"/>
        <w:rPr>
          <w:rFonts w:hint="eastAsia" w:ascii="宋体" w:hAnsi="宋体" w:cs="仿宋_GB2312"/>
          <w:bCs/>
          <w:color w:val="auto"/>
          <w:sz w:val="32"/>
          <w:szCs w:val="32"/>
          <w:highlight w:val="none"/>
        </w:rPr>
      </w:pPr>
    </w:p>
    <w:p w14:paraId="3380D226">
      <w:pPr>
        <w:pageBreakBefore w:val="0"/>
        <w:kinsoku/>
        <w:wordWrap/>
        <w:topLinePunct w:val="0"/>
        <w:bidi w:val="0"/>
        <w:snapToGrid w:val="0"/>
        <w:spacing w:before="120" w:beforeLines="50" w:after="50" w:line="312" w:lineRule="auto"/>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1019F916">
      <w:pPr>
        <w:pageBreakBefore w:val="0"/>
        <w:kinsoku/>
        <w:wordWrap/>
        <w:topLinePunct w:val="0"/>
        <w:bidi w:val="0"/>
        <w:snapToGrid w:val="0"/>
        <w:spacing w:before="120" w:beforeLines="50" w:after="0" w:afterLines="0" w:line="312" w:lineRule="auto"/>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41ADC90D">
      <w:pPr>
        <w:pageBreakBefore w:val="0"/>
        <w:kinsoku/>
        <w:wordWrap/>
        <w:topLinePunct w:val="0"/>
        <w:bidi w:val="0"/>
        <w:snapToGrid w:val="0"/>
        <w:spacing w:before="0" w:beforeLines="0" w:after="0" w:afterLines="0" w:line="312" w:lineRule="auto"/>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489FE09E">
      <w:pPr>
        <w:pageBreakBefore w:val="0"/>
        <w:kinsoku/>
        <w:wordWrap/>
        <w:topLinePunct w:val="0"/>
        <w:bidi w:val="0"/>
        <w:snapToGrid w:val="0"/>
        <w:spacing w:before="0" w:beforeLines="0" w:after="0" w:afterLines="0" w:line="312" w:lineRule="auto"/>
        <w:ind w:firstLine="720" w:firstLineChars="225"/>
        <w:rPr>
          <w:rFonts w:hint="eastAsia" w:ascii="宋体" w:hAnsi="宋体" w:cs="仿宋_GB2312"/>
          <w:bCs/>
          <w:color w:val="auto"/>
          <w:sz w:val="32"/>
          <w:szCs w:val="32"/>
          <w:highlight w:val="none"/>
        </w:rPr>
      </w:pPr>
    </w:p>
    <w:p w14:paraId="03640789">
      <w:pPr>
        <w:pStyle w:val="8"/>
        <w:pageBreakBefore w:val="0"/>
        <w:kinsoku/>
        <w:wordWrap/>
        <w:topLinePunct w:val="0"/>
        <w:bidi w:val="0"/>
        <w:snapToGrid w:val="0"/>
        <w:spacing w:before="159" w:beforeLines="50" w:after="0" w:afterLines="0" w:line="312" w:lineRule="auto"/>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0541E6C1">
      <w:pPr>
        <w:pStyle w:val="8"/>
        <w:pageBreakBefore w:val="0"/>
        <w:kinsoku/>
        <w:wordWrap/>
        <w:topLinePunct w:val="0"/>
        <w:bidi w:val="0"/>
        <w:snapToGrid w:val="0"/>
        <w:spacing w:before="0" w:beforeLines="0" w:after="50" w:line="312" w:lineRule="auto"/>
        <w:ind w:firstLine="720" w:firstLineChars="225"/>
        <w:rPr>
          <w:rFonts w:hint="eastAsia" w:ascii="宋体" w:hAnsi="宋体" w:cs="仿宋_GB2312"/>
          <w:bCs/>
          <w:color w:val="auto"/>
          <w:sz w:val="32"/>
          <w:szCs w:val="32"/>
          <w:highlight w:val="none"/>
        </w:rPr>
      </w:pPr>
    </w:p>
    <w:p w14:paraId="6762D201">
      <w:pPr>
        <w:pStyle w:val="8"/>
        <w:pageBreakBefore w:val="0"/>
        <w:kinsoku/>
        <w:wordWrap/>
        <w:topLinePunct w:val="0"/>
        <w:bidi w:val="0"/>
        <w:snapToGrid w:val="0"/>
        <w:spacing w:before="50" w:after="50" w:line="312" w:lineRule="auto"/>
        <w:ind w:firstLine="720" w:firstLineChars="225"/>
        <w:rPr>
          <w:rFonts w:hint="eastAsia" w:ascii="宋体" w:hAnsi="宋体" w:cs="仿宋_GB2312"/>
          <w:bCs/>
          <w:color w:val="auto"/>
          <w:sz w:val="32"/>
          <w:szCs w:val="32"/>
          <w:highlight w:val="none"/>
        </w:rPr>
      </w:pPr>
    </w:p>
    <w:p w14:paraId="57E80E0C">
      <w:pPr>
        <w:pageBreakBefore w:val="0"/>
        <w:kinsoku/>
        <w:wordWrap/>
        <w:topLinePunct w:val="0"/>
        <w:bidi w:val="0"/>
        <w:snapToGrid w:val="0"/>
        <w:spacing w:before="120" w:beforeLines="50" w:after="50" w:line="312" w:lineRule="auto"/>
        <w:ind w:left="0" w:firstLine="3520" w:firstLineChars="1100"/>
        <w:jc w:val="left"/>
        <w:rPr>
          <w:rFonts w:hint="eastAsia" w:ascii="宋体" w:hAnsi="宋体"/>
          <w:b/>
          <w:bCs/>
          <w:color w:val="auto"/>
          <w:sz w:val="24"/>
          <w:highlight w:val="none"/>
        </w:rPr>
      </w:pPr>
      <w:r>
        <w:rPr>
          <w:rFonts w:hint="eastAsia" w:ascii="宋体" w:hAnsi="宋体" w:cs="仿宋_GB2312"/>
          <w:color w:val="auto"/>
          <w:sz w:val="32"/>
          <w:szCs w:val="32"/>
          <w:highlight w:val="none"/>
        </w:rPr>
        <w:t>年    月    日</w:t>
      </w:r>
      <w:r>
        <w:rPr>
          <w:rFonts w:ascii="宋体" w:hAnsi="宋体"/>
          <w:color w:val="auto"/>
          <w:sz w:val="24"/>
          <w:highlight w:val="none"/>
        </w:rPr>
        <w:br w:type="page"/>
      </w:r>
      <w:r>
        <w:rPr>
          <w:rFonts w:hint="eastAsia" w:ascii="宋体" w:hAnsi="宋体"/>
          <w:b/>
          <w:bCs/>
          <w:color w:val="auto"/>
          <w:sz w:val="32"/>
          <w:szCs w:val="32"/>
          <w:highlight w:val="none"/>
        </w:rPr>
        <w:t>2.报价文件目录</w:t>
      </w:r>
    </w:p>
    <w:p w14:paraId="509F912E">
      <w:pPr>
        <w:pageBreakBefore w:val="0"/>
        <w:kinsoku/>
        <w:wordWrap/>
        <w:topLinePunct w:val="0"/>
        <w:bidi w:val="0"/>
        <w:snapToGrid w:val="0"/>
        <w:spacing w:before="120" w:beforeLines="50" w:after="50" w:line="312"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6B2CC2E2">
      <w:pPr>
        <w:pageBreakBefore w:val="0"/>
        <w:kinsoku/>
        <w:wordWrap/>
        <w:topLinePunct w:val="0"/>
        <w:bidi w:val="0"/>
        <w:spacing w:line="312" w:lineRule="auto"/>
        <w:rPr>
          <w:rFonts w:hint="eastAsia" w:ascii="仿宋_GB2312" w:hAnsi="仿宋_GB2312" w:eastAsia="仿宋_GB2312" w:cs="仿宋_GB2312"/>
          <w:color w:val="auto"/>
          <w:sz w:val="32"/>
          <w:szCs w:val="32"/>
          <w:highlight w:val="none"/>
        </w:rPr>
      </w:pPr>
    </w:p>
    <w:p w14:paraId="2DF61FB8">
      <w:pPr>
        <w:pageBreakBefore w:val="0"/>
        <w:kinsoku/>
        <w:wordWrap/>
        <w:topLinePunct w:val="0"/>
        <w:bidi w:val="0"/>
        <w:spacing w:line="312" w:lineRule="auto"/>
        <w:ind w:firstLine="880" w:firstLineChars="200"/>
        <w:contextualSpacing/>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p>
    <w:p w14:paraId="1DC5D733">
      <w:pPr>
        <w:pageBreakBefore w:val="0"/>
        <w:kinsoku/>
        <w:wordWrap/>
        <w:topLinePunct w:val="0"/>
        <w:bidi w:val="0"/>
        <w:spacing w:line="312" w:lineRule="auto"/>
        <w:jc w:val="center"/>
        <w:rPr>
          <w:rFonts w:hint="eastAsia"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竞  标  报  价  表</w:t>
      </w:r>
    </w:p>
    <w:p w14:paraId="74CD0F5E">
      <w:pPr>
        <w:pageBreakBefore w:val="0"/>
        <w:kinsoku/>
        <w:wordWrap/>
        <w:topLinePunct w:val="0"/>
        <w:bidi w:val="0"/>
        <w:spacing w:line="312" w:lineRule="auto"/>
        <w:jc w:val="center"/>
        <w:rPr>
          <w:rFonts w:hint="eastAsia" w:ascii="方正小标宋简体" w:hAnsi="方正小标宋简体" w:eastAsia="方正小标宋简体" w:cs="方正小标宋简体"/>
          <w:bCs/>
          <w:color w:val="auto"/>
          <w:sz w:val="32"/>
          <w:szCs w:val="32"/>
          <w:highlight w:val="none"/>
        </w:rPr>
      </w:pPr>
    </w:p>
    <w:p w14:paraId="0F4EB3C1">
      <w:pPr>
        <w:pageBreakBefore w:val="0"/>
        <w:kinsoku/>
        <w:wordWrap/>
        <w:topLinePunct w:val="0"/>
        <w:bidi w:val="0"/>
        <w:spacing w:line="312"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20B40BFF">
      <w:pPr>
        <w:pageBreakBefore w:val="0"/>
        <w:kinsoku/>
        <w:wordWrap/>
        <w:topLinePunct w:val="0"/>
        <w:bidi w:val="0"/>
        <w:spacing w:line="312"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分标（如有）：</w:t>
      </w:r>
      <w:r>
        <w:rPr>
          <w:rFonts w:hint="eastAsia" w:ascii="宋体" w:hAnsi="宋体" w:cs="仿宋_GB2312"/>
          <w:color w:val="auto"/>
          <w:sz w:val="24"/>
          <w:highlight w:val="none"/>
          <w:u w:val="single"/>
        </w:rPr>
        <w:t xml:space="preserve">                                         </w:t>
      </w:r>
    </w:p>
    <w:p w14:paraId="14E1184F">
      <w:pPr>
        <w:pageBreakBefore w:val="0"/>
        <w:kinsoku/>
        <w:wordWrap/>
        <w:topLinePunct w:val="0"/>
        <w:bidi w:val="0"/>
        <w:spacing w:line="312" w:lineRule="auto"/>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tbl>
      <w:tblPr>
        <w:tblStyle w:val="29"/>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3544"/>
        <w:gridCol w:w="1845"/>
        <w:gridCol w:w="1620"/>
        <w:gridCol w:w="1499"/>
      </w:tblGrid>
      <w:tr w14:paraId="36F65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7B8D7591">
            <w:pPr>
              <w:pageBreakBefore w:val="0"/>
              <w:kinsoku/>
              <w:wordWrap/>
              <w:topLinePunct w:val="0"/>
              <w:bidi w:val="0"/>
              <w:spacing w:line="312" w:lineRule="auto"/>
              <w:contextualSpacing/>
              <w:jc w:val="center"/>
              <w:rPr>
                <w:rFonts w:ascii="宋体" w:hAnsi="宋体" w:cs="仿宋_GB2312"/>
                <w:color w:val="auto"/>
                <w:sz w:val="24"/>
                <w:highlight w:val="none"/>
              </w:rPr>
            </w:pPr>
            <w:r>
              <w:rPr>
                <w:rFonts w:ascii="宋体" w:hAnsi="宋体" w:cs="仿宋_GB2312"/>
                <w:color w:val="auto"/>
                <w:sz w:val="24"/>
                <w:highlight w:val="none"/>
              </w:rPr>
              <w:t>序号</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087C4C31">
            <w:pPr>
              <w:pageBreakBefore w:val="0"/>
              <w:kinsoku/>
              <w:wordWrap/>
              <w:topLinePunct w:val="0"/>
              <w:bidi w:val="0"/>
              <w:spacing w:line="312" w:lineRule="auto"/>
              <w:contextualSpacing/>
              <w:jc w:val="center"/>
              <w:rPr>
                <w:rFonts w:hint="default"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标的名称</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19A26BBC">
            <w:pPr>
              <w:pageBreakBefore w:val="0"/>
              <w:kinsoku/>
              <w:wordWrap/>
              <w:topLinePunct w:val="0"/>
              <w:bidi w:val="0"/>
              <w:spacing w:line="312"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数量</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88C0E3E">
            <w:pPr>
              <w:pageBreakBefore w:val="0"/>
              <w:kinsoku/>
              <w:wordWrap/>
              <w:topLinePunct w:val="0"/>
              <w:bidi w:val="0"/>
              <w:spacing w:line="312"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单位</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4A636151">
            <w:pPr>
              <w:pageBreakBefore w:val="0"/>
              <w:kinsoku/>
              <w:wordWrap/>
              <w:topLinePunct w:val="0"/>
              <w:bidi w:val="0"/>
              <w:spacing w:line="312" w:lineRule="auto"/>
              <w:contextualSpacing/>
              <w:jc w:val="center"/>
              <w:rPr>
                <w:rFonts w:ascii="宋体" w:hAnsi="宋体" w:cs="仿宋_GB2312"/>
                <w:color w:val="auto"/>
                <w:sz w:val="24"/>
                <w:highlight w:val="none"/>
              </w:rPr>
            </w:pPr>
            <w:r>
              <w:rPr>
                <w:rFonts w:ascii="宋体" w:hAnsi="宋体" w:cs="仿宋_GB2312"/>
                <w:color w:val="auto"/>
                <w:sz w:val="24"/>
                <w:highlight w:val="none"/>
              </w:rPr>
              <w:t>备注</w:t>
            </w:r>
          </w:p>
        </w:tc>
      </w:tr>
      <w:tr w14:paraId="1CED6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768C7746">
            <w:pPr>
              <w:pageBreakBefore w:val="0"/>
              <w:kinsoku/>
              <w:wordWrap/>
              <w:topLinePunct w:val="0"/>
              <w:bidi w:val="0"/>
              <w:spacing w:line="312" w:lineRule="auto"/>
              <w:contextualSpacing/>
              <w:jc w:val="center"/>
              <w:rPr>
                <w:rFonts w:ascii="宋体" w:hAnsi="宋体" w:cs="仿宋_GB2312"/>
                <w:color w:val="auto"/>
                <w:sz w:val="24"/>
                <w:highlight w:val="none"/>
              </w:rPr>
            </w:pPr>
            <w:r>
              <w:rPr>
                <w:rFonts w:ascii="宋体" w:hAnsi="宋体" w:cs="仿宋_GB2312"/>
                <w:color w:val="auto"/>
                <w:sz w:val="24"/>
                <w:highlight w:val="none"/>
              </w:rPr>
              <w:t>1</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3EE60ECF">
            <w:pPr>
              <w:pageBreakBefore w:val="0"/>
              <w:kinsoku/>
              <w:wordWrap/>
              <w:topLinePunct w:val="0"/>
              <w:bidi w:val="0"/>
              <w:spacing w:line="312"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lang w:eastAsia="zh-CN"/>
              </w:rPr>
              <w:t>苍梧六堡茶2026年推介展销项目</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043C86D4">
            <w:pPr>
              <w:pageBreakBefore w:val="0"/>
              <w:kinsoku/>
              <w:wordWrap/>
              <w:topLinePunct w:val="0"/>
              <w:bidi w:val="0"/>
              <w:spacing w:line="312" w:lineRule="auto"/>
              <w:contextualSpacing/>
              <w:jc w:val="center"/>
              <w:rPr>
                <w:rFonts w:ascii="宋体" w:hAnsi="宋体" w:cs="仿宋_GB2312"/>
                <w:color w:val="auto"/>
                <w:sz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EB54649">
            <w:pPr>
              <w:pageBreakBefore w:val="0"/>
              <w:kinsoku/>
              <w:wordWrap/>
              <w:topLinePunct w:val="0"/>
              <w:bidi w:val="0"/>
              <w:spacing w:line="312" w:lineRule="auto"/>
              <w:contextualSpacing/>
              <w:rPr>
                <w:rFonts w:ascii="宋体" w:hAnsi="宋体" w:cs="仿宋_GB2312"/>
                <w:color w:val="auto"/>
                <w:sz w:val="24"/>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017D7BC3">
            <w:pPr>
              <w:pageBreakBefore w:val="0"/>
              <w:kinsoku/>
              <w:wordWrap/>
              <w:topLinePunct w:val="0"/>
              <w:bidi w:val="0"/>
              <w:spacing w:line="312" w:lineRule="auto"/>
              <w:contextualSpacing/>
              <w:rPr>
                <w:rFonts w:ascii="宋体" w:hAnsi="宋体" w:cs="仿宋_GB2312"/>
                <w:color w:val="auto"/>
                <w:sz w:val="24"/>
                <w:highlight w:val="none"/>
              </w:rPr>
            </w:pPr>
          </w:p>
        </w:tc>
      </w:tr>
      <w:tr w14:paraId="01A48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4131" w:type="dxa"/>
            <w:gridSpan w:val="2"/>
            <w:tcBorders>
              <w:top w:val="single" w:color="auto" w:sz="4" w:space="0"/>
              <w:left w:val="single" w:color="auto" w:sz="4" w:space="0"/>
              <w:bottom w:val="single" w:color="auto" w:sz="4" w:space="0"/>
              <w:right w:val="single" w:color="auto" w:sz="4" w:space="0"/>
            </w:tcBorders>
            <w:noWrap w:val="0"/>
            <w:vAlign w:val="center"/>
          </w:tcPr>
          <w:p w14:paraId="1848FDB8">
            <w:pPr>
              <w:pageBreakBefore w:val="0"/>
              <w:kinsoku/>
              <w:wordWrap/>
              <w:topLinePunct w:val="0"/>
              <w:bidi w:val="0"/>
              <w:spacing w:line="312" w:lineRule="auto"/>
              <w:jc w:val="center"/>
              <w:rPr>
                <w:rFonts w:ascii="宋体" w:hAnsi="宋体" w:cs="仿宋_GB2312"/>
                <w:color w:val="auto"/>
                <w:sz w:val="24"/>
                <w:highlight w:val="none"/>
              </w:rPr>
            </w:pPr>
            <w:r>
              <w:rPr>
                <w:rFonts w:hint="eastAsia" w:ascii="宋体" w:hAnsi="宋体" w:cs="宋体"/>
                <w:b w:val="0"/>
                <w:bCs w:val="0"/>
                <w:color w:val="auto"/>
                <w:sz w:val="24"/>
                <w:szCs w:val="24"/>
                <w:highlight w:val="none"/>
                <w:lang w:val="en-US" w:eastAsia="zh-CN"/>
              </w:rPr>
              <w:t>竞标</w:t>
            </w:r>
            <w:r>
              <w:rPr>
                <w:rFonts w:hint="eastAsia" w:ascii="宋体" w:hAnsi="宋体" w:eastAsia="宋体" w:cs="宋体"/>
                <w:b w:val="0"/>
                <w:bCs w:val="0"/>
                <w:color w:val="auto"/>
                <w:sz w:val="24"/>
                <w:szCs w:val="24"/>
                <w:highlight w:val="none"/>
              </w:rPr>
              <w:t>总报价（元）</w:t>
            </w:r>
          </w:p>
        </w:tc>
        <w:tc>
          <w:tcPr>
            <w:tcW w:w="4964" w:type="dxa"/>
            <w:gridSpan w:val="3"/>
            <w:tcBorders>
              <w:top w:val="single" w:color="auto" w:sz="4" w:space="0"/>
              <w:left w:val="single" w:color="auto" w:sz="4" w:space="0"/>
              <w:bottom w:val="single" w:color="auto" w:sz="4" w:space="0"/>
              <w:right w:val="single" w:color="auto" w:sz="4" w:space="0"/>
            </w:tcBorders>
            <w:noWrap w:val="0"/>
            <w:vAlign w:val="center"/>
          </w:tcPr>
          <w:p w14:paraId="0BB4E6E7">
            <w:pPr>
              <w:pageBreakBefore w:val="0"/>
              <w:kinsoku/>
              <w:wordWrap/>
              <w:topLinePunct w:val="0"/>
              <w:bidi w:val="0"/>
              <w:spacing w:line="312"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（大写）人民币</w:t>
            </w:r>
            <w:r>
              <w:rPr>
                <w:rFonts w:hint="eastAsia" w:ascii="宋体" w:hAnsi="宋体" w:eastAsia="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w:t>
            </w:r>
          </w:p>
          <w:p w14:paraId="1E437FC8">
            <w:pPr>
              <w:pageBreakBefore w:val="0"/>
              <w:kinsoku/>
              <w:wordWrap/>
              <w:topLinePunct w:val="0"/>
              <w:bidi w:val="0"/>
              <w:spacing w:line="312" w:lineRule="auto"/>
              <w:rPr>
                <w:rFonts w:hint="eastAsia" w:ascii="宋体" w:hAnsi="宋体" w:cs="仿宋_GB2312"/>
                <w:color w:val="auto"/>
                <w:sz w:val="24"/>
                <w:highlight w:val="none"/>
              </w:rPr>
            </w:pPr>
            <w:r>
              <w:rPr>
                <w:rFonts w:hint="eastAsia" w:ascii="宋体" w:hAnsi="宋体" w:eastAsia="宋体" w:cs="宋体"/>
                <w:b w:val="0"/>
                <w:bCs w:val="0"/>
                <w:color w:val="auto"/>
                <w:sz w:val="24"/>
                <w:szCs w:val="24"/>
                <w:highlight w:val="none"/>
              </w:rPr>
              <w:t xml:space="preserve">（小写）¥ </w:t>
            </w:r>
            <w:r>
              <w:rPr>
                <w:rFonts w:hint="eastAsia" w:ascii="宋体" w:hAnsi="宋体" w:eastAsia="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p>
        </w:tc>
      </w:tr>
      <w:tr w14:paraId="29D36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4131" w:type="dxa"/>
            <w:gridSpan w:val="2"/>
            <w:tcBorders>
              <w:top w:val="single" w:color="auto" w:sz="4" w:space="0"/>
              <w:left w:val="single" w:color="auto" w:sz="4" w:space="0"/>
              <w:bottom w:val="single" w:color="auto" w:sz="4" w:space="0"/>
              <w:right w:val="single" w:color="auto" w:sz="4" w:space="0"/>
            </w:tcBorders>
            <w:noWrap w:val="0"/>
            <w:vAlign w:val="center"/>
          </w:tcPr>
          <w:p w14:paraId="4980D17A">
            <w:pPr>
              <w:pageBreakBefore w:val="0"/>
              <w:kinsoku/>
              <w:wordWrap/>
              <w:topLinePunct w:val="0"/>
              <w:bidi w:val="0"/>
              <w:spacing w:line="312" w:lineRule="auto"/>
              <w:jc w:val="center"/>
              <w:rPr>
                <w:rFonts w:hint="eastAsia" w:ascii="宋体" w:hAnsi="宋体" w:cs="仿宋_GB2312"/>
                <w:color w:val="auto"/>
                <w:sz w:val="24"/>
                <w:highlight w:val="none"/>
              </w:rPr>
            </w:pPr>
            <w:r>
              <w:rPr>
                <w:rFonts w:hint="eastAsia" w:ascii="宋体" w:hAnsi="宋体" w:eastAsia="宋体" w:cs="宋体"/>
                <w:color w:val="auto"/>
                <w:sz w:val="24"/>
                <w:szCs w:val="24"/>
              </w:rPr>
              <w:t>交付时间</w:t>
            </w:r>
            <w:r>
              <w:rPr>
                <w:rFonts w:hint="eastAsia" w:ascii="宋体" w:hAnsi="宋体" w:eastAsia="宋体" w:cs="宋体"/>
                <w:color w:val="auto"/>
                <w:sz w:val="24"/>
                <w:szCs w:val="24"/>
                <w:lang w:eastAsia="zh-CN"/>
              </w:rPr>
              <w:t>、</w:t>
            </w:r>
            <w:r>
              <w:rPr>
                <w:rFonts w:hint="eastAsia" w:ascii="宋体" w:hAnsi="宋体" w:eastAsia="宋体" w:cs="宋体"/>
                <w:color w:val="auto"/>
                <w:kern w:val="0"/>
                <w:sz w:val="24"/>
                <w:szCs w:val="24"/>
              </w:rPr>
              <w:t>服务期</w:t>
            </w:r>
            <w:r>
              <w:rPr>
                <w:rFonts w:hint="eastAsia" w:ascii="宋体" w:hAnsi="宋体" w:eastAsia="宋体" w:cs="宋体"/>
                <w:color w:val="auto"/>
                <w:sz w:val="24"/>
                <w:szCs w:val="24"/>
              </w:rPr>
              <w:t>及地点</w:t>
            </w:r>
          </w:p>
        </w:tc>
        <w:tc>
          <w:tcPr>
            <w:tcW w:w="4964" w:type="dxa"/>
            <w:gridSpan w:val="3"/>
            <w:tcBorders>
              <w:top w:val="single" w:color="auto" w:sz="4" w:space="0"/>
              <w:left w:val="single" w:color="auto" w:sz="4" w:space="0"/>
              <w:bottom w:val="single" w:color="auto" w:sz="4" w:space="0"/>
              <w:right w:val="single" w:color="auto" w:sz="4" w:space="0"/>
            </w:tcBorders>
            <w:noWrap w:val="0"/>
            <w:vAlign w:val="top"/>
          </w:tcPr>
          <w:p w14:paraId="4C91BA48">
            <w:pPr>
              <w:pageBreakBefore w:val="0"/>
              <w:numPr>
                <w:ilvl w:val="0"/>
                <w:numId w:val="4"/>
              </w:numPr>
              <w:kinsoku/>
              <w:wordWrap/>
              <w:topLinePunct w:val="0"/>
              <w:bidi w:val="0"/>
              <w:spacing w:line="312" w:lineRule="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lang w:val="en-US" w:eastAsia="zh-CN"/>
              </w:rPr>
              <w:t>交付时</w:t>
            </w:r>
            <w:r>
              <w:rPr>
                <w:rFonts w:hint="eastAsia" w:ascii="宋体" w:hAnsi="宋体" w:eastAsia="宋体" w:cs="宋体"/>
                <w:color w:val="auto"/>
                <w:sz w:val="24"/>
                <w:szCs w:val="24"/>
                <w:highlight w:val="none"/>
                <w:lang w:val="en-US" w:eastAsia="zh-CN"/>
              </w:rPr>
              <w:t>间</w:t>
            </w:r>
            <w:r>
              <w:rPr>
                <w:rFonts w:hint="eastAsia" w:ascii="宋体" w:hAnsi="宋体" w:cs="宋体"/>
                <w:color w:val="auto"/>
                <w:sz w:val="24"/>
                <w:szCs w:val="24"/>
                <w:highlight w:val="none"/>
                <w:lang w:val="en-US" w:eastAsia="zh-CN"/>
              </w:rPr>
              <w:t>、</w:t>
            </w:r>
            <w:r>
              <w:rPr>
                <w:rFonts w:hint="eastAsia" w:ascii="宋体" w:hAnsi="宋体" w:eastAsia="宋体" w:cs="宋体"/>
                <w:color w:val="auto"/>
                <w:kern w:val="0"/>
                <w:sz w:val="24"/>
                <w:szCs w:val="24"/>
              </w:rPr>
              <w:t>服务期：</w:t>
            </w:r>
          </w:p>
          <w:p w14:paraId="3D24016E">
            <w:pPr>
              <w:pageBreakBefore w:val="0"/>
              <w:numPr>
                <w:ilvl w:val="0"/>
                <w:numId w:val="4"/>
              </w:numPr>
              <w:kinsoku/>
              <w:wordWrap/>
              <w:topLinePunct w:val="0"/>
              <w:bidi w:val="0"/>
              <w:spacing w:line="312" w:lineRule="auto"/>
              <w:rPr>
                <w:rFonts w:hint="eastAsia" w:ascii="宋体" w:hAnsi="宋体" w:cs="仿宋_GB2312"/>
                <w:color w:val="auto"/>
                <w:sz w:val="24"/>
                <w:highlight w:val="none"/>
              </w:rPr>
            </w:pPr>
            <w:r>
              <w:rPr>
                <w:rFonts w:hint="eastAsia" w:ascii="宋体" w:hAnsi="宋体" w:eastAsia="宋体" w:cs="宋体"/>
                <w:color w:val="auto"/>
                <w:sz w:val="24"/>
                <w:szCs w:val="24"/>
                <w:lang w:val="en-US" w:eastAsia="zh-CN"/>
              </w:rPr>
              <w:t>交付地点：</w:t>
            </w:r>
          </w:p>
        </w:tc>
      </w:tr>
    </w:tbl>
    <w:p w14:paraId="1B384D19">
      <w:pPr>
        <w:pageBreakBefore w:val="0"/>
        <w:kinsoku/>
        <w:wordWrap/>
        <w:topLinePunct w:val="0"/>
        <w:bidi w:val="0"/>
        <w:spacing w:line="312" w:lineRule="auto"/>
        <w:contextualSpacing/>
        <w:jc w:val="left"/>
        <w:rPr>
          <w:rFonts w:hint="eastAsia" w:ascii="宋体" w:hAnsi="宋体" w:cs="仿宋_GB2312"/>
          <w:color w:val="auto"/>
          <w:sz w:val="24"/>
          <w:highlight w:val="none"/>
        </w:rPr>
      </w:pPr>
    </w:p>
    <w:p w14:paraId="3F66CE49">
      <w:pPr>
        <w:pageBreakBefore w:val="0"/>
        <w:kinsoku/>
        <w:wordWrap/>
        <w:topLinePunct w:val="0"/>
        <w:bidi w:val="0"/>
        <w:spacing w:line="312"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739D7929">
      <w:pPr>
        <w:pageBreakBefore w:val="0"/>
        <w:kinsoku/>
        <w:wordWrap/>
        <w:topLinePunct w:val="0"/>
        <w:bidi w:val="0"/>
        <w:spacing w:line="312"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1.供应商的报价表必须加盖供应商公章并由法定代表人或者委托代理人签字，</w:t>
      </w:r>
      <w:r>
        <w:rPr>
          <w:rFonts w:hint="eastAsia" w:ascii="宋体" w:hAnsi="宋体" w:cs="仿宋_GB2312"/>
          <w:b/>
          <w:color w:val="auto"/>
          <w:sz w:val="24"/>
          <w:highlight w:val="none"/>
        </w:rPr>
        <w:t>否则其响应文件按无效响应处理</w:t>
      </w:r>
      <w:r>
        <w:rPr>
          <w:rFonts w:hint="eastAsia" w:ascii="宋体" w:hAnsi="宋体" w:cs="仿宋_GB2312"/>
          <w:color w:val="auto"/>
          <w:sz w:val="24"/>
          <w:highlight w:val="none"/>
        </w:rPr>
        <w:t>。</w:t>
      </w:r>
    </w:p>
    <w:p w14:paraId="6AC12E6A">
      <w:pPr>
        <w:pageBreakBefore w:val="0"/>
        <w:kinsoku/>
        <w:wordWrap/>
        <w:topLinePunct w:val="0"/>
        <w:bidi w:val="0"/>
        <w:spacing w:line="312"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报价一经涂改，应在涂改处加盖供应商公章或者由法定代表人或者委托代理人签字或者盖章</w:t>
      </w:r>
      <w:r>
        <w:rPr>
          <w:rFonts w:hint="eastAsia" w:ascii="宋体" w:hAnsi="宋体" w:cs="仿宋_GB2312"/>
          <w:b/>
          <w:color w:val="auto"/>
          <w:sz w:val="24"/>
          <w:highlight w:val="none"/>
        </w:rPr>
        <w:t>，否则其响应文件按无效响应处理。</w:t>
      </w:r>
    </w:p>
    <w:p w14:paraId="4107D529">
      <w:pPr>
        <w:pageBreakBefore w:val="0"/>
        <w:kinsoku/>
        <w:wordWrap/>
        <w:topLinePunct w:val="0"/>
        <w:bidi w:val="0"/>
        <w:spacing w:line="312" w:lineRule="auto"/>
        <w:ind w:firstLine="480" w:firstLineChars="200"/>
        <w:contextualSpacing/>
        <w:jc w:val="left"/>
        <w:rPr>
          <w:rFonts w:hint="eastAsia" w:ascii="宋体" w:hAnsi="宋体" w:cs="仿宋_GB2312"/>
          <w:color w:val="auto"/>
          <w:sz w:val="24"/>
          <w:highlight w:val="none"/>
        </w:rPr>
      </w:pPr>
      <w:r>
        <w:rPr>
          <w:rFonts w:ascii="宋体" w:hAnsi="宋体" w:cs="仿宋_GB2312"/>
          <w:color w:val="auto"/>
          <w:sz w:val="24"/>
          <w:highlight w:val="none"/>
        </w:rPr>
        <w:t>3</w:t>
      </w:r>
      <w:r>
        <w:rPr>
          <w:rFonts w:hint="eastAsia" w:ascii="宋体" w:hAnsi="宋体" w:cs="仿宋_GB2312"/>
          <w:color w:val="auto"/>
          <w:sz w:val="24"/>
          <w:highlight w:val="none"/>
        </w:rPr>
        <w:t>.如为联合体竞标，“供应商名称”处必须列明联合体各方名称，标注联合体牵头人名称，</w:t>
      </w:r>
      <w:r>
        <w:rPr>
          <w:rFonts w:hint="eastAsia" w:ascii="宋体" w:hAnsi="宋体" w:cs="仿宋_GB2312"/>
          <w:b/>
          <w:color w:val="auto"/>
          <w:sz w:val="24"/>
          <w:highlight w:val="none"/>
        </w:rPr>
        <w:t>否则其响应文件按无效响应处理。（采购人可根据项目情况自行修改是否需要联合体各方签字盖章）。</w:t>
      </w:r>
    </w:p>
    <w:p w14:paraId="7E58FE2F">
      <w:pPr>
        <w:pageBreakBefore w:val="0"/>
        <w:kinsoku/>
        <w:wordWrap/>
        <w:topLinePunct w:val="0"/>
        <w:bidi w:val="0"/>
        <w:spacing w:line="312" w:lineRule="auto"/>
        <w:ind w:firstLine="480" w:firstLineChars="200"/>
        <w:contextualSpacing/>
        <w:jc w:val="left"/>
        <w:rPr>
          <w:rFonts w:hint="eastAsia" w:ascii="宋体" w:hAnsi="宋体" w:cs="仿宋_GB2312"/>
          <w:color w:val="auto"/>
          <w:sz w:val="24"/>
          <w:highlight w:val="none"/>
        </w:rPr>
      </w:pPr>
      <w:r>
        <w:rPr>
          <w:rFonts w:ascii="宋体" w:hAnsi="宋体" w:cs="仿宋_GB2312"/>
          <w:color w:val="auto"/>
          <w:sz w:val="24"/>
          <w:highlight w:val="none"/>
        </w:rPr>
        <w:t>4</w:t>
      </w:r>
      <w:r>
        <w:rPr>
          <w:rFonts w:hint="eastAsia" w:ascii="宋体" w:hAnsi="宋体" w:cs="仿宋_GB2312"/>
          <w:color w:val="auto"/>
          <w:sz w:val="24"/>
          <w:highlight w:val="none"/>
        </w:rPr>
        <w:t>.如为联合体竞标，盖章处须加盖联合体各方公章，</w:t>
      </w:r>
      <w:bookmarkStart w:id="111" w:name="_Hlk65851776"/>
      <w:r>
        <w:rPr>
          <w:rFonts w:hint="eastAsia" w:ascii="宋体" w:hAnsi="宋体" w:cs="仿宋_GB2312"/>
          <w:b/>
          <w:color w:val="auto"/>
          <w:sz w:val="24"/>
          <w:highlight w:val="none"/>
        </w:rPr>
        <w:t>否则其响应文件按无效响应处理。</w:t>
      </w:r>
      <w:bookmarkEnd w:id="111"/>
      <w:r>
        <w:rPr>
          <w:rFonts w:hint="eastAsia" w:ascii="宋体" w:hAnsi="宋体" w:cs="仿宋_GB2312"/>
          <w:b/>
          <w:color w:val="auto"/>
          <w:sz w:val="24"/>
          <w:highlight w:val="none"/>
        </w:rPr>
        <w:t>（采购人可根据项目情况自行修改是否需要联合体各方签字盖章）。</w:t>
      </w:r>
    </w:p>
    <w:p w14:paraId="4557FC47">
      <w:pPr>
        <w:pageBreakBefore w:val="0"/>
        <w:kinsoku/>
        <w:wordWrap/>
        <w:topLinePunct w:val="0"/>
        <w:bidi w:val="0"/>
        <w:spacing w:line="312" w:lineRule="auto"/>
        <w:ind w:firstLine="480" w:firstLineChars="200"/>
        <w:contextualSpacing/>
        <w:rPr>
          <w:rFonts w:hint="eastAsia" w:ascii="宋体" w:hAnsi="宋体" w:cs="仿宋_GB2312"/>
          <w:color w:val="auto"/>
          <w:sz w:val="24"/>
          <w:highlight w:val="none"/>
        </w:rPr>
      </w:pPr>
      <w:r>
        <w:rPr>
          <w:rFonts w:ascii="宋体" w:hAnsi="宋体" w:cs="仿宋_GB2312"/>
          <w:color w:val="auto"/>
          <w:sz w:val="24"/>
          <w:highlight w:val="none"/>
        </w:rPr>
        <w:t>5</w:t>
      </w:r>
      <w:r>
        <w:rPr>
          <w:rFonts w:hint="eastAsia" w:ascii="宋体" w:hAnsi="宋体" w:cs="仿宋_GB2312"/>
          <w:color w:val="auto"/>
          <w:sz w:val="24"/>
          <w:highlight w:val="none"/>
        </w:rPr>
        <w:t>.</w:t>
      </w:r>
      <w:r>
        <w:rPr>
          <w:rFonts w:hint="eastAsia" w:ascii="宋体" w:hAnsi="宋体" w:cs="仿宋_GB2312"/>
          <w:color w:val="auto"/>
          <w:spacing w:val="-6"/>
          <w:sz w:val="24"/>
          <w:highlight w:val="none"/>
        </w:rPr>
        <w:t>如有多分标，分别列明各分标的报价表，</w:t>
      </w:r>
      <w:r>
        <w:rPr>
          <w:rFonts w:hint="eastAsia" w:ascii="宋体" w:hAnsi="宋体" w:cs="仿宋_GB2312"/>
          <w:b/>
          <w:color w:val="auto"/>
          <w:spacing w:val="-6"/>
          <w:sz w:val="24"/>
          <w:highlight w:val="none"/>
        </w:rPr>
        <w:t>否则其响应文件按无效响应处理。</w:t>
      </w:r>
    </w:p>
    <w:p w14:paraId="5602741F">
      <w:pPr>
        <w:pageBreakBefore w:val="0"/>
        <w:kinsoku/>
        <w:wordWrap/>
        <w:topLinePunct w:val="0"/>
        <w:bidi w:val="0"/>
        <w:spacing w:line="312" w:lineRule="auto"/>
        <w:ind w:right="-817" w:rightChars="-389" w:firstLine="1200" w:firstLineChars="500"/>
        <w:contextualSpacing/>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w:t>
      </w:r>
      <w:r>
        <w:rPr>
          <w:rFonts w:hint="eastAsia" w:ascii="宋体" w:hAnsi="宋体"/>
          <w:color w:val="auto"/>
          <w:sz w:val="24"/>
          <w:highlight w:val="none"/>
          <w:lang w:val="en-US" w:eastAsia="zh-CN"/>
        </w:rPr>
        <w:t>签字或电子签名</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1C85C0BF">
      <w:pPr>
        <w:pageBreakBefore w:val="0"/>
        <w:kinsoku/>
        <w:wordWrap/>
        <w:topLinePunct w:val="0"/>
        <w:bidi w:val="0"/>
        <w:spacing w:line="312" w:lineRule="auto"/>
        <w:ind w:left="0" w:leftChars="0" w:right="-817" w:rightChars="-389" w:firstLine="4029" w:firstLineChars="1679"/>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供应商（</w:t>
      </w:r>
      <w:r>
        <w:rPr>
          <w:rFonts w:hint="eastAsia" w:ascii="宋体" w:hAnsi="宋体"/>
          <w:color w:val="auto"/>
          <w:spacing w:val="6"/>
          <w:sz w:val="24"/>
          <w:highlight w:val="none"/>
          <w:lang w:val="en-US" w:eastAsia="zh-CN"/>
        </w:rPr>
        <w:t>电子签章</w:t>
      </w:r>
      <w:r>
        <w:rPr>
          <w:rFonts w:hint="eastAsia" w:ascii="宋体" w:hAnsi="宋体" w:cs="仿宋_GB2312"/>
          <w:color w:val="auto"/>
          <w:sz w:val="24"/>
          <w:highlight w:val="none"/>
        </w:rPr>
        <w:t xml:space="preserve">）： </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u w:val="single"/>
        </w:rPr>
        <w:t xml:space="preserve"> </w:t>
      </w:r>
    </w:p>
    <w:p w14:paraId="7C3448D9">
      <w:pPr>
        <w:pageBreakBefore w:val="0"/>
        <w:kinsoku/>
        <w:wordWrap/>
        <w:topLinePunct w:val="0"/>
        <w:bidi w:val="0"/>
        <w:spacing w:line="312" w:lineRule="auto"/>
        <w:ind w:right="-817" w:rightChars="-389" w:firstLine="5760" w:firstLineChars="24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55E8F08E">
      <w:pPr>
        <w:pageBreakBefore w:val="0"/>
        <w:kinsoku/>
        <w:wordWrap/>
        <w:topLinePunct w:val="0"/>
        <w:bidi w:val="0"/>
        <w:spacing w:line="312" w:lineRule="auto"/>
        <w:rPr>
          <w:rFonts w:hint="eastAsia" w:ascii="宋体" w:hAnsi="宋体"/>
          <w:b/>
          <w:bCs/>
          <w:color w:val="auto"/>
          <w:sz w:val="24"/>
          <w:highlight w:val="none"/>
        </w:rPr>
      </w:pPr>
    </w:p>
    <w:p w14:paraId="1D2308F7">
      <w:pPr>
        <w:pageBreakBefore w:val="0"/>
        <w:kinsoku/>
        <w:wordWrap/>
        <w:topLinePunct w:val="0"/>
        <w:bidi w:val="0"/>
        <w:spacing w:before="240" w:beforeLines="100" w:after="120" w:afterLines="50" w:line="312" w:lineRule="auto"/>
        <w:ind w:left="540"/>
        <w:jc w:val="center"/>
        <w:rPr>
          <w:rFonts w:hint="eastAsia" w:ascii="宋体" w:hAnsi="Courier New"/>
          <w:b/>
          <w:color w:val="auto"/>
          <w:sz w:val="32"/>
          <w:szCs w:val="32"/>
          <w:highlight w:val="none"/>
        </w:rPr>
      </w:pPr>
    </w:p>
    <w:p w14:paraId="6CD1BC7D">
      <w:pPr>
        <w:pStyle w:val="8"/>
        <w:rPr>
          <w:rFonts w:hint="eastAsia"/>
        </w:rPr>
      </w:pPr>
    </w:p>
    <w:p w14:paraId="60A2B2E1">
      <w:pPr>
        <w:pageBreakBefore w:val="0"/>
        <w:kinsoku/>
        <w:wordWrap/>
        <w:topLinePunct w:val="0"/>
        <w:bidi w:val="0"/>
        <w:snapToGrid w:val="0"/>
        <w:spacing w:before="120" w:beforeLines="50" w:after="50" w:line="312" w:lineRule="auto"/>
        <w:ind w:right="480" w:rightChars="0"/>
        <w:jc w:val="left"/>
        <w:outlineLvl w:val="0"/>
        <w:rPr>
          <w:rFonts w:hint="eastAsia" w:ascii="宋体" w:hAnsi="宋体"/>
          <w:b/>
          <w:color w:val="auto"/>
          <w:sz w:val="32"/>
          <w:szCs w:val="32"/>
          <w:highlight w:val="none"/>
        </w:rPr>
      </w:pPr>
      <w:bookmarkStart w:id="112" w:name="_Toc7614"/>
      <w:r>
        <w:rPr>
          <w:rFonts w:hint="eastAsia" w:ascii="宋体" w:hAnsi="宋体"/>
          <w:b/>
          <w:bCs/>
          <w:color w:val="auto"/>
          <w:sz w:val="32"/>
          <w:szCs w:val="32"/>
          <w:highlight w:val="none"/>
          <w:lang w:val="en-US" w:eastAsia="zh-CN"/>
        </w:rPr>
        <w:t>三</w:t>
      </w:r>
      <w:r>
        <w:rPr>
          <w:rFonts w:hint="eastAsia" w:ascii="宋体" w:hAnsi="宋体"/>
          <w:b/>
          <w:bCs/>
          <w:color w:val="auto"/>
          <w:sz w:val="32"/>
          <w:szCs w:val="32"/>
          <w:highlight w:val="none"/>
        </w:rPr>
        <w:t>、</w:t>
      </w:r>
      <w:r>
        <w:rPr>
          <w:rFonts w:hint="eastAsia" w:ascii="宋体" w:hAnsi="宋体"/>
          <w:b/>
          <w:color w:val="auto"/>
          <w:sz w:val="32"/>
          <w:szCs w:val="32"/>
          <w:highlight w:val="none"/>
        </w:rPr>
        <w:t>商务技术文件格式</w:t>
      </w:r>
      <w:bookmarkEnd w:id="112"/>
    </w:p>
    <w:p w14:paraId="186A5F51">
      <w:pPr>
        <w:pageBreakBefore w:val="0"/>
        <w:kinsoku/>
        <w:wordWrap/>
        <w:topLinePunct w:val="0"/>
        <w:bidi w:val="0"/>
        <w:snapToGrid w:val="0"/>
        <w:spacing w:before="120" w:beforeLines="50" w:after="0" w:afterLines="0" w:line="312" w:lineRule="auto"/>
        <w:jc w:val="left"/>
        <w:outlineLvl w:val="1"/>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23B25CDD">
      <w:pPr>
        <w:pageBreakBefore w:val="0"/>
        <w:kinsoku/>
        <w:wordWrap/>
        <w:topLinePunct w:val="0"/>
        <w:bidi w:val="0"/>
        <w:snapToGrid w:val="0"/>
        <w:spacing w:before="0" w:beforeLines="0" w:after="50" w:line="312" w:lineRule="auto"/>
        <w:rPr>
          <w:rFonts w:hint="eastAsia" w:ascii="宋体" w:hAnsi="宋体"/>
          <w:bCs/>
          <w:color w:val="auto"/>
          <w:sz w:val="32"/>
          <w:szCs w:val="20"/>
          <w:highlight w:val="none"/>
        </w:rPr>
      </w:pPr>
      <w:r>
        <w:rPr>
          <w:rFonts w:hint="eastAsia" w:ascii="宋体" w:hAnsi="宋体"/>
          <w:color w:val="auto"/>
          <w:sz w:val="24"/>
          <w:highlight w:val="none"/>
        </w:rPr>
        <w:t xml:space="preserve">                                                    </w:t>
      </w:r>
    </w:p>
    <w:p w14:paraId="326142CB">
      <w:pPr>
        <w:pageBreakBefore w:val="0"/>
        <w:kinsoku/>
        <w:wordWrap/>
        <w:topLinePunct w:val="0"/>
        <w:bidi w:val="0"/>
        <w:snapToGrid w:val="0"/>
        <w:spacing w:before="120" w:beforeLines="50" w:after="50" w:line="312" w:lineRule="auto"/>
        <w:rPr>
          <w:rFonts w:hint="eastAsia" w:ascii="宋体" w:hAnsi="宋体"/>
          <w:color w:val="auto"/>
          <w:sz w:val="24"/>
          <w:szCs w:val="20"/>
          <w:highlight w:val="none"/>
        </w:rPr>
      </w:pPr>
    </w:p>
    <w:p w14:paraId="2B781C84">
      <w:pPr>
        <w:pageBreakBefore w:val="0"/>
        <w:kinsoku/>
        <w:wordWrap/>
        <w:topLinePunct w:val="0"/>
        <w:bidi w:val="0"/>
        <w:snapToGrid w:val="0"/>
        <w:spacing w:before="120" w:beforeLines="50" w:after="50" w:line="312" w:lineRule="auto"/>
        <w:rPr>
          <w:rFonts w:hint="eastAsia" w:ascii="宋体" w:hAnsi="宋体"/>
          <w:color w:val="auto"/>
          <w:sz w:val="24"/>
          <w:szCs w:val="20"/>
          <w:highlight w:val="none"/>
        </w:rPr>
      </w:pPr>
    </w:p>
    <w:p w14:paraId="035AFEB7">
      <w:pPr>
        <w:pageBreakBefore w:val="0"/>
        <w:kinsoku/>
        <w:wordWrap/>
        <w:topLinePunct w:val="0"/>
        <w:bidi w:val="0"/>
        <w:snapToGrid w:val="0"/>
        <w:spacing w:before="120" w:beforeLines="50" w:after="0" w:afterLines="0" w:line="312" w:lineRule="auto"/>
        <w:rPr>
          <w:rFonts w:hint="eastAsia" w:ascii="宋体" w:hAnsi="宋体"/>
          <w:color w:val="auto"/>
          <w:sz w:val="24"/>
          <w:szCs w:val="20"/>
          <w:highlight w:val="none"/>
        </w:rPr>
      </w:pPr>
    </w:p>
    <w:p w14:paraId="030B00BF">
      <w:pPr>
        <w:pageBreakBefore w:val="0"/>
        <w:kinsoku/>
        <w:wordWrap/>
        <w:topLinePunct w:val="0"/>
        <w:bidi w:val="0"/>
        <w:snapToGrid w:val="0"/>
        <w:spacing w:before="0" w:beforeLines="0" w:after="0" w:afterLines="0" w:line="312" w:lineRule="auto"/>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242D2D5B">
      <w:pPr>
        <w:pageBreakBefore w:val="0"/>
        <w:kinsoku/>
        <w:wordWrap/>
        <w:topLinePunct w:val="0"/>
        <w:bidi w:val="0"/>
        <w:snapToGrid w:val="0"/>
        <w:spacing w:before="0" w:beforeLines="0" w:after="50" w:line="312" w:lineRule="auto"/>
        <w:rPr>
          <w:rFonts w:hint="eastAsia" w:ascii="宋体" w:hAnsi="宋体"/>
          <w:bCs/>
          <w:color w:val="auto"/>
          <w:sz w:val="24"/>
          <w:szCs w:val="20"/>
          <w:highlight w:val="none"/>
        </w:rPr>
      </w:pPr>
    </w:p>
    <w:p w14:paraId="4218C42B">
      <w:pPr>
        <w:pageBreakBefore w:val="0"/>
        <w:kinsoku/>
        <w:wordWrap/>
        <w:topLinePunct w:val="0"/>
        <w:bidi w:val="0"/>
        <w:snapToGrid w:val="0"/>
        <w:spacing w:before="120" w:beforeLines="50" w:after="50" w:line="312" w:lineRule="auto"/>
        <w:rPr>
          <w:rFonts w:hint="eastAsia" w:ascii="宋体" w:hAnsi="宋体"/>
          <w:bCs/>
          <w:color w:val="auto"/>
          <w:sz w:val="24"/>
          <w:szCs w:val="20"/>
          <w:highlight w:val="none"/>
        </w:rPr>
      </w:pPr>
    </w:p>
    <w:p w14:paraId="5CD8E560">
      <w:pPr>
        <w:pageBreakBefore w:val="0"/>
        <w:kinsoku/>
        <w:wordWrap/>
        <w:topLinePunct w:val="0"/>
        <w:bidi w:val="0"/>
        <w:snapToGrid w:val="0"/>
        <w:spacing w:before="120" w:beforeLines="50" w:after="50" w:line="312" w:lineRule="auto"/>
        <w:rPr>
          <w:rFonts w:hint="eastAsia" w:ascii="宋体" w:hAnsi="宋体"/>
          <w:bCs/>
          <w:color w:val="auto"/>
          <w:sz w:val="24"/>
          <w:szCs w:val="20"/>
          <w:highlight w:val="none"/>
        </w:rPr>
      </w:pPr>
    </w:p>
    <w:p w14:paraId="0DF8A40A">
      <w:pPr>
        <w:pageBreakBefore w:val="0"/>
        <w:kinsoku/>
        <w:wordWrap/>
        <w:topLinePunct w:val="0"/>
        <w:bidi w:val="0"/>
        <w:snapToGrid w:val="0"/>
        <w:spacing w:before="120" w:beforeLines="50" w:after="50" w:line="312" w:lineRule="auto"/>
        <w:rPr>
          <w:rFonts w:hint="eastAsia" w:ascii="宋体" w:hAnsi="宋体"/>
          <w:bCs/>
          <w:color w:val="auto"/>
          <w:sz w:val="24"/>
          <w:szCs w:val="20"/>
          <w:highlight w:val="none"/>
        </w:rPr>
      </w:pPr>
    </w:p>
    <w:p w14:paraId="15310D59">
      <w:pPr>
        <w:pageBreakBefore w:val="0"/>
        <w:kinsoku/>
        <w:wordWrap/>
        <w:topLinePunct w:val="0"/>
        <w:bidi w:val="0"/>
        <w:snapToGrid w:val="0"/>
        <w:spacing w:before="120" w:beforeLines="50" w:after="50" w:line="312" w:lineRule="auto"/>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2F7BA875">
      <w:pPr>
        <w:pageBreakBefore w:val="0"/>
        <w:kinsoku/>
        <w:wordWrap/>
        <w:topLinePunct w:val="0"/>
        <w:bidi w:val="0"/>
        <w:snapToGrid w:val="0"/>
        <w:spacing w:before="120" w:beforeLines="50" w:after="50" w:line="312" w:lineRule="auto"/>
        <w:ind w:firstLine="720" w:firstLineChars="225"/>
        <w:rPr>
          <w:rFonts w:hint="eastAsia" w:ascii="宋体" w:hAnsi="宋体" w:cs="仿宋_GB2312"/>
          <w:bCs/>
          <w:color w:val="auto"/>
          <w:sz w:val="32"/>
          <w:szCs w:val="32"/>
          <w:highlight w:val="none"/>
        </w:rPr>
      </w:pPr>
    </w:p>
    <w:p w14:paraId="543A119A">
      <w:pPr>
        <w:pageBreakBefore w:val="0"/>
        <w:kinsoku/>
        <w:wordWrap/>
        <w:topLinePunct w:val="0"/>
        <w:bidi w:val="0"/>
        <w:snapToGrid w:val="0"/>
        <w:spacing w:before="120" w:beforeLines="50" w:after="50" w:line="312" w:lineRule="auto"/>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66B768BA">
      <w:pPr>
        <w:pageBreakBefore w:val="0"/>
        <w:kinsoku/>
        <w:wordWrap/>
        <w:topLinePunct w:val="0"/>
        <w:bidi w:val="0"/>
        <w:snapToGrid w:val="0"/>
        <w:spacing w:before="120" w:beforeLines="50" w:after="50" w:line="312" w:lineRule="auto"/>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21671AF2">
      <w:pPr>
        <w:pageBreakBefore w:val="0"/>
        <w:kinsoku/>
        <w:wordWrap/>
        <w:topLinePunct w:val="0"/>
        <w:bidi w:val="0"/>
        <w:snapToGrid w:val="0"/>
        <w:spacing w:before="120" w:beforeLines="50" w:after="0" w:afterLines="0" w:line="312" w:lineRule="auto"/>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34F03413">
      <w:pPr>
        <w:pageBreakBefore w:val="0"/>
        <w:kinsoku/>
        <w:wordWrap/>
        <w:topLinePunct w:val="0"/>
        <w:bidi w:val="0"/>
        <w:snapToGrid w:val="0"/>
        <w:spacing w:before="0" w:beforeLines="0" w:after="50" w:line="312" w:lineRule="auto"/>
        <w:ind w:firstLine="720" w:firstLineChars="225"/>
        <w:rPr>
          <w:rFonts w:hint="eastAsia" w:ascii="宋体" w:hAnsi="宋体" w:cs="仿宋_GB2312"/>
          <w:bCs/>
          <w:color w:val="auto"/>
          <w:sz w:val="32"/>
          <w:szCs w:val="32"/>
          <w:highlight w:val="none"/>
        </w:rPr>
      </w:pPr>
    </w:p>
    <w:p w14:paraId="0B8C9C52">
      <w:pPr>
        <w:pStyle w:val="8"/>
        <w:pageBreakBefore w:val="0"/>
        <w:kinsoku/>
        <w:wordWrap/>
        <w:topLinePunct w:val="0"/>
        <w:bidi w:val="0"/>
        <w:snapToGrid w:val="0"/>
        <w:spacing w:before="50" w:after="0" w:afterLines="0" w:line="312" w:lineRule="auto"/>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A53C95B">
      <w:pPr>
        <w:pStyle w:val="8"/>
        <w:pageBreakBefore w:val="0"/>
        <w:kinsoku/>
        <w:wordWrap/>
        <w:topLinePunct w:val="0"/>
        <w:bidi w:val="0"/>
        <w:snapToGrid w:val="0"/>
        <w:spacing w:before="0" w:beforeLines="0" w:after="0" w:afterLines="0" w:line="312" w:lineRule="auto"/>
        <w:ind w:firstLine="720" w:firstLineChars="225"/>
        <w:rPr>
          <w:rFonts w:hint="eastAsia" w:ascii="宋体" w:hAnsi="宋体" w:cs="仿宋_GB2312"/>
          <w:bCs/>
          <w:color w:val="auto"/>
          <w:sz w:val="32"/>
          <w:szCs w:val="32"/>
          <w:highlight w:val="none"/>
        </w:rPr>
      </w:pPr>
    </w:p>
    <w:p w14:paraId="48D854AD">
      <w:pPr>
        <w:pStyle w:val="8"/>
        <w:pageBreakBefore w:val="0"/>
        <w:kinsoku/>
        <w:wordWrap/>
        <w:topLinePunct w:val="0"/>
        <w:bidi w:val="0"/>
        <w:snapToGrid w:val="0"/>
        <w:spacing w:before="0" w:beforeLines="0" w:after="0" w:afterLines="0" w:line="312" w:lineRule="auto"/>
        <w:ind w:firstLine="1280" w:firstLineChars="400"/>
        <w:rPr>
          <w:rFonts w:hint="eastAsia" w:ascii="宋体" w:hAnsi="宋体" w:cs="仿宋_GB2312"/>
          <w:bCs/>
          <w:color w:val="auto"/>
          <w:sz w:val="32"/>
          <w:szCs w:val="32"/>
          <w:highlight w:val="none"/>
        </w:rPr>
      </w:pPr>
    </w:p>
    <w:p w14:paraId="4519A578">
      <w:pPr>
        <w:pageBreakBefore w:val="0"/>
        <w:kinsoku/>
        <w:wordWrap/>
        <w:topLinePunct w:val="0"/>
        <w:bidi w:val="0"/>
        <w:snapToGrid/>
        <w:spacing w:before="240" w:beforeLines="100" w:after="120" w:afterLines="50" w:afterAutospacing="0" w:line="312" w:lineRule="auto"/>
        <w:ind w:left="540"/>
        <w:jc w:val="center"/>
        <w:rPr>
          <w:rFonts w:hint="eastAsia" w:ascii="宋体" w:hAnsi="宋体"/>
          <w:b/>
          <w:bCs/>
          <w:color w:val="auto"/>
          <w:sz w:val="32"/>
          <w:szCs w:val="32"/>
          <w:highlight w:val="none"/>
        </w:rPr>
      </w:pPr>
      <w:r>
        <w:rPr>
          <w:rFonts w:hint="eastAsia" w:ascii="宋体" w:hAnsi="宋体" w:cs="仿宋_GB2312"/>
          <w:color w:val="auto"/>
          <w:sz w:val="32"/>
          <w:szCs w:val="32"/>
          <w:highlight w:val="none"/>
        </w:rPr>
        <w:t>年    月    日</w:t>
      </w:r>
    </w:p>
    <w:p w14:paraId="536F9181">
      <w:pPr>
        <w:pageBreakBefore w:val="0"/>
        <w:kinsoku/>
        <w:wordWrap/>
        <w:topLinePunct w:val="0"/>
        <w:bidi w:val="0"/>
        <w:snapToGrid w:val="0"/>
        <w:spacing w:before="120" w:beforeLines="50" w:afterAutospacing="0" w:line="312" w:lineRule="auto"/>
        <w:jc w:val="left"/>
        <w:rPr>
          <w:rFonts w:hint="eastAsia" w:ascii="宋体" w:hAnsi="宋体"/>
          <w:b/>
          <w:bCs/>
          <w:color w:val="auto"/>
          <w:sz w:val="32"/>
          <w:szCs w:val="32"/>
          <w:highlight w:val="none"/>
        </w:rPr>
      </w:pPr>
    </w:p>
    <w:p w14:paraId="5E041FB4">
      <w:pPr>
        <w:pageBreakBefore w:val="0"/>
        <w:kinsoku/>
        <w:wordWrap/>
        <w:topLinePunct w:val="0"/>
        <w:bidi w:val="0"/>
        <w:snapToGrid w:val="0"/>
        <w:spacing w:before="120" w:beforeLines="50" w:afterAutospacing="0" w:line="312" w:lineRule="auto"/>
        <w:jc w:val="left"/>
        <w:outlineLvl w:val="1"/>
        <w:rPr>
          <w:rFonts w:hint="eastAsia" w:ascii="宋体" w:hAnsi="宋体"/>
          <w:b/>
          <w:bCs/>
          <w:color w:val="auto"/>
          <w:sz w:val="24"/>
          <w:highlight w:val="none"/>
        </w:rPr>
      </w:pPr>
      <w:r>
        <w:rPr>
          <w:rFonts w:hint="eastAsia" w:ascii="宋体" w:hAnsi="宋体"/>
          <w:b/>
          <w:bCs/>
          <w:color w:val="auto"/>
          <w:sz w:val="32"/>
          <w:szCs w:val="32"/>
          <w:highlight w:val="none"/>
        </w:rPr>
        <w:t>2.商务技术文件目录</w:t>
      </w:r>
    </w:p>
    <w:p w14:paraId="284B4516">
      <w:pPr>
        <w:pageBreakBefore w:val="0"/>
        <w:kinsoku/>
        <w:wordWrap/>
        <w:topLinePunct w:val="0"/>
        <w:bidi w:val="0"/>
        <w:spacing w:line="312" w:lineRule="auto"/>
        <w:ind w:firstLine="640" w:firstLineChars="200"/>
        <w:contextualSpacing/>
        <w:jc w:val="left"/>
        <w:rPr>
          <w:rFonts w:hint="eastAsia" w:ascii="仿宋_GB2312" w:hAnsi="仿宋_GB2312" w:eastAsia="仿宋_GB2312" w:cs="仿宋_GB2312"/>
          <w:b/>
          <w:color w:val="auto"/>
          <w:sz w:val="32"/>
          <w:szCs w:val="32"/>
          <w:highlight w:val="none"/>
        </w:rPr>
      </w:pPr>
      <w:r>
        <w:rPr>
          <w:rFonts w:hint="eastAsia" w:ascii="宋体" w:hAnsi="宋体"/>
          <w:color w:val="auto"/>
          <w:sz w:val="32"/>
          <w:szCs w:val="32"/>
          <w:highlight w:val="none"/>
        </w:rPr>
        <w:t>根据磋商文件规定及供应商提供的材料自行编写目录（部分格式后</w:t>
      </w:r>
    </w:p>
    <w:p w14:paraId="14CD8276">
      <w:pPr>
        <w:pageBreakBefore w:val="0"/>
        <w:kinsoku/>
        <w:wordWrap/>
        <w:topLinePunct w:val="0"/>
        <w:bidi w:val="0"/>
        <w:adjustRightInd w:val="0"/>
        <w:snapToGrid w:val="0"/>
        <w:spacing w:line="312" w:lineRule="auto"/>
        <w:jc w:val="left"/>
        <w:rPr>
          <w:rFonts w:hint="eastAsia" w:ascii="宋体" w:hAnsi="宋体"/>
          <w:b/>
          <w:color w:val="auto"/>
          <w:szCs w:val="21"/>
          <w:highlight w:val="none"/>
        </w:rPr>
      </w:pPr>
    </w:p>
    <w:p w14:paraId="4A0879F8">
      <w:pPr>
        <w:pageBreakBefore w:val="0"/>
        <w:kinsoku/>
        <w:wordWrap/>
        <w:topLinePunct w:val="0"/>
        <w:bidi w:val="0"/>
        <w:spacing w:line="312" w:lineRule="auto"/>
        <w:jc w:val="center"/>
        <w:rPr>
          <w:rFonts w:hint="eastAsia" w:ascii="方正小标宋简体" w:hAnsi="方正小标宋简体" w:eastAsia="方正小标宋简体" w:cs="方正小标宋简体"/>
          <w:color w:val="auto"/>
          <w:sz w:val="44"/>
          <w:szCs w:val="44"/>
          <w:highlight w:val="none"/>
        </w:rPr>
        <w:sectPr>
          <w:footerReference r:id="rId10" w:type="first"/>
          <w:footerReference r:id="rId9" w:type="default"/>
          <w:pgSz w:w="11906" w:h="16838"/>
          <w:pgMar w:top="1440" w:right="1440" w:bottom="1440" w:left="1587" w:header="851" w:footer="992" w:gutter="0"/>
          <w:pgNumType w:fmt="decimal"/>
          <w:cols w:space="720" w:num="1"/>
          <w:titlePg/>
          <w:docGrid w:type="lines" w:linePitch="312" w:charSpace="0"/>
        </w:sectPr>
      </w:pPr>
      <w:r>
        <w:rPr>
          <w:rFonts w:hint="eastAsia" w:ascii="方正小标宋简体" w:hAnsi="方正小标宋简体" w:eastAsia="方正小标宋简体" w:cs="方正小标宋简体"/>
          <w:color w:val="auto"/>
          <w:sz w:val="44"/>
          <w:szCs w:val="44"/>
          <w:highlight w:val="none"/>
        </w:rPr>
        <w:br w:type="page"/>
      </w:r>
    </w:p>
    <w:p w14:paraId="08D2E3C0">
      <w:pPr>
        <w:pageBreakBefore w:val="0"/>
        <w:kinsoku/>
        <w:wordWrap/>
        <w:topLinePunct w:val="0"/>
        <w:bidi w:val="0"/>
        <w:spacing w:line="312" w:lineRule="auto"/>
        <w:jc w:val="center"/>
        <w:outlineLvl w:val="2"/>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无串通竞标行为的承诺函</w:t>
      </w:r>
    </w:p>
    <w:p w14:paraId="32183C5A">
      <w:pPr>
        <w:pageBreakBefore w:val="0"/>
        <w:kinsoku/>
        <w:wordWrap/>
        <w:topLinePunct w:val="0"/>
        <w:bidi w:val="0"/>
        <w:spacing w:line="312" w:lineRule="auto"/>
        <w:ind w:firstLine="640" w:firstLineChars="200"/>
        <w:contextualSpacing/>
        <w:rPr>
          <w:rFonts w:hint="eastAsia" w:ascii="仿宋_GB2312" w:hAnsi="仿宋_GB2312" w:eastAsia="仿宋_GB2312" w:cs="仿宋_GB2312"/>
          <w:color w:val="auto"/>
          <w:sz w:val="32"/>
          <w:szCs w:val="32"/>
          <w:highlight w:val="none"/>
        </w:rPr>
      </w:pPr>
    </w:p>
    <w:p w14:paraId="3234C4C4">
      <w:pPr>
        <w:pageBreakBefore w:val="0"/>
        <w:kinsoku/>
        <w:wordWrap/>
        <w:topLinePunct w:val="0"/>
        <w:bidi w:val="0"/>
        <w:spacing w:line="312" w:lineRule="auto"/>
        <w:ind w:firstLine="482" w:firstLineChars="200"/>
        <w:contextualSpacing/>
        <w:outlineLvl w:val="2"/>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70C0CD2B">
      <w:pPr>
        <w:pageBreakBefore w:val="0"/>
        <w:kinsoku/>
        <w:wordWrap/>
        <w:topLinePunct w:val="0"/>
        <w:bidi w:val="0"/>
        <w:spacing w:line="312"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4BCB4F7F">
      <w:pPr>
        <w:pageBreakBefore w:val="0"/>
        <w:kinsoku/>
        <w:wordWrap/>
        <w:topLinePunct w:val="0"/>
        <w:bidi w:val="0"/>
        <w:spacing w:line="312"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60549215">
      <w:pPr>
        <w:pageBreakBefore w:val="0"/>
        <w:kinsoku/>
        <w:wordWrap/>
        <w:topLinePunct w:val="0"/>
        <w:bidi w:val="0"/>
        <w:spacing w:line="312"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575F07D1">
      <w:pPr>
        <w:pageBreakBefore w:val="0"/>
        <w:kinsoku/>
        <w:wordWrap/>
        <w:topLinePunct w:val="0"/>
        <w:bidi w:val="0"/>
        <w:spacing w:line="312"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4F9D22BC">
      <w:pPr>
        <w:pageBreakBefore w:val="0"/>
        <w:kinsoku/>
        <w:wordWrap/>
        <w:topLinePunct w:val="0"/>
        <w:bidi w:val="0"/>
        <w:spacing w:line="312"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2F64381A">
      <w:pPr>
        <w:pageBreakBefore w:val="0"/>
        <w:kinsoku/>
        <w:wordWrap/>
        <w:topLinePunct w:val="0"/>
        <w:bidi w:val="0"/>
        <w:spacing w:line="312"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1132A12D">
      <w:pPr>
        <w:pageBreakBefore w:val="0"/>
        <w:kinsoku/>
        <w:wordWrap/>
        <w:topLinePunct w:val="0"/>
        <w:bidi w:val="0"/>
        <w:spacing w:line="312" w:lineRule="auto"/>
        <w:ind w:firstLine="482" w:firstLineChars="200"/>
        <w:contextualSpacing/>
        <w:outlineLvl w:val="2"/>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2EAE1F01">
      <w:pPr>
        <w:pageBreakBefore w:val="0"/>
        <w:kinsoku/>
        <w:wordWrap/>
        <w:topLinePunct w:val="0"/>
        <w:bidi w:val="0"/>
        <w:spacing w:line="312"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392D0699">
      <w:pPr>
        <w:pageBreakBefore w:val="0"/>
        <w:kinsoku/>
        <w:wordWrap/>
        <w:topLinePunct w:val="0"/>
        <w:bidi w:val="0"/>
        <w:spacing w:line="312"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52FC6C22">
      <w:pPr>
        <w:pageBreakBefore w:val="0"/>
        <w:kinsoku/>
        <w:wordWrap/>
        <w:topLinePunct w:val="0"/>
        <w:bidi w:val="0"/>
        <w:spacing w:line="312"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5BA81AE7">
      <w:pPr>
        <w:pageBreakBefore w:val="0"/>
        <w:kinsoku/>
        <w:wordWrap/>
        <w:topLinePunct w:val="0"/>
        <w:bidi w:val="0"/>
        <w:spacing w:line="312"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0030EAEA">
      <w:pPr>
        <w:pageBreakBefore w:val="0"/>
        <w:kinsoku/>
        <w:wordWrap/>
        <w:topLinePunct w:val="0"/>
        <w:bidi w:val="0"/>
        <w:spacing w:line="312"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673B36F8">
      <w:pPr>
        <w:pageBreakBefore w:val="0"/>
        <w:kinsoku/>
        <w:wordWrap/>
        <w:topLinePunct w:val="0"/>
        <w:bidi w:val="0"/>
        <w:spacing w:line="312"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330C0B36">
      <w:pPr>
        <w:pageBreakBefore w:val="0"/>
        <w:kinsoku/>
        <w:wordWrap/>
        <w:topLinePunct w:val="0"/>
        <w:bidi w:val="0"/>
        <w:spacing w:line="312"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5B7AFD37">
      <w:pPr>
        <w:pageBreakBefore w:val="0"/>
        <w:kinsoku/>
        <w:wordWrap/>
        <w:topLinePunct w:val="0"/>
        <w:bidi w:val="0"/>
        <w:spacing w:line="312" w:lineRule="auto"/>
        <w:ind w:firstLine="480" w:firstLineChars="200"/>
        <w:contextualSpacing/>
        <w:rPr>
          <w:rFonts w:hint="eastAsia" w:ascii="宋体" w:hAnsi="宋体" w:cs="仿宋_GB2312"/>
          <w:color w:val="auto"/>
          <w:sz w:val="24"/>
          <w:highlight w:val="none"/>
        </w:rPr>
      </w:pPr>
    </w:p>
    <w:p w14:paraId="51FC3EA4">
      <w:pPr>
        <w:pageBreakBefore w:val="0"/>
        <w:kinsoku/>
        <w:wordWrap/>
        <w:topLinePunct w:val="0"/>
        <w:bidi w:val="0"/>
        <w:spacing w:line="312"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50061DD6">
      <w:pPr>
        <w:pageBreakBefore w:val="0"/>
        <w:kinsoku/>
        <w:wordWrap/>
        <w:topLinePunct w:val="0"/>
        <w:bidi w:val="0"/>
        <w:spacing w:line="312" w:lineRule="auto"/>
        <w:contextualSpacing/>
        <w:rPr>
          <w:rFonts w:hint="eastAsia" w:ascii="宋体" w:hAnsi="宋体" w:cs="仿宋_GB2312"/>
          <w:color w:val="auto"/>
          <w:sz w:val="24"/>
          <w:highlight w:val="none"/>
        </w:rPr>
      </w:pPr>
    </w:p>
    <w:p w14:paraId="67796A5F">
      <w:pPr>
        <w:pageBreakBefore w:val="0"/>
        <w:kinsoku/>
        <w:wordWrap/>
        <w:topLinePunct w:val="0"/>
        <w:bidi w:val="0"/>
        <w:spacing w:line="312"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w:t>
      </w:r>
      <w:r>
        <w:rPr>
          <w:rFonts w:hint="eastAsia" w:ascii="宋体" w:hAnsi="宋体"/>
          <w:color w:val="auto"/>
          <w:spacing w:val="6"/>
          <w:sz w:val="24"/>
          <w:highlight w:val="none"/>
          <w:lang w:val="en-US" w:eastAsia="zh-CN"/>
        </w:rPr>
        <w:t>电子签章</w:t>
      </w:r>
      <w:r>
        <w:rPr>
          <w:rFonts w:hint="eastAsia" w:ascii="宋体" w:hAnsi="宋体" w:cs="仿宋_GB2312"/>
          <w:color w:val="auto"/>
          <w:sz w:val="24"/>
          <w:highlight w:val="none"/>
        </w:rPr>
        <w:t>）：</w:t>
      </w:r>
    </w:p>
    <w:p w14:paraId="5B2224F4">
      <w:pPr>
        <w:pageBreakBefore w:val="0"/>
        <w:kinsoku/>
        <w:wordWrap/>
        <w:topLinePunct w:val="0"/>
        <w:bidi w:val="0"/>
        <w:spacing w:line="312" w:lineRule="auto"/>
        <w:ind w:firstLine="480" w:firstLineChars="200"/>
        <w:contextualSpacing/>
        <w:jc w:val="center"/>
        <w:rPr>
          <w:rFonts w:hint="eastAsia"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58589E2B">
      <w:pPr>
        <w:pageBreakBefore w:val="0"/>
        <w:kinsoku/>
        <w:wordWrap/>
        <w:topLinePunct w:val="0"/>
        <w:bidi w:val="0"/>
        <w:spacing w:line="312" w:lineRule="auto"/>
        <w:jc w:val="center"/>
        <w:rPr>
          <w:rFonts w:ascii="方正小标宋简体" w:hAnsi="方正小标宋简体" w:eastAsia="方正小标宋简体" w:cs="方正小标宋简体"/>
          <w:color w:val="auto"/>
          <w:sz w:val="44"/>
          <w:szCs w:val="44"/>
          <w:highlight w:val="none"/>
        </w:rPr>
        <w:sectPr>
          <w:pgSz w:w="11906" w:h="16838"/>
          <w:pgMar w:top="1440" w:right="1440" w:bottom="1440" w:left="1587" w:header="851" w:footer="992" w:gutter="0"/>
          <w:pgNumType w:fmt="decimal"/>
          <w:cols w:space="720" w:num="1"/>
          <w:titlePg/>
          <w:docGrid w:type="lines" w:linePitch="312" w:charSpace="0"/>
        </w:sectPr>
      </w:pPr>
    </w:p>
    <w:p w14:paraId="0DE74E6D">
      <w:pPr>
        <w:pageBreakBefore w:val="0"/>
        <w:kinsoku/>
        <w:wordWrap/>
        <w:topLinePunct w:val="0"/>
        <w:bidi w:val="0"/>
        <w:spacing w:line="312" w:lineRule="auto"/>
        <w:jc w:val="center"/>
        <w:outlineLvl w:val="2"/>
        <w:rPr>
          <w:rFonts w:hint="eastAsia"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bCs/>
          <w:color w:val="auto"/>
          <w:sz w:val="44"/>
          <w:szCs w:val="44"/>
          <w:highlight w:val="none"/>
        </w:rPr>
        <w:t>商务条款偏离表格式</w:t>
      </w:r>
    </w:p>
    <w:p w14:paraId="255ED9B7">
      <w:pPr>
        <w:pageBreakBefore w:val="0"/>
        <w:kinsoku/>
        <w:wordWrap/>
        <w:topLinePunct w:val="0"/>
        <w:bidi w:val="0"/>
        <w:spacing w:line="312" w:lineRule="auto"/>
        <w:contextualSpacing/>
        <w:jc w:val="left"/>
        <w:rPr>
          <w:rFonts w:hint="eastAsia" w:ascii="宋体" w:hAnsi="宋体"/>
          <w:color w:val="auto"/>
          <w:sz w:val="24"/>
          <w:highlight w:val="none"/>
        </w:rPr>
      </w:pPr>
    </w:p>
    <w:p w14:paraId="2EF276D8">
      <w:pPr>
        <w:pStyle w:val="18"/>
        <w:pageBreakBefore w:val="0"/>
        <w:kinsoku/>
        <w:wordWrap/>
        <w:topLinePunct w:val="0"/>
        <w:bidi w:val="0"/>
        <w:spacing w:line="312" w:lineRule="auto"/>
        <w:contextualSpacing/>
        <w:rPr>
          <w:rFonts w:hint="eastAsia" w:hAnsi="宋体" w:cs="仿宋_GB2312"/>
          <w:color w:val="auto"/>
          <w:sz w:val="24"/>
          <w:szCs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p>
    <w:p w14:paraId="5182DB60">
      <w:pPr>
        <w:pageBreakBefore w:val="0"/>
        <w:kinsoku/>
        <w:wordWrap/>
        <w:topLinePunct w:val="0"/>
        <w:bidi w:val="0"/>
        <w:spacing w:line="312" w:lineRule="auto"/>
        <w:contextualSpacing/>
        <w:jc w:val="left"/>
        <w:rPr>
          <w:rFonts w:hint="eastAsia" w:ascii="宋体" w:hAnsi="宋体" w:cs="仿宋_GB2312"/>
          <w:color w:val="auto"/>
          <w:sz w:val="24"/>
          <w:highlight w:val="none"/>
          <w:u w:val="single"/>
        </w:rPr>
      </w:pPr>
    </w:p>
    <w:tbl>
      <w:tblPr>
        <w:tblStyle w:val="29"/>
        <w:tblpPr w:leftFromText="180" w:rightFromText="180" w:vertAnchor="text" w:horzAnchor="margin" w:tblpY="-9"/>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1A2857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0C8FB97D">
            <w:pPr>
              <w:pageBreakBefore w:val="0"/>
              <w:kinsoku/>
              <w:wordWrap/>
              <w:topLinePunct w:val="0"/>
              <w:bidi w:val="0"/>
              <w:spacing w:line="312"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56F8647B">
            <w:pPr>
              <w:pageBreakBefore w:val="0"/>
              <w:kinsoku/>
              <w:wordWrap/>
              <w:topLinePunct w:val="0"/>
              <w:bidi w:val="0"/>
              <w:spacing w:line="312"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磋商文件商务条款要求</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38EF0146">
            <w:pPr>
              <w:pageBreakBefore w:val="0"/>
              <w:kinsoku/>
              <w:wordWrap/>
              <w:topLinePunct w:val="0"/>
              <w:bidi w:val="0"/>
              <w:spacing w:line="312"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noWrap w:val="0"/>
            <w:vAlign w:val="center"/>
          </w:tcPr>
          <w:p w14:paraId="7DEA5B61">
            <w:pPr>
              <w:pageBreakBefore w:val="0"/>
              <w:kinsoku/>
              <w:wordWrap/>
              <w:topLinePunct w:val="0"/>
              <w:bidi w:val="0"/>
              <w:spacing w:line="312"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偏离说明</w:t>
            </w:r>
          </w:p>
        </w:tc>
      </w:tr>
      <w:tr w14:paraId="4CFB4E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569A2538">
            <w:pPr>
              <w:pageBreakBefore w:val="0"/>
              <w:kinsoku/>
              <w:wordWrap/>
              <w:topLinePunct w:val="0"/>
              <w:bidi w:val="0"/>
              <w:spacing w:line="312"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服务期限</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27BF6780">
            <w:pPr>
              <w:pageBreakBefore w:val="0"/>
              <w:kinsoku/>
              <w:wordWrap/>
              <w:topLinePunct w:val="0"/>
              <w:bidi w:val="0"/>
              <w:spacing w:line="312" w:lineRule="auto"/>
              <w:contextualSpacing/>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52501B83">
            <w:pPr>
              <w:pageBreakBefore w:val="0"/>
              <w:kinsoku/>
              <w:wordWrap/>
              <w:topLinePunct w:val="0"/>
              <w:bidi w:val="0"/>
              <w:spacing w:line="312" w:lineRule="auto"/>
              <w:contextualSpacing/>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3A380DFF">
            <w:pPr>
              <w:pageBreakBefore w:val="0"/>
              <w:kinsoku/>
              <w:wordWrap/>
              <w:topLinePunct w:val="0"/>
              <w:bidi w:val="0"/>
              <w:spacing w:line="312" w:lineRule="auto"/>
              <w:contextualSpacing/>
              <w:jc w:val="center"/>
              <w:rPr>
                <w:rFonts w:hint="eastAsia" w:ascii="宋体" w:hAnsi="宋体" w:cs="仿宋_GB2312"/>
                <w:color w:val="auto"/>
                <w:sz w:val="24"/>
                <w:highlight w:val="none"/>
              </w:rPr>
            </w:pPr>
          </w:p>
        </w:tc>
      </w:tr>
      <w:tr w14:paraId="2C9267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372D4B98">
            <w:pPr>
              <w:pageBreakBefore w:val="0"/>
              <w:kinsoku/>
              <w:wordWrap/>
              <w:topLinePunct w:val="0"/>
              <w:bidi w:val="0"/>
              <w:spacing w:line="312"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交付或者实施时间及地点</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335A1A23">
            <w:pPr>
              <w:pageBreakBefore w:val="0"/>
              <w:kinsoku/>
              <w:wordWrap/>
              <w:topLinePunct w:val="0"/>
              <w:bidi w:val="0"/>
              <w:spacing w:line="312" w:lineRule="auto"/>
              <w:contextualSpacing/>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57EF9FD0">
            <w:pPr>
              <w:pageBreakBefore w:val="0"/>
              <w:kinsoku/>
              <w:wordWrap/>
              <w:topLinePunct w:val="0"/>
              <w:bidi w:val="0"/>
              <w:spacing w:line="312" w:lineRule="auto"/>
              <w:ind w:left="43"/>
              <w:contextualSpacing/>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147867DB">
            <w:pPr>
              <w:pageBreakBefore w:val="0"/>
              <w:kinsoku/>
              <w:wordWrap/>
              <w:topLinePunct w:val="0"/>
              <w:bidi w:val="0"/>
              <w:spacing w:line="312" w:lineRule="auto"/>
              <w:ind w:left="43"/>
              <w:contextualSpacing/>
              <w:jc w:val="center"/>
              <w:rPr>
                <w:rFonts w:hint="eastAsia" w:ascii="宋体" w:hAnsi="宋体" w:cs="仿宋_GB2312"/>
                <w:color w:val="auto"/>
                <w:sz w:val="24"/>
                <w:highlight w:val="none"/>
              </w:rPr>
            </w:pPr>
          </w:p>
        </w:tc>
      </w:tr>
      <w:tr w14:paraId="616E9B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60906978">
            <w:pPr>
              <w:pageBreakBefore w:val="0"/>
              <w:kinsoku/>
              <w:wordWrap/>
              <w:topLinePunct w:val="0"/>
              <w:bidi w:val="0"/>
              <w:spacing w:line="312"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付款方式、时间和条件</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2DFCD103">
            <w:pPr>
              <w:pageBreakBefore w:val="0"/>
              <w:kinsoku/>
              <w:wordWrap/>
              <w:topLinePunct w:val="0"/>
              <w:bidi w:val="0"/>
              <w:spacing w:line="312" w:lineRule="auto"/>
              <w:contextualSpacing/>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24470735">
            <w:pPr>
              <w:pageBreakBefore w:val="0"/>
              <w:kinsoku/>
              <w:wordWrap/>
              <w:topLinePunct w:val="0"/>
              <w:bidi w:val="0"/>
              <w:spacing w:line="312" w:lineRule="auto"/>
              <w:contextualSpacing/>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73D66216">
            <w:pPr>
              <w:pageBreakBefore w:val="0"/>
              <w:kinsoku/>
              <w:wordWrap/>
              <w:topLinePunct w:val="0"/>
              <w:bidi w:val="0"/>
              <w:spacing w:line="312" w:lineRule="auto"/>
              <w:contextualSpacing/>
              <w:jc w:val="center"/>
              <w:rPr>
                <w:rFonts w:hint="eastAsia" w:ascii="宋体" w:hAnsi="宋体" w:cs="仿宋_GB2312"/>
                <w:color w:val="auto"/>
                <w:sz w:val="24"/>
                <w:highlight w:val="none"/>
              </w:rPr>
            </w:pPr>
          </w:p>
        </w:tc>
      </w:tr>
      <w:tr w14:paraId="4EBD61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499D8162">
            <w:pPr>
              <w:pageBreakBefore w:val="0"/>
              <w:kinsoku/>
              <w:wordWrap/>
              <w:topLinePunct w:val="0"/>
              <w:bidi w:val="0"/>
              <w:spacing w:line="312"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23147E88">
            <w:pPr>
              <w:pageBreakBefore w:val="0"/>
              <w:kinsoku/>
              <w:wordWrap/>
              <w:topLinePunct w:val="0"/>
              <w:bidi w:val="0"/>
              <w:spacing w:line="312" w:lineRule="auto"/>
              <w:contextualSpacing/>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4A7B9683">
            <w:pPr>
              <w:pageBreakBefore w:val="0"/>
              <w:kinsoku/>
              <w:wordWrap/>
              <w:topLinePunct w:val="0"/>
              <w:bidi w:val="0"/>
              <w:spacing w:line="312" w:lineRule="auto"/>
              <w:contextualSpacing/>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767C3173">
            <w:pPr>
              <w:pageBreakBefore w:val="0"/>
              <w:kinsoku/>
              <w:wordWrap/>
              <w:topLinePunct w:val="0"/>
              <w:bidi w:val="0"/>
              <w:spacing w:line="312" w:lineRule="auto"/>
              <w:contextualSpacing/>
              <w:jc w:val="center"/>
              <w:rPr>
                <w:rFonts w:hint="eastAsia" w:ascii="宋体" w:hAnsi="宋体" w:cs="仿宋_GB2312"/>
                <w:color w:val="auto"/>
                <w:sz w:val="24"/>
                <w:highlight w:val="none"/>
              </w:rPr>
            </w:pPr>
          </w:p>
        </w:tc>
      </w:tr>
    </w:tbl>
    <w:p w14:paraId="45AC341F">
      <w:pPr>
        <w:pStyle w:val="12"/>
        <w:pageBreakBefore w:val="0"/>
        <w:kinsoku/>
        <w:wordWrap/>
        <w:topLinePunct w:val="0"/>
        <w:bidi w:val="0"/>
        <w:spacing w:after="0" w:line="312" w:lineRule="auto"/>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注：</w:t>
      </w:r>
    </w:p>
    <w:p w14:paraId="4B2C2C04">
      <w:pPr>
        <w:pStyle w:val="12"/>
        <w:pageBreakBefore w:val="0"/>
        <w:kinsoku/>
        <w:wordWrap/>
        <w:topLinePunct w:val="0"/>
        <w:bidi w:val="0"/>
        <w:spacing w:after="0" w:line="312" w:lineRule="auto"/>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1. 说明：应对照磋商文件“第三章 采购需求”中的商务条款逐条</w:t>
      </w:r>
      <w:r>
        <w:rPr>
          <w:rFonts w:hint="eastAsia" w:ascii="宋体" w:hAnsi="宋体"/>
          <w:color w:val="auto"/>
          <w:kern w:val="0"/>
          <w:sz w:val="24"/>
          <w:szCs w:val="24"/>
          <w:highlight w:val="none"/>
          <w:lang w:eastAsia="zh-CN"/>
        </w:rPr>
        <w:t>作出明确</w:t>
      </w:r>
      <w:r>
        <w:rPr>
          <w:rFonts w:hint="eastAsia" w:ascii="宋体" w:hAnsi="宋体"/>
          <w:color w:val="auto"/>
          <w:kern w:val="0"/>
          <w:sz w:val="24"/>
          <w:szCs w:val="24"/>
          <w:highlight w:val="none"/>
        </w:rPr>
        <w:t>响应，并作出偏离说明。</w:t>
      </w:r>
    </w:p>
    <w:p w14:paraId="1C111C00">
      <w:pPr>
        <w:pageBreakBefore w:val="0"/>
        <w:kinsoku/>
        <w:wordWrap/>
        <w:topLinePunct w:val="0"/>
        <w:bidi w:val="0"/>
        <w:spacing w:line="312" w:lineRule="auto"/>
        <w:contextualSpacing/>
        <w:jc w:val="left"/>
        <w:rPr>
          <w:rFonts w:hint="eastAsia" w:ascii="宋体" w:hAnsi="宋体" w:cs="仿宋_GB2312"/>
          <w:color w:val="auto"/>
          <w:sz w:val="24"/>
          <w:highlight w:val="none"/>
          <w:u w:val="single"/>
        </w:rPr>
      </w:pPr>
      <w:r>
        <w:rPr>
          <w:rFonts w:hint="eastAsia" w:ascii="宋体" w:hAnsi="宋体"/>
          <w:color w:val="auto"/>
          <w:kern w:val="0"/>
          <w:sz w:val="24"/>
          <w:highlight w:val="none"/>
        </w:rPr>
        <w:t>2.供应商应根据自身的承诺，对照磋商文件要求在“偏离说明”中注明“正偏离”、“负偏离”或者“无偏离”。既不属于“正偏离”也不属于“负偏离”即为“无偏离”。</w:t>
      </w:r>
    </w:p>
    <w:p w14:paraId="744B4A09">
      <w:pPr>
        <w:pageBreakBefore w:val="0"/>
        <w:kinsoku/>
        <w:wordWrap/>
        <w:topLinePunct w:val="0"/>
        <w:bidi w:val="0"/>
        <w:spacing w:line="312" w:lineRule="auto"/>
        <w:ind w:right="-817" w:rightChars="-389"/>
        <w:contextualSpacing/>
        <w:rPr>
          <w:rFonts w:hint="eastAsia" w:ascii="宋体" w:hAnsi="宋体" w:cs="仿宋_GB2312"/>
          <w:color w:val="auto"/>
          <w:sz w:val="24"/>
          <w:highlight w:val="none"/>
        </w:rPr>
      </w:pPr>
    </w:p>
    <w:p w14:paraId="59EC7DA6">
      <w:pPr>
        <w:pageBreakBefore w:val="0"/>
        <w:kinsoku/>
        <w:wordWrap/>
        <w:topLinePunct w:val="0"/>
        <w:bidi w:val="0"/>
        <w:spacing w:line="312" w:lineRule="auto"/>
        <w:ind w:right="-817" w:rightChars="-389" w:firstLine="960" w:firstLineChars="400"/>
        <w:contextualSpacing/>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w:t>
      </w:r>
      <w:r>
        <w:rPr>
          <w:rFonts w:hint="eastAsia" w:ascii="宋体" w:hAnsi="宋体"/>
          <w:color w:val="auto"/>
          <w:sz w:val="24"/>
          <w:highlight w:val="none"/>
          <w:lang w:val="en-US" w:eastAsia="zh-CN"/>
        </w:rPr>
        <w:t>签字或电子签名</w:t>
      </w:r>
      <w:r>
        <w:rPr>
          <w:rFonts w:hint="eastAsia" w:ascii="宋体" w:hAnsi="宋体" w:cs="仿宋_GB2312"/>
          <w:color w:val="auto"/>
          <w:sz w:val="24"/>
          <w:highlight w:val="none"/>
        </w:rPr>
        <w:t xml:space="preserve">）：                    </w:t>
      </w:r>
    </w:p>
    <w:p w14:paraId="5433FF66">
      <w:pPr>
        <w:pageBreakBefore w:val="0"/>
        <w:kinsoku/>
        <w:wordWrap/>
        <w:topLinePunct w:val="0"/>
        <w:bidi w:val="0"/>
        <w:spacing w:line="312" w:lineRule="auto"/>
        <w:ind w:left="0" w:leftChars="0" w:right="-817" w:rightChars="-389" w:firstLine="3789" w:firstLineChars="1579"/>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w:t>
      </w:r>
      <w:r>
        <w:rPr>
          <w:rFonts w:hint="eastAsia" w:ascii="宋体" w:hAnsi="宋体"/>
          <w:color w:val="auto"/>
          <w:spacing w:val="6"/>
          <w:sz w:val="24"/>
          <w:highlight w:val="none"/>
          <w:lang w:val="en-US" w:eastAsia="zh-CN"/>
        </w:rPr>
        <w:t>电子签章</w:t>
      </w:r>
      <w:r>
        <w:rPr>
          <w:rFonts w:hint="eastAsia" w:ascii="宋体" w:hAnsi="宋体" w:cs="仿宋_GB2312"/>
          <w:color w:val="auto"/>
          <w:sz w:val="24"/>
          <w:highlight w:val="none"/>
        </w:rPr>
        <w:t xml:space="preserve">）：      </w:t>
      </w:r>
    </w:p>
    <w:p w14:paraId="2893EA11">
      <w:pPr>
        <w:pageBreakBefore w:val="0"/>
        <w:kinsoku/>
        <w:wordWrap/>
        <w:topLinePunct w:val="0"/>
        <w:bidi w:val="0"/>
        <w:spacing w:line="312" w:lineRule="auto"/>
        <w:ind w:left="0" w:leftChars="0" w:right="-817" w:rightChars="-389" w:firstLine="5520" w:firstLineChars="0"/>
        <w:contextualSpacing/>
        <w:rPr>
          <w:rFonts w:hint="eastAsia"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日期：   年   月   日</w:t>
      </w:r>
    </w:p>
    <w:p w14:paraId="01D18B5A">
      <w:pPr>
        <w:pageBreakBefore w:val="0"/>
        <w:kinsoku/>
        <w:wordWrap/>
        <w:topLinePunct w:val="0"/>
        <w:bidi w:val="0"/>
        <w:adjustRightInd w:val="0"/>
        <w:snapToGrid w:val="0"/>
        <w:spacing w:line="312" w:lineRule="auto"/>
        <w:ind w:firstLine="7040" w:firstLineChars="1600"/>
        <w:jc w:val="center"/>
        <w:rPr>
          <w:rFonts w:hint="eastAsia" w:ascii="方正小标宋简体" w:hAnsi="方正小标宋简体" w:eastAsia="方正小标宋简体" w:cs="方正小标宋简体"/>
          <w:bCs/>
          <w:color w:val="auto"/>
          <w:sz w:val="44"/>
          <w:szCs w:val="44"/>
          <w:highlight w:val="none"/>
        </w:rPr>
      </w:pPr>
    </w:p>
    <w:p w14:paraId="25FF2C52">
      <w:pPr>
        <w:pageBreakBefore w:val="0"/>
        <w:kinsoku/>
        <w:wordWrap/>
        <w:topLinePunct w:val="0"/>
        <w:bidi w:val="0"/>
        <w:adjustRightInd w:val="0"/>
        <w:snapToGrid w:val="0"/>
        <w:spacing w:line="312" w:lineRule="auto"/>
        <w:ind w:firstLine="7040" w:firstLineChars="1600"/>
        <w:jc w:val="center"/>
        <w:rPr>
          <w:rFonts w:hint="eastAsia" w:ascii="方正小标宋简体" w:hAnsi="方正小标宋简体" w:eastAsia="方正小标宋简体" w:cs="方正小标宋简体"/>
          <w:bCs/>
          <w:color w:val="auto"/>
          <w:sz w:val="44"/>
          <w:szCs w:val="44"/>
          <w:highlight w:val="none"/>
        </w:rPr>
      </w:pPr>
    </w:p>
    <w:p w14:paraId="54400666">
      <w:pPr>
        <w:pageBreakBefore w:val="0"/>
        <w:kinsoku/>
        <w:wordWrap/>
        <w:topLinePunct w:val="0"/>
        <w:bidi w:val="0"/>
        <w:adjustRightInd w:val="0"/>
        <w:snapToGrid w:val="0"/>
        <w:spacing w:line="312" w:lineRule="auto"/>
        <w:ind w:firstLine="7040" w:firstLineChars="1600"/>
        <w:jc w:val="center"/>
        <w:rPr>
          <w:rFonts w:hint="eastAsia" w:ascii="方正小标宋简体" w:hAnsi="方正小标宋简体" w:eastAsia="方正小标宋简体" w:cs="方正小标宋简体"/>
          <w:bCs/>
          <w:color w:val="auto"/>
          <w:sz w:val="44"/>
          <w:szCs w:val="44"/>
          <w:highlight w:val="none"/>
        </w:rPr>
      </w:pPr>
    </w:p>
    <w:p w14:paraId="6B6E6136">
      <w:pPr>
        <w:pageBreakBefore w:val="0"/>
        <w:kinsoku/>
        <w:wordWrap/>
        <w:topLinePunct w:val="0"/>
        <w:bidi w:val="0"/>
        <w:adjustRightInd w:val="0"/>
        <w:snapToGrid w:val="0"/>
        <w:spacing w:line="312" w:lineRule="auto"/>
        <w:ind w:firstLine="7040" w:firstLineChars="1600"/>
        <w:jc w:val="center"/>
        <w:rPr>
          <w:rFonts w:hint="eastAsia" w:ascii="方正小标宋简体" w:hAnsi="方正小标宋简体" w:eastAsia="方正小标宋简体" w:cs="方正小标宋简体"/>
          <w:bCs/>
          <w:color w:val="auto"/>
          <w:sz w:val="44"/>
          <w:szCs w:val="44"/>
          <w:highlight w:val="none"/>
        </w:rPr>
      </w:pPr>
    </w:p>
    <w:p w14:paraId="02AFB0C7">
      <w:pPr>
        <w:pageBreakBefore w:val="0"/>
        <w:kinsoku/>
        <w:wordWrap/>
        <w:topLinePunct w:val="0"/>
        <w:bidi w:val="0"/>
        <w:adjustRightInd w:val="0"/>
        <w:snapToGrid w:val="0"/>
        <w:spacing w:line="312" w:lineRule="auto"/>
        <w:rPr>
          <w:rFonts w:hint="eastAsia" w:ascii="宋体" w:hAnsi="宋体"/>
          <w:color w:val="auto"/>
          <w:szCs w:val="21"/>
          <w:highlight w:val="none"/>
          <w:u w:val="single"/>
        </w:rPr>
      </w:pPr>
    </w:p>
    <w:p w14:paraId="405CE1D1">
      <w:pPr>
        <w:pageBreakBefore w:val="0"/>
        <w:kinsoku/>
        <w:wordWrap/>
        <w:topLinePunct w:val="0"/>
        <w:bidi w:val="0"/>
        <w:adjustRightInd w:val="0"/>
        <w:snapToGrid w:val="0"/>
        <w:spacing w:line="312" w:lineRule="auto"/>
        <w:jc w:val="center"/>
        <w:outlineLvl w:val="2"/>
        <w:rPr>
          <w:rFonts w:hint="eastAsia"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lang w:val="en-US" w:eastAsia="zh-CN"/>
        </w:rPr>
        <w:t>技术</w:t>
      </w:r>
      <w:r>
        <w:rPr>
          <w:rFonts w:hint="eastAsia" w:ascii="方正小标宋简体" w:hAnsi="方正小标宋简体" w:eastAsia="方正小标宋简体" w:cs="方正小标宋简体"/>
          <w:bCs/>
          <w:color w:val="auto"/>
          <w:sz w:val="44"/>
          <w:szCs w:val="44"/>
          <w:highlight w:val="none"/>
        </w:rPr>
        <w:t>需求偏离表</w:t>
      </w:r>
    </w:p>
    <w:p w14:paraId="0286C0B0">
      <w:pPr>
        <w:pageBreakBefore w:val="0"/>
        <w:kinsoku/>
        <w:wordWrap/>
        <w:topLinePunct w:val="0"/>
        <w:bidi w:val="0"/>
        <w:spacing w:line="312" w:lineRule="auto"/>
        <w:rPr>
          <w:rFonts w:hint="eastAsia" w:ascii="仿宋_GB2312" w:hAnsi="仿宋_GB2312" w:eastAsia="仿宋_GB2312" w:cs="仿宋_GB2312"/>
          <w:color w:val="auto"/>
          <w:sz w:val="32"/>
          <w:szCs w:val="32"/>
          <w:highlight w:val="none"/>
        </w:rPr>
      </w:pPr>
    </w:p>
    <w:p w14:paraId="2E0E4F18">
      <w:pPr>
        <w:pageBreakBefore w:val="0"/>
        <w:kinsoku/>
        <w:wordWrap/>
        <w:topLinePunct w:val="0"/>
        <w:bidi w:val="0"/>
        <w:spacing w:line="312"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35B2A768">
      <w:pPr>
        <w:pageBreakBefore w:val="0"/>
        <w:kinsoku/>
        <w:wordWrap/>
        <w:topLinePunct w:val="0"/>
        <w:bidi w:val="0"/>
        <w:spacing w:line="312"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
        <w:gridCol w:w="900"/>
        <w:gridCol w:w="2989"/>
        <w:gridCol w:w="2690"/>
        <w:gridCol w:w="1467"/>
      </w:tblGrid>
      <w:tr w14:paraId="1267FF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27622398">
            <w:pPr>
              <w:pStyle w:val="14"/>
              <w:pageBreakBefore w:val="0"/>
              <w:kinsoku/>
              <w:wordWrap/>
              <w:topLinePunct w:val="0"/>
              <w:bidi w:val="0"/>
              <w:spacing w:line="312"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bookmarkStart w:id="113" w:name="_Toc254970729"/>
            <w:bookmarkStart w:id="114" w:name="_Toc295404981"/>
            <w:bookmarkStart w:id="115" w:name="_Toc173066401"/>
            <w:bookmarkStart w:id="116" w:name="_Toc254970588"/>
            <w:bookmarkStart w:id="117" w:name="_Toc383699906"/>
            <w:bookmarkStart w:id="118" w:name="_Toc173211900"/>
            <w:bookmarkStart w:id="119" w:name="_Toc373333689"/>
            <w:bookmarkStart w:id="120" w:name="_Toc297193185"/>
            <w:bookmarkStart w:id="121" w:name="_Toc301781611"/>
            <w:r>
              <w:rPr>
                <w:rFonts w:hint="eastAsia" w:ascii="宋体" w:hAnsi="宋体" w:eastAsia="宋体" w:cs="仿宋_GB2312"/>
                <w:color w:val="auto"/>
                <w:kern w:val="2"/>
                <w:sz w:val="24"/>
                <w:szCs w:val="24"/>
                <w:highlight w:val="none"/>
                <w:lang w:val="en-US" w:eastAsia="zh-CN"/>
              </w:rPr>
              <w:t>序号</w:t>
            </w:r>
            <w:bookmarkEnd w:id="113"/>
            <w:bookmarkEnd w:id="114"/>
            <w:bookmarkEnd w:id="115"/>
            <w:bookmarkEnd w:id="116"/>
            <w:bookmarkEnd w:id="117"/>
            <w:bookmarkEnd w:id="118"/>
            <w:bookmarkEnd w:id="119"/>
            <w:bookmarkEnd w:id="120"/>
            <w:bookmarkEnd w:id="121"/>
          </w:p>
        </w:tc>
        <w:tc>
          <w:tcPr>
            <w:tcW w:w="900" w:type="dxa"/>
            <w:tcBorders>
              <w:right w:val="single" w:color="auto" w:sz="4" w:space="0"/>
            </w:tcBorders>
            <w:noWrap w:val="0"/>
            <w:vAlign w:val="center"/>
          </w:tcPr>
          <w:p w14:paraId="2F0FD986">
            <w:pPr>
              <w:pStyle w:val="14"/>
              <w:pageBreakBefore w:val="0"/>
              <w:kinsoku/>
              <w:wordWrap/>
              <w:topLinePunct w:val="0"/>
              <w:bidi w:val="0"/>
              <w:spacing w:line="312"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名称</w:t>
            </w:r>
          </w:p>
        </w:tc>
        <w:tc>
          <w:tcPr>
            <w:tcW w:w="2989" w:type="dxa"/>
            <w:tcBorders>
              <w:left w:val="single" w:color="auto" w:sz="4" w:space="0"/>
            </w:tcBorders>
            <w:noWrap w:val="0"/>
            <w:vAlign w:val="center"/>
          </w:tcPr>
          <w:p w14:paraId="5577954A">
            <w:pPr>
              <w:pStyle w:val="14"/>
              <w:pageBreakBefore w:val="0"/>
              <w:kinsoku/>
              <w:wordWrap/>
              <w:topLinePunct w:val="0"/>
              <w:bidi w:val="0"/>
              <w:spacing w:line="312"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磋商文件技术需求</w:t>
            </w:r>
          </w:p>
        </w:tc>
        <w:tc>
          <w:tcPr>
            <w:tcW w:w="2690" w:type="dxa"/>
            <w:noWrap w:val="0"/>
            <w:vAlign w:val="center"/>
          </w:tcPr>
          <w:p w14:paraId="77E51A6B">
            <w:pPr>
              <w:pStyle w:val="14"/>
              <w:pageBreakBefore w:val="0"/>
              <w:kinsoku/>
              <w:wordWrap/>
              <w:topLinePunct w:val="0"/>
              <w:bidi w:val="0"/>
              <w:spacing w:line="312"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bookmarkStart w:id="122" w:name="_Toc373333691"/>
            <w:bookmarkStart w:id="123" w:name="_Toc295404983"/>
            <w:bookmarkStart w:id="124" w:name="_Toc173066403"/>
            <w:bookmarkStart w:id="125" w:name="_Toc173211902"/>
            <w:bookmarkStart w:id="126" w:name="_Toc301781613"/>
            <w:bookmarkStart w:id="127" w:name="_Toc297193187"/>
            <w:bookmarkStart w:id="128" w:name="_Toc254970590"/>
            <w:bookmarkStart w:id="129" w:name="_Toc383699908"/>
            <w:bookmarkStart w:id="130" w:name="_Toc254970731"/>
            <w:r>
              <w:rPr>
                <w:rFonts w:hint="eastAsia" w:ascii="宋体" w:hAnsi="宋体" w:eastAsia="宋体" w:cs="仿宋_GB2312"/>
                <w:color w:val="auto"/>
                <w:kern w:val="2"/>
                <w:sz w:val="24"/>
                <w:szCs w:val="24"/>
                <w:highlight w:val="none"/>
                <w:lang w:val="en-US" w:eastAsia="zh-CN"/>
              </w:rPr>
              <w:t>竞标响应</w:t>
            </w:r>
            <w:bookmarkEnd w:id="122"/>
            <w:bookmarkEnd w:id="123"/>
            <w:bookmarkEnd w:id="124"/>
            <w:bookmarkEnd w:id="125"/>
            <w:bookmarkEnd w:id="126"/>
            <w:bookmarkEnd w:id="127"/>
            <w:bookmarkEnd w:id="128"/>
            <w:bookmarkEnd w:id="129"/>
            <w:bookmarkEnd w:id="130"/>
          </w:p>
        </w:tc>
        <w:tc>
          <w:tcPr>
            <w:tcW w:w="1467" w:type="dxa"/>
            <w:noWrap w:val="0"/>
            <w:vAlign w:val="center"/>
          </w:tcPr>
          <w:p w14:paraId="46F4FDAA">
            <w:pPr>
              <w:pStyle w:val="14"/>
              <w:pageBreakBefore w:val="0"/>
              <w:kinsoku/>
              <w:wordWrap/>
              <w:topLinePunct w:val="0"/>
              <w:bidi w:val="0"/>
              <w:spacing w:line="312"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bookmarkStart w:id="131" w:name="_Toc295404984"/>
            <w:bookmarkStart w:id="132" w:name="_Toc254970591"/>
            <w:bookmarkStart w:id="133" w:name="_Toc173211903"/>
            <w:bookmarkStart w:id="134" w:name="_Toc173066404"/>
            <w:bookmarkStart w:id="135" w:name="_Toc254970732"/>
            <w:bookmarkStart w:id="136" w:name="_Toc373333692"/>
            <w:bookmarkStart w:id="137" w:name="_Toc383699909"/>
            <w:bookmarkStart w:id="138" w:name="_Toc297193188"/>
            <w:bookmarkStart w:id="139" w:name="_Toc301781614"/>
            <w:r>
              <w:rPr>
                <w:rFonts w:hint="eastAsia" w:ascii="宋体" w:hAnsi="宋体" w:eastAsia="宋体" w:cs="仿宋_GB2312"/>
                <w:color w:val="auto"/>
                <w:kern w:val="2"/>
                <w:sz w:val="24"/>
                <w:szCs w:val="24"/>
                <w:highlight w:val="none"/>
                <w:lang w:val="en-US" w:eastAsia="zh-CN"/>
              </w:rPr>
              <w:t>偏离</w:t>
            </w:r>
            <w:bookmarkEnd w:id="131"/>
            <w:bookmarkEnd w:id="132"/>
            <w:bookmarkEnd w:id="133"/>
            <w:bookmarkEnd w:id="134"/>
            <w:bookmarkEnd w:id="135"/>
            <w:bookmarkEnd w:id="136"/>
            <w:bookmarkEnd w:id="137"/>
            <w:bookmarkEnd w:id="138"/>
            <w:bookmarkEnd w:id="139"/>
            <w:bookmarkStart w:id="140" w:name="_Toc254970592"/>
            <w:bookmarkStart w:id="141" w:name="_Toc383699910"/>
            <w:bookmarkStart w:id="142" w:name="_Toc373333693"/>
            <w:bookmarkStart w:id="143" w:name="_Toc254970733"/>
            <w:bookmarkStart w:id="144" w:name="_Toc295404985"/>
            <w:bookmarkStart w:id="145" w:name="_Toc297193189"/>
            <w:bookmarkStart w:id="146" w:name="_Toc301781615"/>
            <w:bookmarkStart w:id="147" w:name="_Toc173211904"/>
            <w:bookmarkStart w:id="148" w:name="_Toc173066405"/>
            <w:r>
              <w:rPr>
                <w:rFonts w:hint="eastAsia" w:ascii="宋体" w:hAnsi="宋体" w:eastAsia="宋体" w:cs="仿宋_GB2312"/>
                <w:color w:val="auto"/>
                <w:kern w:val="2"/>
                <w:sz w:val="24"/>
                <w:szCs w:val="24"/>
                <w:highlight w:val="none"/>
                <w:lang w:val="en-US" w:eastAsia="zh-CN"/>
              </w:rPr>
              <w:t>说明</w:t>
            </w:r>
            <w:bookmarkEnd w:id="140"/>
            <w:bookmarkEnd w:id="141"/>
            <w:bookmarkEnd w:id="142"/>
            <w:bookmarkEnd w:id="143"/>
            <w:bookmarkEnd w:id="144"/>
            <w:bookmarkEnd w:id="145"/>
            <w:bookmarkEnd w:id="146"/>
            <w:bookmarkEnd w:id="147"/>
            <w:bookmarkEnd w:id="148"/>
          </w:p>
        </w:tc>
      </w:tr>
      <w:tr w14:paraId="1656B9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174C8F6B">
            <w:pPr>
              <w:pStyle w:val="14"/>
              <w:pageBreakBefore w:val="0"/>
              <w:kinsoku/>
              <w:wordWrap/>
              <w:topLinePunct w:val="0"/>
              <w:bidi w:val="0"/>
              <w:spacing w:line="312"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bookmarkStart w:id="149" w:name="_Toc173066406"/>
            <w:bookmarkStart w:id="150" w:name="_Toc254970593"/>
            <w:bookmarkStart w:id="151" w:name="_Toc254970734"/>
            <w:bookmarkStart w:id="152" w:name="_Toc295404986"/>
            <w:bookmarkStart w:id="153" w:name="_Toc301781616"/>
            <w:bookmarkStart w:id="154" w:name="_Toc373333694"/>
            <w:bookmarkStart w:id="155" w:name="_Toc297193190"/>
            <w:bookmarkStart w:id="156" w:name="_Toc173211905"/>
            <w:bookmarkStart w:id="157" w:name="_Toc383699911"/>
            <w:r>
              <w:rPr>
                <w:rFonts w:hint="eastAsia" w:ascii="宋体" w:hAnsi="宋体" w:eastAsia="宋体" w:cs="仿宋_GB2312"/>
                <w:color w:val="auto"/>
                <w:kern w:val="2"/>
                <w:sz w:val="24"/>
                <w:szCs w:val="24"/>
                <w:highlight w:val="none"/>
                <w:lang w:val="en-US" w:eastAsia="zh-CN"/>
              </w:rPr>
              <w:t>1</w:t>
            </w:r>
            <w:bookmarkEnd w:id="149"/>
            <w:bookmarkEnd w:id="150"/>
            <w:bookmarkEnd w:id="151"/>
            <w:bookmarkEnd w:id="152"/>
            <w:bookmarkEnd w:id="153"/>
            <w:bookmarkEnd w:id="154"/>
            <w:bookmarkEnd w:id="155"/>
            <w:bookmarkEnd w:id="156"/>
            <w:bookmarkEnd w:id="157"/>
          </w:p>
        </w:tc>
        <w:tc>
          <w:tcPr>
            <w:tcW w:w="900" w:type="dxa"/>
            <w:tcBorders>
              <w:right w:val="single" w:color="auto" w:sz="4" w:space="0"/>
            </w:tcBorders>
            <w:noWrap w:val="0"/>
            <w:vAlign w:val="center"/>
          </w:tcPr>
          <w:p w14:paraId="0C4FFF3E">
            <w:pPr>
              <w:pStyle w:val="14"/>
              <w:pageBreakBefore w:val="0"/>
              <w:kinsoku/>
              <w:wordWrap/>
              <w:topLinePunct w:val="0"/>
              <w:bidi w:val="0"/>
              <w:spacing w:line="312"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2989" w:type="dxa"/>
            <w:tcBorders>
              <w:left w:val="single" w:color="auto" w:sz="4" w:space="0"/>
            </w:tcBorders>
            <w:noWrap w:val="0"/>
            <w:vAlign w:val="center"/>
          </w:tcPr>
          <w:p w14:paraId="17C60266">
            <w:pPr>
              <w:pStyle w:val="14"/>
              <w:pageBreakBefore w:val="0"/>
              <w:kinsoku/>
              <w:wordWrap/>
              <w:topLinePunct w:val="0"/>
              <w:bidi w:val="0"/>
              <w:spacing w:line="312"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2690" w:type="dxa"/>
            <w:noWrap w:val="0"/>
            <w:vAlign w:val="center"/>
          </w:tcPr>
          <w:p w14:paraId="46DF0416">
            <w:pPr>
              <w:pStyle w:val="14"/>
              <w:pageBreakBefore w:val="0"/>
              <w:kinsoku/>
              <w:wordWrap/>
              <w:topLinePunct w:val="0"/>
              <w:bidi w:val="0"/>
              <w:spacing w:line="312"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1467" w:type="dxa"/>
            <w:noWrap w:val="0"/>
            <w:vAlign w:val="center"/>
          </w:tcPr>
          <w:p w14:paraId="33FF98C4">
            <w:pPr>
              <w:pStyle w:val="14"/>
              <w:pageBreakBefore w:val="0"/>
              <w:kinsoku/>
              <w:wordWrap/>
              <w:topLinePunct w:val="0"/>
              <w:bidi w:val="0"/>
              <w:spacing w:line="312"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r>
      <w:tr w14:paraId="6E2940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6B0E9847">
            <w:pPr>
              <w:pStyle w:val="14"/>
              <w:pageBreakBefore w:val="0"/>
              <w:kinsoku/>
              <w:wordWrap/>
              <w:topLinePunct w:val="0"/>
              <w:bidi w:val="0"/>
              <w:spacing w:line="312"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bookmarkStart w:id="158" w:name="_Toc173211906"/>
            <w:bookmarkStart w:id="159" w:name="_Toc295404987"/>
            <w:bookmarkStart w:id="160" w:name="_Toc373333695"/>
            <w:bookmarkStart w:id="161" w:name="_Toc301781617"/>
            <w:bookmarkStart w:id="162" w:name="_Toc254970735"/>
            <w:bookmarkStart w:id="163" w:name="_Toc297193191"/>
            <w:bookmarkStart w:id="164" w:name="_Toc173066407"/>
            <w:bookmarkStart w:id="165" w:name="_Toc383699912"/>
            <w:bookmarkStart w:id="166" w:name="_Toc254970594"/>
            <w:r>
              <w:rPr>
                <w:rFonts w:hint="eastAsia" w:ascii="宋体" w:hAnsi="宋体" w:eastAsia="宋体" w:cs="仿宋_GB2312"/>
                <w:color w:val="auto"/>
                <w:kern w:val="2"/>
                <w:sz w:val="24"/>
                <w:szCs w:val="24"/>
                <w:highlight w:val="none"/>
                <w:lang w:val="en-US" w:eastAsia="zh-CN"/>
              </w:rPr>
              <w:t>2</w:t>
            </w:r>
            <w:bookmarkEnd w:id="158"/>
            <w:bookmarkEnd w:id="159"/>
            <w:bookmarkEnd w:id="160"/>
            <w:bookmarkEnd w:id="161"/>
            <w:bookmarkEnd w:id="162"/>
            <w:bookmarkEnd w:id="163"/>
            <w:bookmarkEnd w:id="164"/>
            <w:bookmarkEnd w:id="165"/>
            <w:bookmarkEnd w:id="166"/>
          </w:p>
        </w:tc>
        <w:tc>
          <w:tcPr>
            <w:tcW w:w="900" w:type="dxa"/>
            <w:tcBorders>
              <w:right w:val="single" w:color="auto" w:sz="4" w:space="0"/>
            </w:tcBorders>
            <w:noWrap w:val="0"/>
            <w:vAlign w:val="center"/>
          </w:tcPr>
          <w:p w14:paraId="48613932">
            <w:pPr>
              <w:pStyle w:val="14"/>
              <w:pageBreakBefore w:val="0"/>
              <w:kinsoku/>
              <w:wordWrap/>
              <w:topLinePunct w:val="0"/>
              <w:bidi w:val="0"/>
              <w:spacing w:line="312"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2989" w:type="dxa"/>
            <w:tcBorders>
              <w:left w:val="single" w:color="auto" w:sz="4" w:space="0"/>
            </w:tcBorders>
            <w:noWrap w:val="0"/>
            <w:vAlign w:val="center"/>
          </w:tcPr>
          <w:p w14:paraId="0883DF29">
            <w:pPr>
              <w:pStyle w:val="14"/>
              <w:pageBreakBefore w:val="0"/>
              <w:kinsoku/>
              <w:wordWrap/>
              <w:topLinePunct w:val="0"/>
              <w:bidi w:val="0"/>
              <w:spacing w:line="312"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2690" w:type="dxa"/>
            <w:noWrap w:val="0"/>
            <w:vAlign w:val="center"/>
          </w:tcPr>
          <w:p w14:paraId="2359D996">
            <w:pPr>
              <w:pStyle w:val="14"/>
              <w:pageBreakBefore w:val="0"/>
              <w:kinsoku/>
              <w:wordWrap/>
              <w:topLinePunct w:val="0"/>
              <w:bidi w:val="0"/>
              <w:spacing w:line="312"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1467" w:type="dxa"/>
            <w:noWrap w:val="0"/>
            <w:vAlign w:val="center"/>
          </w:tcPr>
          <w:p w14:paraId="438F3F58">
            <w:pPr>
              <w:pStyle w:val="14"/>
              <w:pageBreakBefore w:val="0"/>
              <w:kinsoku/>
              <w:wordWrap/>
              <w:topLinePunct w:val="0"/>
              <w:bidi w:val="0"/>
              <w:spacing w:line="312"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r>
      <w:tr w14:paraId="6425AF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1A7DDDF1">
            <w:pPr>
              <w:pStyle w:val="14"/>
              <w:pageBreakBefore w:val="0"/>
              <w:kinsoku/>
              <w:wordWrap/>
              <w:topLinePunct w:val="0"/>
              <w:bidi w:val="0"/>
              <w:spacing w:line="312"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bookmarkStart w:id="167" w:name="_Toc173211907"/>
            <w:bookmarkStart w:id="168" w:name="_Toc254970736"/>
            <w:bookmarkStart w:id="169" w:name="_Toc254970595"/>
            <w:bookmarkStart w:id="170" w:name="_Toc297193192"/>
            <w:bookmarkStart w:id="171" w:name="_Toc295404988"/>
            <w:bookmarkStart w:id="172" w:name="_Toc383699913"/>
            <w:bookmarkStart w:id="173" w:name="_Toc173066408"/>
            <w:bookmarkStart w:id="174" w:name="_Toc373333696"/>
            <w:bookmarkStart w:id="175" w:name="_Toc301781618"/>
            <w:r>
              <w:rPr>
                <w:rFonts w:hint="eastAsia" w:ascii="宋体" w:hAnsi="宋体" w:eastAsia="宋体" w:cs="仿宋_GB2312"/>
                <w:color w:val="auto"/>
                <w:kern w:val="2"/>
                <w:sz w:val="24"/>
                <w:szCs w:val="24"/>
                <w:highlight w:val="none"/>
                <w:lang w:val="en-US" w:eastAsia="zh-CN"/>
              </w:rPr>
              <w:t>3</w:t>
            </w:r>
            <w:bookmarkEnd w:id="167"/>
            <w:bookmarkEnd w:id="168"/>
            <w:bookmarkEnd w:id="169"/>
            <w:bookmarkEnd w:id="170"/>
            <w:bookmarkEnd w:id="171"/>
            <w:bookmarkEnd w:id="172"/>
            <w:bookmarkEnd w:id="173"/>
            <w:bookmarkEnd w:id="174"/>
            <w:bookmarkEnd w:id="175"/>
          </w:p>
        </w:tc>
        <w:tc>
          <w:tcPr>
            <w:tcW w:w="900" w:type="dxa"/>
            <w:tcBorders>
              <w:right w:val="single" w:color="auto" w:sz="4" w:space="0"/>
            </w:tcBorders>
            <w:noWrap w:val="0"/>
            <w:vAlign w:val="center"/>
          </w:tcPr>
          <w:p w14:paraId="4C844B9B">
            <w:pPr>
              <w:pStyle w:val="14"/>
              <w:pageBreakBefore w:val="0"/>
              <w:kinsoku/>
              <w:wordWrap/>
              <w:topLinePunct w:val="0"/>
              <w:bidi w:val="0"/>
              <w:spacing w:line="312"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2989" w:type="dxa"/>
            <w:tcBorders>
              <w:left w:val="single" w:color="auto" w:sz="4" w:space="0"/>
            </w:tcBorders>
            <w:noWrap w:val="0"/>
            <w:vAlign w:val="center"/>
          </w:tcPr>
          <w:p w14:paraId="11EAAC82">
            <w:pPr>
              <w:pStyle w:val="14"/>
              <w:pageBreakBefore w:val="0"/>
              <w:kinsoku/>
              <w:wordWrap/>
              <w:topLinePunct w:val="0"/>
              <w:bidi w:val="0"/>
              <w:spacing w:line="312"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2690" w:type="dxa"/>
            <w:noWrap w:val="0"/>
            <w:vAlign w:val="center"/>
          </w:tcPr>
          <w:p w14:paraId="4DD36213">
            <w:pPr>
              <w:pStyle w:val="14"/>
              <w:pageBreakBefore w:val="0"/>
              <w:kinsoku/>
              <w:wordWrap/>
              <w:topLinePunct w:val="0"/>
              <w:bidi w:val="0"/>
              <w:spacing w:line="312"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1467" w:type="dxa"/>
            <w:noWrap w:val="0"/>
            <w:vAlign w:val="center"/>
          </w:tcPr>
          <w:p w14:paraId="72B5CE0E">
            <w:pPr>
              <w:pStyle w:val="14"/>
              <w:pageBreakBefore w:val="0"/>
              <w:kinsoku/>
              <w:wordWrap/>
              <w:topLinePunct w:val="0"/>
              <w:bidi w:val="0"/>
              <w:spacing w:line="312"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r>
      <w:tr w14:paraId="7B548F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558BD68E">
            <w:pPr>
              <w:pStyle w:val="14"/>
              <w:pageBreakBefore w:val="0"/>
              <w:kinsoku/>
              <w:wordWrap/>
              <w:topLinePunct w:val="0"/>
              <w:bidi w:val="0"/>
              <w:spacing w:line="312"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bookmarkStart w:id="176" w:name="_Toc254970737"/>
            <w:bookmarkStart w:id="177" w:name="_Toc295404989"/>
            <w:bookmarkStart w:id="178" w:name="_Toc173211908"/>
            <w:bookmarkStart w:id="179" w:name="_Toc297193193"/>
            <w:bookmarkStart w:id="180" w:name="_Toc383699914"/>
            <w:bookmarkStart w:id="181" w:name="_Toc301781619"/>
            <w:bookmarkStart w:id="182" w:name="_Toc373333697"/>
            <w:bookmarkStart w:id="183" w:name="_Toc173066409"/>
            <w:bookmarkStart w:id="184" w:name="_Toc254970596"/>
            <w:r>
              <w:rPr>
                <w:rFonts w:hint="eastAsia" w:ascii="宋体" w:hAnsi="宋体" w:eastAsia="宋体" w:cs="仿宋_GB2312"/>
                <w:color w:val="auto"/>
                <w:kern w:val="2"/>
                <w:sz w:val="24"/>
                <w:szCs w:val="24"/>
                <w:highlight w:val="none"/>
                <w:lang w:val="en-US" w:eastAsia="zh-CN"/>
              </w:rPr>
              <w:t>4</w:t>
            </w:r>
            <w:bookmarkEnd w:id="176"/>
            <w:bookmarkEnd w:id="177"/>
            <w:bookmarkEnd w:id="178"/>
            <w:bookmarkEnd w:id="179"/>
            <w:bookmarkEnd w:id="180"/>
            <w:bookmarkEnd w:id="181"/>
            <w:bookmarkEnd w:id="182"/>
            <w:bookmarkEnd w:id="183"/>
            <w:bookmarkEnd w:id="184"/>
          </w:p>
        </w:tc>
        <w:tc>
          <w:tcPr>
            <w:tcW w:w="900" w:type="dxa"/>
            <w:tcBorders>
              <w:right w:val="single" w:color="auto" w:sz="4" w:space="0"/>
            </w:tcBorders>
            <w:noWrap w:val="0"/>
            <w:vAlign w:val="center"/>
          </w:tcPr>
          <w:p w14:paraId="3457AFB9">
            <w:pPr>
              <w:pStyle w:val="14"/>
              <w:pageBreakBefore w:val="0"/>
              <w:kinsoku/>
              <w:wordWrap/>
              <w:topLinePunct w:val="0"/>
              <w:bidi w:val="0"/>
              <w:spacing w:line="312"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2989" w:type="dxa"/>
            <w:tcBorders>
              <w:left w:val="single" w:color="auto" w:sz="4" w:space="0"/>
            </w:tcBorders>
            <w:noWrap w:val="0"/>
            <w:vAlign w:val="center"/>
          </w:tcPr>
          <w:p w14:paraId="768ECCF2">
            <w:pPr>
              <w:pStyle w:val="14"/>
              <w:pageBreakBefore w:val="0"/>
              <w:kinsoku/>
              <w:wordWrap/>
              <w:topLinePunct w:val="0"/>
              <w:bidi w:val="0"/>
              <w:spacing w:line="312"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2690" w:type="dxa"/>
            <w:noWrap w:val="0"/>
            <w:vAlign w:val="center"/>
          </w:tcPr>
          <w:p w14:paraId="173811E9">
            <w:pPr>
              <w:pStyle w:val="14"/>
              <w:pageBreakBefore w:val="0"/>
              <w:kinsoku/>
              <w:wordWrap/>
              <w:topLinePunct w:val="0"/>
              <w:bidi w:val="0"/>
              <w:spacing w:line="312"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1467" w:type="dxa"/>
            <w:noWrap w:val="0"/>
            <w:vAlign w:val="center"/>
          </w:tcPr>
          <w:p w14:paraId="4A7A9F46">
            <w:pPr>
              <w:pStyle w:val="14"/>
              <w:pageBreakBefore w:val="0"/>
              <w:kinsoku/>
              <w:wordWrap/>
              <w:topLinePunct w:val="0"/>
              <w:bidi w:val="0"/>
              <w:spacing w:line="312"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r>
      <w:tr w14:paraId="56197A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65726112">
            <w:pPr>
              <w:pStyle w:val="14"/>
              <w:pageBreakBefore w:val="0"/>
              <w:kinsoku/>
              <w:wordWrap/>
              <w:topLinePunct w:val="0"/>
              <w:bidi w:val="0"/>
              <w:spacing w:line="312"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bookmarkStart w:id="185" w:name="_Toc173066410"/>
            <w:bookmarkStart w:id="186" w:name="_Toc173211909"/>
            <w:bookmarkStart w:id="187" w:name="_Toc301781620"/>
            <w:bookmarkStart w:id="188" w:name="_Toc295404990"/>
            <w:bookmarkStart w:id="189" w:name="_Toc297193194"/>
            <w:bookmarkStart w:id="190" w:name="_Toc383699915"/>
            <w:bookmarkStart w:id="191" w:name="_Toc254970738"/>
            <w:bookmarkStart w:id="192" w:name="_Toc373333698"/>
            <w:bookmarkStart w:id="193" w:name="_Toc254970597"/>
            <w:r>
              <w:rPr>
                <w:rFonts w:hint="eastAsia" w:ascii="宋体" w:hAnsi="宋体" w:eastAsia="宋体" w:cs="仿宋_GB2312"/>
                <w:color w:val="auto"/>
                <w:kern w:val="2"/>
                <w:sz w:val="24"/>
                <w:szCs w:val="24"/>
                <w:highlight w:val="none"/>
                <w:lang w:val="en-US" w:eastAsia="zh-CN"/>
              </w:rPr>
              <w:t>5</w:t>
            </w:r>
            <w:bookmarkEnd w:id="185"/>
            <w:bookmarkEnd w:id="186"/>
            <w:bookmarkEnd w:id="187"/>
            <w:bookmarkEnd w:id="188"/>
            <w:bookmarkEnd w:id="189"/>
            <w:bookmarkEnd w:id="190"/>
            <w:bookmarkEnd w:id="191"/>
            <w:bookmarkEnd w:id="192"/>
            <w:bookmarkEnd w:id="193"/>
          </w:p>
        </w:tc>
        <w:tc>
          <w:tcPr>
            <w:tcW w:w="900" w:type="dxa"/>
            <w:tcBorders>
              <w:right w:val="single" w:color="auto" w:sz="4" w:space="0"/>
            </w:tcBorders>
            <w:noWrap w:val="0"/>
            <w:vAlign w:val="center"/>
          </w:tcPr>
          <w:p w14:paraId="01AC2480">
            <w:pPr>
              <w:pStyle w:val="14"/>
              <w:pageBreakBefore w:val="0"/>
              <w:kinsoku/>
              <w:wordWrap/>
              <w:topLinePunct w:val="0"/>
              <w:bidi w:val="0"/>
              <w:spacing w:line="312"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2989" w:type="dxa"/>
            <w:tcBorders>
              <w:left w:val="single" w:color="auto" w:sz="4" w:space="0"/>
            </w:tcBorders>
            <w:noWrap w:val="0"/>
            <w:vAlign w:val="center"/>
          </w:tcPr>
          <w:p w14:paraId="0996F338">
            <w:pPr>
              <w:pStyle w:val="14"/>
              <w:pageBreakBefore w:val="0"/>
              <w:kinsoku/>
              <w:wordWrap/>
              <w:topLinePunct w:val="0"/>
              <w:bidi w:val="0"/>
              <w:spacing w:line="312"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2690" w:type="dxa"/>
            <w:noWrap w:val="0"/>
            <w:vAlign w:val="center"/>
          </w:tcPr>
          <w:p w14:paraId="41AF27D3">
            <w:pPr>
              <w:pStyle w:val="14"/>
              <w:pageBreakBefore w:val="0"/>
              <w:kinsoku/>
              <w:wordWrap/>
              <w:topLinePunct w:val="0"/>
              <w:bidi w:val="0"/>
              <w:spacing w:line="312"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1467" w:type="dxa"/>
            <w:noWrap w:val="0"/>
            <w:vAlign w:val="center"/>
          </w:tcPr>
          <w:p w14:paraId="1BCF4E04">
            <w:pPr>
              <w:pStyle w:val="14"/>
              <w:pageBreakBefore w:val="0"/>
              <w:kinsoku/>
              <w:wordWrap/>
              <w:topLinePunct w:val="0"/>
              <w:bidi w:val="0"/>
              <w:spacing w:line="312"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r>
      <w:tr w14:paraId="345781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00" w:type="dxa"/>
            <w:noWrap w:val="0"/>
            <w:vAlign w:val="center"/>
          </w:tcPr>
          <w:p w14:paraId="75496F3E">
            <w:pPr>
              <w:pStyle w:val="14"/>
              <w:pageBreakBefore w:val="0"/>
              <w:kinsoku/>
              <w:wordWrap/>
              <w:topLinePunct w:val="0"/>
              <w:bidi w:val="0"/>
              <w:spacing w:line="312"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bookmarkStart w:id="194" w:name="_Toc295404991"/>
            <w:bookmarkStart w:id="195" w:name="_Toc301781621"/>
            <w:bookmarkStart w:id="196" w:name="_Toc383699916"/>
            <w:bookmarkStart w:id="197" w:name="_Toc373333699"/>
            <w:bookmarkStart w:id="198" w:name="_Toc254970743"/>
            <w:bookmarkStart w:id="199" w:name="_Toc297193195"/>
            <w:bookmarkStart w:id="200" w:name="_Toc173211914"/>
            <w:bookmarkStart w:id="201" w:name="_Toc173066415"/>
            <w:bookmarkStart w:id="202" w:name="_Toc254970602"/>
            <w:r>
              <w:rPr>
                <w:rFonts w:hint="eastAsia" w:ascii="宋体" w:hAnsi="宋体" w:eastAsia="宋体" w:cs="仿宋_GB2312"/>
                <w:color w:val="auto"/>
                <w:kern w:val="2"/>
                <w:sz w:val="24"/>
                <w:szCs w:val="24"/>
                <w:highlight w:val="none"/>
                <w:lang w:val="en-US" w:eastAsia="zh-CN"/>
              </w:rPr>
              <w:t>…</w:t>
            </w:r>
            <w:bookmarkEnd w:id="194"/>
            <w:bookmarkEnd w:id="195"/>
            <w:bookmarkEnd w:id="196"/>
            <w:bookmarkEnd w:id="197"/>
            <w:bookmarkEnd w:id="198"/>
            <w:bookmarkEnd w:id="199"/>
            <w:bookmarkEnd w:id="200"/>
            <w:bookmarkEnd w:id="201"/>
            <w:bookmarkEnd w:id="202"/>
          </w:p>
        </w:tc>
        <w:tc>
          <w:tcPr>
            <w:tcW w:w="900" w:type="dxa"/>
            <w:tcBorders>
              <w:right w:val="single" w:color="auto" w:sz="4" w:space="0"/>
            </w:tcBorders>
            <w:noWrap w:val="0"/>
            <w:vAlign w:val="center"/>
          </w:tcPr>
          <w:p w14:paraId="7F2C40EC">
            <w:pPr>
              <w:pStyle w:val="14"/>
              <w:pageBreakBefore w:val="0"/>
              <w:kinsoku/>
              <w:wordWrap/>
              <w:topLinePunct w:val="0"/>
              <w:bidi w:val="0"/>
              <w:spacing w:line="312"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2989" w:type="dxa"/>
            <w:tcBorders>
              <w:left w:val="single" w:color="auto" w:sz="4" w:space="0"/>
            </w:tcBorders>
            <w:noWrap w:val="0"/>
            <w:vAlign w:val="center"/>
          </w:tcPr>
          <w:p w14:paraId="0F9E9301">
            <w:pPr>
              <w:pStyle w:val="14"/>
              <w:pageBreakBefore w:val="0"/>
              <w:kinsoku/>
              <w:wordWrap/>
              <w:topLinePunct w:val="0"/>
              <w:bidi w:val="0"/>
              <w:spacing w:line="312"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2690" w:type="dxa"/>
            <w:noWrap w:val="0"/>
            <w:vAlign w:val="center"/>
          </w:tcPr>
          <w:p w14:paraId="01289252">
            <w:pPr>
              <w:pStyle w:val="14"/>
              <w:pageBreakBefore w:val="0"/>
              <w:kinsoku/>
              <w:wordWrap/>
              <w:topLinePunct w:val="0"/>
              <w:bidi w:val="0"/>
              <w:spacing w:line="312"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1467" w:type="dxa"/>
            <w:tcBorders>
              <w:right w:val="single" w:color="auto" w:sz="4" w:space="0"/>
            </w:tcBorders>
            <w:noWrap w:val="0"/>
            <w:vAlign w:val="center"/>
          </w:tcPr>
          <w:p w14:paraId="27C7DFC9">
            <w:pPr>
              <w:pStyle w:val="14"/>
              <w:pageBreakBefore w:val="0"/>
              <w:kinsoku/>
              <w:wordWrap/>
              <w:topLinePunct w:val="0"/>
              <w:bidi w:val="0"/>
              <w:spacing w:line="312"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r>
    </w:tbl>
    <w:p w14:paraId="0521B8B4">
      <w:pPr>
        <w:pageBreakBefore w:val="0"/>
        <w:kinsoku/>
        <w:wordWrap/>
        <w:topLinePunct w:val="0"/>
        <w:bidi w:val="0"/>
        <w:adjustRightInd w:val="0"/>
        <w:spacing w:line="312" w:lineRule="auto"/>
        <w:contextualSpacing/>
        <w:rPr>
          <w:rFonts w:hint="eastAsia" w:ascii="宋体" w:hAnsi="宋体" w:cs="仿宋_GB2312"/>
          <w:color w:val="auto"/>
          <w:sz w:val="24"/>
          <w:highlight w:val="none"/>
        </w:rPr>
      </w:pPr>
    </w:p>
    <w:p w14:paraId="39A8E140">
      <w:pPr>
        <w:pStyle w:val="14"/>
        <w:pageBreakBefore w:val="0"/>
        <w:kinsoku/>
        <w:wordWrap/>
        <w:topLinePunct w:val="0"/>
        <w:bidi w:val="0"/>
        <w:spacing w:line="312"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3449444C">
      <w:pPr>
        <w:pStyle w:val="14"/>
        <w:pageBreakBefore w:val="0"/>
        <w:kinsoku/>
        <w:wordWrap/>
        <w:topLinePunct w:val="0"/>
        <w:bidi w:val="0"/>
        <w:spacing w:line="312"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说明：应对照磋商文件“第三章 采购需求”中的</w:t>
      </w:r>
      <w:r>
        <w:rPr>
          <w:rFonts w:hint="eastAsia" w:ascii="宋体" w:hAnsi="宋体" w:eastAsia="宋体" w:cs="仿宋_GB2312"/>
          <w:color w:val="auto"/>
          <w:kern w:val="2"/>
          <w:sz w:val="24"/>
          <w:szCs w:val="24"/>
          <w:highlight w:val="none"/>
          <w:lang w:val="en-US" w:eastAsia="zh-CN"/>
        </w:rPr>
        <w:t>技术</w:t>
      </w:r>
      <w:r>
        <w:rPr>
          <w:rFonts w:hint="eastAsia" w:ascii="宋体" w:hAnsi="宋体" w:eastAsia="宋体" w:cs="仿宋_GB2312"/>
          <w:color w:val="auto"/>
          <w:sz w:val="24"/>
          <w:szCs w:val="24"/>
          <w:highlight w:val="none"/>
        </w:rPr>
        <w:t>需求逐条作出明确响应，并作出偏离说明。</w:t>
      </w:r>
    </w:p>
    <w:p w14:paraId="15DB713B">
      <w:pPr>
        <w:pStyle w:val="14"/>
        <w:pageBreakBefore w:val="0"/>
        <w:kinsoku/>
        <w:wordWrap/>
        <w:topLinePunct w:val="0"/>
        <w:bidi w:val="0"/>
        <w:spacing w:line="312"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2.供应商应根据自身的承诺，对照磋商文件要求，在“偏离说明”中注明“正偏离”、“负偏离”或者“无偏离”。既不属于“正偏离”也不属于“负偏离”即为“无偏离”。</w:t>
      </w:r>
    </w:p>
    <w:p w14:paraId="2EBFFC21">
      <w:pPr>
        <w:pStyle w:val="18"/>
        <w:pageBreakBefore w:val="0"/>
        <w:kinsoku/>
        <w:wordWrap/>
        <w:topLinePunct w:val="0"/>
        <w:bidi w:val="0"/>
        <w:spacing w:line="312" w:lineRule="auto"/>
        <w:contextualSpacing/>
        <w:rPr>
          <w:rFonts w:hint="eastAsia" w:hAnsi="宋体" w:cs="仿宋_GB2312"/>
          <w:color w:val="auto"/>
          <w:sz w:val="24"/>
          <w:szCs w:val="24"/>
          <w:highlight w:val="none"/>
        </w:rPr>
      </w:pPr>
    </w:p>
    <w:p w14:paraId="6F598DD1">
      <w:pPr>
        <w:pageBreakBefore w:val="0"/>
        <w:kinsoku/>
        <w:wordWrap/>
        <w:topLinePunct w:val="0"/>
        <w:bidi w:val="0"/>
        <w:spacing w:line="312" w:lineRule="auto"/>
        <w:ind w:right="-817" w:rightChars="-389"/>
        <w:contextualSpacing/>
        <w:rPr>
          <w:rFonts w:hint="eastAsia" w:ascii="宋体" w:hAnsi="宋体" w:cs="仿宋_GB2312"/>
          <w:color w:val="auto"/>
          <w:sz w:val="24"/>
          <w:highlight w:val="none"/>
        </w:rPr>
      </w:pPr>
    </w:p>
    <w:p w14:paraId="16756B6B">
      <w:pPr>
        <w:pageBreakBefore w:val="0"/>
        <w:kinsoku/>
        <w:wordWrap/>
        <w:topLinePunct w:val="0"/>
        <w:bidi w:val="0"/>
        <w:spacing w:line="312" w:lineRule="auto"/>
        <w:ind w:right="-817" w:rightChars="-389" w:firstLine="960" w:firstLineChars="400"/>
        <w:contextualSpacing/>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w:t>
      </w:r>
      <w:r>
        <w:rPr>
          <w:rFonts w:hint="eastAsia" w:ascii="宋体" w:hAnsi="宋体"/>
          <w:color w:val="auto"/>
          <w:sz w:val="24"/>
          <w:highlight w:val="none"/>
          <w:lang w:val="en-US" w:eastAsia="zh-CN"/>
        </w:rPr>
        <w:t>签字或电子签名</w:t>
      </w:r>
      <w:r>
        <w:rPr>
          <w:rFonts w:hint="eastAsia" w:ascii="宋体" w:hAnsi="宋体" w:cs="仿宋_GB2312"/>
          <w:color w:val="auto"/>
          <w:sz w:val="24"/>
          <w:highlight w:val="none"/>
        </w:rPr>
        <w:t xml:space="preserve">）：                    </w:t>
      </w:r>
    </w:p>
    <w:p w14:paraId="41B1B7A5">
      <w:pPr>
        <w:pageBreakBefore w:val="0"/>
        <w:kinsoku/>
        <w:wordWrap/>
        <w:topLinePunct w:val="0"/>
        <w:bidi w:val="0"/>
        <w:spacing w:line="312" w:lineRule="auto"/>
        <w:ind w:right="-817" w:rightChars="-389" w:firstLine="3840" w:firstLineChars="16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w:t>
      </w:r>
      <w:r>
        <w:rPr>
          <w:rFonts w:hint="eastAsia" w:hAnsi="宋体"/>
          <w:color w:val="auto"/>
          <w:sz w:val="24"/>
          <w:highlight w:val="none"/>
          <w:lang w:val="en-US" w:eastAsia="zh-CN"/>
        </w:rPr>
        <w:t>电子签章</w:t>
      </w:r>
      <w:r>
        <w:rPr>
          <w:rFonts w:hint="eastAsia" w:ascii="宋体" w:hAnsi="宋体" w:cs="仿宋_GB2312"/>
          <w:color w:val="auto"/>
          <w:sz w:val="24"/>
          <w:highlight w:val="none"/>
        </w:rPr>
        <w:t xml:space="preserve">）：      </w:t>
      </w:r>
    </w:p>
    <w:p w14:paraId="5D03378B">
      <w:pPr>
        <w:pageBreakBefore w:val="0"/>
        <w:kinsoku/>
        <w:wordWrap/>
        <w:topLinePunct w:val="0"/>
        <w:bidi w:val="0"/>
        <w:spacing w:line="312" w:lineRule="auto"/>
        <w:ind w:right="-817" w:rightChars="-389" w:firstLine="5520" w:firstLineChars="23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065C3078">
      <w:pPr>
        <w:pageBreakBefore w:val="0"/>
        <w:kinsoku/>
        <w:wordWrap/>
        <w:topLinePunct w:val="0"/>
        <w:bidi w:val="0"/>
        <w:snapToGrid w:val="0"/>
        <w:spacing w:before="120" w:beforeLines="50" w:after="50" w:line="312" w:lineRule="auto"/>
        <w:ind w:left="142"/>
        <w:jc w:val="left"/>
        <w:rPr>
          <w:rFonts w:hint="eastAsia" w:ascii="宋体" w:hAnsi="宋体"/>
          <w:b/>
          <w:color w:val="auto"/>
          <w:sz w:val="24"/>
          <w:highlight w:val="none"/>
        </w:rPr>
      </w:pPr>
      <w:r>
        <w:rPr>
          <w:rFonts w:ascii="宋体" w:hAnsi="宋体" w:cs="仿宋_GB2312"/>
          <w:color w:val="auto"/>
          <w:sz w:val="24"/>
          <w:highlight w:val="none"/>
        </w:rPr>
        <w:br w:type="page"/>
      </w:r>
      <w:r>
        <w:rPr>
          <w:rFonts w:hint="eastAsia" w:ascii="宋体" w:hAnsi="宋体"/>
          <w:b/>
          <w:color w:val="auto"/>
          <w:sz w:val="24"/>
          <w:highlight w:val="none"/>
        </w:rPr>
        <w:t>项目实施人员一览表格式</w:t>
      </w:r>
    </w:p>
    <w:p w14:paraId="2584E545">
      <w:pPr>
        <w:pageBreakBefore w:val="0"/>
        <w:kinsoku/>
        <w:wordWrap/>
        <w:topLinePunct w:val="0"/>
        <w:bidi w:val="0"/>
        <w:snapToGrid w:val="0"/>
        <w:spacing w:before="120" w:beforeLines="50" w:after="50" w:line="312" w:lineRule="auto"/>
        <w:ind w:left="142"/>
        <w:jc w:val="left"/>
        <w:rPr>
          <w:rFonts w:hint="eastAsia" w:ascii="宋体" w:hAnsi="宋体"/>
          <w:b/>
          <w:color w:val="auto"/>
          <w:sz w:val="24"/>
          <w:highlight w:val="none"/>
        </w:rPr>
      </w:pPr>
    </w:p>
    <w:p w14:paraId="00761B93">
      <w:pPr>
        <w:pageBreakBefore w:val="0"/>
        <w:kinsoku/>
        <w:wordWrap/>
        <w:topLinePunct w:val="0"/>
        <w:bidi w:val="0"/>
        <w:spacing w:line="312" w:lineRule="auto"/>
        <w:ind w:left="142"/>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041"/>
        <w:gridCol w:w="2100"/>
        <w:gridCol w:w="1485"/>
        <w:gridCol w:w="1695"/>
        <w:gridCol w:w="1845"/>
      </w:tblGrid>
      <w:tr w14:paraId="69FA7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9F1B723">
            <w:pPr>
              <w:pageBreakBefore w:val="0"/>
              <w:kinsoku/>
              <w:wordWrap/>
              <w:topLinePunct w:val="0"/>
              <w:bidi w:val="0"/>
              <w:spacing w:line="312"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1041" w:type="dxa"/>
            <w:noWrap w:val="0"/>
            <w:vAlign w:val="center"/>
          </w:tcPr>
          <w:p w14:paraId="055BBDFB">
            <w:pPr>
              <w:pageBreakBefore w:val="0"/>
              <w:kinsoku/>
              <w:wordWrap/>
              <w:topLinePunct w:val="0"/>
              <w:bidi w:val="0"/>
              <w:spacing w:line="312"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职务</w:t>
            </w:r>
          </w:p>
        </w:tc>
        <w:tc>
          <w:tcPr>
            <w:tcW w:w="2100" w:type="dxa"/>
            <w:noWrap w:val="0"/>
            <w:vAlign w:val="center"/>
          </w:tcPr>
          <w:p w14:paraId="775215CD">
            <w:pPr>
              <w:pageBreakBefore w:val="0"/>
              <w:kinsoku/>
              <w:wordWrap/>
              <w:topLinePunct w:val="0"/>
              <w:bidi w:val="0"/>
              <w:spacing w:line="312"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85" w:type="dxa"/>
            <w:noWrap w:val="0"/>
            <w:vAlign w:val="center"/>
          </w:tcPr>
          <w:p w14:paraId="230974DE">
            <w:pPr>
              <w:pageBreakBefore w:val="0"/>
              <w:kinsoku/>
              <w:wordWrap/>
              <w:topLinePunct w:val="0"/>
              <w:bidi w:val="0"/>
              <w:spacing w:line="312"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1695" w:type="dxa"/>
            <w:noWrap w:val="0"/>
            <w:vAlign w:val="center"/>
          </w:tcPr>
          <w:p w14:paraId="1356013D">
            <w:pPr>
              <w:pageBreakBefore w:val="0"/>
              <w:kinsoku/>
              <w:wordWrap/>
              <w:topLinePunct w:val="0"/>
              <w:bidi w:val="0"/>
              <w:spacing w:line="312"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14:paraId="0F471F75">
            <w:pPr>
              <w:pageBreakBefore w:val="0"/>
              <w:kinsoku/>
              <w:wordWrap/>
              <w:topLinePunct w:val="0"/>
              <w:bidi w:val="0"/>
              <w:spacing w:line="312"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c>
          <w:tcPr>
            <w:tcW w:w="1845" w:type="dxa"/>
            <w:noWrap w:val="0"/>
            <w:vAlign w:val="center"/>
          </w:tcPr>
          <w:p w14:paraId="0696A04A">
            <w:pPr>
              <w:pageBreakBefore w:val="0"/>
              <w:kinsoku/>
              <w:wordWrap/>
              <w:topLinePunct w:val="0"/>
              <w:bidi w:val="0"/>
              <w:spacing w:line="312"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劳动合同编号</w:t>
            </w:r>
          </w:p>
        </w:tc>
      </w:tr>
      <w:tr w14:paraId="7110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C141E34">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041" w:type="dxa"/>
            <w:noWrap w:val="0"/>
            <w:vAlign w:val="center"/>
          </w:tcPr>
          <w:p w14:paraId="749FA86A">
            <w:pPr>
              <w:pageBreakBefore w:val="0"/>
              <w:kinsoku/>
              <w:wordWrap/>
              <w:topLinePunct w:val="0"/>
              <w:bidi w:val="0"/>
              <w:spacing w:line="312" w:lineRule="auto"/>
              <w:contextualSpacing/>
              <w:jc w:val="center"/>
              <w:rPr>
                <w:rFonts w:hint="default" w:ascii="宋体" w:hAnsi="宋体" w:eastAsia="宋体"/>
                <w:color w:val="auto"/>
                <w:sz w:val="24"/>
                <w:szCs w:val="20"/>
                <w:highlight w:val="none"/>
                <w:lang w:val="en-US" w:eastAsia="zh-CN"/>
              </w:rPr>
            </w:pPr>
            <w:r>
              <w:rPr>
                <w:rFonts w:hint="eastAsia" w:ascii="宋体" w:hAnsi="宋体"/>
                <w:color w:val="auto"/>
                <w:sz w:val="24"/>
                <w:szCs w:val="20"/>
                <w:highlight w:val="none"/>
                <w:lang w:val="en-US" w:eastAsia="zh-CN"/>
              </w:rPr>
              <w:t>项目负责人</w:t>
            </w:r>
          </w:p>
        </w:tc>
        <w:tc>
          <w:tcPr>
            <w:tcW w:w="2100" w:type="dxa"/>
            <w:noWrap w:val="0"/>
            <w:vAlign w:val="center"/>
          </w:tcPr>
          <w:p w14:paraId="01503AAA">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485" w:type="dxa"/>
            <w:noWrap w:val="0"/>
            <w:vAlign w:val="center"/>
          </w:tcPr>
          <w:p w14:paraId="5EB35E80">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695" w:type="dxa"/>
            <w:noWrap w:val="0"/>
            <w:vAlign w:val="center"/>
          </w:tcPr>
          <w:p w14:paraId="3F57424F">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845" w:type="dxa"/>
            <w:noWrap w:val="0"/>
            <w:vAlign w:val="center"/>
          </w:tcPr>
          <w:p w14:paraId="7C9DD864">
            <w:pPr>
              <w:pageBreakBefore w:val="0"/>
              <w:kinsoku/>
              <w:wordWrap/>
              <w:topLinePunct w:val="0"/>
              <w:bidi w:val="0"/>
              <w:spacing w:line="312" w:lineRule="auto"/>
              <w:contextualSpacing/>
              <w:jc w:val="center"/>
              <w:rPr>
                <w:rFonts w:hint="eastAsia" w:ascii="宋体" w:hAnsi="宋体"/>
                <w:color w:val="auto"/>
                <w:sz w:val="24"/>
                <w:szCs w:val="20"/>
                <w:highlight w:val="none"/>
              </w:rPr>
            </w:pPr>
          </w:p>
        </w:tc>
      </w:tr>
      <w:tr w14:paraId="0BC69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96A1A45">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041" w:type="dxa"/>
            <w:noWrap w:val="0"/>
            <w:vAlign w:val="center"/>
          </w:tcPr>
          <w:p w14:paraId="36D0EE23">
            <w:pPr>
              <w:pageBreakBefore w:val="0"/>
              <w:kinsoku/>
              <w:wordWrap/>
              <w:topLinePunct w:val="0"/>
              <w:bidi w:val="0"/>
              <w:spacing w:line="312" w:lineRule="auto"/>
              <w:contextualSpacing/>
              <w:jc w:val="center"/>
              <w:rPr>
                <w:rFonts w:hint="default" w:ascii="宋体" w:hAnsi="宋体" w:eastAsia="宋体"/>
                <w:color w:val="auto"/>
                <w:sz w:val="24"/>
                <w:szCs w:val="20"/>
                <w:highlight w:val="none"/>
                <w:lang w:val="en-US" w:eastAsia="zh-CN"/>
              </w:rPr>
            </w:pPr>
          </w:p>
        </w:tc>
        <w:tc>
          <w:tcPr>
            <w:tcW w:w="2100" w:type="dxa"/>
            <w:noWrap w:val="0"/>
            <w:vAlign w:val="center"/>
          </w:tcPr>
          <w:p w14:paraId="0E6EAB6D">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485" w:type="dxa"/>
            <w:noWrap w:val="0"/>
            <w:vAlign w:val="center"/>
          </w:tcPr>
          <w:p w14:paraId="0320B5FE">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695" w:type="dxa"/>
            <w:noWrap w:val="0"/>
            <w:vAlign w:val="center"/>
          </w:tcPr>
          <w:p w14:paraId="325A15DC">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845" w:type="dxa"/>
            <w:noWrap w:val="0"/>
            <w:vAlign w:val="center"/>
          </w:tcPr>
          <w:p w14:paraId="517E1D60">
            <w:pPr>
              <w:pageBreakBefore w:val="0"/>
              <w:kinsoku/>
              <w:wordWrap/>
              <w:topLinePunct w:val="0"/>
              <w:bidi w:val="0"/>
              <w:spacing w:line="312" w:lineRule="auto"/>
              <w:contextualSpacing/>
              <w:jc w:val="center"/>
              <w:rPr>
                <w:rFonts w:hint="eastAsia" w:ascii="宋体" w:hAnsi="宋体"/>
                <w:color w:val="auto"/>
                <w:sz w:val="24"/>
                <w:szCs w:val="20"/>
                <w:highlight w:val="none"/>
              </w:rPr>
            </w:pPr>
          </w:p>
        </w:tc>
      </w:tr>
      <w:tr w14:paraId="4C49D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FE9A9A9">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041" w:type="dxa"/>
            <w:noWrap w:val="0"/>
            <w:vAlign w:val="center"/>
          </w:tcPr>
          <w:p w14:paraId="3B25138B">
            <w:pPr>
              <w:pageBreakBefore w:val="0"/>
              <w:kinsoku/>
              <w:wordWrap/>
              <w:topLinePunct w:val="0"/>
              <w:bidi w:val="0"/>
              <w:spacing w:line="312" w:lineRule="auto"/>
              <w:contextualSpacing/>
              <w:jc w:val="center"/>
              <w:rPr>
                <w:rFonts w:hint="default" w:ascii="宋体" w:hAnsi="宋体" w:eastAsia="宋体"/>
                <w:color w:val="auto"/>
                <w:sz w:val="24"/>
                <w:szCs w:val="20"/>
                <w:highlight w:val="none"/>
                <w:lang w:val="en-US" w:eastAsia="zh-CN"/>
              </w:rPr>
            </w:pPr>
          </w:p>
        </w:tc>
        <w:tc>
          <w:tcPr>
            <w:tcW w:w="2100" w:type="dxa"/>
            <w:noWrap w:val="0"/>
            <w:vAlign w:val="center"/>
          </w:tcPr>
          <w:p w14:paraId="166CF200">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485" w:type="dxa"/>
            <w:noWrap w:val="0"/>
            <w:vAlign w:val="center"/>
          </w:tcPr>
          <w:p w14:paraId="3DEE4A61">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695" w:type="dxa"/>
            <w:noWrap w:val="0"/>
            <w:vAlign w:val="center"/>
          </w:tcPr>
          <w:p w14:paraId="45193D8E">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845" w:type="dxa"/>
            <w:noWrap w:val="0"/>
            <w:vAlign w:val="center"/>
          </w:tcPr>
          <w:p w14:paraId="47A6CBDA">
            <w:pPr>
              <w:pageBreakBefore w:val="0"/>
              <w:kinsoku/>
              <w:wordWrap/>
              <w:topLinePunct w:val="0"/>
              <w:bidi w:val="0"/>
              <w:spacing w:line="312" w:lineRule="auto"/>
              <w:contextualSpacing/>
              <w:jc w:val="center"/>
              <w:rPr>
                <w:rFonts w:hint="eastAsia" w:ascii="宋体" w:hAnsi="宋体"/>
                <w:color w:val="auto"/>
                <w:sz w:val="24"/>
                <w:szCs w:val="20"/>
                <w:highlight w:val="none"/>
              </w:rPr>
            </w:pPr>
          </w:p>
        </w:tc>
      </w:tr>
      <w:tr w14:paraId="38351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4F451B0">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041" w:type="dxa"/>
            <w:noWrap w:val="0"/>
            <w:vAlign w:val="center"/>
          </w:tcPr>
          <w:p w14:paraId="089098AA">
            <w:pPr>
              <w:pageBreakBefore w:val="0"/>
              <w:kinsoku/>
              <w:wordWrap/>
              <w:topLinePunct w:val="0"/>
              <w:bidi w:val="0"/>
              <w:spacing w:line="312" w:lineRule="auto"/>
              <w:contextualSpacing/>
              <w:jc w:val="center"/>
              <w:rPr>
                <w:rFonts w:hint="default" w:ascii="宋体" w:hAnsi="宋体" w:eastAsia="宋体" w:cs="Times New Roman"/>
                <w:color w:val="auto"/>
                <w:kern w:val="2"/>
                <w:sz w:val="24"/>
                <w:szCs w:val="20"/>
                <w:highlight w:val="none"/>
                <w:lang w:val="en-US" w:eastAsia="zh-CN" w:bidi="ar-SA"/>
              </w:rPr>
            </w:pPr>
          </w:p>
        </w:tc>
        <w:tc>
          <w:tcPr>
            <w:tcW w:w="2100" w:type="dxa"/>
            <w:noWrap w:val="0"/>
            <w:vAlign w:val="center"/>
          </w:tcPr>
          <w:p w14:paraId="7B7D4B01">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485" w:type="dxa"/>
            <w:noWrap w:val="0"/>
            <w:vAlign w:val="center"/>
          </w:tcPr>
          <w:p w14:paraId="07C572BB">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695" w:type="dxa"/>
            <w:noWrap w:val="0"/>
            <w:vAlign w:val="center"/>
          </w:tcPr>
          <w:p w14:paraId="04FB95F7">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845" w:type="dxa"/>
            <w:noWrap w:val="0"/>
            <w:vAlign w:val="center"/>
          </w:tcPr>
          <w:p w14:paraId="62EDAB00">
            <w:pPr>
              <w:pageBreakBefore w:val="0"/>
              <w:kinsoku/>
              <w:wordWrap/>
              <w:topLinePunct w:val="0"/>
              <w:bidi w:val="0"/>
              <w:spacing w:line="312" w:lineRule="auto"/>
              <w:contextualSpacing/>
              <w:jc w:val="center"/>
              <w:rPr>
                <w:rFonts w:hint="eastAsia" w:ascii="宋体" w:hAnsi="宋体"/>
                <w:color w:val="auto"/>
                <w:sz w:val="24"/>
                <w:szCs w:val="20"/>
                <w:highlight w:val="none"/>
              </w:rPr>
            </w:pPr>
          </w:p>
        </w:tc>
      </w:tr>
      <w:tr w14:paraId="1F585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60E4F50">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041" w:type="dxa"/>
            <w:noWrap w:val="0"/>
            <w:vAlign w:val="center"/>
          </w:tcPr>
          <w:p w14:paraId="74271D34">
            <w:pPr>
              <w:pageBreakBefore w:val="0"/>
              <w:kinsoku/>
              <w:wordWrap/>
              <w:topLinePunct w:val="0"/>
              <w:bidi w:val="0"/>
              <w:spacing w:line="312" w:lineRule="auto"/>
              <w:contextualSpacing/>
              <w:jc w:val="center"/>
              <w:rPr>
                <w:rFonts w:hint="eastAsia" w:ascii="宋体" w:hAnsi="宋体" w:eastAsia="宋体" w:cs="Times New Roman"/>
                <w:color w:val="auto"/>
                <w:kern w:val="2"/>
                <w:sz w:val="24"/>
                <w:szCs w:val="20"/>
                <w:highlight w:val="none"/>
                <w:lang w:val="en-US" w:eastAsia="zh-CN" w:bidi="ar-SA"/>
              </w:rPr>
            </w:pPr>
          </w:p>
        </w:tc>
        <w:tc>
          <w:tcPr>
            <w:tcW w:w="2100" w:type="dxa"/>
            <w:noWrap w:val="0"/>
            <w:vAlign w:val="center"/>
          </w:tcPr>
          <w:p w14:paraId="6A10CB62">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485" w:type="dxa"/>
            <w:noWrap w:val="0"/>
            <w:vAlign w:val="center"/>
          </w:tcPr>
          <w:p w14:paraId="4C381E8F">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695" w:type="dxa"/>
            <w:noWrap w:val="0"/>
            <w:vAlign w:val="center"/>
          </w:tcPr>
          <w:p w14:paraId="296DC025">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845" w:type="dxa"/>
            <w:noWrap w:val="0"/>
            <w:vAlign w:val="center"/>
          </w:tcPr>
          <w:p w14:paraId="19B43657">
            <w:pPr>
              <w:pageBreakBefore w:val="0"/>
              <w:kinsoku/>
              <w:wordWrap/>
              <w:topLinePunct w:val="0"/>
              <w:bidi w:val="0"/>
              <w:spacing w:line="312" w:lineRule="auto"/>
              <w:contextualSpacing/>
              <w:jc w:val="center"/>
              <w:rPr>
                <w:rFonts w:hint="eastAsia" w:ascii="宋体" w:hAnsi="宋体"/>
                <w:color w:val="auto"/>
                <w:sz w:val="24"/>
                <w:szCs w:val="20"/>
                <w:highlight w:val="none"/>
              </w:rPr>
            </w:pPr>
          </w:p>
        </w:tc>
      </w:tr>
      <w:tr w14:paraId="68458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D2F0CB2">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041" w:type="dxa"/>
            <w:noWrap w:val="0"/>
            <w:vAlign w:val="center"/>
          </w:tcPr>
          <w:p w14:paraId="6B190813">
            <w:pPr>
              <w:pageBreakBefore w:val="0"/>
              <w:kinsoku/>
              <w:wordWrap/>
              <w:topLinePunct w:val="0"/>
              <w:bidi w:val="0"/>
              <w:spacing w:line="312" w:lineRule="auto"/>
              <w:contextualSpacing/>
              <w:jc w:val="center"/>
              <w:rPr>
                <w:rFonts w:hint="eastAsia" w:ascii="宋体" w:hAnsi="宋体" w:eastAsia="宋体" w:cs="Times New Roman"/>
                <w:color w:val="auto"/>
                <w:kern w:val="2"/>
                <w:sz w:val="24"/>
                <w:szCs w:val="20"/>
                <w:highlight w:val="none"/>
                <w:lang w:val="en-US" w:eastAsia="zh-CN" w:bidi="ar-SA"/>
              </w:rPr>
            </w:pPr>
          </w:p>
        </w:tc>
        <w:tc>
          <w:tcPr>
            <w:tcW w:w="2100" w:type="dxa"/>
            <w:noWrap w:val="0"/>
            <w:vAlign w:val="center"/>
          </w:tcPr>
          <w:p w14:paraId="1ECBA6E4">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485" w:type="dxa"/>
            <w:noWrap w:val="0"/>
            <w:vAlign w:val="center"/>
          </w:tcPr>
          <w:p w14:paraId="5F36975F">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695" w:type="dxa"/>
            <w:noWrap w:val="0"/>
            <w:vAlign w:val="center"/>
          </w:tcPr>
          <w:p w14:paraId="22BF028D">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845" w:type="dxa"/>
            <w:noWrap w:val="0"/>
            <w:vAlign w:val="center"/>
          </w:tcPr>
          <w:p w14:paraId="74BBF122">
            <w:pPr>
              <w:pageBreakBefore w:val="0"/>
              <w:kinsoku/>
              <w:wordWrap/>
              <w:topLinePunct w:val="0"/>
              <w:bidi w:val="0"/>
              <w:spacing w:line="312" w:lineRule="auto"/>
              <w:contextualSpacing/>
              <w:jc w:val="center"/>
              <w:rPr>
                <w:rFonts w:hint="eastAsia" w:ascii="宋体" w:hAnsi="宋体"/>
                <w:color w:val="auto"/>
                <w:sz w:val="24"/>
                <w:szCs w:val="20"/>
                <w:highlight w:val="none"/>
              </w:rPr>
            </w:pPr>
          </w:p>
        </w:tc>
      </w:tr>
    </w:tbl>
    <w:p w14:paraId="23D84A0B">
      <w:pPr>
        <w:pageBreakBefore w:val="0"/>
        <w:kinsoku/>
        <w:wordWrap/>
        <w:topLinePunct w:val="0"/>
        <w:bidi w:val="0"/>
        <w:spacing w:line="312" w:lineRule="auto"/>
        <w:contextualSpacing/>
        <w:jc w:val="left"/>
        <w:rPr>
          <w:rFonts w:hint="eastAsia" w:ascii="宋体" w:hAnsi="宋体"/>
          <w:color w:val="auto"/>
          <w:sz w:val="24"/>
          <w:szCs w:val="20"/>
          <w:highlight w:val="none"/>
        </w:rPr>
      </w:pPr>
    </w:p>
    <w:p w14:paraId="243B4B49">
      <w:pPr>
        <w:pageBreakBefore w:val="0"/>
        <w:kinsoku/>
        <w:wordWrap/>
        <w:topLinePunct w:val="0"/>
        <w:bidi w:val="0"/>
        <w:spacing w:line="312"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注：在填写时，如本表格不适合供应商的实际情况，可根据本表格式自行制表填写。</w:t>
      </w:r>
    </w:p>
    <w:p w14:paraId="63A4D4F3">
      <w:pPr>
        <w:pageBreakBefore w:val="0"/>
        <w:kinsoku/>
        <w:wordWrap/>
        <w:topLinePunct w:val="0"/>
        <w:bidi w:val="0"/>
        <w:spacing w:line="312" w:lineRule="auto"/>
        <w:contextualSpacing/>
        <w:rPr>
          <w:rFonts w:hint="eastAsia" w:ascii="宋体" w:hAnsi="宋体"/>
          <w:color w:val="auto"/>
          <w:sz w:val="24"/>
          <w:highlight w:val="none"/>
        </w:rPr>
      </w:pPr>
    </w:p>
    <w:p w14:paraId="75F2AA98">
      <w:pPr>
        <w:pageBreakBefore w:val="0"/>
        <w:kinsoku/>
        <w:wordWrap/>
        <w:topLinePunct w:val="0"/>
        <w:bidi w:val="0"/>
        <w:spacing w:line="312"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z w:val="24"/>
          <w:highlight w:val="none"/>
          <w:lang w:val="en-US" w:eastAsia="zh-CN"/>
        </w:rPr>
        <w:t>签字或电子签名</w:t>
      </w:r>
      <w:r>
        <w:rPr>
          <w:rFonts w:hint="eastAsia" w:ascii="宋体" w:hAnsi="宋体"/>
          <w:color w:val="auto"/>
          <w:sz w:val="24"/>
          <w:highlight w:val="none"/>
        </w:rPr>
        <w:t>）</w:t>
      </w:r>
      <w:r>
        <w:rPr>
          <w:rFonts w:hint="eastAsia" w:ascii="宋体" w:hAnsi="宋体"/>
          <w:color w:val="auto"/>
          <w:spacing w:val="20"/>
          <w:sz w:val="24"/>
          <w:highlight w:val="none"/>
        </w:rPr>
        <w:t>：</w:t>
      </w:r>
      <w:r>
        <w:rPr>
          <w:rFonts w:hint="eastAsia" w:ascii="宋体" w:hAnsi="宋体"/>
          <w:color w:val="auto"/>
          <w:spacing w:val="20"/>
          <w:sz w:val="24"/>
          <w:highlight w:val="none"/>
          <w:u w:val="single"/>
        </w:rPr>
        <w:t xml:space="preserve">        </w:t>
      </w:r>
    </w:p>
    <w:p w14:paraId="2589B1CF">
      <w:pPr>
        <w:pageBreakBefore w:val="0"/>
        <w:kinsoku/>
        <w:wordWrap/>
        <w:topLinePunct w:val="0"/>
        <w:bidi w:val="0"/>
        <w:spacing w:line="312" w:lineRule="auto"/>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供应商（</w:t>
      </w:r>
      <w:r>
        <w:rPr>
          <w:rFonts w:hint="eastAsia" w:ascii="宋体" w:hAnsi="宋体"/>
          <w:color w:val="auto"/>
          <w:spacing w:val="6"/>
          <w:sz w:val="24"/>
          <w:highlight w:val="none"/>
          <w:lang w:val="en-US" w:eastAsia="zh-CN"/>
        </w:rPr>
        <w:t>电子签章</w:t>
      </w:r>
      <w:r>
        <w:rPr>
          <w:rFonts w:hint="eastAsia" w:ascii="宋体" w:hAnsi="宋体"/>
          <w:color w:val="auto"/>
          <w:spacing w:val="20"/>
          <w:sz w:val="24"/>
          <w:highlight w:val="none"/>
        </w:rPr>
        <w:t>）：</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554C6B28">
      <w:pPr>
        <w:pageBreakBefore w:val="0"/>
        <w:kinsoku/>
        <w:wordWrap/>
        <w:topLinePunct w:val="0"/>
        <w:bidi w:val="0"/>
        <w:spacing w:line="312"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4234702B">
      <w:pPr>
        <w:pageBreakBefore w:val="0"/>
        <w:kinsoku/>
        <w:wordWrap/>
        <w:topLinePunct w:val="0"/>
        <w:bidi w:val="0"/>
        <w:snapToGrid w:val="0"/>
        <w:spacing w:before="50" w:after="120" w:afterLines="50" w:line="312" w:lineRule="auto"/>
        <w:jc w:val="left"/>
        <w:rPr>
          <w:rFonts w:hint="eastAsia" w:ascii="宋体" w:hAnsi="宋体"/>
          <w:color w:val="auto"/>
          <w:sz w:val="24"/>
          <w:szCs w:val="20"/>
          <w:highlight w:val="none"/>
        </w:rPr>
      </w:pPr>
    </w:p>
    <w:p w14:paraId="5FECD031">
      <w:pPr>
        <w:pStyle w:val="38"/>
        <w:pageBreakBefore w:val="0"/>
        <w:kinsoku/>
        <w:wordWrap/>
        <w:topLinePunct w:val="0"/>
        <w:bidi w:val="0"/>
        <w:spacing w:line="312" w:lineRule="auto"/>
        <w:rPr>
          <w:rFonts w:hint="eastAsia" w:ascii="宋体" w:hAnsi="宋体"/>
          <w:color w:val="auto"/>
          <w:sz w:val="24"/>
          <w:szCs w:val="20"/>
          <w:highlight w:val="none"/>
        </w:rPr>
      </w:pPr>
    </w:p>
    <w:p w14:paraId="69B2F320">
      <w:pPr>
        <w:pStyle w:val="38"/>
        <w:pageBreakBefore w:val="0"/>
        <w:kinsoku/>
        <w:wordWrap/>
        <w:topLinePunct w:val="0"/>
        <w:bidi w:val="0"/>
        <w:spacing w:line="312" w:lineRule="auto"/>
        <w:rPr>
          <w:rFonts w:hint="eastAsia" w:ascii="宋体" w:hAnsi="宋体"/>
          <w:color w:val="auto"/>
          <w:sz w:val="24"/>
          <w:szCs w:val="20"/>
          <w:highlight w:val="none"/>
        </w:rPr>
      </w:pPr>
    </w:p>
    <w:p w14:paraId="60FAC202">
      <w:pPr>
        <w:pStyle w:val="38"/>
        <w:pageBreakBefore w:val="0"/>
        <w:kinsoku/>
        <w:wordWrap/>
        <w:topLinePunct w:val="0"/>
        <w:bidi w:val="0"/>
        <w:spacing w:line="312" w:lineRule="auto"/>
        <w:rPr>
          <w:rFonts w:hint="eastAsia" w:ascii="宋体" w:hAnsi="宋体"/>
          <w:color w:val="auto"/>
          <w:sz w:val="24"/>
          <w:szCs w:val="20"/>
          <w:highlight w:val="none"/>
        </w:rPr>
      </w:pPr>
    </w:p>
    <w:p w14:paraId="3E6AF429">
      <w:pPr>
        <w:pStyle w:val="38"/>
        <w:pageBreakBefore w:val="0"/>
        <w:kinsoku/>
        <w:wordWrap/>
        <w:topLinePunct w:val="0"/>
        <w:bidi w:val="0"/>
        <w:spacing w:line="312" w:lineRule="auto"/>
        <w:rPr>
          <w:rFonts w:hint="eastAsia" w:ascii="宋体" w:hAnsi="宋体"/>
          <w:color w:val="auto"/>
          <w:sz w:val="24"/>
          <w:szCs w:val="20"/>
          <w:highlight w:val="none"/>
        </w:rPr>
      </w:pPr>
    </w:p>
    <w:p w14:paraId="24BC1A64">
      <w:pPr>
        <w:pStyle w:val="38"/>
        <w:pageBreakBefore w:val="0"/>
        <w:kinsoku/>
        <w:wordWrap/>
        <w:topLinePunct w:val="0"/>
        <w:bidi w:val="0"/>
        <w:spacing w:line="312" w:lineRule="auto"/>
        <w:rPr>
          <w:rFonts w:hint="eastAsia" w:ascii="宋体" w:hAnsi="宋体"/>
          <w:color w:val="auto"/>
          <w:sz w:val="24"/>
          <w:szCs w:val="20"/>
          <w:highlight w:val="none"/>
        </w:rPr>
      </w:pPr>
    </w:p>
    <w:p w14:paraId="1F192A13">
      <w:pPr>
        <w:pStyle w:val="38"/>
        <w:pageBreakBefore w:val="0"/>
        <w:kinsoku/>
        <w:wordWrap/>
        <w:topLinePunct w:val="0"/>
        <w:bidi w:val="0"/>
        <w:spacing w:line="312" w:lineRule="auto"/>
        <w:rPr>
          <w:rFonts w:hint="eastAsia" w:ascii="宋体" w:hAnsi="宋体"/>
          <w:color w:val="auto"/>
          <w:sz w:val="24"/>
          <w:szCs w:val="20"/>
          <w:highlight w:val="none"/>
        </w:rPr>
      </w:pPr>
    </w:p>
    <w:p w14:paraId="35FF3255">
      <w:pPr>
        <w:pStyle w:val="38"/>
        <w:pageBreakBefore w:val="0"/>
        <w:kinsoku/>
        <w:wordWrap/>
        <w:topLinePunct w:val="0"/>
        <w:bidi w:val="0"/>
        <w:spacing w:line="312" w:lineRule="auto"/>
        <w:rPr>
          <w:rFonts w:hint="eastAsia" w:ascii="宋体" w:hAnsi="宋体"/>
          <w:color w:val="auto"/>
          <w:sz w:val="24"/>
          <w:szCs w:val="20"/>
          <w:highlight w:val="none"/>
        </w:rPr>
      </w:pPr>
    </w:p>
    <w:p w14:paraId="2367FF06">
      <w:pPr>
        <w:pStyle w:val="38"/>
        <w:pageBreakBefore w:val="0"/>
        <w:kinsoku/>
        <w:wordWrap/>
        <w:topLinePunct w:val="0"/>
        <w:bidi w:val="0"/>
        <w:spacing w:line="312" w:lineRule="auto"/>
        <w:rPr>
          <w:rFonts w:hint="eastAsia" w:ascii="宋体" w:hAnsi="宋体"/>
          <w:color w:val="auto"/>
          <w:sz w:val="24"/>
          <w:szCs w:val="20"/>
          <w:highlight w:val="none"/>
        </w:rPr>
      </w:pPr>
    </w:p>
    <w:p w14:paraId="11BA3971">
      <w:pPr>
        <w:pStyle w:val="38"/>
        <w:pageBreakBefore w:val="0"/>
        <w:kinsoku/>
        <w:wordWrap/>
        <w:topLinePunct w:val="0"/>
        <w:bidi w:val="0"/>
        <w:spacing w:line="312" w:lineRule="auto"/>
        <w:rPr>
          <w:rFonts w:hint="eastAsia" w:ascii="宋体" w:hAnsi="宋体"/>
          <w:color w:val="auto"/>
          <w:sz w:val="24"/>
          <w:szCs w:val="20"/>
          <w:highlight w:val="none"/>
        </w:rPr>
      </w:pPr>
    </w:p>
    <w:p w14:paraId="25135A2B">
      <w:pPr>
        <w:pStyle w:val="38"/>
        <w:pageBreakBefore w:val="0"/>
        <w:kinsoku/>
        <w:wordWrap/>
        <w:topLinePunct w:val="0"/>
        <w:bidi w:val="0"/>
        <w:spacing w:line="312" w:lineRule="auto"/>
        <w:rPr>
          <w:rFonts w:hint="eastAsia" w:ascii="宋体" w:hAnsi="宋体"/>
          <w:color w:val="auto"/>
          <w:sz w:val="24"/>
          <w:szCs w:val="20"/>
          <w:highlight w:val="none"/>
        </w:rPr>
      </w:pPr>
    </w:p>
    <w:p w14:paraId="39952877">
      <w:pPr>
        <w:pStyle w:val="38"/>
        <w:pageBreakBefore w:val="0"/>
        <w:kinsoku/>
        <w:wordWrap/>
        <w:topLinePunct w:val="0"/>
        <w:bidi w:val="0"/>
        <w:spacing w:line="312" w:lineRule="auto"/>
        <w:rPr>
          <w:rFonts w:hint="eastAsia" w:ascii="宋体" w:hAnsi="宋体"/>
          <w:color w:val="auto"/>
          <w:sz w:val="24"/>
          <w:szCs w:val="20"/>
          <w:highlight w:val="none"/>
        </w:rPr>
      </w:pPr>
    </w:p>
    <w:p w14:paraId="271AE062">
      <w:pPr>
        <w:pageBreakBefore w:val="0"/>
        <w:kinsoku/>
        <w:wordWrap/>
        <w:topLinePunct w:val="0"/>
        <w:bidi w:val="0"/>
        <w:spacing w:line="312" w:lineRule="auto"/>
        <w:rPr>
          <w:rFonts w:hint="eastAsia" w:ascii="宋体" w:hAnsi="宋体"/>
          <w:color w:val="auto"/>
          <w:szCs w:val="21"/>
          <w:highlight w:val="none"/>
        </w:rPr>
      </w:pPr>
      <w:r>
        <w:rPr>
          <w:rFonts w:hint="eastAsia" w:ascii="宋体" w:hAnsi="宋体"/>
          <w:b/>
          <w:bCs/>
          <w:color w:val="auto"/>
          <w:sz w:val="24"/>
          <w:highlight w:val="none"/>
        </w:rPr>
        <w:t>其他文书、文件格式</w:t>
      </w:r>
    </w:p>
    <w:p w14:paraId="7454D4B0">
      <w:pPr>
        <w:pStyle w:val="3"/>
        <w:pageBreakBefore w:val="0"/>
        <w:kinsoku/>
        <w:wordWrap/>
        <w:topLinePunct w:val="0"/>
        <w:bidi w:val="0"/>
        <w:spacing w:before="146" w:after="240" w:afterLines="76" w:afterAutospacing="0" w:line="360" w:lineRule="auto"/>
        <w:ind w:right="142" w:rightChars="0"/>
        <w:jc w:val="center"/>
        <w:outlineLvl w:val="2"/>
        <w:rPr>
          <w:rFonts w:ascii="宋体" w:hAnsi="宋体" w:cs="宋体"/>
          <w:b/>
          <w:bCs/>
          <w:color w:val="auto"/>
          <w:sz w:val="24"/>
          <w:highlight w:val="none"/>
        </w:rPr>
      </w:pPr>
      <w:r>
        <w:rPr>
          <w:color w:val="auto"/>
          <w:sz w:val="36"/>
          <w:szCs w:val="36"/>
          <w:highlight w:val="none"/>
        </w:rPr>
        <w:t>中小企业声明函（</w:t>
      </w:r>
      <w:r>
        <w:rPr>
          <w:rFonts w:hint="eastAsia" w:cs="宋体"/>
          <w:color w:val="auto"/>
          <w:sz w:val="36"/>
          <w:szCs w:val="36"/>
          <w:highlight w:val="none"/>
        </w:rPr>
        <w:t>服务</w:t>
      </w:r>
      <w:r>
        <w:rPr>
          <w:color w:val="auto"/>
          <w:sz w:val="36"/>
          <w:szCs w:val="36"/>
          <w:highlight w:val="none"/>
        </w:rPr>
        <w:t>）</w:t>
      </w:r>
    </w:p>
    <w:p w14:paraId="22AF01F6">
      <w:pPr>
        <w:pStyle w:val="13"/>
        <w:pageBreakBefore w:val="0"/>
        <w:kinsoku/>
        <w:wordWrap/>
        <w:topLinePunct w:val="0"/>
        <w:bidi w:val="0"/>
        <w:spacing w:beforeAutospacing="0" w:line="360" w:lineRule="auto"/>
        <w:ind w:right="142" w:firstLine="705" w:firstLineChars="294"/>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服务全部由符合政策要求的中小企业承接。相关企业（含联合体中的中小企业、签订分包意向协议的中小企业）的具体情况如下：</w:t>
      </w:r>
    </w:p>
    <w:p w14:paraId="33002515">
      <w:pPr>
        <w:pageBreakBefore w:val="0"/>
        <w:tabs>
          <w:tab w:val="left" w:pos="1384"/>
          <w:tab w:val="left" w:pos="4562"/>
          <w:tab w:val="left" w:pos="6803"/>
        </w:tabs>
        <w:kinsoku/>
        <w:wordWrap/>
        <w:topLinePunct w:val="0"/>
        <w:bidi w:val="0"/>
        <w:spacing w:before="13" w:line="360" w:lineRule="auto"/>
        <w:ind w:right="142" w:firstLine="772" w:firstLineChars="32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1B3605DA">
      <w:pPr>
        <w:pageBreakBefore w:val="0"/>
        <w:tabs>
          <w:tab w:val="left" w:pos="1065"/>
          <w:tab w:val="left" w:pos="4262"/>
          <w:tab w:val="left" w:pos="6477"/>
        </w:tabs>
        <w:kinsoku/>
        <w:wordWrap/>
        <w:topLinePunct w:val="0"/>
        <w:bidi w:val="0"/>
        <w:spacing w:before="20" w:line="360" w:lineRule="auto"/>
        <w:ind w:right="84" w:firstLine="772" w:firstLineChars="32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1D9F9351">
      <w:pPr>
        <w:pStyle w:val="13"/>
        <w:pageBreakBefore w:val="0"/>
        <w:kinsoku/>
        <w:wordWrap/>
        <w:topLinePunct w:val="0"/>
        <w:bidi w:val="0"/>
        <w:spacing w:before="34" w:after="0" w:afterAutospacing="0" w:line="360" w:lineRule="auto"/>
        <w:ind w:right="142" w:firstLine="705" w:firstLineChars="294"/>
        <w:rPr>
          <w:rFonts w:ascii="宋体" w:hAnsi="宋体"/>
          <w:color w:val="auto"/>
          <w:sz w:val="24"/>
          <w:highlight w:val="none"/>
        </w:rPr>
      </w:pPr>
      <w:r>
        <w:rPr>
          <w:rFonts w:ascii="宋体" w:hAnsi="宋体"/>
          <w:color w:val="auto"/>
          <w:sz w:val="24"/>
          <w:highlight w:val="none"/>
        </w:rPr>
        <w:t xml:space="preserve">…… </w:t>
      </w:r>
    </w:p>
    <w:p w14:paraId="58D1D248">
      <w:pPr>
        <w:pStyle w:val="13"/>
        <w:pageBreakBefore w:val="0"/>
        <w:kinsoku/>
        <w:wordWrap/>
        <w:topLinePunct w:val="0"/>
        <w:bidi w:val="0"/>
        <w:spacing w:beforeAutospacing="0" w:line="360" w:lineRule="auto"/>
        <w:ind w:right="142" w:firstLine="705" w:firstLineChars="294"/>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379AE24E">
      <w:pPr>
        <w:pStyle w:val="13"/>
        <w:pageBreakBefore w:val="0"/>
        <w:kinsoku/>
        <w:wordWrap/>
        <w:topLinePunct w:val="0"/>
        <w:bidi w:val="0"/>
        <w:spacing w:before="25" w:after="0" w:afterAutospacing="0" w:line="360" w:lineRule="auto"/>
        <w:ind w:right="142" w:firstLine="705" w:firstLineChars="294"/>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24722B5E">
      <w:pPr>
        <w:pStyle w:val="13"/>
        <w:pageBreakBefore w:val="0"/>
        <w:kinsoku/>
        <w:wordWrap/>
        <w:topLinePunct w:val="0"/>
        <w:bidi w:val="0"/>
        <w:spacing w:beforeAutospacing="0" w:after="0" w:afterAutospacing="0" w:line="360" w:lineRule="auto"/>
        <w:ind w:right="1808" w:firstLine="705" w:firstLineChars="294"/>
        <w:rPr>
          <w:rFonts w:hint="eastAsia" w:ascii="宋体" w:hAnsi="宋体"/>
          <w:color w:val="auto"/>
          <w:sz w:val="24"/>
          <w:highlight w:val="none"/>
          <w:lang w:eastAsia="zh-CN"/>
        </w:rPr>
      </w:pPr>
    </w:p>
    <w:p w14:paraId="40CD2E20">
      <w:pPr>
        <w:pStyle w:val="13"/>
        <w:pageBreakBefore w:val="0"/>
        <w:kinsoku/>
        <w:wordWrap/>
        <w:topLinePunct w:val="0"/>
        <w:bidi w:val="0"/>
        <w:spacing w:beforeAutospacing="0" w:line="360" w:lineRule="auto"/>
        <w:ind w:right="650" w:firstLine="3840" w:firstLineChars="1600"/>
        <w:rPr>
          <w:rFonts w:ascii="宋体" w:hAnsi="宋体"/>
          <w:color w:val="auto"/>
          <w:sz w:val="24"/>
          <w:highlight w:val="none"/>
        </w:rPr>
      </w:pPr>
      <w:r>
        <w:rPr>
          <w:rFonts w:ascii="宋体" w:hAnsi="宋体"/>
          <w:color w:val="auto"/>
          <w:sz w:val="24"/>
          <w:highlight w:val="none"/>
        </w:rPr>
        <w:t>企业名称（</w:t>
      </w:r>
      <w:r>
        <w:rPr>
          <w:rFonts w:hint="eastAsia" w:ascii="宋体" w:hAnsi="宋体"/>
          <w:color w:val="auto"/>
          <w:spacing w:val="6"/>
          <w:sz w:val="24"/>
          <w:highlight w:val="none"/>
          <w:lang w:val="en-US" w:eastAsia="zh-CN"/>
        </w:rPr>
        <w:t>电子签章</w:t>
      </w:r>
      <w:r>
        <w:rPr>
          <w:rFonts w:ascii="宋体" w:hAnsi="宋体"/>
          <w:color w:val="auto"/>
          <w:sz w:val="24"/>
          <w:highlight w:val="none"/>
        </w:rPr>
        <w:t xml:space="preserve">）： </w:t>
      </w:r>
    </w:p>
    <w:p w14:paraId="5C12C29E">
      <w:pPr>
        <w:pStyle w:val="13"/>
        <w:pageBreakBefore w:val="0"/>
        <w:kinsoku/>
        <w:wordWrap/>
        <w:topLinePunct w:val="0"/>
        <w:bidi w:val="0"/>
        <w:spacing w:before="56" w:line="360" w:lineRule="auto"/>
        <w:ind w:right="1808" w:firstLine="5625" w:firstLineChars="2344"/>
        <w:rPr>
          <w:rFonts w:ascii="宋体" w:hAnsi="宋体"/>
          <w:color w:val="auto"/>
          <w:sz w:val="24"/>
          <w:highlight w:val="none"/>
        </w:rPr>
      </w:pPr>
      <w:r>
        <w:rPr>
          <w:rFonts w:ascii="宋体" w:hAnsi="宋体"/>
          <w:color w:val="auto"/>
          <w:sz w:val="24"/>
          <w:highlight w:val="none"/>
        </w:rPr>
        <w:t>日 期：</w:t>
      </w:r>
    </w:p>
    <w:p w14:paraId="7A21FFFD">
      <w:pPr>
        <w:pageBreakBefore w:val="0"/>
        <w:kinsoku/>
        <w:wordWrap/>
        <w:topLinePunct w:val="0"/>
        <w:bidi w:val="0"/>
        <w:spacing w:line="360" w:lineRule="auto"/>
        <w:rPr>
          <w:color w:val="auto"/>
        </w:rPr>
      </w:pPr>
    </w:p>
    <w:p w14:paraId="6F06F580">
      <w:pPr>
        <w:pStyle w:val="38"/>
        <w:pageBreakBefore w:val="0"/>
        <w:kinsoku/>
        <w:wordWrap/>
        <w:topLinePunct w:val="0"/>
        <w:bidi w:val="0"/>
        <w:spacing w:line="360" w:lineRule="auto"/>
        <w:rPr>
          <w:rFonts w:hint="eastAsia" w:ascii="宋体" w:hAnsi="宋体"/>
          <w:color w:val="auto"/>
          <w:sz w:val="24"/>
          <w:szCs w:val="20"/>
          <w:highlight w:val="none"/>
        </w:rPr>
      </w:pPr>
      <w:r>
        <w:rPr>
          <w:rFonts w:hint="eastAsia" w:ascii="宋体" w:hAnsi="宋体" w:cs="仿宋_GB2312"/>
          <w:b w:val="0"/>
          <w:bCs w:val="0"/>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FCAF4CF">
      <w:pPr>
        <w:pageBreakBefore w:val="0"/>
        <w:kinsoku/>
        <w:wordWrap/>
        <w:topLinePunct w:val="0"/>
        <w:bidi w:val="0"/>
        <w:snapToGrid w:val="0"/>
        <w:spacing w:before="50" w:after="50" w:line="312" w:lineRule="auto"/>
        <w:ind w:right="-817" w:rightChars="-389" w:firstLine="5461" w:firstLineChars="1700"/>
        <w:rPr>
          <w:rFonts w:hint="eastAsia" w:ascii="仿宋_GB2312" w:hAnsi="仿宋_GB2312" w:eastAsia="仿宋_GB2312" w:cs="仿宋_GB2312"/>
          <w:b/>
          <w:color w:val="auto"/>
          <w:sz w:val="32"/>
          <w:szCs w:val="32"/>
          <w:highlight w:val="none"/>
        </w:rPr>
      </w:pPr>
    </w:p>
    <w:p w14:paraId="0F832783">
      <w:pPr>
        <w:pageBreakBefore w:val="0"/>
        <w:kinsoku/>
        <w:wordWrap/>
        <w:topLinePunct w:val="0"/>
        <w:bidi w:val="0"/>
        <w:spacing w:line="312" w:lineRule="auto"/>
        <w:jc w:val="center"/>
        <w:outlineLvl w:val="2"/>
        <w:rPr>
          <w:rFonts w:hint="eastAsia"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14:paraId="68231A0C">
      <w:pPr>
        <w:pageBreakBefore w:val="0"/>
        <w:kinsoku/>
        <w:wordWrap/>
        <w:topLinePunct w:val="0"/>
        <w:bidi w:val="0"/>
        <w:spacing w:line="312" w:lineRule="auto"/>
        <w:contextualSpacing/>
        <w:rPr>
          <w:rFonts w:hint="eastAsia" w:ascii="仿宋_GB2312" w:hAnsi="仿宋_GB2312" w:eastAsia="仿宋_GB2312" w:cs="仿宋_GB2312"/>
          <w:color w:val="auto"/>
          <w:sz w:val="32"/>
          <w:szCs w:val="32"/>
          <w:highlight w:val="none"/>
        </w:rPr>
      </w:pPr>
    </w:p>
    <w:p w14:paraId="16F2F175">
      <w:pPr>
        <w:pageBreakBefore w:val="0"/>
        <w:kinsoku/>
        <w:wordWrap/>
        <w:topLinePunct w:val="0"/>
        <w:bidi w:val="0"/>
        <w:spacing w:line="312"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66C5E184">
      <w:pPr>
        <w:pageBreakBefore w:val="0"/>
        <w:kinsoku/>
        <w:wordWrap/>
        <w:topLinePunct w:val="0"/>
        <w:bidi w:val="0"/>
        <w:spacing w:line="312"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22E9BC5C">
      <w:pPr>
        <w:pageBreakBefore w:val="0"/>
        <w:kinsoku/>
        <w:wordWrap/>
        <w:topLinePunct w:val="0"/>
        <w:bidi w:val="0"/>
        <w:spacing w:line="312" w:lineRule="auto"/>
        <w:contextualSpacing/>
        <w:rPr>
          <w:rFonts w:hint="eastAsia" w:ascii="宋体" w:hAnsi="宋体" w:cs="仿宋_GB2312"/>
          <w:color w:val="auto"/>
          <w:sz w:val="24"/>
          <w:highlight w:val="none"/>
        </w:rPr>
      </w:pPr>
    </w:p>
    <w:p w14:paraId="209AC7AF">
      <w:pPr>
        <w:pageBreakBefore w:val="0"/>
        <w:kinsoku/>
        <w:wordWrap/>
        <w:topLinePunct w:val="0"/>
        <w:bidi w:val="0"/>
        <w:spacing w:line="312" w:lineRule="auto"/>
        <w:contextualSpacing/>
        <w:rPr>
          <w:rFonts w:hint="eastAsia" w:ascii="宋体" w:hAnsi="宋体" w:cs="仿宋_GB2312"/>
          <w:color w:val="auto"/>
          <w:sz w:val="24"/>
          <w:highlight w:val="none"/>
        </w:rPr>
      </w:pPr>
    </w:p>
    <w:p w14:paraId="4A581249">
      <w:pPr>
        <w:pageBreakBefore w:val="0"/>
        <w:kinsoku/>
        <w:wordWrap/>
        <w:topLinePunct w:val="0"/>
        <w:bidi w:val="0"/>
        <w:spacing w:line="312" w:lineRule="auto"/>
        <w:contextualSpacing/>
        <w:rPr>
          <w:rFonts w:hint="eastAsia" w:ascii="宋体" w:hAnsi="宋体" w:cs="仿宋_GB2312"/>
          <w:color w:val="auto"/>
          <w:sz w:val="24"/>
          <w:highlight w:val="none"/>
        </w:rPr>
      </w:pPr>
    </w:p>
    <w:p w14:paraId="7C08D8DE">
      <w:pPr>
        <w:pageBreakBefore w:val="0"/>
        <w:kinsoku/>
        <w:wordWrap/>
        <w:topLinePunct w:val="0"/>
        <w:bidi w:val="0"/>
        <w:spacing w:line="312" w:lineRule="auto"/>
        <w:ind w:firstLine="2400" w:firstLineChars="10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w:t>
      </w:r>
      <w:r>
        <w:rPr>
          <w:rFonts w:hint="eastAsia" w:hAnsi="宋体"/>
          <w:color w:val="auto"/>
          <w:sz w:val="24"/>
          <w:highlight w:val="none"/>
          <w:lang w:val="en-US" w:eastAsia="zh-CN"/>
        </w:rPr>
        <w:t>电子签章</w:t>
      </w:r>
      <w:r>
        <w:rPr>
          <w:rFonts w:hint="eastAsia" w:ascii="宋体" w:hAnsi="宋体" w:cs="仿宋_GB2312"/>
          <w:color w:val="auto"/>
          <w:sz w:val="24"/>
          <w:highlight w:val="none"/>
        </w:rPr>
        <w:t>）：</w:t>
      </w:r>
    </w:p>
    <w:p w14:paraId="4D02F1A8">
      <w:pPr>
        <w:pageBreakBefore w:val="0"/>
        <w:kinsoku/>
        <w:wordWrap/>
        <w:topLinePunct w:val="0"/>
        <w:bidi w:val="0"/>
        <w:spacing w:line="312" w:lineRule="auto"/>
        <w:ind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3F4ECB17">
      <w:pPr>
        <w:pageBreakBefore w:val="0"/>
        <w:kinsoku/>
        <w:wordWrap/>
        <w:topLinePunct w:val="0"/>
        <w:bidi w:val="0"/>
        <w:spacing w:line="312" w:lineRule="auto"/>
        <w:contextualSpacing/>
        <w:rPr>
          <w:rFonts w:hint="eastAsia" w:ascii="宋体" w:hAnsi="宋体" w:cs="仿宋_GB2312"/>
          <w:color w:val="auto"/>
          <w:sz w:val="24"/>
          <w:highlight w:val="none"/>
        </w:rPr>
      </w:pPr>
    </w:p>
    <w:p w14:paraId="60325949">
      <w:pPr>
        <w:pageBreakBefore w:val="0"/>
        <w:kinsoku/>
        <w:wordWrap/>
        <w:topLinePunct w:val="0"/>
        <w:bidi w:val="0"/>
        <w:spacing w:line="312" w:lineRule="auto"/>
        <w:contextualSpacing/>
        <w:rPr>
          <w:rFonts w:hint="eastAsia" w:ascii="宋体" w:hAnsi="宋体" w:cs="仿宋_GB2312"/>
          <w:color w:val="auto"/>
          <w:sz w:val="24"/>
          <w:highlight w:val="none"/>
        </w:rPr>
      </w:pPr>
    </w:p>
    <w:p w14:paraId="384B178A">
      <w:pPr>
        <w:pageBreakBefore w:val="0"/>
        <w:kinsoku/>
        <w:wordWrap/>
        <w:topLinePunct w:val="0"/>
        <w:bidi w:val="0"/>
        <w:spacing w:line="312" w:lineRule="auto"/>
        <w:contextualSpacing/>
        <w:rPr>
          <w:rFonts w:hint="eastAsia" w:ascii="宋体" w:hAnsi="宋体" w:cs="仿宋_GB2312"/>
          <w:color w:val="auto"/>
          <w:sz w:val="24"/>
          <w:highlight w:val="none"/>
        </w:rPr>
      </w:pPr>
    </w:p>
    <w:p w14:paraId="4988E7E8">
      <w:pPr>
        <w:pageBreakBefore w:val="0"/>
        <w:kinsoku/>
        <w:wordWrap/>
        <w:topLinePunct w:val="0"/>
        <w:bidi w:val="0"/>
        <w:spacing w:line="312"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C43AF92">
      <w:pPr>
        <w:pageBreakBefore w:val="0"/>
        <w:kinsoku/>
        <w:wordWrap/>
        <w:topLinePunct w:val="0"/>
        <w:bidi w:val="0"/>
        <w:spacing w:line="240" w:lineRule="auto"/>
        <w:jc w:val="center"/>
        <w:outlineLvl w:val="2"/>
        <w:rPr>
          <w:rFonts w:hint="eastAsia" w:ascii="宋体" w:hAnsi="宋体"/>
          <w:b/>
          <w:bCs/>
          <w:color w:val="auto"/>
          <w:sz w:val="32"/>
          <w:szCs w:val="32"/>
          <w:highlight w:val="none"/>
        </w:rPr>
      </w:pPr>
      <w:r>
        <w:rPr>
          <w:rFonts w:ascii="宋体" w:hAnsi="宋体" w:cs="仿宋_GB2312"/>
          <w:color w:val="auto"/>
          <w:sz w:val="24"/>
          <w:highlight w:val="none"/>
        </w:rPr>
        <w:br w:type="page"/>
      </w:r>
      <w:r>
        <w:rPr>
          <w:rFonts w:hint="eastAsia" w:ascii="宋体" w:hAnsi="宋体"/>
          <w:b/>
          <w:bCs/>
          <w:color w:val="auto"/>
          <w:sz w:val="32"/>
          <w:szCs w:val="32"/>
          <w:highlight w:val="none"/>
        </w:rPr>
        <w:t>质疑函（格式）</w:t>
      </w:r>
    </w:p>
    <w:p w14:paraId="19599AA1">
      <w:pPr>
        <w:pStyle w:val="18"/>
        <w:pageBreakBefore w:val="0"/>
        <w:kinsoku/>
        <w:wordWrap/>
        <w:topLinePunct w:val="0"/>
        <w:bidi w:val="0"/>
        <w:spacing w:line="240" w:lineRule="auto"/>
        <w:ind w:firstLine="482" w:firstLineChars="200"/>
        <w:contextualSpacing/>
        <w:outlineLvl w:val="2"/>
        <w:rPr>
          <w:rFonts w:hAnsi="宋体"/>
          <w:b/>
          <w:bCs/>
          <w:color w:val="auto"/>
          <w:sz w:val="24"/>
          <w:szCs w:val="24"/>
          <w:highlight w:val="none"/>
        </w:rPr>
      </w:pPr>
      <w:r>
        <w:rPr>
          <w:rFonts w:hint="eastAsia" w:hAnsi="宋体"/>
          <w:b/>
          <w:bCs/>
          <w:color w:val="auto"/>
          <w:sz w:val="24"/>
          <w:szCs w:val="24"/>
          <w:highlight w:val="none"/>
        </w:rPr>
        <w:t>一、质疑供应商基本信息：</w:t>
      </w:r>
    </w:p>
    <w:p w14:paraId="6BD3AC55">
      <w:pPr>
        <w:pStyle w:val="18"/>
        <w:pageBreakBefore w:val="0"/>
        <w:kinsoku/>
        <w:wordWrap/>
        <w:topLinePunct w:val="0"/>
        <w:bidi w:val="0"/>
        <w:spacing w:line="240" w:lineRule="auto"/>
        <w:ind w:firstLine="480" w:firstLineChars="200"/>
        <w:contextualSpacing/>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13AA7A6">
      <w:pPr>
        <w:pStyle w:val="18"/>
        <w:pageBreakBefore w:val="0"/>
        <w:kinsoku/>
        <w:wordWrap/>
        <w:topLinePunct w:val="0"/>
        <w:bidi w:val="0"/>
        <w:spacing w:line="24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1EBF436">
      <w:pPr>
        <w:pStyle w:val="18"/>
        <w:pageBreakBefore w:val="0"/>
        <w:kinsoku/>
        <w:wordWrap/>
        <w:topLinePunct w:val="0"/>
        <w:bidi w:val="0"/>
        <w:spacing w:line="24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700A1BA">
      <w:pPr>
        <w:pStyle w:val="18"/>
        <w:pageBreakBefore w:val="0"/>
        <w:kinsoku/>
        <w:wordWrap/>
        <w:topLinePunct w:val="0"/>
        <w:bidi w:val="0"/>
        <w:spacing w:line="240" w:lineRule="auto"/>
        <w:ind w:firstLine="480" w:firstLineChars="200"/>
        <w:contextualSpacing/>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5996E291">
      <w:pPr>
        <w:pStyle w:val="18"/>
        <w:pageBreakBefore w:val="0"/>
        <w:kinsoku/>
        <w:wordWrap/>
        <w:topLinePunct w:val="0"/>
        <w:bidi w:val="0"/>
        <w:spacing w:line="240" w:lineRule="auto"/>
        <w:ind w:firstLine="480" w:firstLineChars="200"/>
        <w:contextualSpacing/>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374D5999">
      <w:pPr>
        <w:pStyle w:val="18"/>
        <w:pageBreakBefore w:val="0"/>
        <w:kinsoku/>
        <w:wordWrap/>
        <w:topLinePunct w:val="0"/>
        <w:bidi w:val="0"/>
        <w:spacing w:line="24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08D030E">
      <w:pPr>
        <w:pStyle w:val="18"/>
        <w:pageBreakBefore w:val="0"/>
        <w:kinsoku/>
        <w:wordWrap/>
        <w:topLinePunct w:val="0"/>
        <w:bidi w:val="0"/>
        <w:spacing w:line="240" w:lineRule="auto"/>
        <w:ind w:firstLine="482" w:firstLineChars="200"/>
        <w:contextualSpacing/>
        <w:outlineLvl w:val="2"/>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19DDF586">
      <w:pPr>
        <w:pStyle w:val="18"/>
        <w:pageBreakBefore w:val="0"/>
        <w:kinsoku/>
        <w:wordWrap/>
        <w:topLinePunct w:val="0"/>
        <w:bidi w:val="0"/>
        <w:spacing w:line="24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3A9D8080">
      <w:pPr>
        <w:pStyle w:val="18"/>
        <w:pageBreakBefore w:val="0"/>
        <w:kinsoku/>
        <w:wordWrap/>
        <w:topLinePunct w:val="0"/>
        <w:bidi w:val="0"/>
        <w:spacing w:line="24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17F879ED">
      <w:pPr>
        <w:pStyle w:val="18"/>
        <w:pageBreakBefore w:val="0"/>
        <w:kinsoku/>
        <w:wordWrap/>
        <w:topLinePunct w:val="0"/>
        <w:bidi w:val="0"/>
        <w:spacing w:line="24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282B5F42">
      <w:pPr>
        <w:pStyle w:val="18"/>
        <w:pageBreakBefore w:val="0"/>
        <w:kinsoku/>
        <w:wordWrap/>
        <w:topLinePunct w:val="0"/>
        <w:bidi w:val="0"/>
        <w:spacing w:line="24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w:t>
      </w:r>
    </w:p>
    <w:p w14:paraId="5FC27659">
      <w:pPr>
        <w:pStyle w:val="18"/>
        <w:pageBreakBefore w:val="0"/>
        <w:kinsoku/>
        <w:wordWrap/>
        <w:topLinePunct w:val="0"/>
        <w:bidi w:val="0"/>
        <w:spacing w:line="24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20B6D734">
      <w:pPr>
        <w:pStyle w:val="18"/>
        <w:pageBreakBefore w:val="0"/>
        <w:kinsoku/>
        <w:wordWrap/>
        <w:topLinePunct w:val="0"/>
        <w:bidi w:val="0"/>
        <w:spacing w:line="24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14:paraId="2C96B69C">
      <w:pPr>
        <w:pStyle w:val="18"/>
        <w:pageBreakBefore w:val="0"/>
        <w:kinsoku/>
        <w:wordWrap/>
        <w:topLinePunct w:val="0"/>
        <w:bidi w:val="0"/>
        <w:spacing w:line="240" w:lineRule="auto"/>
        <w:ind w:left="25" w:leftChars="12" w:firstLine="352" w:firstLineChars="147"/>
        <w:contextualSpacing/>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14:paraId="7E32E30F">
      <w:pPr>
        <w:pStyle w:val="18"/>
        <w:pageBreakBefore w:val="0"/>
        <w:kinsoku/>
        <w:wordWrap/>
        <w:topLinePunct w:val="0"/>
        <w:bidi w:val="0"/>
        <w:spacing w:line="240" w:lineRule="auto"/>
        <w:ind w:left="25" w:leftChars="12" w:firstLine="472" w:firstLineChars="196"/>
        <w:contextualSpacing/>
        <w:outlineLvl w:val="2"/>
        <w:rPr>
          <w:rFonts w:hint="eastAsia" w:hAnsi="宋体"/>
          <w:b/>
          <w:color w:val="auto"/>
          <w:sz w:val="24"/>
          <w:szCs w:val="24"/>
          <w:highlight w:val="none"/>
        </w:rPr>
      </w:pPr>
      <w:r>
        <w:rPr>
          <w:rFonts w:hint="eastAsia" w:hAnsi="宋体"/>
          <w:b/>
          <w:color w:val="auto"/>
          <w:sz w:val="24"/>
          <w:szCs w:val="24"/>
          <w:highlight w:val="none"/>
        </w:rPr>
        <w:t>三、质疑事项具体内容</w:t>
      </w:r>
    </w:p>
    <w:p w14:paraId="57F5DD4E">
      <w:pPr>
        <w:pStyle w:val="18"/>
        <w:pageBreakBefore w:val="0"/>
        <w:kinsoku/>
        <w:wordWrap/>
        <w:topLinePunct w:val="0"/>
        <w:bidi w:val="0"/>
        <w:spacing w:line="24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194DC217">
      <w:pPr>
        <w:pStyle w:val="18"/>
        <w:pageBreakBefore w:val="0"/>
        <w:kinsoku/>
        <w:wordWrap/>
        <w:topLinePunct w:val="0"/>
        <w:bidi w:val="0"/>
        <w:spacing w:line="24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4CD0B0A4">
      <w:pPr>
        <w:pStyle w:val="18"/>
        <w:pageBreakBefore w:val="0"/>
        <w:kinsoku/>
        <w:wordWrap/>
        <w:topLinePunct w:val="0"/>
        <w:bidi w:val="0"/>
        <w:spacing w:line="24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02413542">
      <w:pPr>
        <w:pStyle w:val="18"/>
        <w:pageBreakBefore w:val="0"/>
        <w:kinsoku/>
        <w:wordWrap/>
        <w:topLinePunct w:val="0"/>
        <w:bidi w:val="0"/>
        <w:spacing w:line="24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质疑事项2</w:t>
      </w:r>
    </w:p>
    <w:p w14:paraId="08D10D6C">
      <w:pPr>
        <w:pStyle w:val="18"/>
        <w:pageBreakBefore w:val="0"/>
        <w:kinsoku/>
        <w:wordWrap/>
        <w:topLinePunct w:val="0"/>
        <w:bidi w:val="0"/>
        <w:spacing w:line="240" w:lineRule="auto"/>
        <w:ind w:left="25" w:leftChars="12" w:firstLine="472" w:firstLineChars="197"/>
        <w:contextualSpacing/>
        <w:rPr>
          <w:rFonts w:hint="eastAsia" w:hAnsi="宋体"/>
          <w:color w:val="auto"/>
          <w:sz w:val="24"/>
          <w:szCs w:val="24"/>
          <w:highlight w:val="none"/>
        </w:rPr>
      </w:pPr>
      <w:r>
        <w:rPr>
          <w:rFonts w:hAnsi="宋体"/>
          <w:color w:val="auto"/>
          <w:sz w:val="24"/>
          <w:szCs w:val="24"/>
          <w:highlight w:val="none"/>
        </w:rPr>
        <w:t>……</w:t>
      </w:r>
    </w:p>
    <w:p w14:paraId="187F4D9A">
      <w:pPr>
        <w:pStyle w:val="18"/>
        <w:pageBreakBefore w:val="0"/>
        <w:kinsoku/>
        <w:wordWrap/>
        <w:topLinePunct w:val="0"/>
        <w:bidi w:val="0"/>
        <w:spacing w:line="240" w:lineRule="auto"/>
        <w:ind w:left="25" w:leftChars="12" w:firstLine="472" w:firstLineChars="197"/>
        <w:contextualSpacing/>
        <w:outlineLvl w:val="2"/>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79986FF4">
      <w:pPr>
        <w:pStyle w:val="18"/>
        <w:pageBreakBefore w:val="0"/>
        <w:kinsoku/>
        <w:wordWrap/>
        <w:topLinePunct w:val="0"/>
        <w:bidi w:val="0"/>
        <w:spacing w:line="24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34B52CA0">
      <w:pPr>
        <w:pStyle w:val="18"/>
        <w:pageBreakBefore w:val="0"/>
        <w:kinsoku/>
        <w:wordWrap/>
        <w:topLinePunct w:val="0"/>
        <w:bidi w:val="0"/>
        <w:spacing w:line="240" w:lineRule="auto"/>
        <w:ind w:left="25" w:leftChars="12" w:firstLine="352" w:firstLineChars="147"/>
        <w:contextualSpacing/>
        <w:rPr>
          <w:rFonts w:hint="eastAsia" w:hAnsi="宋体"/>
          <w:color w:val="auto"/>
          <w:sz w:val="24"/>
          <w:szCs w:val="24"/>
          <w:highlight w:val="none"/>
        </w:rPr>
      </w:pPr>
    </w:p>
    <w:p w14:paraId="446CE926">
      <w:pPr>
        <w:pStyle w:val="18"/>
        <w:pageBreakBefore w:val="0"/>
        <w:kinsoku/>
        <w:wordWrap/>
        <w:topLinePunct w:val="0"/>
        <w:bidi w:val="0"/>
        <w:spacing w:line="24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签字（签章）：                                       公章：</w:t>
      </w:r>
    </w:p>
    <w:p w14:paraId="0AF412A6">
      <w:pPr>
        <w:pStyle w:val="18"/>
        <w:pageBreakBefore w:val="0"/>
        <w:kinsoku/>
        <w:wordWrap/>
        <w:topLinePunct w:val="0"/>
        <w:bidi w:val="0"/>
        <w:spacing w:line="240" w:lineRule="auto"/>
        <w:ind w:left="25" w:leftChars="12" w:firstLine="352" w:firstLineChars="147"/>
        <w:contextualSpacing/>
        <w:rPr>
          <w:rFonts w:hint="eastAsia" w:hAnsi="宋体"/>
          <w:color w:val="auto"/>
          <w:sz w:val="24"/>
          <w:szCs w:val="24"/>
          <w:highlight w:val="none"/>
        </w:rPr>
      </w:pPr>
    </w:p>
    <w:p w14:paraId="190346C5">
      <w:pPr>
        <w:pStyle w:val="18"/>
        <w:pageBreakBefore w:val="0"/>
        <w:kinsoku/>
        <w:wordWrap/>
        <w:topLinePunct w:val="0"/>
        <w:bidi w:val="0"/>
        <w:spacing w:line="24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日期：</w:t>
      </w:r>
    </w:p>
    <w:p w14:paraId="657A679D">
      <w:pPr>
        <w:pStyle w:val="18"/>
        <w:pageBreakBefore w:val="0"/>
        <w:kinsoku/>
        <w:wordWrap/>
        <w:topLinePunct w:val="0"/>
        <w:bidi w:val="0"/>
        <w:spacing w:line="240" w:lineRule="auto"/>
        <w:contextualSpacing/>
        <w:rPr>
          <w:rFonts w:hint="eastAsia" w:hAnsi="宋体"/>
          <w:b/>
          <w:color w:val="auto"/>
          <w:sz w:val="24"/>
          <w:szCs w:val="24"/>
          <w:highlight w:val="none"/>
          <w:lang w:eastAsia="zh-CN"/>
        </w:rPr>
      </w:pPr>
    </w:p>
    <w:p w14:paraId="2EE7034C">
      <w:pPr>
        <w:pStyle w:val="18"/>
        <w:pageBreakBefore w:val="0"/>
        <w:kinsoku/>
        <w:wordWrap/>
        <w:topLinePunct w:val="0"/>
        <w:bidi w:val="0"/>
        <w:spacing w:line="240" w:lineRule="auto"/>
        <w:contextualSpacing/>
        <w:rPr>
          <w:rFonts w:hint="eastAsia" w:hAnsi="宋体"/>
          <w:b/>
          <w:color w:val="auto"/>
          <w:sz w:val="24"/>
          <w:szCs w:val="24"/>
          <w:highlight w:val="none"/>
          <w:lang w:eastAsia="zh-CN"/>
        </w:rPr>
      </w:pPr>
    </w:p>
    <w:p w14:paraId="171C9551">
      <w:pPr>
        <w:pStyle w:val="18"/>
        <w:pageBreakBefore w:val="0"/>
        <w:kinsoku/>
        <w:wordWrap/>
        <w:topLinePunct w:val="0"/>
        <w:bidi w:val="0"/>
        <w:spacing w:line="24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14:paraId="230C0AA9">
      <w:pPr>
        <w:pStyle w:val="18"/>
        <w:pageBreakBefore w:val="0"/>
        <w:kinsoku/>
        <w:wordWrap/>
        <w:topLinePunct w:val="0"/>
        <w:bidi w:val="0"/>
        <w:spacing w:line="240" w:lineRule="auto"/>
        <w:ind w:left="25" w:leftChars="12" w:firstLine="354" w:firstLineChars="147"/>
        <w:contextualSpacing/>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46C34B0C">
      <w:pPr>
        <w:pStyle w:val="18"/>
        <w:pageBreakBefore w:val="0"/>
        <w:kinsoku/>
        <w:wordWrap/>
        <w:topLinePunct w:val="0"/>
        <w:bidi w:val="0"/>
        <w:spacing w:line="24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9E3B73E">
      <w:pPr>
        <w:pStyle w:val="18"/>
        <w:pageBreakBefore w:val="0"/>
        <w:kinsoku/>
        <w:wordWrap/>
        <w:topLinePunct w:val="0"/>
        <w:bidi w:val="0"/>
        <w:spacing w:line="24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4C4140C5">
      <w:pPr>
        <w:pStyle w:val="18"/>
        <w:pageBreakBefore w:val="0"/>
        <w:kinsoku/>
        <w:wordWrap/>
        <w:topLinePunct w:val="0"/>
        <w:bidi w:val="0"/>
        <w:spacing w:line="24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3EB6C2E8">
      <w:pPr>
        <w:pStyle w:val="18"/>
        <w:pageBreakBefore w:val="0"/>
        <w:kinsoku/>
        <w:wordWrap/>
        <w:topLinePunct w:val="0"/>
        <w:bidi w:val="0"/>
        <w:spacing w:line="240" w:lineRule="auto"/>
        <w:ind w:left="25" w:leftChars="12" w:firstLine="354" w:firstLineChars="147"/>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29348FB2">
      <w:pPr>
        <w:pStyle w:val="18"/>
        <w:pageBreakBefore w:val="0"/>
        <w:kinsoku/>
        <w:wordWrap/>
        <w:topLinePunct w:val="0"/>
        <w:bidi w:val="0"/>
        <w:snapToGrid w:val="0"/>
        <w:spacing w:line="312" w:lineRule="auto"/>
        <w:rPr>
          <w:rFonts w:hint="eastAsia"/>
          <w:b/>
          <w:color w:val="auto"/>
          <w:sz w:val="24"/>
          <w:szCs w:val="24"/>
          <w:highlight w:val="none"/>
        </w:rPr>
      </w:pPr>
    </w:p>
    <w:p w14:paraId="74F53F5A">
      <w:pPr>
        <w:pageBreakBefore w:val="0"/>
        <w:kinsoku/>
        <w:wordWrap/>
        <w:topLinePunct w:val="0"/>
        <w:bidi w:val="0"/>
        <w:spacing w:line="312" w:lineRule="auto"/>
        <w:jc w:val="center"/>
        <w:outlineLvl w:val="2"/>
        <w:rPr>
          <w:rFonts w:hint="eastAsia" w:ascii="宋体" w:hAnsi="宋体"/>
          <w:b/>
          <w:bCs/>
          <w:color w:val="auto"/>
          <w:sz w:val="32"/>
          <w:szCs w:val="32"/>
          <w:highlight w:val="none"/>
        </w:rPr>
      </w:pPr>
      <w:r>
        <w:rPr>
          <w:rFonts w:eastAsia="隶书"/>
          <w:color w:val="auto"/>
          <w:sz w:val="44"/>
          <w:highlight w:val="none"/>
        </w:rPr>
        <w:br w:type="page"/>
      </w:r>
      <w:r>
        <w:rPr>
          <w:rFonts w:hint="eastAsia" w:ascii="宋体" w:hAnsi="宋体"/>
          <w:b/>
          <w:bCs/>
          <w:color w:val="auto"/>
          <w:sz w:val="32"/>
          <w:szCs w:val="32"/>
          <w:highlight w:val="none"/>
        </w:rPr>
        <w:t>投诉书（格式）</w:t>
      </w:r>
    </w:p>
    <w:p w14:paraId="111EAB6C">
      <w:pPr>
        <w:pStyle w:val="18"/>
        <w:pageBreakBefore w:val="0"/>
        <w:kinsoku/>
        <w:wordWrap/>
        <w:topLinePunct w:val="0"/>
        <w:bidi w:val="0"/>
        <w:snapToGrid w:val="0"/>
        <w:spacing w:line="312" w:lineRule="auto"/>
        <w:ind w:firstLine="482" w:firstLineChars="200"/>
        <w:outlineLvl w:val="2"/>
        <w:rPr>
          <w:rFonts w:hAnsi="宋体"/>
          <w:b/>
          <w:bCs/>
          <w:color w:val="auto"/>
          <w:sz w:val="24"/>
          <w:szCs w:val="24"/>
          <w:highlight w:val="none"/>
        </w:rPr>
      </w:pPr>
      <w:r>
        <w:rPr>
          <w:rFonts w:hint="eastAsia" w:hAnsi="宋体"/>
          <w:b/>
          <w:bCs/>
          <w:color w:val="auto"/>
          <w:sz w:val="24"/>
          <w:szCs w:val="24"/>
          <w:highlight w:val="none"/>
        </w:rPr>
        <w:t>一、投诉相关主体基本情况：</w:t>
      </w:r>
    </w:p>
    <w:p w14:paraId="2438429F">
      <w:pPr>
        <w:pStyle w:val="18"/>
        <w:pageBreakBefore w:val="0"/>
        <w:kinsoku/>
        <w:wordWrap/>
        <w:topLinePunct w:val="0"/>
        <w:bidi w:val="0"/>
        <w:snapToGrid w:val="0"/>
        <w:spacing w:line="312"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DE4E9DA">
      <w:pPr>
        <w:pStyle w:val="18"/>
        <w:pageBreakBefore w:val="0"/>
        <w:kinsoku/>
        <w:wordWrap/>
        <w:topLinePunct w:val="0"/>
        <w:bidi w:val="0"/>
        <w:snapToGrid w:val="0"/>
        <w:spacing w:line="312"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27A214F">
      <w:pPr>
        <w:pStyle w:val="18"/>
        <w:pageBreakBefore w:val="0"/>
        <w:kinsoku/>
        <w:wordWrap/>
        <w:topLinePunct w:val="0"/>
        <w:bidi w:val="0"/>
        <w:snapToGrid w:val="0"/>
        <w:spacing w:line="312"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29C15FE4">
      <w:pPr>
        <w:pStyle w:val="18"/>
        <w:pageBreakBefore w:val="0"/>
        <w:kinsoku/>
        <w:wordWrap/>
        <w:topLinePunct w:val="0"/>
        <w:bidi w:val="0"/>
        <w:snapToGrid w:val="0"/>
        <w:spacing w:line="312" w:lineRule="auto"/>
        <w:ind w:firstLine="480" w:firstLineChars="20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C628C38">
      <w:pPr>
        <w:pStyle w:val="18"/>
        <w:pageBreakBefore w:val="0"/>
        <w:kinsoku/>
        <w:wordWrap/>
        <w:topLinePunct w:val="0"/>
        <w:bidi w:val="0"/>
        <w:snapToGrid w:val="0"/>
        <w:spacing w:line="312"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2127B2C8">
      <w:pPr>
        <w:pStyle w:val="18"/>
        <w:pageBreakBefore w:val="0"/>
        <w:kinsoku/>
        <w:wordWrap/>
        <w:topLinePunct w:val="0"/>
        <w:bidi w:val="0"/>
        <w:snapToGrid w:val="0"/>
        <w:spacing w:line="312" w:lineRule="auto"/>
        <w:ind w:firstLine="480" w:firstLineChars="200"/>
        <w:rPr>
          <w:rFonts w:hint="eastAsia" w:hAnsi="宋体"/>
          <w:bCs/>
          <w:color w:val="auto"/>
          <w:sz w:val="24"/>
          <w:szCs w:val="24"/>
          <w:highlight w:val="none"/>
          <w:u w:val="single"/>
          <w:lang w:eastAsia="zh-CN"/>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9E2D45F">
      <w:pPr>
        <w:pStyle w:val="18"/>
        <w:pageBreakBefore w:val="0"/>
        <w:kinsoku/>
        <w:wordWrap/>
        <w:topLinePunct w:val="0"/>
        <w:bidi w:val="0"/>
        <w:snapToGrid w:val="0"/>
        <w:spacing w:line="312"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ACB75F9">
      <w:pPr>
        <w:pStyle w:val="18"/>
        <w:pageBreakBefore w:val="0"/>
        <w:kinsoku/>
        <w:wordWrap/>
        <w:topLinePunct w:val="0"/>
        <w:bidi w:val="0"/>
        <w:snapToGrid w:val="0"/>
        <w:spacing w:line="312"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被投诉人1：</w:t>
      </w:r>
    </w:p>
    <w:p w14:paraId="42BB09F0">
      <w:pPr>
        <w:pStyle w:val="18"/>
        <w:pageBreakBefore w:val="0"/>
        <w:kinsoku/>
        <w:wordWrap/>
        <w:topLinePunct w:val="0"/>
        <w:bidi w:val="0"/>
        <w:snapToGrid w:val="0"/>
        <w:spacing w:line="312" w:lineRule="auto"/>
        <w:ind w:firstLine="480" w:firstLineChars="200"/>
        <w:rPr>
          <w:rFonts w:hint="eastAsia" w:hAnsi="宋体"/>
          <w:bCs/>
          <w:color w:val="auto"/>
          <w:sz w:val="24"/>
          <w:szCs w:val="24"/>
          <w:highlight w:val="none"/>
          <w:u w:val="single"/>
          <w:lang w:eastAsia="zh-CN"/>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085DAD9C">
      <w:pPr>
        <w:pStyle w:val="18"/>
        <w:pageBreakBefore w:val="0"/>
        <w:kinsoku/>
        <w:wordWrap/>
        <w:topLinePunct w:val="0"/>
        <w:bidi w:val="0"/>
        <w:snapToGrid w:val="0"/>
        <w:spacing w:line="312"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1382384">
      <w:pPr>
        <w:pStyle w:val="18"/>
        <w:pageBreakBefore w:val="0"/>
        <w:kinsoku/>
        <w:wordWrap/>
        <w:topLinePunct w:val="0"/>
        <w:bidi w:val="0"/>
        <w:snapToGrid w:val="0"/>
        <w:spacing w:line="312"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3E9D7942">
      <w:pPr>
        <w:pStyle w:val="18"/>
        <w:pageBreakBefore w:val="0"/>
        <w:kinsoku/>
        <w:wordWrap/>
        <w:topLinePunct w:val="0"/>
        <w:bidi w:val="0"/>
        <w:snapToGrid w:val="0"/>
        <w:spacing w:line="312"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被投诉人2：</w:t>
      </w:r>
    </w:p>
    <w:p w14:paraId="4CD93573">
      <w:pPr>
        <w:pStyle w:val="18"/>
        <w:pageBreakBefore w:val="0"/>
        <w:kinsoku/>
        <w:wordWrap/>
        <w:topLinePunct w:val="0"/>
        <w:bidi w:val="0"/>
        <w:snapToGrid w:val="0"/>
        <w:spacing w:line="312" w:lineRule="auto"/>
        <w:ind w:firstLine="480" w:firstLineChars="200"/>
        <w:rPr>
          <w:rFonts w:hint="eastAsia" w:hAnsi="宋体"/>
          <w:bCs/>
          <w:color w:val="auto"/>
          <w:sz w:val="24"/>
          <w:szCs w:val="24"/>
          <w:highlight w:val="none"/>
        </w:rPr>
      </w:pPr>
      <w:r>
        <w:rPr>
          <w:rFonts w:hAnsi="宋体"/>
          <w:bCs/>
          <w:color w:val="auto"/>
          <w:sz w:val="24"/>
          <w:szCs w:val="24"/>
          <w:highlight w:val="none"/>
        </w:rPr>
        <w:t>……</w:t>
      </w:r>
    </w:p>
    <w:p w14:paraId="20D6AF6F">
      <w:pPr>
        <w:pStyle w:val="18"/>
        <w:pageBreakBefore w:val="0"/>
        <w:kinsoku/>
        <w:wordWrap/>
        <w:topLinePunct w:val="0"/>
        <w:bidi w:val="0"/>
        <w:snapToGrid w:val="0"/>
        <w:spacing w:line="312"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11ABFBFF">
      <w:pPr>
        <w:pStyle w:val="18"/>
        <w:pageBreakBefore w:val="0"/>
        <w:kinsoku/>
        <w:wordWrap/>
        <w:topLinePunct w:val="0"/>
        <w:bidi w:val="0"/>
        <w:snapToGrid w:val="0"/>
        <w:spacing w:line="312"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E2F50BD">
      <w:pPr>
        <w:pStyle w:val="18"/>
        <w:pageBreakBefore w:val="0"/>
        <w:kinsoku/>
        <w:wordWrap/>
        <w:topLinePunct w:val="0"/>
        <w:bidi w:val="0"/>
        <w:snapToGrid w:val="0"/>
        <w:spacing w:line="312"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C4580EB">
      <w:pPr>
        <w:pStyle w:val="18"/>
        <w:pageBreakBefore w:val="0"/>
        <w:kinsoku/>
        <w:wordWrap/>
        <w:topLinePunct w:val="0"/>
        <w:bidi w:val="0"/>
        <w:snapToGrid w:val="0"/>
        <w:spacing w:line="312" w:lineRule="auto"/>
        <w:ind w:firstLine="482" w:firstLineChars="200"/>
        <w:outlineLvl w:val="2"/>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2488AF78">
      <w:pPr>
        <w:pStyle w:val="18"/>
        <w:pageBreakBefore w:val="0"/>
        <w:kinsoku/>
        <w:wordWrap/>
        <w:topLinePunct w:val="0"/>
        <w:bidi w:val="0"/>
        <w:spacing w:line="312"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0B5262D1">
      <w:pPr>
        <w:pStyle w:val="18"/>
        <w:pageBreakBefore w:val="0"/>
        <w:kinsoku/>
        <w:wordWrap/>
        <w:topLinePunct w:val="0"/>
        <w:bidi w:val="0"/>
        <w:spacing w:line="312"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2F27C558">
      <w:pPr>
        <w:pStyle w:val="18"/>
        <w:pageBreakBefore w:val="0"/>
        <w:kinsoku/>
        <w:wordWrap/>
        <w:topLinePunct w:val="0"/>
        <w:bidi w:val="0"/>
        <w:spacing w:line="312"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3872C61C">
      <w:pPr>
        <w:pStyle w:val="18"/>
        <w:pageBreakBefore w:val="0"/>
        <w:kinsoku/>
        <w:wordWrap/>
        <w:topLinePunct w:val="0"/>
        <w:bidi w:val="0"/>
        <w:spacing w:line="312"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024E9123">
      <w:pPr>
        <w:pStyle w:val="18"/>
        <w:pageBreakBefore w:val="0"/>
        <w:kinsoku/>
        <w:wordWrap/>
        <w:topLinePunct w:val="0"/>
        <w:bidi w:val="0"/>
        <w:spacing w:line="312"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招标文件公告：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554E410F">
      <w:pPr>
        <w:pStyle w:val="18"/>
        <w:pageBreakBefore w:val="0"/>
        <w:kinsoku/>
        <w:wordWrap/>
        <w:topLinePunct w:val="0"/>
        <w:bidi w:val="0"/>
        <w:spacing w:line="312"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5716D29F">
      <w:pPr>
        <w:pStyle w:val="18"/>
        <w:pageBreakBefore w:val="0"/>
        <w:kinsoku/>
        <w:wordWrap/>
        <w:topLinePunct w:val="0"/>
        <w:bidi w:val="0"/>
        <w:spacing w:line="312" w:lineRule="auto"/>
        <w:ind w:left="25" w:leftChars="12" w:firstLine="472" w:firstLineChars="196"/>
        <w:outlineLvl w:val="2"/>
        <w:rPr>
          <w:rFonts w:hint="eastAsia" w:hAnsi="宋体"/>
          <w:b/>
          <w:color w:val="auto"/>
          <w:sz w:val="24"/>
          <w:szCs w:val="24"/>
          <w:highlight w:val="none"/>
        </w:rPr>
      </w:pPr>
      <w:r>
        <w:rPr>
          <w:rFonts w:hint="eastAsia" w:hAnsi="宋体"/>
          <w:b/>
          <w:color w:val="auto"/>
          <w:sz w:val="24"/>
          <w:szCs w:val="24"/>
          <w:highlight w:val="none"/>
        </w:rPr>
        <w:t>三、质疑基本情况</w:t>
      </w:r>
    </w:p>
    <w:p w14:paraId="7C1AB9D1">
      <w:pPr>
        <w:pStyle w:val="18"/>
        <w:pageBreakBefore w:val="0"/>
        <w:kinsoku/>
        <w:wordWrap/>
        <w:topLinePunct w:val="0"/>
        <w:bidi w:val="0"/>
        <w:spacing w:line="312" w:lineRule="auto"/>
        <w:ind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3F5A1222">
      <w:pPr>
        <w:pStyle w:val="18"/>
        <w:pageBreakBefore w:val="0"/>
        <w:kinsoku/>
        <w:wordWrap/>
        <w:topLinePunct w:val="0"/>
        <w:bidi w:val="0"/>
        <w:spacing w:line="312"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3C26C277">
      <w:pPr>
        <w:pStyle w:val="18"/>
        <w:pageBreakBefore w:val="0"/>
        <w:kinsoku/>
        <w:wordWrap/>
        <w:topLinePunct w:val="0"/>
        <w:bidi w:val="0"/>
        <w:spacing w:line="312"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0CA6B249">
      <w:pPr>
        <w:pStyle w:val="18"/>
        <w:pageBreakBefore w:val="0"/>
        <w:kinsoku/>
        <w:wordWrap/>
        <w:topLinePunct w:val="0"/>
        <w:bidi w:val="0"/>
        <w:spacing w:line="312"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17E8824A">
      <w:pPr>
        <w:pStyle w:val="18"/>
        <w:pageBreakBefore w:val="0"/>
        <w:kinsoku/>
        <w:wordWrap/>
        <w:topLinePunct w:val="0"/>
        <w:bidi w:val="0"/>
        <w:spacing w:line="312" w:lineRule="auto"/>
        <w:ind w:left="25" w:leftChars="12" w:firstLine="472" w:firstLineChars="196"/>
        <w:outlineLvl w:val="2"/>
        <w:rPr>
          <w:rFonts w:hint="eastAsia" w:hAnsi="宋体"/>
          <w:b/>
          <w:color w:val="auto"/>
          <w:sz w:val="24"/>
          <w:szCs w:val="24"/>
          <w:highlight w:val="none"/>
        </w:rPr>
      </w:pPr>
      <w:r>
        <w:rPr>
          <w:rFonts w:hint="eastAsia" w:hAnsi="宋体"/>
          <w:b/>
          <w:color w:val="auto"/>
          <w:sz w:val="24"/>
          <w:szCs w:val="24"/>
          <w:highlight w:val="none"/>
        </w:rPr>
        <w:t>四、投诉事项具体内容</w:t>
      </w:r>
    </w:p>
    <w:p w14:paraId="5E31D407">
      <w:pPr>
        <w:pStyle w:val="18"/>
        <w:pageBreakBefore w:val="0"/>
        <w:kinsoku/>
        <w:wordWrap/>
        <w:topLinePunct w:val="0"/>
        <w:bidi w:val="0"/>
        <w:spacing w:line="312"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2D5488EA">
      <w:pPr>
        <w:pStyle w:val="18"/>
        <w:pageBreakBefore w:val="0"/>
        <w:kinsoku/>
        <w:wordWrap/>
        <w:topLinePunct w:val="0"/>
        <w:bidi w:val="0"/>
        <w:spacing w:line="312"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288AA9C6">
      <w:pPr>
        <w:pStyle w:val="18"/>
        <w:pageBreakBefore w:val="0"/>
        <w:kinsoku/>
        <w:wordWrap/>
        <w:topLinePunct w:val="0"/>
        <w:bidi w:val="0"/>
        <w:spacing w:line="312"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50E07661">
      <w:pPr>
        <w:pStyle w:val="18"/>
        <w:pageBreakBefore w:val="0"/>
        <w:kinsoku/>
        <w:wordWrap/>
        <w:topLinePunct w:val="0"/>
        <w:bidi w:val="0"/>
        <w:spacing w:line="312"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0F843F88">
      <w:pPr>
        <w:pStyle w:val="18"/>
        <w:pageBreakBefore w:val="0"/>
        <w:kinsoku/>
        <w:wordWrap/>
        <w:topLinePunct w:val="0"/>
        <w:bidi w:val="0"/>
        <w:spacing w:line="312" w:lineRule="auto"/>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244B3EF5">
      <w:pPr>
        <w:pStyle w:val="18"/>
        <w:pageBreakBefore w:val="0"/>
        <w:kinsoku/>
        <w:wordWrap/>
        <w:topLinePunct w:val="0"/>
        <w:bidi w:val="0"/>
        <w:spacing w:line="312"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7B1E2059">
      <w:pPr>
        <w:pStyle w:val="18"/>
        <w:pageBreakBefore w:val="0"/>
        <w:kinsoku/>
        <w:wordWrap/>
        <w:topLinePunct w:val="0"/>
        <w:bidi w:val="0"/>
        <w:spacing w:line="312"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78872CA8">
      <w:pPr>
        <w:pStyle w:val="18"/>
        <w:pageBreakBefore w:val="0"/>
        <w:kinsoku/>
        <w:wordWrap/>
        <w:topLinePunct w:val="0"/>
        <w:bidi w:val="0"/>
        <w:spacing w:line="312" w:lineRule="auto"/>
        <w:ind w:left="25" w:leftChars="12" w:firstLine="472" w:firstLineChars="196"/>
        <w:outlineLvl w:val="2"/>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45CC36EF">
      <w:pPr>
        <w:pStyle w:val="18"/>
        <w:pageBreakBefore w:val="0"/>
        <w:kinsoku/>
        <w:wordWrap/>
        <w:topLinePunct w:val="0"/>
        <w:bidi w:val="0"/>
        <w:spacing w:line="312"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4AD3D859">
      <w:pPr>
        <w:pStyle w:val="18"/>
        <w:pageBreakBefore w:val="0"/>
        <w:kinsoku/>
        <w:wordWrap/>
        <w:topLinePunct w:val="0"/>
        <w:bidi w:val="0"/>
        <w:spacing w:line="312" w:lineRule="auto"/>
        <w:ind w:left="25" w:leftChars="12" w:firstLine="352" w:firstLineChars="147"/>
        <w:rPr>
          <w:rFonts w:hint="eastAsia" w:hAnsi="宋体"/>
          <w:color w:val="auto"/>
          <w:sz w:val="24"/>
          <w:szCs w:val="24"/>
          <w:highlight w:val="none"/>
        </w:rPr>
      </w:pPr>
    </w:p>
    <w:p w14:paraId="0BCE7795">
      <w:pPr>
        <w:pStyle w:val="18"/>
        <w:pageBreakBefore w:val="0"/>
        <w:kinsoku/>
        <w:wordWrap/>
        <w:topLinePunct w:val="0"/>
        <w:bidi w:val="0"/>
        <w:spacing w:line="312"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29E94A13">
      <w:pPr>
        <w:pStyle w:val="18"/>
        <w:pageBreakBefore w:val="0"/>
        <w:kinsoku/>
        <w:wordWrap/>
        <w:topLinePunct w:val="0"/>
        <w:bidi w:val="0"/>
        <w:spacing w:line="312" w:lineRule="auto"/>
        <w:ind w:left="25" w:leftChars="12" w:firstLine="352" w:firstLineChars="147"/>
        <w:rPr>
          <w:rFonts w:hint="eastAsia" w:hAnsi="宋体"/>
          <w:color w:val="auto"/>
          <w:sz w:val="24"/>
          <w:szCs w:val="24"/>
          <w:highlight w:val="none"/>
        </w:rPr>
      </w:pPr>
    </w:p>
    <w:p w14:paraId="050BA502">
      <w:pPr>
        <w:pStyle w:val="18"/>
        <w:pageBreakBefore w:val="0"/>
        <w:kinsoku/>
        <w:wordWrap/>
        <w:topLinePunct w:val="0"/>
        <w:bidi w:val="0"/>
        <w:spacing w:line="312"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21968F25">
      <w:pPr>
        <w:pStyle w:val="18"/>
        <w:pageBreakBefore w:val="0"/>
        <w:kinsoku/>
        <w:wordWrap/>
        <w:topLinePunct w:val="0"/>
        <w:bidi w:val="0"/>
        <w:spacing w:line="312"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 xml:space="preserve">                                                                                 </w:t>
      </w:r>
    </w:p>
    <w:p w14:paraId="673B2E6D">
      <w:pPr>
        <w:pStyle w:val="18"/>
        <w:pageBreakBefore w:val="0"/>
        <w:kinsoku/>
        <w:wordWrap/>
        <w:topLinePunct w:val="0"/>
        <w:bidi w:val="0"/>
        <w:snapToGrid w:val="0"/>
        <w:spacing w:line="312" w:lineRule="auto"/>
        <w:rPr>
          <w:rFonts w:hint="eastAsia" w:hAnsi="宋体"/>
          <w:b/>
          <w:color w:val="auto"/>
          <w:sz w:val="24"/>
          <w:szCs w:val="24"/>
          <w:highlight w:val="none"/>
        </w:rPr>
      </w:pPr>
      <w:r>
        <w:rPr>
          <w:rFonts w:hint="eastAsia" w:hAnsi="宋体"/>
          <w:b/>
          <w:color w:val="auto"/>
          <w:sz w:val="24"/>
          <w:szCs w:val="24"/>
          <w:highlight w:val="none"/>
        </w:rPr>
        <w:t>说明：</w:t>
      </w:r>
    </w:p>
    <w:p w14:paraId="37592CF5">
      <w:pPr>
        <w:pStyle w:val="18"/>
        <w:pageBreakBefore w:val="0"/>
        <w:kinsoku/>
        <w:wordWrap/>
        <w:topLinePunct w:val="0"/>
        <w:bidi w:val="0"/>
        <w:spacing w:line="312"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6E40D8C4">
      <w:pPr>
        <w:pStyle w:val="18"/>
        <w:pageBreakBefore w:val="0"/>
        <w:kinsoku/>
        <w:wordWrap/>
        <w:topLinePunct w:val="0"/>
        <w:bidi w:val="0"/>
        <w:spacing w:line="312"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D6B7D33">
      <w:pPr>
        <w:pStyle w:val="18"/>
        <w:pageBreakBefore w:val="0"/>
        <w:kinsoku/>
        <w:wordWrap/>
        <w:topLinePunct w:val="0"/>
        <w:bidi w:val="0"/>
        <w:spacing w:line="312"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4B38E2A0">
      <w:pPr>
        <w:pStyle w:val="18"/>
        <w:pageBreakBefore w:val="0"/>
        <w:kinsoku/>
        <w:wordWrap/>
        <w:topLinePunct w:val="0"/>
        <w:bidi w:val="0"/>
        <w:spacing w:line="312"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265C75D7">
      <w:pPr>
        <w:pStyle w:val="18"/>
        <w:pageBreakBefore w:val="0"/>
        <w:kinsoku/>
        <w:wordWrap/>
        <w:topLinePunct w:val="0"/>
        <w:bidi w:val="0"/>
        <w:spacing w:line="312"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791B4986">
      <w:pPr>
        <w:pStyle w:val="18"/>
        <w:pageBreakBefore w:val="0"/>
        <w:kinsoku/>
        <w:wordWrap/>
        <w:topLinePunct w:val="0"/>
        <w:bidi w:val="0"/>
        <w:spacing w:line="312"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3658D890">
      <w:pPr>
        <w:widowControl w:val="0"/>
        <w:ind w:firstLine="680"/>
        <w:jc w:val="both"/>
        <w:outlineLvl w:val="9"/>
        <w:rPr>
          <w:rFonts w:hint="eastAsia" w:ascii="宋体" w:hAnsi="宋体" w:eastAsia="宋体" w:cs="Times New Roman"/>
          <w:b/>
          <w:color w:val="auto"/>
          <w:kern w:val="2"/>
          <w:sz w:val="24"/>
          <w:szCs w:val="24"/>
          <w:highlight w:val="none"/>
          <w:lang w:val="en-US" w:eastAsia="zh-CN" w:bidi="ar-SA"/>
        </w:rPr>
      </w:pPr>
    </w:p>
    <w:p w14:paraId="43A94B95">
      <w:pPr>
        <w:rPr>
          <w:rFonts w:hint="eastAsia" w:hAnsi="宋体"/>
          <w:b/>
          <w:color w:val="auto"/>
          <w:sz w:val="24"/>
          <w:szCs w:val="24"/>
          <w:highlight w:val="none"/>
        </w:rPr>
      </w:pPr>
    </w:p>
    <w:p w14:paraId="4ADCAA6F">
      <w:pPr>
        <w:pStyle w:val="8"/>
        <w:rPr>
          <w:rFonts w:hint="eastAsia" w:hAnsi="宋体"/>
          <w:b/>
          <w:color w:val="auto"/>
          <w:sz w:val="24"/>
          <w:szCs w:val="24"/>
          <w:highlight w:val="none"/>
        </w:rPr>
      </w:pPr>
    </w:p>
    <w:p w14:paraId="1BC2F8BB">
      <w:pPr>
        <w:pStyle w:val="8"/>
        <w:rPr>
          <w:rFonts w:hint="eastAsia" w:hAnsi="宋体"/>
          <w:b/>
          <w:color w:val="auto"/>
          <w:sz w:val="24"/>
          <w:szCs w:val="24"/>
          <w:highlight w:val="none"/>
        </w:rPr>
      </w:pPr>
    </w:p>
    <w:p w14:paraId="53B7C200">
      <w:pPr>
        <w:pStyle w:val="8"/>
        <w:rPr>
          <w:rFonts w:hint="eastAsia" w:hAnsi="宋体"/>
          <w:b/>
          <w:color w:val="auto"/>
          <w:sz w:val="24"/>
          <w:szCs w:val="24"/>
          <w:highlight w:val="none"/>
        </w:rPr>
      </w:pPr>
    </w:p>
    <w:p w14:paraId="4D1F080E">
      <w:pPr>
        <w:pStyle w:val="8"/>
        <w:rPr>
          <w:rFonts w:hint="eastAsia" w:hAnsi="宋体"/>
          <w:b/>
          <w:color w:val="auto"/>
          <w:sz w:val="24"/>
          <w:szCs w:val="24"/>
          <w:highlight w:val="none"/>
        </w:rPr>
      </w:pPr>
    </w:p>
    <w:p w14:paraId="24398A5A">
      <w:pPr>
        <w:pStyle w:val="8"/>
        <w:rPr>
          <w:rFonts w:hint="eastAsia" w:hAnsi="宋体"/>
          <w:b/>
          <w:color w:val="auto"/>
          <w:sz w:val="24"/>
          <w:szCs w:val="24"/>
          <w:highlight w:val="none"/>
        </w:rPr>
      </w:pPr>
    </w:p>
    <w:p w14:paraId="2AB67A4E">
      <w:pPr>
        <w:pStyle w:val="8"/>
        <w:rPr>
          <w:rFonts w:hint="eastAsia" w:hAnsi="宋体"/>
          <w:b/>
          <w:color w:val="auto"/>
          <w:sz w:val="24"/>
          <w:szCs w:val="24"/>
          <w:highlight w:val="none"/>
        </w:rPr>
      </w:pPr>
    </w:p>
    <w:p w14:paraId="549BEE21">
      <w:pPr>
        <w:pStyle w:val="8"/>
        <w:rPr>
          <w:rFonts w:hint="eastAsia" w:hAnsi="宋体"/>
          <w:b/>
          <w:color w:val="auto"/>
          <w:sz w:val="24"/>
          <w:szCs w:val="24"/>
          <w:highlight w:val="none"/>
        </w:rPr>
      </w:pPr>
    </w:p>
    <w:p w14:paraId="2436921B">
      <w:pPr>
        <w:pStyle w:val="4"/>
        <w:pageBreakBefore w:val="0"/>
        <w:kinsoku/>
        <w:wordWrap/>
        <w:topLinePunct w:val="0"/>
        <w:bidi w:val="0"/>
        <w:spacing w:line="312" w:lineRule="auto"/>
        <w:jc w:val="center"/>
        <w:outlineLvl w:val="0"/>
        <w:rPr>
          <w:rFonts w:hint="eastAsia"/>
          <w:color w:val="auto"/>
          <w:highlight w:val="none"/>
        </w:rPr>
      </w:pPr>
      <w:bookmarkStart w:id="203" w:name="_Toc32227"/>
      <w:bookmarkStart w:id="204" w:name="_Toc10382"/>
      <w:r>
        <w:rPr>
          <w:rFonts w:hint="eastAsia"/>
          <w:color w:val="auto"/>
          <w:highlight w:val="none"/>
        </w:rPr>
        <w:t xml:space="preserve">第六章 </w:t>
      </w:r>
      <w:r>
        <w:rPr>
          <w:rFonts w:hint="eastAsia"/>
          <w:color w:val="auto"/>
          <w:highlight w:val="none"/>
          <w:lang w:val="en-US" w:eastAsia="zh-CN"/>
        </w:rPr>
        <w:t>拟签订的</w:t>
      </w:r>
      <w:r>
        <w:rPr>
          <w:rFonts w:hint="eastAsia"/>
          <w:color w:val="auto"/>
          <w:highlight w:val="none"/>
        </w:rPr>
        <w:t>合同文本</w:t>
      </w:r>
      <w:bookmarkEnd w:id="203"/>
      <w:bookmarkEnd w:id="204"/>
    </w:p>
    <w:p w14:paraId="15BFF737">
      <w:pPr>
        <w:pageBreakBefore w:val="0"/>
        <w:kinsoku/>
        <w:wordWrap/>
        <w:topLinePunct w:val="0"/>
        <w:bidi w:val="0"/>
        <w:spacing w:line="312" w:lineRule="auto"/>
        <w:jc w:val="center"/>
        <w:rPr>
          <w:b/>
          <w:bCs/>
          <w:color w:val="auto"/>
          <w:sz w:val="48"/>
          <w:szCs w:val="48"/>
        </w:rPr>
      </w:pPr>
    </w:p>
    <w:p w14:paraId="13E9D238">
      <w:pPr>
        <w:pageBreakBefore w:val="0"/>
        <w:kinsoku/>
        <w:wordWrap/>
        <w:topLinePunct w:val="0"/>
        <w:bidi w:val="0"/>
        <w:spacing w:line="312" w:lineRule="auto"/>
        <w:jc w:val="center"/>
        <w:rPr>
          <w:rFonts w:hint="eastAsia" w:ascii="宋体" w:cs="宋体"/>
          <w:b/>
          <w:color w:val="auto"/>
          <w:kern w:val="0"/>
          <w:sz w:val="72"/>
          <w:szCs w:val="52"/>
        </w:rPr>
      </w:pPr>
    </w:p>
    <w:p w14:paraId="5F2A204E">
      <w:pPr>
        <w:pStyle w:val="13"/>
        <w:pageBreakBefore w:val="0"/>
        <w:kinsoku/>
        <w:wordWrap/>
        <w:topLinePunct w:val="0"/>
        <w:bidi w:val="0"/>
        <w:spacing w:line="312" w:lineRule="auto"/>
        <w:rPr>
          <w:rFonts w:hint="eastAsia"/>
          <w:color w:val="auto"/>
        </w:rPr>
      </w:pPr>
    </w:p>
    <w:p w14:paraId="63C1FFEC">
      <w:pPr>
        <w:pageBreakBefore w:val="0"/>
        <w:kinsoku/>
        <w:wordWrap/>
        <w:topLinePunct w:val="0"/>
        <w:bidi w:val="0"/>
        <w:spacing w:line="312" w:lineRule="auto"/>
        <w:jc w:val="center"/>
        <w:outlineLvl w:val="0"/>
        <w:rPr>
          <w:b/>
          <w:color w:val="auto"/>
          <w:sz w:val="32"/>
        </w:rPr>
      </w:pPr>
      <w:bookmarkStart w:id="205" w:name="_Toc2680"/>
      <w:r>
        <w:rPr>
          <w:rFonts w:hint="eastAsia" w:ascii="宋体" w:cs="宋体"/>
          <w:b/>
          <w:color w:val="auto"/>
          <w:kern w:val="0"/>
          <w:sz w:val="72"/>
          <w:szCs w:val="52"/>
        </w:rPr>
        <w:t>政府采购合同</w:t>
      </w:r>
      <w:bookmarkEnd w:id="205"/>
    </w:p>
    <w:p w14:paraId="52613EC7">
      <w:pPr>
        <w:pageBreakBefore w:val="0"/>
        <w:kinsoku/>
        <w:wordWrap/>
        <w:topLinePunct w:val="0"/>
        <w:bidi w:val="0"/>
        <w:spacing w:line="312" w:lineRule="auto"/>
        <w:rPr>
          <w:color w:val="auto"/>
        </w:rPr>
      </w:pPr>
    </w:p>
    <w:p w14:paraId="76167B30">
      <w:pPr>
        <w:pageBreakBefore w:val="0"/>
        <w:kinsoku/>
        <w:wordWrap/>
        <w:topLinePunct w:val="0"/>
        <w:bidi w:val="0"/>
        <w:spacing w:line="312" w:lineRule="auto"/>
        <w:rPr>
          <w:rFonts w:ascii="宋体" w:cs="宋体"/>
          <w:color w:val="auto"/>
          <w:kern w:val="0"/>
          <w:sz w:val="36"/>
          <w:szCs w:val="36"/>
        </w:rPr>
      </w:pPr>
    </w:p>
    <w:p w14:paraId="28CB3FFB">
      <w:pPr>
        <w:pageBreakBefore w:val="0"/>
        <w:kinsoku/>
        <w:wordWrap/>
        <w:topLinePunct w:val="0"/>
        <w:bidi w:val="0"/>
        <w:spacing w:line="312" w:lineRule="auto"/>
        <w:rPr>
          <w:rFonts w:ascii="宋体" w:cs="宋体"/>
          <w:color w:val="auto"/>
          <w:kern w:val="0"/>
          <w:sz w:val="36"/>
          <w:szCs w:val="36"/>
        </w:rPr>
      </w:pPr>
    </w:p>
    <w:p w14:paraId="5E50E78A">
      <w:pPr>
        <w:pageBreakBefore w:val="0"/>
        <w:kinsoku/>
        <w:wordWrap/>
        <w:topLinePunct w:val="0"/>
        <w:bidi w:val="0"/>
        <w:spacing w:line="312" w:lineRule="auto"/>
        <w:rPr>
          <w:rFonts w:ascii="宋体" w:cs="宋体"/>
          <w:color w:val="auto"/>
          <w:kern w:val="0"/>
          <w:sz w:val="32"/>
          <w:szCs w:val="32"/>
        </w:rPr>
      </w:pPr>
      <w:r>
        <w:rPr>
          <w:rFonts w:hint="eastAsia" w:ascii="宋体" w:cs="宋体"/>
          <w:color w:val="auto"/>
          <w:kern w:val="0"/>
          <w:sz w:val="32"/>
          <w:szCs w:val="32"/>
        </w:rPr>
        <w:t>项目名称：</w:t>
      </w:r>
    </w:p>
    <w:p w14:paraId="293AD654">
      <w:pPr>
        <w:pageBreakBefore w:val="0"/>
        <w:kinsoku/>
        <w:wordWrap/>
        <w:topLinePunct w:val="0"/>
        <w:bidi w:val="0"/>
        <w:spacing w:line="312" w:lineRule="auto"/>
        <w:rPr>
          <w:rFonts w:ascii="宋体" w:cs="宋体"/>
          <w:color w:val="auto"/>
          <w:kern w:val="0"/>
          <w:sz w:val="32"/>
          <w:szCs w:val="32"/>
        </w:rPr>
      </w:pPr>
      <w:r>
        <w:rPr>
          <w:rFonts w:hint="eastAsia" w:ascii="宋体" w:cs="宋体"/>
          <w:color w:val="auto"/>
          <w:kern w:val="0"/>
          <w:sz w:val="32"/>
          <w:szCs w:val="32"/>
        </w:rPr>
        <w:t>项目编号：</w:t>
      </w:r>
    </w:p>
    <w:p w14:paraId="512BC98A">
      <w:pPr>
        <w:pageBreakBefore w:val="0"/>
        <w:kinsoku/>
        <w:wordWrap/>
        <w:topLinePunct w:val="0"/>
        <w:bidi w:val="0"/>
        <w:spacing w:line="312" w:lineRule="auto"/>
        <w:rPr>
          <w:color w:val="auto"/>
          <w:sz w:val="32"/>
          <w:szCs w:val="32"/>
        </w:rPr>
      </w:pPr>
    </w:p>
    <w:p w14:paraId="74756DDB">
      <w:pPr>
        <w:pageBreakBefore w:val="0"/>
        <w:kinsoku/>
        <w:wordWrap/>
        <w:topLinePunct w:val="0"/>
        <w:bidi w:val="0"/>
        <w:spacing w:line="312" w:lineRule="auto"/>
        <w:rPr>
          <w:color w:val="auto"/>
          <w:sz w:val="32"/>
          <w:szCs w:val="32"/>
        </w:rPr>
      </w:pPr>
    </w:p>
    <w:p w14:paraId="265CB5C6">
      <w:pPr>
        <w:pageBreakBefore w:val="0"/>
        <w:kinsoku/>
        <w:wordWrap/>
        <w:topLinePunct w:val="0"/>
        <w:bidi w:val="0"/>
        <w:spacing w:line="312" w:lineRule="auto"/>
        <w:rPr>
          <w:color w:val="auto"/>
          <w:sz w:val="32"/>
          <w:szCs w:val="32"/>
        </w:rPr>
      </w:pPr>
    </w:p>
    <w:p w14:paraId="64E80377">
      <w:pPr>
        <w:pageBreakBefore w:val="0"/>
        <w:kinsoku/>
        <w:wordWrap/>
        <w:topLinePunct w:val="0"/>
        <w:bidi w:val="0"/>
        <w:spacing w:line="312" w:lineRule="auto"/>
        <w:rPr>
          <w:color w:val="auto"/>
          <w:sz w:val="32"/>
          <w:szCs w:val="32"/>
        </w:rPr>
      </w:pPr>
    </w:p>
    <w:p w14:paraId="0A09FB33">
      <w:pPr>
        <w:pageBreakBefore w:val="0"/>
        <w:kinsoku/>
        <w:wordWrap/>
        <w:topLinePunct w:val="0"/>
        <w:bidi w:val="0"/>
        <w:spacing w:line="312" w:lineRule="auto"/>
        <w:rPr>
          <w:color w:val="auto"/>
          <w:sz w:val="32"/>
          <w:szCs w:val="32"/>
        </w:rPr>
      </w:pPr>
    </w:p>
    <w:p w14:paraId="29F639D0">
      <w:pPr>
        <w:pageBreakBefore w:val="0"/>
        <w:kinsoku/>
        <w:wordWrap/>
        <w:topLinePunct w:val="0"/>
        <w:autoSpaceDE w:val="0"/>
        <w:autoSpaceDN w:val="0"/>
        <w:bidi w:val="0"/>
        <w:adjustRightInd w:val="0"/>
        <w:spacing w:line="312" w:lineRule="auto"/>
        <w:jc w:val="left"/>
        <w:rPr>
          <w:rFonts w:ascii="宋体" w:cs="宋体"/>
          <w:color w:val="auto"/>
          <w:kern w:val="0"/>
          <w:sz w:val="32"/>
          <w:szCs w:val="32"/>
        </w:rPr>
      </w:pPr>
      <w:r>
        <w:rPr>
          <w:rFonts w:hint="eastAsia" w:ascii="宋体" w:cs="宋体"/>
          <w:color w:val="auto"/>
          <w:kern w:val="0"/>
          <w:sz w:val="32"/>
          <w:szCs w:val="32"/>
        </w:rPr>
        <w:t>甲方：</w:t>
      </w:r>
    </w:p>
    <w:p w14:paraId="203CD7FC">
      <w:pPr>
        <w:pageBreakBefore w:val="0"/>
        <w:kinsoku/>
        <w:wordWrap/>
        <w:topLinePunct w:val="0"/>
        <w:bidi w:val="0"/>
        <w:spacing w:line="312" w:lineRule="auto"/>
        <w:rPr>
          <w:rFonts w:ascii="宋体" w:cs="宋体"/>
          <w:color w:val="auto"/>
          <w:kern w:val="0"/>
          <w:sz w:val="32"/>
          <w:szCs w:val="32"/>
        </w:rPr>
      </w:pPr>
      <w:r>
        <w:rPr>
          <w:rFonts w:hint="eastAsia" w:ascii="宋体" w:cs="宋体"/>
          <w:color w:val="auto"/>
          <w:kern w:val="0"/>
          <w:sz w:val="32"/>
          <w:szCs w:val="32"/>
        </w:rPr>
        <w:t>乙方：</w:t>
      </w:r>
    </w:p>
    <w:p w14:paraId="3BE03D35">
      <w:pPr>
        <w:pageBreakBefore w:val="0"/>
        <w:widowControl/>
        <w:kinsoku/>
        <w:wordWrap/>
        <w:topLinePunct w:val="0"/>
        <w:bidi w:val="0"/>
        <w:spacing w:line="312" w:lineRule="auto"/>
        <w:jc w:val="center"/>
        <w:rPr>
          <w:rFonts w:hint="eastAsia" w:asciiTheme="majorEastAsia" w:hAnsiTheme="majorEastAsia" w:eastAsiaTheme="majorEastAsia" w:cstheme="majorEastAsia"/>
          <w:b/>
          <w:color w:val="auto"/>
          <w:sz w:val="40"/>
        </w:rPr>
      </w:pPr>
      <w:r>
        <w:rPr>
          <w:rFonts w:ascii="宋体" w:cs="宋体"/>
          <w:color w:val="auto"/>
          <w:kern w:val="0"/>
          <w:sz w:val="36"/>
          <w:szCs w:val="36"/>
        </w:rPr>
        <w:br w:type="page"/>
      </w:r>
      <w:r>
        <w:rPr>
          <w:rFonts w:hint="eastAsia" w:asciiTheme="majorEastAsia" w:hAnsiTheme="majorEastAsia" w:eastAsiaTheme="majorEastAsia" w:cstheme="majorEastAsia"/>
          <w:b/>
          <w:color w:val="auto"/>
          <w:sz w:val="40"/>
        </w:rPr>
        <w:t>政府采购合同书</w:t>
      </w:r>
    </w:p>
    <w:p w14:paraId="33BE2B15">
      <w:pPr>
        <w:pageBreakBefore w:val="0"/>
        <w:kinsoku/>
        <w:wordWrap/>
        <w:topLinePunct w:val="0"/>
        <w:bidi w:val="0"/>
        <w:spacing w:line="312" w:lineRule="auto"/>
        <w:ind w:right="800"/>
        <w:rPr>
          <w:rFonts w:hint="eastAsia" w:ascii="宋体" w:hAnsi="宋体" w:cs="宋体"/>
          <w:color w:val="auto"/>
          <w:szCs w:val="21"/>
          <w:highlight w:val="none"/>
        </w:rPr>
      </w:pPr>
    </w:p>
    <w:p w14:paraId="59659E2D">
      <w:pPr>
        <w:pageBreakBefore w:val="0"/>
        <w:kinsoku/>
        <w:wordWrap/>
        <w:topLinePunct w:val="0"/>
        <w:bidi w:val="0"/>
        <w:spacing w:line="312" w:lineRule="auto"/>
        <w:ind w:right="800"/>
        <w:rPr>
          <w:rFonts w:hint="eastAsia" w:asciiTheme="minorEastAsia" w:hAnsiTheme="minorEastAsia" w:eastAsiaTheme="minorEastAsia" w:cstheme="minorEastAsia"/>
          <w:bCs/>
          <w:color w:val="auto"/>
          <w:szCs w:val="21"/>
          <w:highlight w:val="none"/>
          <w:u w:val="single"/>
        </w:rPr>
      </w:pPr>
      <w:r>
        <w:rPr>
          <w:rFonts w:hint="eastAsia" w:asciiTheme="minorEastAsia" w:hAnsiTheme="minorEastAsia" w:eastAsiaTheme="minorEastAsia" w:cstheme="minorEastAsia"/>
          <w:color w:val="auto"/>
          <w:szCs w:val="21"/>
          <w:highlight w:val="none"/>
        </w:rPr>
        <w:t>采购计划号：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bCs/>
          <w:color w:val="auto"/>
          <w:szCs w:val="21"/>
          <w:highlight w:val="none"/>
        </w:rPr>
        <w:t>合同编号：</w:t>
      </w:r>
      <w:r>
        <w:rPr>
          <w:rFonts w:hint="eastAsia" w:asciiTheme="minorEastAsia" w:hAnsiTheme="minorEastAsia" w:eastAsiaTheme="minorEastAsia" w:cstheme="minorEastAsia"/>
          <w:color w:val="auto"/>
          <w:szCs w:val="21"/>
          <w:highlight w:val="none"/>
          <w:u w:val="single"/>
        </w:rPr>
        <w:t xml:space="preserve">                  </w:t>
      </w:r>
    </w:p>
    <w:p w14:paraId="5829165D">
      <w:pPr>
        <w:pageBreakBefore w:val="0"/>
        <w:kinsoku/>
        <w:wordWrap/>
        <w:topLinePunct w:val="0"/>
        <w:bidi w:val="0"/>
        <w:spacing w:line="312"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采购人（甲方）：</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供应商（乙方）：</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252DB87E">
      <w:pPr>
        <w:pageBreakBefore w:val="0"/>
        <w:kinsoku/>
        <w:wordWrap/>
        <w:topLinePunct w:val="0"/>
        <w:bidi w:val="0"/>
        <w:spacing w:line="312"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项目名称：</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项目编号：</w:t>
      </w:r>
      <w:r>
        <w:rPr>
          <w:rFonts w:hint="eastAsia" w:asciiTheme="minorEastAsia" w:hAnsiTheme="minorEastAsia" w:eastAsiaTheme="minorEastAsia" w:cstheme="minorEastAsia"/>
          <w:color w:val="auto"/>
          <w:szCs w:val="21"/>
          <w:highlight w:val="none"/>
          <w:u w:val="single"/>
        </w:rPr>
        <w:t xml:space="preserve">                          </w:t>
      </w:r>
    </w:p>
    <w:p w14:paraId="464D8FB5">
      <w:pPr>
        <w:pageBreakBefore w:val="0"/>
        <w:kinsoku/>
        <w:wordWrap/>
        <w:topLinePunct w:val="0"/>
        <w:bidi w:val="0"/>
        <w:spacing w:line="312"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签订地点：</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签订时间：</w:t>
      </w:r>
      <w:r>
        <w:rPr>
          <w:rFonts w:hint="eastAsia" w:asciiTheme="minorEastAsia" w:hAnsiTheme="minorEastAsia" w:eastAsiaTheme="minorEastAsia" w:cstheme="minorEastAsia"/>
          <w:color w:val="auto"/>
          <w:szCs w:val="21"/>
          <w:highlight w:val="none"/>
          <w:u w:val="single"/>
        </w:rPr>
        <w:t xml:space="preserve">                        </w:t>
      </w:r>
    </w:p>
    <w:p w14:paraId="6A572E39">
      <w:pPr>
        <w:pageBreakBefore w:val="0"/>
        <w:kinsoku/>
        <w:wordWrap/>
        <w:topLinePunct w:val="0"/>
        <w:bidi w:val="0"/>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本合同为中小企业预留合同：</w:t>
      </w:r>
      <w:r>
        <w:rPr>
          <w:rFonts w:hint="eastAsia" w:asciiTheme="minorEastAsia" w:hAnsiTheme="minorEastAsia" w:eastAsiaTheme="minorEastAsia" w:cstheme="minorEastAsia"/>
          <w:color w:val="auto"/>
          <w:szCs w:val="21"/>
          <w:highlight w:val="none"/>
          <w:u w:val="single"/>
        </w:rPr>
        <w:t>（是/否）</w:t>
      </w:r>
      <w:r>
        <w:rPr>
          <w:rFonts w:hint="eastAsia" w:asciiTheme="minorEastAsia" w:hAnsiTheme="minorEastAsia" w:eastAsiaTheme="minorEastAsia" w:cstheme="minorEastAsia"/>
          <w:color w:val="auto"/>
          <w:szCs w:val="21"/>
          <w:highlight w:val="none"/>
        </w:rPr>
        <w:t>。</w:t>
      </w:r>
    </w:p>
    <w:p w14:paraId="5111F0C1">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根据《中华人民共和国政府采购法》、《中华人民共和国民法典》等法律、法规规定，按照磋商文件规定条款和乙方响应文件及其承诺，甲乙双方签订本合同。</w:t>
      </w:r>
    </w:p>
    <w:p w14:paraId="6A279786">
      <w:pPr>
        <w:spacing w:line="360" w:lineRule="auto"/>
        <w:ind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第一条　合同标的</w:t>
      </w:r>
    </w:p>
    <w:p w14:paraId="62870A2A">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1、项目一览表</w:t>
      </w:r>
    </w:p>
    <w:tbl>
      <w:tblPr>
        <w:tblStyle w:val="29"/>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2517B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3ACFFB50">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48AFD6A9">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名称</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3DD204C0">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服务内容</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52D9586">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数  量</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09A7196">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07E843A8">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单  价</w:t>
            </w:r>
          </w:p>
          <w:p w14:paraId="3C3BDE23">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（元）</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5DFD46C4">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  价</w:t>
            </w:r>
          </w:p>
          <w:p w14:paraId="7272C906">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（元）</w:t>
            </w:r>
          </w:p>
        </w:tc>
      </w:tr>
      <w:tr w14:paraId="7B45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14:paraId="70A929FC">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详见报价表</w:t>
            </w:r>
          </w:p>
        </w:tc>
      </w:tr>
      <w:tr w14:paraId="0922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14:paraId="7C788340">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人民币合计金额（大写）：</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元整（¥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p>
        </w:tc>
      </w:tr>
    </w:tbl>
    <w:p w14:paraId="114F3C02">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合同合计金额包括但不限于满足本次竞标全部采购需求所应提供的服务，以及伴随的货物和工程（如有）的价格；包含竞标服务、货物、工程的成本、运输（含保险）、安装（如有）、调试、检验、技术服务、培训、税费等所有费用。如磋商文件对其另有规定的，从其规定。</w:t>
      </w:r>
    </w:p>
    <w:p w14:paraId="6E7EB0D5">
      <w:pPr>
        <w:spacing w:line="360" w:lineRule="auto"/>
        <w:ind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第二条　质量保证</w:t>
      </w:r>
    </w:p>
    <w:p w14:paraId="12344E7B">
      <w:pPr>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14:paraId="239AB7E1">
      <w:pPr>
        <w:spacing w:line="360" w:lineRule="auto"/>
        <w:ind w:firstLine="422"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第三条　权利保证</w:t>
      </w:r>
    </w:p>
    <w:p w14:paraId="649EBE9E">
      <w:pPr>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1、乙方应保证所提供服务在使用时不会侵犯任何第三方的专利权、商标权、工业设计权等知识产权及其他合法权利，且所有权、处分权等没有受到任何限制。</w:t>
      </w:r>
    </w:p>
    <w:p w14:paraId="3843AEB1">
      <w:pPr>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36C86130">
      <w:pPr>
        <w:spacing w:line="360" w:lineRule="auto"/>
        <w:ind w:firstLine="422"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第四条　交付和验收</w:t>
      </w:r>
    </w:p>
    <w:p w14:paraId="4E19D79B">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1、服务期限：</w:t>
      </w:r>
      <w:r>
        <w:rPr>
          <w:rFonts w:hint="eastAsia" w:asciiTheme="minorEastAsia" w:hAnsiTheme="minorEastAsia" w:eastAsiaTheme="minorEastAsia" w:cstheme="minorEastAsia"/>
          <w:color w:val="auto"/>
          <w:sz w:val="21"/>
          <w:szCs w:val="21"/>
          <w:highlight w:val="none"/>
          <w:u w:val="single"/>
        </w:rPr>
        <w:t xml:space="preserve">           起至              </w:t>
      </w:r>
      <w:r>
        <w:rPr>
          <w:rFonts w:hint="eastAsia" w:asciiTheme="minorEastAsia" w:hAnsiTheme="minorEastAsia" w:eastAsiaTheme="minorEastAsia" w:cstheme="minorEastAsia"/>
          <w:color w:val="auto"/>
          <w:sz w:val="21"/>
          <w:szCs w:val="21"/>
          <w:highlight w:val="none"/>
        </w:rPr>
        <w:t>，服务地点：</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67765418">
      <w:pPr>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2、乙方应按响应文件的承诺向甲方提供相应的服务，并提供所服务内容的相关技术资料。</w:t>
      </w:r>
    </w:p>
    <w:p w14:paraId="1C702518">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3、乙方提供不符合响应文件和本合同规定的服务成果，甲方有权拒绝接受。</w:t>
      </w:r>
    </w:p>
    <w:p w14:paraId="68007A42">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3A793927">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5、甲乙双方应按照《广西壮族自治区政府采购项目履约验收管理办法》、双方合同、响应文件验收。</w:t>
      </w:r>
    </w:p>
    <w:p w14:paraId="4BCB60FD">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6、甲方在初步验收或者最终验收过程中如发现乙方提供的服务成果不满足响应文件及本合同规定的，可暂缓向乙方付款，直到乙方及时完善并提交相应的服务成果且经甲方验收合格后，方可办理付款。</w:t>
      </w:r>
    </w:p>
    <w:p w14:paraId="6E51102A">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7、甲方验收时以书面形式提出异议的，乙方应自收到甲方书面异议后五个工作日内及时予以解决，否则甲方有权不出具服务验收合格单。</w:t>
      </w:r>
    </w:p>
    <w:p w14:paraId="64B7A8F0">
      <w:pPr>
        <w:snapToGrid w:val="0"/>
        <w:spacing w:line="360" w:lineRule="auto"/>
        <w:ind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第五条  售后服务及培训</w:t>
      </w:r>
    </w:p>
    <w:p w14:paraId="518266E7">
      <w:pPr>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1、乙方应按照国家有关法律法规和本合同所附的《售后服务承诺》要求为甲方提供相应的售后服务。</w:t>
      </w:r>
    </w:p>
    <w:p w14:paraId="684B6E8E">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2、甲方应提供必要测试条件（如场地、电源、水源等）。</w:t>
      </w:r>
    </w:p>
    <w:p w14:paraId="1651E3C4">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3、乙方负责甲方有关人员的培训。培训时间、地点：</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31C055CF">
      <w:pPr>
        <w:snapToGrid w:val="0"/>
        <w:spacing w:line="360" w:lineRule="auto"/>
        <w:ind w:firstLine="422" w:firstLineChars="20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b/>
          <w:color w:val="auto"/>
          <w:sz w:val="21"/>
          <w:szCs w:val="21"/>
          <w:highlight w:val="none"/>
        </w:rPr>
        <w:t>第六条　付款方式</w:t>
      </w:r>
    </w:p>
    <w:p w14:paraId="710B9147">
      <w:pPr>
        <w:snapToGrid w:val="0"/>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1.本项目预付款在合同生效后15日内支付，预付款比例为合同金额的30%。</w:t>
      </w:r>
    </w:p>
    <w:p w14:paraId="149E8C3E">
      <w:pPr>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按进度款支付，每场展销活动后7个工作日内支付合同金额的15%（含预付款，预付款在前3场扣完，每场回扣10%），每场展销活动完成后，成交供应商向采购人提供项目结算清单及相关材料。经采购人验收合格后，15 个工作日内向供应商支付余下10%合同金额。(每次付款前，成交供应商需向采购人出具等额增值税发票)。</w:t>
      </w:r>
    </w:p>
    <w:p w14:paraId="0077E943">
      <w:pPr>
        <w:snapToGrid w:val="0"/>
        <w:spacing w:line="360" w:lineRule="auto"/>
        <w:ind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第七条　履约保证金</w:t>
      </w:r>
    </w:p>
    <w:p w14:paraId="7C12209D">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履约保证金金额：每分标按中标金额的</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2</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%（注：履约保证金不超过5%）。</w:t>
      </w:r>
    </w:p>
    <w:p w14:paraId="23A435E7">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履约保证金递交方式：支票、汇票、本票或者金融、担保机构出具的保函等非现金方式（参照磋商保证金）。</w:t>
      </w:r>
    </w:p>
    <w:p w14:paraId="4E53E01E">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履约保证金退付方式、时间及条件：由</w:t>
      </w:r>
      <w:r>
        <w:rPr>
          <w:rFonts w:hint="eastAsia" w:asciiTheme="minorEastAsia" w:hAnsiTheme="minorEastAsia" w:eastAsiaTheme="minorEastAsia" w:cstheme="minorEastAsia"/>
          <w:color w:val="auto"/>
          <w:sz w:val="21"/>
          <w:szCs w:val="21"/>
          <w:highlight w:val="none"/>
          <w:lang w:eastAsia="zh-CN"/>
        </w:rPr>
        <w:t>成交人</w:t>
      </w:r>
      <w:r>
        <w:rPr>
          <w:rFonts w:hint="eastAsia" w:asciiTheme="minorEastAsia" w:hAnsiTheme="minorEastAsia" w:eastAsiaTheme="minorEastAsia" w:cstheme="minorEastAsia"/>
          <w:color w:val="auto"/>
          <w:sz w:val="21"/>
          <w:szCs w:val="21"/>
          <w:highlight w:val="none"/>
        </w:rPr>
        <w:t>向履约保证金收取单位提供《广西壮族自治区政府采购项目合同验收书》（详见附件1）及《政府采购项目履约保证金退付意见书》（详见附件2），保证金收取单位在收到合格材料后5个工作日内办理退还手续（不计利息）。</w:t>
      </w:r>
    </w:p>
    <w:p w14:paraId="70C76388">
      <w:pPr>
        <w:spacing w:line="360" w:lineRule="auto"/>
        <w:ind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第八条  税费</w:t>
      </w:r>
    </w:p>
    <w:p w14:paraId="26EB47C4">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本合同执行中相关的一切税费均由乙方负担，合同另有约定的除外。</w:t>
      </w:r>
    </w:p>
    <w:p w14:paraId="4203827C">
      <w:pPr>
        <w:spacing w:line="360" w:lineRule="auto"/>
        <w:ind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第九条　违约责任</w:t>
      </w:r>
    </w:p>
    <w:p w14:paraId="214B94EC">
      <w:pPr>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1、除不可抗力原因外，乙方没有按照合同规定的时间提供服务的，甲方可要求乙方支付违约金。每推迟一天按合同金额的3‰支付违约金，该违约金累计不超过合同金额的10%。                                  </w:t>
      </w:r>
    </w:p>
    <w:p w14:paraId="535E8AB3">
      <w:pPr>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2、乙方提供的服务如侵犯了第三方合法权益而引发的任何纠纷或者诉讼，均由乙方负责交涉并承担全部责任。</w:t>
      </w:r>
    </w:p>
    <w:p w14:paraId="0A912269">
      <w:pPr>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3、甲方延期付款的，每天向乙方偿付延期款额3‰滞纳金，但滞纳金累计不得超过延期款额5%。</w:t>
      </w:r>
    </w:p>
    <w:p w14:paraId="6B6C8715">
      <w:pPr>
        <w:spacing w:line="360" w:lineRule="auto"/>
        <w:ind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第十条  不可抗力事件处理</w:t>
      </w:r>
    </w:p>
    <w:p w14:paraId="2D6C1EF2">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1、在合同有效期内，任何一方因不可抗力事件导致不能履行合同，则合同履行期可延长，其延长期与不可抗力影响期相同。</w:t>
      </w:r>
    </w:p>
    <w:p w14:paraId="10B3CAA4">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2、不可抗力事件发生后，应立即通知对方，并寄送有关权威机构出具的证明。</w:t>
      </w:r>
    </w:p>
    <w:p w14:paraId="4EB57979">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3、不可抗力事件延续一百二十天以上，双方应通过友好协商，确定是否继续履行合同。</w:t>
      </w:r>
    </w:p>
    <w:p w14:paraId="4ECA6B78">
      <w:pPr>
        <w:spacing w:line="360" w:lineRule="auto"/>
        <w:ind w:firstLine="422"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第十一条  合同争议解决</w:t>
      </w:r>
    </w:p>
    <w:p w14:paraId="0AFAE398">
      <w:pPr>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1、因服务质量问题发生争议的，应邀请国家认可的质量检测机构进行鉴定。服务符合标准的，鉴定费由甲方承担；服务不符合标准的，鉴定费由乙方承担。</w:t>
      </w:r>
    </w:p>
    <w:p w14:paraId="203A5C3E">
      <w:pPr>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2、因履行本合同引起的或者与本合同有关的争议，甲乙双方应首先通过友好协商解决，如果协商不能解决，可向甲方所在地有管辖权的人民法院提起诉讼。</w:t>
      </w:r>
    </w:p>
    <w:p w14:paraId="3F85ADA4">
      <w:pPr>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3、诉讼期间，本合同继续履行。</w:t>
      </w:r>
    </w:p>
    <w:p w14:paraId="339446CD">
      <w:pPr>
        <w:spacing w:line="360" w:lineRule="auto"/>
        <w:ind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第十二条  合同生效及其它</w:t>
      </w:r>
    </w:p>
    <w:p w14:paraId="767136F5">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1、合同经双方法定代表人或者授权代表签字并加盖单位公章后生效（委托代理人签字的需后附法定代表人授权委托书，格式自拟）。</w:t>
      </w:r>
    </w:p>
    <w:p w14:paraId="1EB59D0D">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2、合同执行中涉及采购资金和采购内容修改或者补充的，须经财政部门审批，并签书面补充协议报财政部门备案，方可作为主合同不可分割的一部分。</w:t>
      </w:r>
    </w:p>
    <w:p w14:paraId="6CE3D620">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3、本合同未尽事宜，遵照《中华人民共和国民法典》有关条文执行。</w:t>
      </w:r>
    </w:p>
    <w:p w14:paraId="6E0804B7">
      <w:pPr>
        <w:spacing w:line="360" w:lineRule="auto"/>
        <w:ind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第十三条　合同的变更、终止与转让</w:t>
      </w:r>
    </w:p>
    <w:p w14:paraId="062586B8">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1、除《中华人民共和国政府采购法》第五十条规定的情形外，本合同一经签订，甲乙双方不得擅自变更、中止或者终止。</w:t>
      </w:r>
    </w:p>
    <w:p w14:paraId="679CDD5E">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2、乙方不得擅自转让其应履行的合同义务。</w:t>
      </w:r>
    </w:p>
    <w:p w14:paraId="26533BE1">
      <w:pPr>
        <w:spacing w:line="360" w:lineRule="auto"/>
        <w:ind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第十四条　签订本合同依据</w:t>
      </w:r>
    </w:p>
    <w:p w14:paraId="7831E7FC">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1、成交通知书；</w:t>
      </w:r>
    </w:p>
    <w:p w14:paraId="0E886FBC">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2、竞标报价表；</w:t>
      </w:r>
    </w:p>
    <w:p w14:paraId="6FEC87B7">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3、商务条款偏离表和服务需求偏离表；</w:t>
      </w:r>
    </w:p>
    <w:p w14:paraId="5656EA7B">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4、服务方案；</w:t>
      </w:r>
    </w:p>
    <w:p w14:paraId="10BADA90">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5、响应文件中的其他相关文件。</w:t>
      </w:r>
    </w:p>
    <w:p w14:paraId="2B3598FA">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6、上述合同文件互相补充和解释。如果合同文件之间存在矛盾或者不一致之处，以上述文件的排列顺序在先者为准。</w:t>
      </w:r>
    </w:p>
    <w:p w14:paraId="3D365D56">
      <w:pPr>
        <w:spacing w:line="360" w:lineRule="auto"/>
        <w:ind w:firstLine="422"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第十五条　</w:t>
      </w:r>
      <w:r>
        <w:rPr>
          <w:rFonts w:hint="eastAsia" w:asciiTheme="minorEastAsia" w:hAnsiTheme="minorEastAsia" w:eastAsiaTheme="minorEastAsia" w:cstheme="minorEastAsia"/>
          <w:color w:val="auto"/>
          <w:sz w:val="21"/>
          <w:szCs w:val="21"/>
          <w:highlight w:val="none"/>
        </w:rPr>
        <w:t>本合同一式四份，具有同等法律效力，财政部门（政府采购监管部门）、采购代理机构各一份，甲乙双方各一份。</w:t>
      </w:r>
    </w:p>
    <w:p w14:paraId="621C982F">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本合同甲乙双方签字盖章后生效，自签订之日起七个工作日内，甲方应当将合同副本报同级财政部门备案。</w:t>
      </w:r>
    </w:p>
    <w:p w14:paraId="4A7D7563">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Theme="minorEastAsia" w:hAnsiTheme="minorEastAsia" w:eastAsiaTheme="minorEastAsia" w:cstheme="minorEastAsia"/>
          <w:color w:val="auto"/>
          <w:sz w:val="21"/>
          <w:szCs w:val="21"/>
          <w:highlight w:val="none"/>
        </w:rPr>
        <w:t>本合同自签订之日起2个工作日内，甲方应当将采购合同在广西壮族自治区财政厅指定的媒体上公告</w:t>
      </w:r>
      <w:r>
        <w:rPr>
          <w:rFonts w:hint="eastAsia" w:ascii="宋体" w:hAnsi="宋体" w:cs="宋体"/>
          <w:color w:val="auto"/>
          <w:szCs w:val="21"/>
          <w:highlight w:val="none"/>
        </w:rPr>
        <w:t>。</w:t>
      </w:r>
    </w:p>
    <w:tbl>
      <w:tblPr>
        <w:tblStyle w:val="29"/>
        <w:tblpPr w:leftFromText="180" w:rightFromText="180" w:vertAnchor="text" w:horzAnchor="margin"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4CB64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200A7530">
            <w:pPr>
              <w:pageBreakBefore w:val="0"/>
              <w:kinsoku/>
              <w:wordWrap/>
              <w:topLinePunct w:val="0"/>
              <w:bidi w:val="0"/>
              <w:snapToGrid w:val="0"/>
              <w:spacing w:line="312" w:lineRule="auto"/>
              <w:rPr>
                <w:rFonts w:hint="eastAsia" w:ascii="宋体" w:hAnsi="宋体" w:cs="宋体"/>
                <w:color w:val="auto"/>
                <w:szCs w:val="21"/>
                <w:highlight w:val="none"/>
              </w:rPr>
            </w:pPr>
            <w:r>
              <w:rPr>
                <w:rFonts w:hint="eastAsia" w:ascii="宋体" w:hAnsi="宋体" w:cs="宋体"/>
                <w:color w:val="auto"/>
                <w:szCs w:val="21"/>
                <w:highlight w:val="none"/>
              </w:rPr>
              <w:t>甲方：（章）</w:t>
            </w:r>
          </w:p>
          <w:p w14:paraId="64A07E54">
            <w:pPr>
              <w:pageBreakBefore w:val="0"/>
              <w:kinsoku/>
              <w:wordWrap/>
              <w:topLinePunct w:val="0"/>
              <w:bidi w:val="0"/>
              <w:snapToGrid w:val="0"/>
              <w:spacing w:line="312" w:lineRule="auto"/>
              <w:rPr>
                <w:rFonts w:hint="eastAsia" w:ascii="宋体" w:hAnsi="宋体" w:cs="宋体"/>
                <w:color w:val="auto"/>
                <w:szCs w:val="21"/>
                <w:highlight w:val="none"/>
              </w:rPr>
            </w:pPr>
          </w:p>
          <w:p w14:paraId="20D57D4C">
            <w:pPr>
              <w:pageBreakBefore w:val="0"/>
              <w:kinsoku/>
              <w:wordWrap/>
              <w:topLinePunct w:val="0"/>
              <w:bidi w:val="0"/>
              <w:snapToGrid w:val="0"/>
              <w:spacing w:line="312" w:lineRule="auto"/>
              <w:rPr>
                <w:rFonts w:hint="eastAsia" w:ascii="宋体" w:hAnsi="宋体" w:cs="宋体"/>
                <w:color w:val="auto"/>
                <w:szCs w:val="21"/>
                <w:highlight w:val="none"/>
              </w:rPr>
            </w:pPr>
          </w:p>
          <w:p w14:paraId="50152BC5">
            <w:pPr>
              <w:pageBreakBefore w:val="0"/>
              <w:kinsoku/>
              <w:wordWrap/>
              <w:topLinePunct w:val="0"/>
              <w:bidi w:val="0"/>
              <w:snapToGrid w:val="0"/>
              <w:spacing w:line="312" w:lineRule="auto"/>
              <w:ind w:firstLine="945" w:firstLineChars="450"/>
              <w:jc w:val="right"/>
              <w:rPr>
                <w:rFonts w:hint="eastAsia" w:ascii="宋体" w:hAnsi="宋体" w:cs="宋体"/>
                <w:color w:val="auto"/>
                <w:szCs w:val="21"/>
                <w:highlight w:val="none"/>
              </w:rPr>
            </w:pPr>
          </w:p>
          <w:p w14:paraId="441F49AD">
            <w:pPr>
              <w:pageBreakBefore w:val="0"/>
              <w:kinsoku/>
              <w:wordWrap/>
              <w:topLinePunct w:val="0"/>
              <w:bidi w:val="0"/>
              <w:snapToGrid w:val="0"/>
              <w:spacing w:line="312" w:lineRule="auto"/>
              <w:ind w:firstLine="945" w:firstLineChars="450"/>
              <w:jc w:val="right"/>
              <w:rPr>
                <w:rFonts w:ascii="宋体" w:hAnsi="宋体" w:cs="宋体"/>
                <w:color w:val="auto"/>
                <w:szCs w:val="21"/>
                <w:highlight w:val="none"/>
              </w:rPr>
            </w:pPr>
            <w:r>
              <w:rPr>
                <w:rFonts w:hint="eastAsia" w:ascii="宋体" w:hAnsi="宋体" w:cs="宋体"/>
                <w:color w:val="auto"/>
                <w:szCs w:val="21"/>
                <w:highlight w:val="none"/>
              </w:rPr>
              <w:t>年   月   日</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3FAC73B6">
            <w:pPr>
              <w:pageBreakBefore w:val="0"/>
              <w:kinsoku/>
              <w:wordWrap/>
              <w:topLinePunct w:val="0"/>
              <w:bidi w:val="0"/>
              <w:snapToGrid w:val="0"/>
              <w:spacing w:line="312" w:lineRule="auto"/>
              <w:rPr>
                <w:rFonts w:hint="eastAsia" w:ascii="宋体" w:hAnsi="宋体" w:cs="宋体"/>
                <w:color w:val="auto"/>
                <w:szCs w:val="21"/>
                <w:highlight w:val="none"/>
              </w:rPr>
            </w:pPr>
            <w:r>
              <w:rPr>
                <w:rFonts w:hint="eastAsia" w:ascii="宋体" w:hAnsi="宋体" w:cs="宋体"/>
                <w:color w:val="auto"/>
                <w:szCs w:val="21"/>
                <w:highlight w:val="none"/>
              </w:rPr>
              <w:t xml:space="preserve">乙方：（章）       </w:t>
            </w:r>
          </w:p>
          <w:p w14:paraId="36FB62F2">
            <w:pPr>
              <w:pageBreakBefore w:val="0"/>
              <w:kinsoku/>
              <w:wordWrap/>
              <w:topLinePunct w:val="0"/>
              <w:bidi w:val="0"/>
              <w:snapToGrid w:val="0"/>
              <w:spacing w:line="312" w:lineRule="auto"/>
              <w:rPr>
                <w:rFonts w:hint="eastAsia" w:ascii="宋体" w:hAnsi="宋体" w:cs="宋体"/>
                <w:color w:val="auto"/>
                <w:szCs w:val="21"/>
                <w:highlight w:val="none"/>
              </w:rPr>
            </w:pPr>
          </w:p>
          <w:p w14:paraId="4AF29E6A">
            <w:pPr>
              <w:pageBreakBefore w:val="0"/>
              <w:kinsoku/>
              <w:wordWrap/>
              <w:topLinePunct w:val="0"/>
              <w:bidi w:val="0"/>
              <w:snapToGrid w:val="0"/>
              <w:spacing w:line="312"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5D01EA18">
            <w:pPr>
              <w:pageBreakBefore w:val="0"/>
              <w:kinsoku/>
              <w:wordWrap/>
              <w:topLinePunct w:val="0"/>
              <w:bidi w:val="0"/>
              <w:snapToGrid w:val="0"/>
              <w:spacing w:line="312" w:lineRule="auto"/>
              <w:jc w:val="right"/>
              <w:rPr>
                <w:rFonts w:hint="eastAsia" w:ascii="宋体" w:hAnsi="宋体" w:cs="宋体"/>
                <w:color w:val="auto"/>
                <w:szCs w:val="21"/>
                <w:highlight w:val="none"/>
              </w:rPr>
            </w:pPr>
          </w:p>
          <w:p w14:paraId="5AE7B801">
            <w:pPr>
              <w:pageBreakBefore w:val="0"/>
              <w:kinsoku/>
              <w:wordWrap/>
              <w:topLinePunct w:val="0"/>
              <w:bidi w:val="0"/>
              <w:snapToGrid w:val="0"/>
              <w:spacing w:line="312" w:lineRule="auto"/>
              <w:jc w:val="right"/>
              <w:rPr>
                <w:rFonts w:ascii="宋体" w:hAnsi="宋体" w:cs="宋体"/>
                <w:color w:val="auto"/>
                <w:szCs w:val="21"/>
                <w:highlight w:val="none"/>
              </w:rPr>
            </w:pPr>
            <w:r>
              <w:rPr>
                <w:rFonts w:hint="eastAsia" w:ascii="宋体" w:hAnsi="宋体" w:cs="宋体"/>
                <w:color w:val="auto"/>
                <w:szCs w:val="21"/>
                <w:highlight w:val="none"/>
              </w:rPr>
              <w:t xml:space="preserve"> 年   月   日</w:t>
            </w:r>
          </w:p>
        </w:tc>
      </w:tr>
      <w:tr w14:paraId="7FCA0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6F396F04">
            <w:pPr>
              <w:pageBreakBefore w:val="0"/>
              <w:kinsoku/>
              <w:wordWrap/>
              <w:topLinePunct w:val="0"/>
              <w:bidi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单位地址：</w:t>
            </w:r>
            <w:r>
              <w:rPr>
                <w:rFonts w:ascii="宋体" w:hAnsi="宋体" w:cs="宋体"/>
                <w:color w:val="auto"/>
                <w:szCs w:val="21"/>
                <w:highlight w:val="none"/>
              </w:rPr>
              <w:t xml:space="preserve">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1B12F577">
            <w:pPr>
              <w:pageBreakBefore w:val="0"/>
              <w:kinsoku/>
              <w:wordWrap/>
              <w:topLinePunct w:val="0"/>
              <w:bidi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 xml:space="preserve">单位地址： </w:t>
            </w:r>
          </w:p>
        </w:tc>
      </w:tr>
      <w:tr w14:paraId="6704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7A457E85">
            <w:pPr>
              <w:pageBreakBefore w:val="0"/>
              <w:kinsoku/>
              <w:wordWrap/>
              <w:topLinePunct w:val="0"/>
              <w:bidi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法定代表人：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552BF5ED">
            <w:pPr>
              <w:pageBreakBefore w:val="0"/>
              <w:kinsoku/>
              <w:wordWrap/>
              <w:topLinePunct w:val="0"/>
              <w:bidi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法定代表人：</w:t>
            </w:r>
          </w:p>
        </w:tc>
      </w:tr>
      <w:tr w14:paraId="54A8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7E656803">
            <w:pPr>
              <w:pageBreakBefore w:val="0"/>
              <w:kinsoku/>
              <w:wordWrap/>
              <w:topLinePunct w:val="0"/>
              <w:bidi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委托代理人：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4FAAB82C">
            <w:pPr>
              <w:pageBreakBefore w:val="0"/>
              <w:kinsoku/>
              <w:wordWrap/>
              <w:topLinePunct w:val="0"/>
              <w:bidi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委托代理人：</w:t>
            </w:r>
          </w:p>
        </w:tc>
      </w:tr>
      <w:tr w14:paraId="65912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6D0C1E29">
            <w:pPr>
              <w:pageBreakBefore w:val="0"/>
              <w:kinsoku/>
              <w:wordWrap/>
              <w:topLinePunct w:val="0"/>
              <w:bidi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电话：</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094F8EF5">
            <w:pPr>
              <w:pageBreakBefore w:val="0"/>
              <w:kinsoku/>
              <w:wordWrap/>
              <w:topLinePunct w:val="0"/>
              <w:bidi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电话：</w:t>
            </w:r>
          </w:p>
        </w:tc>
      </w:tr>
      <w:tr w14:paraId="5B6A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22E28CCF">
            <w:pPr>
              <w:pageBreakBefore w:val="0"/>
              <w:kinsoku/>
              <w:wordWrap/>
              <w:topLinePunct w:val="0"/>
              <w:bidi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 xml:space="preserve">开户银行：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783F3D9F">
            <w:pPr>
              <w:pageBreakBefore w:val="0"/>
              <w:kinsoku/>
              <w:wordWrap/>
              <w:topLinePunct w:val="0"/>
              <w:bidi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 xml:space="preserve">开户银行： </w:t>
            </w:r>
          </w:p>
        </w:tc>
      </w:tr>
      <w:tr w14:paraId="1BD3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1C927148">
            <w:pPr>
              <w:pageBreakBefore w:val="0"/>
              <w:kinsoku/>
              <w:wordWrap/>
              <w:topLinePunct w:val="0"/>
              <w:bidi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账号：</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3E688CEC">
            <w:pPr>
              <w:pageBreakBefore w:val="0"/>
              <w:kinsoku/>
              <w:wordWrap/>
              <w:topLinePunct w:val="0"/>
              <w:bidi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账号：</w:t>
            </w:r>
          </w:p>
        </w:tc>
      </w:tr>
      <w:tr w14:paraId="2FDA8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6E4264B8">
            <w:pPr>
              <w:pageBreakBefore w:val="0"/>
              <w:kinsoku/>
              <w:wordWrap/>
              <w:topLinePunct w:val="0"/>
              <w:bidi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邮政编码：</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00891D89">
            <w:pPr>
              <w:pageBreakBefore w:val="0"/>
              <w:kinsoku/>
              <w:wordWrap/>
              <w:topLinePunct w:val="0"/>
              <w:bidi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邮政编码：</w:t>
            </w:r>
          </w:p>
        </w:tc>
      </w:tr>
    </w:tbl>
    <w:p w14:paraId="082599DF">
      <w:pPr>
        <w:pageBreakBefore w:val="0"/>
        <w:kinsoku/>
        <w:wordWrap/>
        <w:topLinePunct w:val="0"/>
        <w:bidi w:val="0"/>
        <w:spacing w:before="4" w:line="312" w:lineRule="auto"/>
        <w:jc w:val="center"/>
        <w:rPr>
          <w:rFonts w:hint="eastAsia" w:ascii="宋体" w:hAnsi="宋体" w:cs="宋体"/>
          <w:color w:val="auto"/>
          <w:sz w:val="6"/>
          <w:szCs w:val="6"/>
          <w:highlight w:val="none"/>
        </w:rPr>
      </w:pPr>
    </w:p>
    <w:p w14:paraId="0C89C67D">
      <w:pPr>
        <w:keepNext/>
        <w:keepLines/>
        <w:widowControl w:val="0"/>
        <w:spacing w:before="340" w:after="330" w:line="578" w:lineRule="auto"/>
        <w:jc w:val="both"/>
        <w:outlineLvl w:val="9"/>
        <w:rPr>
          <w:rFonts w:hint="eastAsia" w:ascii="宋体" w:hAnsi="宋体" w:eastAsia="宋体" w:cs="宋体"/>
          <w:b/>
          <w:bCs/>
          <w:color w:val="auto"/>
          <w:kern w:val="44"/>
          <w:sz w:val="6"/>
          <w:szCs w:val="6"/>
          <w:highlight w:val="none"/>
          <w:lang w:val="en-US" w:eastAsia="zh-CN" w:bidi="ar-SA"/>
        </w:rPr>
      </w:pPr>
    </w:p>
    <w:p w14:paraId="3E2D57DD">
      <w:pPr>
        <w:rPr>
          <w:rFonts w:hint="eastAsia" w:ascii="宋体" w:hAnsi="宋体" w:cs="宋体"/>
          <w:color w:val="auto"/>
          <w:sz w:val="6"/>
          <w:szCs w:val="6"/>
          <w:highlight w:val="none"/>
        </w:rPr>
      </w:pPr>
    </w:p>
    <w:p w14:paraId="2219C2E5">
      <w:pPr>
        <w:pageBreakBefore w:val="0"/>
        <w:kinsoku/>
        <w:wordWrap/>
        <w:topLinePunct w:val="0"/>
        <w:bidi w:val="0"/>
        <w:spacing w:line="312" w:lineRule="auto"/>
        <w:ind w:firstLine="640" w:firstLineChars="200"/>
        <w:rPr>
          <w:rFonts w:hint="eastAsia" w:ascii="黑体" w:hAnsi="黑体" w:eastAsia="黑体" w:cs="黑体"/>
          <w:bCs/>
          <w:color w:val="auto"/>
          <w:sz w:val="32"/>
          <w:szCs w:val="32"/>
          <w:highlight w:val="none"/>
        </w:rPr>
      </w:pPr>
    </w:p>
    <w:sectPr>
      <w:pgSz w:w="11906" w:h="16838"/>
      <w:pgMar w:top="1440" w:right="1440" w:bottom="1440" w:left="158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iti SC Medium">
    <w:altName w:val="微软雅黑"/>
    <w:panose1 w:val="00000000000000000000"/>
    <w:charset w:val="86"/>
    <w:family w:val="auto"/>
    <w:pitch w:val="default"/>
    <w:sig w:usb0="00000000" w:usb1="00000000" w:usb2="00000000" w:usb3="00000000" w:csb0="203E0000"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script"/>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72B53">
    <w:pPr>
      <w:pStyle w:val="2"/>
      <w:tabs>
        <w:tab w:val="center" w:pos="4439"/>
        <w:tab w:val="clear" w:pos="4153"/>
      </w:tabs>
      <w:jc w:val="both"/>
    </w:pPr>
  </w:p>
  <w:p w14:paraId="5C2A6190">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30CB4">
    <w:pPr>
      <w:pStyle w:val="2"/>
      <w:tabs>
        <w:tab w:val="center" w:pos="443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F6ED23"/>
                      </w:txbxContent>
                    </wps:txbx>
                    <wps:bodyPr wrap="none" lIns="0" tIns="0" rIns="0" bIns="0" upright="0">
                      <a:spAutoFit/>
                    </wps:bodyPr>
                  </wps:wsp>
                </a:graphicData>
              </a:graphic>
            </wp:anchor>
          </w:drawing>
        </mc:Choice>
        <mc:Fallback>
          <w:pict>
            <v:shape id="文本框 51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VqZzcsBAACcAwAADgAAAGRycy9lMm9Eb2MueG1srVNLbtswEN0XyB0I&#10;7mPKAhIYguWghZEiQNEWSHsAmqIsAvyBQ1vyBdobdNVN9z2Xz9EhJTlpusmiG2o4M3wz781ofTcY&#10;TY4ygHK2pstFQYm0wjXK7mv69cv99YoSiNw2XDsra3qSQO82V2/Wva9k6TqnGxkIglioel/TLkZf&#10;MQaik4bDwnlpMdi6YHjEa9izJvAe0Y1mZVHcst6FxgcnJAB6t2OQTojhNYCubZWQWycORto4ogap&#10;eURK0CkPdJO7bVsp4qe2BRmJrikyjfnEImjv0sk2a17tA/edElML/DUtvOBkuLJY9AK15ZGTQ1D/&#10;QBklggPXxoVwho1EsiLIYlm80Oax415mLig1+Ivo8P9gxcfj50BUU9OSEssNDvz84/v55+/zr2/k&#10;ZlneJoV6DxUmPnpMjcM7N+DezH5AZyI+tMGkL1IiGEd9Txd95RCJSI9W5WpVYEhgbL4gPnt67gPE&#10;99IZkoyaBhxg1pUfP0AcU+eUVM26e6V1HqK2fzkQM3lY6n3sMVlx2A0ToZ1rTsinx9nX1OKqU6If&#10;LEqb1mQ2wmzsZuPgg9p3eY9SPfBvDxGbyL2lCiPsVBiHltlNC5a24vk9Zz39VJ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Famc3LAQAAnAMAAA4AAAAAAAAAAQAgAAAAHgEAAGRycy9lMm9E&#10;b2MueG1sUEsFBgAAAAAGAAYAWQEAAFsFAAAAAA==&#10;">
              <v:fill on="f" focussize="0,0"/>
              <v:stroke on="f"/>
              <v:imagedata o:title=""/>
              <o:lock v:ext="edit" aspectratio="f"/>
              <v:textbox inset="0mm,0mm,0mm,0mm" style="mso-fit-shape-to-text:t;">
                <w:txbxContent>
                  <w:p w14:paraId="25F6ED23"/>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18DC8">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69C88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969C88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1DC27">
    <w:pPr>
      <w:pStyle w:val="2"/>
      <w:tabs>
        <w:tab w:val="center" w:pos="4439"/>
        <w:tab w:val="clear" w:pos="4153"/>
      </w:tabs>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7461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3E74614">
                    <w:pPr>
                      <w:pStyle w:val="2"/>
                    </w:pPr>
                    <w:r>
                      <w:fldChar w:fldCharType="begin"/>
                    </w:r>
                    <w:r>
                      <w:instrText xml:space="preserve"> PAGE  \* MERGEFORMAT </w:instrText>
                    </w:r>
                    <w:r>
                      <w:fldChar w:fldCharType="separate"/>
                    </w:r>
                    <w:r>
                      <w:t>1</w:t>
                    </w:r>
                    <w:r>
                      <w:fldChar w:fldCharType="end"/>
                    </w:r>
                  </w:p>
                </w:txbxContent>
              </v:textbox>
            </v:shape>
          </w:pict>
        </mc:Fallback>
      </mc:AlternateContent>
    </w:r>
  </w:p>
  <w:p w14:paraId="2CFDA27E">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B7479">
    <w:pPr>
      <w:pStyle w:val="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479986">
                          <w:pPr>
                            <w:pStyle w:val="2"/>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8479986">
                    <w:pPr>
                      <w:pStyle w:val="2"/>
                    </w:pPr>
                    <w:r>
                      <w:fldChar w:fldCharType="begin"/>
                    </w:r>
                    <w:r>
                      <w:instrText xml:space="preserve"> PAGE  \* MERGEFORMAT </w:instrText>
                    </w:r>
                    <w:r>
                      <w:fldChar w:fldCharType="separate"/>
                    </w:r>
                    <w:r>
                      <w:t>40</w:t>
                    </w:r>
                    <w:r>
                      <w:fldChar w:fldCharType="end"/>
                    </w:r>
                  </w:p>
                </w:txbxContent>
              </v:textbox>
            </v:shape>
          </w:pict>
        </mc:Fallback>
      </mc:AlternateContent>
    </w:r>
  </w:p>
  <w:p w14:paraId="226A4482">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595EC">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F27A4E">
                          <w:pPr>
                            <w:pStyle w:val="2"/>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2F27A4E">
                    <w:pPr>
                      <w:pStyle w:val="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7F48B">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FD74B">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8CEB78"/>
    <w:multiLevelType w:val="singleLevel"/>
    <w:tmpl w:val="EB8CEB78"/>
    <w:lvl w:ilvl="0" w:tentative="0">
      <w:start w:val="3"/>
      <w:numFmt w:val="chineseCounting"/>
      <w:suff w:val="space"/>
      <w:lvlText w:val="第%1章"/>
      <w:lvlJc w:val="left"/>
      <w:rPr>
        <w:rFonts w:hint="eastAsia"/>
      </w:rPr>
    </w:lvl>
  </w:abstractNum>
  <w:abstractNum w:abstractNumId="1">
    <w:nsid w:val="376F7A09"/>
    <w:multiLevelType w:val="singleLevel"/>
    <w:tmpl w:val="376F7A09"/>
    <w:lvl w:ilvl="0" w:tentative="0">
      <w:start w:val="1"/>
      <w:numFmt w:val="decimal"/>
      <w:lvlText w:val="%1."/>
      <w:lvlJc w:val="left"/>
      <w:pPr>
        <w:tabs>
          <w:tab w:val="left" w:pos="312"/>
        </w:tabs>
      </w:pPr>
    </w:lvl>
  </w:abstractNum>
  <w:abstractNum w:abstractNumId="2">
    <w:nsid w:val="3A78D19B"/>
    <w:multiLevelType w:val="singleLevel"/>
    <w:tmpl w:val="3A78D19B"/>
    <w:lvl w:ilvl="0" w:tentative="0">
      <w:start w:val="1"/>
      <w:numFmt w:val="chineseCounting"/>
      <w:suff w:val="nothing"/>
      <w:lvlText w:val="%1、"/>
      <w:lvlJc w:val="left"/>
      <w:rPr>
        <w:rFonts w:hint="eastAsia"/>
      </w:rPr>
    </w:lvl>
  </w:abstractNum>
  <w:abstractNum w:abstractNumId="3">
    <w:nsid w:val="61CE75DC"/>
    <w:multiLevelType w:val="multilevel"/>
    <w:tmpl w:val="61CE75D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420"/>
        </w:tabs>
        <w:ind w:left="0" w:firstLine="0"/>
      </w:pPr>
      <w:rPr>
        <w:rFonts w:hint="eastAsia" w:ascii="宋体" w:hAnsi="宋体" w:eastAsia="Heiti SC Medium" w:cs="Heiti SC Medium"/>
        <w:sz w:val="32"/>
      </w:rPr>
    </w:lvl>
    <w:lvl w:ilvl="2" w:tentative="0">
      <w:start w:val="1"/>
      <w:numFmt w:val="decimal"/>
      <w:pStyle w:val="5"/>
      <w:suff w:val="space"/>
      <w:lvlText w:val="%2.%3"/>
      <w:lvlJc w:val="left"/>
      <w:pPr>
        <w:tabs>
          <w:tab w:val="left" w:pos="420"/>
        </w:tabs>
        <w:ind w:left="0" w:firstLine="400"/>
      </w:pPr>
      <w:rPr>
        <w:rFonts w:hint="eastAsia" w:ascii="宋体" w:hAnsi="宋体" w:eastAsia="宋体" w:cs="宋体"/>
      </w:rPr>
    </w:lvl>
    <w:lvl w:ilvl="3" w:tentative="0">
      <w:start w:val="1"/>
      <w:numFmt w:val="decimal"/>
      <w:suff w:val="space"/>
      <w:lvlText w:val="%2.%3.%4"/>
      <w:lvlJc w:val="left"/>
      <w:pPr>
        <w:tabs>
          <w:tab w:val="left" w:pos="420"/>
        </w:tabs>
        <w:ind w:left="567" w:hanging="165"/>
      </w:pPr>
      <w:rPr>
        <w:rFonts w:hint="eastAsia" w:ascii="宋体" w:hAnsi="宋体" w:eastAsia="宋体" w:cs="宋体"/>
      </w:rPr>
    </w:lvl>
    <w:lvl w:ilvl="4" w:tentative="0">
      <w:start w:val="1"/>
      <w:numFmt w:val="decimal"/>
      <w:suff w:val="space"/>
      <w:lvlText w:val="%3.%4.%5"/>
      <w:lvlJc w:val="left"/>
      <w:pPr>
        <w:tabs>
          <w:tab w:val="left" w:pos="0"/>
        </w:tabs>
        <w:ind w:left="0" w:firstLine="402"/>
      </w:pPr>
      <w:rPr>
        <w:rFonts w:hint="eastAsia" w:ascii="宋体" w:hAnsi="宋体" w:eastAsia="宋体" w:cs="宋体"/>
      </w:rPr>
    </w:lvl>
    <w:lvl w:ilvl="5" w:tentative="0">
      <w:start w:val="1"/>
      <w:numFmt w:val="decimal"/>
      <w:suff w:val="space"/>
      <w:lvlText w:val="%3.%4.%5.%6"/>
      <w:lvlJc w:val="left"/>
      <w:pPr>
        <w:tabs>
          <w:tab w:val="left" w:pos="420"/>
        </w:tabs>
        <w:ind w:left="0" w:firstLine="402"/>
      </w:pPr>
      <w:rPr>
        <w:rFonts w:hint="eastAsia" w:ascii="宋体" w:hAnsi="宋体" w:eastAsia="宋体" w:cs="宋体"/>
      </w:rPr>
    </w:lvl>
    <w:lvl w:ilvl="6" w:tentative="0">
      <w:start w:val="1"/>
      <w:numFmt w:val="decimalFullWidth"/>
      <w:suff w:val="space"/>
      <w:lvlText w:val="%3.%4.%5.%6.%7"/>
      <w:lvlJc w:val="left"/>
      <w:pPr>
        <w:tabs>
          <w:tab w:val="left" w:pos="420"/>
        </w:tabs>
        <w:ind w:left="0" w:firstLine="402"/>
      </w:pPr>
      <w:rPr>
        <w:rFonts w:hint="eastAsia" w:ascii="宋体" w:hAnsi="宋体" w:eastAsia="宋体" w:cs="宋体"/>
      </w:rPr>
    </w:lvl>
    <w:lvl w:ilvl="7" w:tentative="0">
      <w:start w:val="1"/>
      <w:numFmt w:val="decimalFullWidth"/>
      <w:suff w:val="space"/>
      <w:lvlText w:val="%8）"/>
      <w:lvlJc w:val="left"/>
      <w:pPr>
        <w:tabs>
          <w:tab w:val="left" w:pos="420"/>
        </w:tabs>
        <w:ind w:left="0" w:firstLine="402"/>
      </w:pPr>
      <w:rPr>
        <w:rFonts w:hint="eastAsia" w:ascii="宋体" w:hAnsi="宋体" w:eastAsia="宋体" w:cs="宋体"/>
      </w:rPr>
    </w:lvl>
    <w:lvl w:ilvl="8" w:tentative="0">
      <w:start w:val="1"/>
      <w:numFmt w:val="decimalEnclosedCircleChinese"/>
      <w:suff w:val="space"/>
      <w:lvlText w:val="%9 "/>
      <w:lvlJc w:val="left"/>
      <w:pPr>
        <w:tabs>
          <w:tab w:val="left" w:pos="420"/>
        </w:tabs>
        <w:ind w:left="0" w:firstLine="402"/>
      </w:pPr>
      <w:rPr>
        <w:rFonts w:hint="eastAsia" w:ascii="宋体" w:hAnsi="宋体" w:eastAsia="宋体" w:cs="宋体"/>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5,6,7"/>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4ZTAzNDAwNmQ4NjNkMjZjMmUyYTE5Yjk5ZmI1OGYifQ=="/>
  </w:docVars>
  <w:rsids>
    <w:rsidRoot w:val="00F34B14"/>
    <w:rsid w:val="00000672"/>
    <w:rsid w:val="00001013"/>
    <w:rsid w:val="00001799"/>
    <w:rsid w:val="00001AF2"/>
    <w:rsid w:val="00001ECA"/>
    <w:rsid w:val="00002D29"/>
    <w:rsid w:val="00003B93"/>
    <w:rsid w:val="0000474D"/>
    <w:rsid w:val="00005FDF"/>
    <w:rsid w:val="000070B3"/>
    <w:rsid w:val="000076B8"/>
    <w:rsid w:val="000109DC"/>
    <w:rsid w:val="00010D39"/>
    <w:rsid w:val="0001172C"/>
    <w:rsid w:val="00011BC9"/>
    <w:rsid w:val="00012854"/>
    <w:rsid w:val="00012EA6"/>
    <w:rsid w:val="00013359"/>
    <w:rsid w:val="000139CF"/>
    <w:rsid w:val="00013AA4"/>
    <w:rsid w:val="00013DFE"/>
    <w:rsid w:val="000141EA"/>
    <w:rsid w:val="00016ABC"/>
    <w:rsid w:val="000177DB"/>
    <w:rsid w:val="000179C9"/>
    <w:rsid w:val="00017CCC"/>
    <w:rsid w:val="00020227"/>
    <w:rsid w:val="00020263"/>
    <w:rsid w:val="00020455"/>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560F"/>
    <w:rsid w:val="0009588E"/>
    <w:rsid w:val="000959EE"/>
    <w:rsid w:val="00097183"/>
    <w:rsid w:val="000972CB"/>
    <w:rsid w:val="00097608"/>
    <w:rsid w:val="000A13F3"/>
    <w:rsid w:val="000A23B1"/>
    <w:rsid w:val="000A2B0E"/>
    <w:rsid w:val="000A398F"/>
    <w:rsid w:val="000A448C"/>
    <w:rsid w:val="000A509C"/>
    <w:rsid w:val="000A54A7"/>
    <w:rsid w:val="000A6007"/>
    <w:rsid w:val="000A65A6"/>
    <w:rsid w:val="000A70E3"/>
    <w:rsid w:val="000A7275"/>
    <w:rsid w:val="000A7A12"/>
    <w:rsid w:val="000A7A72"/>
    <w:rsid w:val="000B1202"/>
    <w:rsid w:val="000B1801"/>
    <w:rsid w:val="000B1D0C"/>
    <w:rsid w:val="000B2273"/>
    <w:rsid w:val="000B2BC6"/>
    <w:rsid w:val="000B2D03"/>
    <w:rsid w:val="000B3815"/>
    <w:rsid w:val="000B3C7B"/>
    <w:rsid w:val="000B4321"/>
    <w:rsid w:val="000B6A6B"/>
    <w:rsid w:val="000B6C95"/>
    <w:rsid w:val="000B79FC"/>
    <w:rsid w:val="000C1679"/>
    <w:rsid w:val="000C1EE3"/>
    <w:rsid w:val="000C3AE7"/>
    <w:rsid w:val="000C3CC9"/>
    <w:rsid w:val="000C6DE4"/>
    <w:rsid w:val="000C7202"/>
    <w:rsid w:val="000D0A89"/>
    <w:rsid w:val="000D1389"/>
    <w:rsid w:val="000D1798"/>
    <w:rsid w:val="000D262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30217"/>
    <w:rsid w:val="00130783"/>
    <w:rsid w:val="00130A47"/>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DD6"/>
    <w:rsid w:val="0016086E"/>
    <w:rsid w:val="00160D0C"/>
    <w:rsid w:val="00161172"/>
    <w:rsid w:val="00161998"/>
    <w:rsid w:val="00161E65"/>
    <w:rsid w:val="00162597"/>
    <w:rsid w:val="001629AF"/>
    <w:rsid w:val="001629FD"/>
    <w:rsid w:val="0016428A"/>
    <w:rsid w:val="001647C9"/>
    <w:rsid w:val="00165627"/>
    <w:rsid w:val="001661A3"/>
    <w:rsid w:val="00167226"/>
    <w:rsid w:val="0016782B"/>
    <w:rsid w:val="0016784D"/>
    <w:rsid w:val="00172CA8"/>
    <w:rsid w:val="00173256"/>
    <w:rsid w:val="00173B0E"/>
    <w:rsid w:val="00173E03"/>
    <w:rsid w:val="0017512C"/>
    <w:rsid w:val="0017586A"/>
    <w:rsid w:val="00175BA6"/>
    <w:rsid w:val="00176CA7"/>
    <w:rsid w:val="00176F8E"/>
    <w:rsid w:val="001778C5"/>
    <w:rsid w:val="00177E56"/>
    <w:rsid w:val="00177F0A"/>
    <w:rsid w:val="00180DA0"/>
    <w:rsid w:val="00181EAD"/>
    <w:rsid w:val="00182862"/>
    <w:rsid w:val="00184F57"/>
    <w:rsid w:val="00185544"/>
    <w:rsid w:val="00185617"/>
    <w:rsid w:val="00186FE1"/>
    <w:rsid w:val="00187A14"/>
    <w:rsid w:val="0019171E"/>
    <w:rsid w:val="00192368"/>
    <w:rsid w:val="001923A0"/>
    <w:rsid w:val="001928B1"/>
    <w:rsid w:val="00193537"/>
    <w:rsid w:val="00193846"/>
    <w:rsid w:val="00195424"/>
    <w:rsid w:val="001955FF"/>
    <w:rsid w:val="00197EDD"/>
    <w:rsid w:val="001A02B3"/>
    <w:rsid w:val="001A04BB"/>
    <w:rsid w:val="001A08D0"/>
    <w:rsid w:val="001A1B39"/>
    <w:rsid w:val="001A2120"/>
    <w:rsid w:val="001A28C6"/>
    <w:rsid w:val="001A2E69"/>
    <w:rsid w:val="001A3C34"/>
    <w:rsid w:val="001A3EDE"/>
    <w:rsid w:val="001A4222"/>
    <w:rsid w:val="001A50EA"/>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58A1"/>
    <w:rsid w:val="001D58C2"/>
    <w:rsid w:val="001D5A8A"/>
    <w:rsid w:val="001D61CA"/>
    <w:rsid w:val="001D6E87"/>
    <w:rsid w:val="001D735E"/>
    <w:rsid w:val="001D73C8"/>
    <w:rsid w:val="001D7BC6"/>
    <w:rsid w:val="001E129E"/>
    <w:rsid w:val="001E175C"/>
    <w:rsid w:val="001E1B0E"/>
    <w:rsid w:val="001E3B63"/>
    <w:rsid w:val="001E5A94"/>
    <w:rsid w:val="001F2A2E"/>
    <w:rsid w:val="001F3356"/>
    <w:rsid w:val="001F3C63"/>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33CD"/>
    <w:rsid w:val="002535EA"/>
    <w:rsid w:val="00254EAB"/>
    <w:rsid w:val="002557AF"/>
    <w:rsid w:val="0025589C"/>
    <w:rsid w:val="00255B62"/>
    <w:rsid w:val="002566B1"/>
    <w:rsid w:val="002575E3"/>
    <w:rsid w:val="00257A74"/>
    <w:rsid w:val="002603C1"/>
    <w:rsid w:val="002609A1"/>
    <w:rsid w:val="002612B1"/>
    <w:rsid w:val="00266165"/>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60BB"/>
    <w:rsid w:val="002C661A"/>
    <w:rsid w:val="002D0D6F"/>
    <w:rsid w:val="002D25FC"/>
    <w:rsid w:val="002D4AC6"/>
    <w:rsid w:val="002D5BF5"/>
    <w:rsid w:val="002D5EE8"/>
    <w:rsid w:val="002D7360"/>
    <w:rsid w:val="002D7648"/>
    <w:rsid w:val="002E109C"/>
    <w:rsid w:val="002E193E"/>
    <w:rsid w:val="002E1A94"/>
    <w:rsid w:val="002E1D55"/>
    <w:rsid w:val="002E26C4"/>
    <w:rsid w:val="002E30A5"/>
    <w:rsid w:val="002E47E4"/>
    <w:rsid w:val="002E4BF9"/>
    <w:rsid w:val="002E4D61"/>
    <w:rsid w:val="002E68A7"/>
    <w:rsid w:val="002E6E6C"/>
    <w:rsid w:val="002F0522"/>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CC1"/>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797C"/>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22E"/>
    <w:rsid w:val="004B72E8"/>
    <w:rsid w:val="004C01A5"/>
    <w:rsid w:val="004C041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182"/>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757"/>
    <w:rsid w:val="00573733"/>
    <w:rsid w:val="00573F8B"/>
    <w:rsid w:val="00574554"/>
    <w:rsid w:val="00574E06"/>
    <w:rsid w:val="005751BB"/>
    <w:rsid w:val="00576089"/>
    <w:rsid w:val="005764B1"/>
    <w:rsid w:val="00576852"/>
    <w:rsid w:val="00576D06"/>
    <w:rsid w:val="005779E4"/>
    <w:rsid w:val="00580EC7"/>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BAF"/>
    <w:rsid w:val="005B4DA3"/>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34B2"/>
    <w:rsid w:val="005D3B54"/>
    <w:rsid w:val="005D40CD"/>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7EEE"/>
    <w:rsid w:val="00620A1F"/>
    <w:rsid w:val="0062169D"/>
    <w:rsid w:val="0062181E"/>
    <w:rsid w:val="0062211B"/>
    <w:rsid w:val="00622BB7"/>
    <w:rsid w:val="00622C1E"/>
    <w:rsid w:val="00623389"/>
    <w:rsid w:val="00623DAA"/>
    <w:rsid w:val="00623FAF"/>
    <w:rsid w:val="006265C4"/>
    <w:rsid w:val="0062678A"/>
    <w:rsid w:val="006270A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16EA"/>
    <w:rsid w:val="006B1780"/>
    <w:rsid w:val="006B224E"/>
    <w:rsid w:val="006B376E"/>
    <w:rsid w:val="006B4589"/>
    <w:rsid w:val="006B610E"/>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E12"/>
    <w:rsid w:val="006D70CB"/>
    <w:rsid w:val="006D715C"/>
    <w:rsid w:val="006D7363"/>
    <w:rsid w:val="006D774E"/>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31"/>
    <w:rsid w:val="006F3DE3"/>
    <w:rsid w:val="006F4787"/>
    <w:rsid w:val="006F61D8"/>
    <w:rsid w:val="006F62B7"/>
    <w:rsid w:val="006F70BC"/>
    <w:rsid w:val="006F7E7C"/>
    <w:rsid w:val="0070174E"/>
    <w:rsid w:val="007018DB"/>
    <w:rsid w:val="00701DE6"/>
    <w:rsid w:val="00702740"/>
    <w:rsid w:val="0070381B"/>
    <w:rsid w:val="0070796C"/>
    <w:rsid w:val="007109BB"/>
    <w:rsid w:val="00710EBF"/>
    <w:rsid w:val="007110B8"/>
    <w:rsid w:val="0071209F"/>
    <w:rsid w:val="007125A2"/>
    <w:rsid w:val="00713DD9"/>
    <w:rsid w:val="00713F79"/>
    <w:rsid w:val="007148A8"/>
    <w:rsid w:val="00716AC8"/>
    <w:rsid w:val="00716E54"/>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6218"/>
    <w:rsid w:val="007C6484"/>
    <w:rsid w:val="007C67C6"/>
    <w:rsid w:val="007C78BE"/>
    <w:rsid w:val="007C7E59"/>
    <w:rsid w:val="007D0476"/>
    <w:rsid w:val="007D0B91"/>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5E1"/>
    <w:rsid w:val="00813779"/>
    <w:rsid w:val="00813E26"/>
    <w:rsid w:val="0081481D"/>
    <w:rsid w:val="00814BE8"/>
    <w:rsid w:val="00814F6E"/>
    <w:rsid w:val="00815B84"/>
    <w:rsid w:val="00816BE9"/>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7526"/>
    <w:rsid w:val="008407A7"/>
    <w:rsid w:val="0084322B"/>
    <w:rsid w:val="00843F81"/>
    <w:rsid w:val="00844087"/>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671"/>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3B2D"/>
    <w:rsid w:val="008D58D9"/>
    <w:rsid w:val="008D5AD4"/>
    <w:rsid w:val="008D695E"/>
    <w:rsid w:val="008D6DD5"/>
    <w:rsid w:val="008D6E59"/>
    <w:rsid w:val="008D7155"/>
    <w:rsid w:val="008D76E0"/>
    <w:rsid w:val="008E0B29"/>
    <w:rsid w:val="008E141A"/>
    <w:rsid w:val="008E1A44"/>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21B1"/>
    <w:rsid w:val="00932ED7"/>
    <w:rsid w:val="0093422D"/>
    <w:rsid w:val="0093483B"/>
    <w:rsid w:val="00934CF9"/>
    <w:rsid w:val="00934DD7"/>
    <w:rsid w:val="009369A9"/>
    <w:rsid w:val="00936CF7"/>
    <w:rsid w:val="00937783"/>
    <w:rsid w:val="00937EAD"/>
    <w:rsid w:val="00937F28"/>
    <w:rsid w:val="00940FE1"/>
    <w:rsid w:val="00942306"/>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70F18"/>
    <w:rsid w:val="00971CF1"/>
    <w:rsid w:val="00971F5D"/>
    <w:rsid w:val="009721E9"/>
    <w:rsid w:val="00973772"/>
    <w:rsid w:val="0097560A"/>
    <w:rsid w:val="00975E1E"/>
    <w:rsid w:val="00975E70"/>
    <w:rsid w:val="009761DE"/>
    <w:rsid w:val="009766FA"/>
    <w:rsid w:val="00977CD6"/>
    <w:rsid w:val="0098048B"/>
    <w:rsid w:val="00980DF9"/>
    <w:rsid w:val="0098243D"/>
    <w:rsid w:val="00982D26"/>
    <w:rsid w:val="00983B6E"/>
    <w:rsid w:val="00983FE5"/>
    <w:rsid w:val="009849E9"/>
    <w:rsid w:val="009859E4"/>
    <w:rsid w:val="00987812"/>
    <w:rsid w:val="00990225"/>
    <w:rsid w:val="00992A13"/>
    <w:rsid w:val="00994AAD"/>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44D"/>
    <w:rsid w:val="00A2253D"/>
    <w:rsid w:val="00A2267F"/>
    <w:rsid w:val="00A22CDB"/>
    <w:rsid w:val="00A247B8"/>
    <w:rsid w:val="00A2495A"/>
    <w:rsid w:val="00A24C7A"/>
    <w:rsid w:val="00A24D8F"/>
    <w:rsid w:val="00A25B8B"/>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7FCC"/>
    <w:rsid w:val="00A70AA5"/>
    <w:rsid w:val="00A70C03"/>
    <w:rsid w:val="00A71256"/>
    <w:rsid w:val="00A7217B"/>
    <w:rsid w:val="00A73861"/>
    <w:rsid w:val="00A739A6"/>
    <w:rsid w:val="00A740ED"/>
    <w:rsid w:val="00A74C29"/>
    <w:rsid w:val="00A74C62"/>
    <w:rsid w:val="00A75EF9"/>
    <w:rsid w:val="00A8311C"/>
    <w:rsid w:val="00A835D0"/>
    <w:rsid w:val="00A84C5F"/>
    <w:rsid w:val="00A85930"/>
    <w:rsid w:val="00A863F7"/>
    <w:rsid w:val="00A86604"/>
    <w:rsid w:val="00A87519"/>
    <w:rsid w:val="00A9246D"/>
    <w:rsid w:val="00A92CCA"/>
    <w:rsid w:val="00A93BD0"/>
    <w:rsid w:val="00A93CC2"/>
    <w:rsid w:val="00A974CC"/>
    <w:rsid w:val="00AA2001"/>
    <w:rsid w:val="00AA2B5C"/>
    <w:rsid w:val="00AA32D2"/>
    <w:rsid w:val="00AA4016"/>
    <w:rsid w:val="00AA4C1F"/>
    <w:rsid w:val="00AA5328"/>
    <w:rsid w:val="00AA5393"/>
    <w:rsid w:val="00AA63D4"/>
    <w:rsid w:val="00AB03FD"/>
    <w:rsid w:val="00AB2000"/>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69F0"/>
    <w:rsid w:val="00AD7127"/>
    <w:rsid w:val="00AD730C"/>
    <w:rsid w:val="00AE123A"/>
    <w:rsid w:val="00AE1539"/>
    <w:rsid w:val="00AE28A7"/>
    <w:rsid w:val="00AE2A98"/>
    <w:rsid w:val="00AE2CF2"/>
    <w:rsid w:val="00AE3012"/>
    <w:rsid w:val="00AE33A6"/>
    <w:rsid w:val="00AE3729"/>
    <w:rsid w:val="00AE4CCE"/>
    <w:rsid w:val="00AE5C6A"/>
    <w:rsid w:val="00AE7280"/>
    <w:rsid w:val="00AF033A"/>
    <w:rsid w:val="00AF1699"/>
    <w:rsid w:val="00AF1FD3"/>
    <w:rsid w:val="00AF2910"/>
    <w:rsid w:val="00AF34B8"/>
    <w:rsid w:val="00AF3896"/>
    <w:rsid w:val="00AF3FC2"/>
    <w:rsid w:val="00B0098A"/>
    <w:rsid w:val="00B00A5F"/>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048A"/>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21E4"/>
    <w:rsid w:val="00B823E0"/>
    <w:rsid w:val="00B8260D"/>
    <w:rsid w:val="00B82B78"/>
    <w:rsid w:val="00B845B4"/>
    <w:rsid w:val="00B84662"/>
    <w:rsid w:val="00B84C74"/>
    <w:rsid w:val="00B85191"/>
    <w:rsid w:val="00B858A1"/>
    <w:rsid w:val="00B85FEC"/>
    <w:rsid w:val="00B864A3"/>
    <w:rsid w:val="00B86C2A"/>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1427"/>
    <w:rsid w:val="00C014C7"/>
    <w:rsid w:val="00C047AB"/>
    <w:rsid w:val="00C058AF"/>
    <w:rsid w:val="00C075B6"/>
    <w:rsid w:val="00C124C1"/>
    <w:rsid w:val="00C128AE"/>
    <w:rsid w:val="00C12BA8"/>
    <w:rsid w:val="00C136D6"/>
    <w:rsid w:val="00C13D5B"/>
    <w:rsid w:val="00C141D7"/>
    <w:rsid w:val="00C1711B"/>
    <w:rsid w:val="00C17AE2"/>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4619"/>
    <w:rsid w:val="00C35D01"/>
    <w:rsid w:val="00C360B3"/>
    <w:rsid w:val="00C37027"/>
    <w:rsid w:val="00C37B19"/>
    <w:rsid w:val="00C413CB"/>
    <w:rsid w:val="00C42752"/>
    <w:rsid w:val="00C42973"/>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3529"/>
    <w:rsid w:val="00CE35C8"/>
    <w:rsid w:val="00CE3962"/>
    <w:rsid w:val="00CE4D1A"/>
    <w:rsid w:val="00CE4E8A"/>
    <w:rsid w:val="00CE5105"/>
    <w:rsid w:val="00CE56BD"/>
    <w:rsid w:val="00CE5EC0"/>
    <w:rsid w:val="00CE6F9F"/>
    <w:rsid w:val="00CE781A"/>
    <w:rsid w:val="00CE7B08"/>
    <w:rsid w:val="00CE7D52"/>
    <w:rsid w:val="00CF1D74"/>
    <w:rsid w:val="00CF2BE2"/>
    <w:rsid w:val="00CF3DEB"/>
    <w:rsid w:val="00CF55F9"/>
    <w:rsid w:val="00CF7074"/>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185"/>
    <w:rsid w:val="00D33488"/>
    <w:rsid w:val="00D33AB3"/>
    <w:rsid w:val="00D33F24"/>
    <w:rsid w:val="00D34160"/>
    <w:rsid w:val="00D346B8"/>
    <w:rsid w:val="00D34DCA"/>
    <w:rsid w:val="00D35AC8"/>
    <w:rsid w:val="00D36F87"/>
    <w:rsid w:val="00D37E4E"/>
    <w:rsid w:val="00D417D8"/>
    <w:rsid w:val="00D41F78"/>
    <w:rsid w:val="00D42E6C"/>
    <w:rsid w:val="00D4351C"/>
    <w:rsid w:val="00D43B80"/>
    <w:rsid w:val="00D44988"/>
    <w:rsid w:val="00D45B4C"/>
    <w:rsid w:val="00D45BA4"/>
    <w:rsid w:val="00D471AF"/>
    <w:rsid w:val="00D4724F"/>
    <w:rsid w:val="00D50519"/>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4DB1"/>
    <w:rsid w:val="00E35931"/>
    <w:rsid w:val="00E359FF"/>
    <w:rsid w:val="00E402C5"/>
    <w:rsid w:val="00E402F4"/>
    <w:rsid w:val="00E405F1"/>
    <w:rsid w:val="00E417DB"/>
    <w:rsid w:val="00E43054"/>
    <w:rsid w:val="00E43655"/>
    <w:rsid w:val="00E44440"/>
    <w:rsid w:val="00E46013"/>
    <w:rsid w:val="00E47099"/>
    <w:rsid w:val="00E47284"/>
    <w:rsid w:val="00E477C3"/>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73D0"/>
    <w:rsid w:val="00EE7CB0"/>
    <w:rsid w:val="00EF08A8"/>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EA"/>
    <w:rsid w:val="00F070E5"/>
    <w:rsid w:val="00F07DDE"/>
    <w:rsid w:val="00F11675"/>
    <w:rsid w:val="00F12557"/>
    <w:rsid w:val="00F13599"/>
    <w:rsid w:val="00F13B28"/>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802"/>
    <w:rsid w:val="00F85B72"/>
    <w:rsid w:val="00F86540"/>
    <w:rsid w:val="00F865CE"/>
    <w:rsid w:val="00F8766F"/>
    <w:rsid w:val="00F91082"/>
    <w:rsid w:val="00F9116D"/>
    <w:rsid w:val="00F91A9A"/>
    <w:rsid w:val="00F93ABB"/>
    <w:rsid w:val="00F94D79"/>
    <w:rsid w:val="00F9658C"/>
    <w:rsid w:val="00F97A7F"/>
    <w:rsid w:val="00FA0889"/>
    <w:rsid w:val="00FA16E7"/>
    <w:rsid w:val="00FA31C7"/>
    <w:rsid w:val="00FA472D"/>
    <w:rsid w:val="00FA5C08"/>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822782"/>
    <w:rsid w:val="01933707"/>
    <w:rsid w:val="01A717A7"/>
    <w:rsid w:val="01AF3D99"/>
    <w:rsid w:val="021F6BC4"/>
    <w:rsid w:val="023F2212"/>
    <w:rsid w:val="02511F9D"/>
    <w:rsid w:val="025D014B"/>
    <w:rsid w:val="03336D85"/>
    <w:rsid w:val="03765E49"/>
    <w:rsid w:val="03907C79"/>
    <w:rsid w:val="03A314B8"/>
    <w:rsid w:val="03D82B98"/>
    <w:rsid w:val="03E63A70"/>
    <w:rsid w:val="03EC16A5"/>
    <w:rsid w:val="03F83E8B"/>
    <w:rsid w:val="049C1B9D"/>
    <w:rsid w:val="05A50F7C"/>
    <w:rsid w:val="05A54F7F"/>
    <w:rsid w:val="05C56868"/>
    <w:rsid w:val="05E45473"/>
    <w:rsid w:val="062A20E8"/>
    <w:rsid w:val="069114AA"/>
    <w:rsid w:val="06AB1A74"/>
    <w:rsid w:val="06CF7C57"/>
    <w:rsid w:val="070F3643"/>
    <w:rsid w:val="07B72767"/>
    <w:rsid w:val="07EA0493"/>
    <w:rsid w:val="08077E72"/>
    <w:rsid w:val="080E23F8"/>
    <w:rsid w:val="083D7E51"/>
    <w:rsid w:val="086A12BB"/>
    <w:rsid w:val="08882DD0"/>
    <w:rsid w:val="08907AC0"/>
    <w:rsid w:val="08CC7B29"/>
    <w:rsid w:val="08D74823"/>
    <w:rsid w:val="09A65139"/>
    <w:rsid w:val="09CC2AAC"/>
    <w:rsid w:val="09D26E76"/>
    <w:rsid w:val="09F34714"/>
    <w:rsid w:val="0A652D3E"/>
    <w:rsid w:val="0A6D6A3D"/>
    <w:rsid w:val="0AAA25AC"/>
    <w:rsid w:val="0AD805E2"/>
    <w:rsid w:val="0AFF72AA"/>
    <w:rsid w:val="0B013597"/>
    <w:rsid w:val="0B326F2A"/>
    <w:rsid w:val="0B5B3688"/>
    <w:rsid w:val="0BB9361D"/>
    <w:rsid w:val="0C120997"/>
    <w:rsid w:val="0C1E2888"/>
    <w:rsid w:val="0C92213C"/>
    <w:rsid w:val="0CA84E57"/>
    <w:rsid w:val="0D84032B"/>
    <w:rsid w:val="0DBA7538"/>
    <w:rsid w:val="0E0B7D94"/>
    <w:rsid w:val="0E514724"/>
    <w:rsid w:val="0E614144"/>
    <w:rsid w:val="0F0D2436"/>
    <w:rsid w:val="0F2A74C4"/>
    <w:rsid w:val="0F6F57D8"/>
    <w:rsid w:val="0F75786B"/>
    <w:rsid w:val="0F9C5147"/>
    <w:rsid w:val="0FF94348"/>
    <w:rsid w:val="10525806"/>
    <w:rsid w:val="105E064F"/>
    <w:rsid w:val="10A27F31"/>
    <w:rsid w:val="11130EC6"/>
    <w:rsid w:val="11927058"/>
    <w:rsid w:val="119D450C"/>
    <w:rsid w:val="12313F9C"/>
    <w:rsid w:val="132C7D67"/>
    <w:rsid w:val="13886F20"/>
    <w:rsid w:val="13AF4F03"/>
    <w:rsid w:val="13CE16E3"/>
    <w:rsid w:val="13EB3EF3"/>
    <w:rsid w:val="141176C7"/>
    <w:rsid w:val="145B541B"/>
    <w:rsid w:val="14736E66"/>
    <w:rsid w:val="147F458F"/>
    <w:rsid w:val="14D958EC"/>
    <w:rsid w:val="15121B4E"/>
    <w:rsid w:val="1534169A"/>
    <w:rsid w:val="15463C75"/>
    <w:rsid w:val="15603936"/>
    <w:rsid w:val="15C03E03"/>
    <w:rsid w:val="15F731EB"/>
    <w:rsid w:val="162A25EB"/>
    <w:rsid w:val="165F0B39"/>
    <w:rsid w:val="165F2903"/>
    <w:rsid w:val="16FD2A55"/>
    <w:rsid w:val="17067C1A"/>
    <w:rsid w:val="17366761"/>
    <w:rsid w:val="175616EA"/>
    <w:rsid w:val="177C01F0"/>
    <w:rsid w:val="17CE6630"/>
    <w:rsid w:val="17FC49AA"/>
    <w:rsid w:val="17FD4202"/>
    <w:rsid w:val="18550589"/>
    <w:rsid w:val="189B6607"/>
    <w:rsid w:val="18FC36D9"/>
    <w:rsid w:val="19181366"/>
    <w:rsid w:val="19D42BC3"/>
    <w:rsid w:val="1A574F73"/>
    <w:rsid w:val="1A8D20B5"/>
    <w:rsid w:val="1AFF0AFE"/>
    <w:rsid w:val="1B0D35A9"/>
    <w:rsid w:val="1B254681"/>
    <w:rsid w:val="1B4F19F8"/>
    <w:rsid w:val="1BBE3B7A"/>
    <w:rsid w:val="1BF07BE4"/>
    <w:rsid w:val="1C226F03"/>
    <w:rsid w:val="1C7C56E6"/>
    <w:rsid w:val="1C833B33"/>
    <w:rsid w:val="1CD75A11"/>
    <w:rsid w:val="1CE555E9"/>
    <w:rsid w:val="1D7417D3"/>
    <w:rsid w:val="1DC11BA0"/>
    <w:rsid w:val="1E4946EC"/>
    <w:rsid w:val="1EB63404"/>
    <w:rsid w:val="1ECC44FA"/>
    <w:rsid w:val="1EDA01AA"/>
    <w:rsid w:val="1EEA367A"/>
    <w:rsid w:val="1F063325"/>
    <w:rsid w:val="1F7B1096"/>
    <w:rsid w:val="1FBC5DF5"/>
    <w:rsid w:val="1FF90588"/>
    <w:rsid w:val="20247B33"/>
    <w:rsid w:val="20C3623F"/>
    <w:rsid w:val="20C525AE"/>
    <w:rsid w:val="20CB3F48"/>
    <w:rsid w:val="21781212"/>
    <w:rsid w:val="21B83F86"/>
    <w:rsid w:val="22014AC0"/>
    <w:rsid w:val="221178A8"/>
    <w:rsid w:val="221213CF"/>
    <w:rsid w:val="221E7E31"/>
    <w:rsid w:val="22327A92"/>
    <w:rsid w:val="223707CE"/>
    <w:rsid w:val="226C56FE"/>
    <w:rsid w:val="231963AF"/>
    <w:rsid w:val="231D0BDB"/>
    <w:rsid w:val="231D53A2"/>
    <w:rsid w:val="236D5383"/>
    <w:rsid w:val="238125CA"/>
    <w:rsid w:val="23B7504C"/>
    <w:rsid w:val="241D3F64"/>
    <w:rsid w:val="24571307"/>
    <w:rsid w:val="248649DE"/>
    <w:rsid w:val="25110A2A"/>
    <w:rsid w:val="256C0944"/>
    <w:rsid w:val="26446DE3"/>
    <w:rsid w:val="269669E7"/>
    <w:rsid w:val="26B67982"/>
    <w:rsid w:val="26D7699F"/>
    <w:rsid w:val="26E95F63"/>
    <w:rsid w:val="275E2502"/>
    <w:rsid w:val="27856069"/>
    <w:rsid w:val="27C44DE4"/>
    <w:rsid w:val="287A2567"/>
    <w:rsid w:val="28B36B23"/>
    <w:rsid w:val="28D129F1"/>
    <w:rsid w:val="29AD5F95"/>
    <w:rsid w:val="29DE6C29"/>
    <w:rsid w:val="29DF4A25"/>
    <w:rsid w:val="2A3925BD"/>
    <w:rsid w:val="2A4F781B"/>
    <w:rsid w:val="2A6E6A55"/>
    <w:rsid w:val="2AEE38DA"/>
    <w:rsid w:val="2AF77149"/>
    <w:rsid w:val="2B774624"/>
    <w:rsid w:val="2B797C70"/>
    <w:rsid w:val="2B9522A4"/>
    <w:rsid w:val="2B957A7B"/>
    <w:rsid w:val="2BC5453C"/>
    <w:rsid w:val="2C0A5198"/>
    <w:rsid w:val="2C7A72BE"/>
    <w:rsid w:val="2C9A7D75"/>
    <w:rsid w:val="2CC17412"/>
    <w:rsid w:val="2CC567B5"/>
    <w:rsid w:val="2D1C0B08"/>
    <w:rsid w:val="2D4D13D7"/>
    <w:rsid w:val="2D73311E"/>
    <w:rsid w:val="2D832210"/>
    <w:rsid w:val="2E9976CE"/>
    <w:rsid w:val="2EA80F9F"/>
    <w:rsid w:val="2F401D3C"/>
    <w:rsid w:val="2F5B24E1"/>
    <w:rsid w:val="2FA95C88"/>
    <w:rsid w:val="2FC82297"/>
    <w:rsid w:val="3014779E"/>
    <w:rsid w:val="3041370F"/>
    <w:rsid w:val="30527FC2"/>
    <w:rsid w:val="31140D75"/>
    <w:rsid w:val="312B50A3"/>
    <w:rsid w:val="32453A27"/>
    <w:rsid w:val="3263064A"/>
    <w:rsid w:val="326B181B"/>
    <w:rsid w:val="32A43132"/>
    <w:rsid w:val="32AC0C06"/>
    <w:rsid w:val="32E84ADE"/>
    <w:rsid w:val="33344EF5"/>
    <w:rsid w:val="33AE4B18"/>
    <w:rsid w:val="33C502AA"/>
    <w:rsid w:val="33EA56D5"/>
    <w:rsid w:val="34076784"/>
    <w:rsid w:val="3537750C"/>
    <w:rsid w:val="3537798C"/>
    <w:rsid w:val="355E4C1A"/>
    <w:rsid w:val="35A324DC"/>
    <w:rsid w:val="35C13FC9"/>
    <w:rsid w:val="364257B6"/>
    <w:rsid w:val="368F0563"/>
    <w:rsid w:val="36CA5847"/>
    <w:rsid w:val="37264059"/>
    <w:rsid w:val="374B3ADD"/>
    <w:rsid w:val="376F6B42"/>
    <w:rsid w:val="37EA5922"/>
    <w:rsid w:val="380F3595"/>
    <w:rsid w:val="38276B93"/>
    <w:rsid w:val="38AC3431"/>
    <w:rsid w:val="392F2E16"/>
    <w:rsid w:val="39784D33"/>
    <w:rsid w:val="39D826B2"/>
    <w:rsid w:val="39E00529"/>
    <w:rsid w:val="3A0B64A7"/>
    <w:rsid w:val="3A3C4354"/>
    <w:rsid w:val="3A41502E"/>
    <w:rsid w:val="3A574DDA"/>
    <w:rsid w:val="3A992100"/>
    <w:rsid w:val="3AD0506E"/>
    <w:rsid w:val="3AD3075A"/>
    <w:rsid w:val="3AF74C02"/>
    <w:rsid w:val="3B0E10B6"/>
    <w:rsid w:val="3B171E50"/>
    <w:rsid w:val="3B722D63"/>
    <w:rsid w:val="3BF1544C"/>
    <w:rsid w:val="3C0059A5"/>
    <w:rsid w:val="3C134E78"/>
    <w:rsid w:val="3C471F69"/>
    <w:rsid w:val="3DEC7285"/>
    <w:rsid w:val="3DF6345D"/>
    <w:rsid w:val="3E265A58"/>
    <w:rsid w:val="3E2B5515"/>
    <w:rsid w:val="3E410595"/>
    <w:rsid w:val="3E417D68"/>
    <w:rsid w:val="3E4D4F28"/>
    <w:rsid w:val="3E593FC8"/>
    <w:rsid w:val="3EAD3FF2"/>
    <w:rsid w:val="3EE13701"/>
    <w:rsid w:val="3F1A4BB3"/>
    <w:rsid w:val="3F7138D8"/>
    <w:rsid w:val="3F7363D6"/>
    <w:rsid w:val="3FB85D59"/>
    <w:rsid w:val="3FC829EB"/>
    <w:rsid w:val="3FD6525C"/>
    <w:rsid w:val="40192BA6"/>
    <w:rsid w:val="40445977"/>
    <w:rsid w:val="404D10DD"/>
    <w:rsid w:val="40784177"/>
    <w:rsid w:val="40C32167"/>
    <w:rsid w:val="41766EA9"/>
    <w:rsid w:val="41802257"/>
    <w:rsid w:val="420A743F"/>
    <w:rsid w:val="42550A18"/>
    <w:rsid w:val="425C1847"/>
    <w:rsid w:val="429D496A"/>
    <w:rsid w:val="42F473A1"/>
    <w:rsid w:val="431A3582"/>
    <w:rsid w:val="43285FDD"/>
    <w:rsid w:val="432A7D99"/>
    <w:rsid w:val="437E1E93"/>
    <w:rsid w:val="43D8198F"/>
    <w:rsid w:val="43E01A91"/>
    <w:rsid w:val="441E62C0"/>
    <w:rsid w:val="442C7B41"/>
    <w:rsid w:val="4462631A"/>
    <w:rsid w:val="446C56F1"/>
    <w:rsid w:val="44F07163"/>
    <w:rsid w:val="45325D14"/>
    <w:rsid w:val="457F16CE"/>
    <w:rsid w:val="45811C7C"/>
    <w:rsid w:val="45906116"/>
    <w:rsid w:val="45BE6EBE"/>
    <w:rsid w:val="45C142B9"/>
    <w:rsid w:val="464D72D0"/>
    <w:rsid w:val="46564FD1"/>
    <w:rsid w:val="468B3EFB"/>
    <w:rsid w:val="46BA2861"/>
    <w:rsid w:val="46BB1CEB"/>
    <w:rsid w:val="46DA47E3"/>
    <w:rsid w:val="470A6193"/>
    <w:rsid w:val="47156F84"/>
    <w:rsid w:val="47385210"/>
    <w:rsid w:val="474006A1"/>
    <w:rsid w:val="477A4C31"/>
    <w:rsid w:val="477E202B"/>
    <w:rsid w:val="47B13644"/>
    <w:rsid w:val="47C84024"/>
    <w:rsid w:val="47DC4F5C"/>
    <w:rsid w:val="4836049D"/>
    <w:rsid w:val="48B40671"/>
    <w:rsid w:val="48CA1E2D"/>
    <w:rsid w:val="48D65E0A"/>
    <w:rsid w:val="48F87254"/>
    <w:rsid w:val="49101AD8"/>
    <w:rsid w:val="49392F4A"/>
    <w:rsid w:val="499B5738"/>
    <w:rsid w:val="499F244D"/>
    <w:rsid w:val="49B936D1"/>
    <w:rsid w:val="49D2118A"/>
    <w:rsid w:val="49D8310C"/>
    <w:rsid w:val="4A633B41"/>
    <w:rsid w:val="4A7A6547"/>
    <w:rsid w:val="4A973F3F"/>
    <w:rsid w:val="4A9D1197"/>
    <w:rsid w:val="4AF96BC7"/>
    <w:rsid w:val="4B5A416B"/>
    <w:rsid w:val="4B862A85"/>
    <w:rsid w:val="4BC9211A"/>
    <w:rsid w:val="4C8226F4"/>
    <w:rsid w:val="4C8C3AB9"/>
    <w:rsid w:val="4CC76658"/>
    <w:rsid w:val="4CEF36E2"/>
    <w:rsid w:val="4CEF4DC5"/>
    <w:rsid w:val="4E257655"/>
    <w:rsid w:val="4E445393"/>
    <w:rsid w:val="4E8E7871"/>
    <w:rsid w:val="4ECF0358"/>
    <w:rsid w:val="4F372380"/>
    <w:rsid w:val="4F372FFB"/>
    <w:rsid w:val="4FAB6DF8"/>
    <w:rsid w:val="4FFA1A87"/>
    <w:rsid w:val="500F4BCF"/>
    <w:rsid w:val="5025116D"/>
    <w:rsid w:val="51073309"/>
    <w:rsid w:val="520B136E"/>
    <w:rsid w:val="5233284E"/>
    <w:rsid w:val="52395ECD"/>
    <w:rsid w:val="52613EAD"/>
    <w:rsid w:val="528C1C65"/>
    <w:rsid w:val="52C10D75"/>
    <w:rsid w:val="52D370E0"/>
    <w:rsid w:val="53C27FF8"/>
    <w:rsid w:val="541744D2"/>
    <w:rsid w:val="54611439"/>
    <w:rsid w:val="549E1A80"/>
    <w:rsid w:val="54C658F4"/>
    <w:rsid w:val="54F225CB"/>
    <w:rsid w:val="550C4BD7"/>
    <w:rsid w:val="5543596A"/>
    <w:rsid w:val="554C1D56"/>
    <w:rsid w:val="55572986"/>
    <w:rsid w:val="55680542"/>
    <w:rsid w:val="558530CC"/>
    <w:rsid w:val="55B57590"/>
    <w:rsid w:val="55C062DD"/>
    <w:rsid w:val="55F3310C"/>
    <w:rsid w:val="564A0361"/>
    <w:rsid w:val="565340FA"/>
    <w:rsid w:val="5723343E"/>
    <w:rsid w:val="573D7EAB"/>
    <w:rsid w:val="57546FBA"/>
    <w:rsid w:val="576E743F"/>
    <w:rsid w:val="582F6169"/>
    <w:rsid w:val="58AE691E"/>
    <w:rsid w:val="5907056A"/>
    <w:rsid w:val="59411F9F"/>
    <w:rsid w:val="59785B8C"/>
    <w:rsid w:val="599D77C8"/>
    <w:rsid w:val="59B85AE9"/>
    <w:rsid w:val="59E87FD4"/>
    <w:rsid w:val="5A0A35D4"/>
    <w:rsid w:val="5A2F2CC8"/>
    <w:rsid w:val="5A3A2B60"/>
    <w:rsid w:val="5A7D2AEB"/>
    <w:rsid w:val="5AC42429"/>
    <w:rsid w:val="5ACC2A0E"/>
    <w:rsid w:val="5B255422"/>
    <w:rsid w:val="5B265B08"/>
    <w:rsid w:val="5BA26962"/>
    <w:rsid w:val="5BA73E63"/>
    <w:rsid w:val="5BDC01A7"/>
    <w:rsid w:val="5C10702D"/>
    <w:rsid w:val="5C152601"/>
    <w:rsid w:val="5C3F1DA9"/>
    <w:rsid w:val="5C591F03"/>
    <w:rsid w:val="5C8A1B2F"/>
    <w:rsid w:val="5CD703DF"/>
    <w:rsid w:val="5CDA7EC9"/>
    <w:rsid w:val="5D267F6F"/>
    <w:rsid w:val="5D4058C1"/>
    <w:rsid w:val="5D914004"/>
    <w:rsid w:val="5E766D43"/>
    <w:rsid w:val="5F561B72"/>
    <w:rsid w:val="5F984D27"/>
    <w:rsid w:val="5FC00C6C"/>
    <w:rsid w:val="601E1B01"/>
    <w:rsid w:val="606007BB"/>
    <w:rsid w:val="60AC7F66"/>
    <w:rsid w:val="60DB77FA"/>
    <w:rsid w:val="61BF10D9"/>
    <w:rsid w:val="61C53F19"/>
    <w:rsid w:val="61DA3D4C"/>
    <w:rsid w:val="61EA496C"/>
    <w:rsid w:val="62AC22DC"/>
    <w:rsid w:val="63394059"/>
    <w:rsid w:val="637D23AB"/>
    <w:rsid w:val="63B374DF"/>
    <w:rsid w:val="6410009D"/>
    <w:rsid w:val="646E335A"/>
    <w:rsid w:val="64A07C3E"/>
    <w:rsid w:val="64E45EF7"/>
    <w:rsid w:val="65155D05"/>
    <w:rsid w:val="65583D7D"/>
    <w:rsid w:val="65D04378"/>
    <w:rsid w:val="65D80364"/>
    <w:rsid w:val="663A7A43"/>
    <w:rsid w:val="663B7981"/>
    <w:rsid w:val="664F3968"/>
    <w:rsid w:val="665F536C"/>
    <w:rsid w:val="6691014E"/>
    <w:rsid w:val="66961C35"/>
    <w:rsid w:val="66C87CCE"/>
    <w:rsid w:val="66CC2611"/>
    <w:rsid w:val="67144738"/>
    <w:rsid w:val="677435B2"/>
    <w:rsid w:val="67D50383"/>
    <w:rsid w:val="67EF75F1"/>
    <w:rsid w:val="67FB209D"/>
    <w:rsid w:val="68435A3D"/>
    <w:rsid w:val="68FD36D6"/>
    <w:rsid w:val="69124F16"/>
    <w:rsid w:val="694A5205"/>
    <w:rsid w:val="69CD5C14"/>
    <w:rsid w:val="69CF0D33"/>
    <w:rsid w:val="6AF13BD6"/>
    <w:rsid w:val="6AF36B85"/>
    <w:rsid w:val="6B3D2788"/>
    <w:rsid w:val="6B963597"/>
    <w:rsid w:val="6B9946B3"/>
    <w:rsid w:val="6BF022C7"/>
    <w:rsid w:val="6C0224B2"/>
    <w:rsid w:val="6C7007C7"/>
    <w:rsid w:val="6D0E674B"/>
    <w:rsid w:val="6D1C3D4F"/>
    <w:rsid w:val="6DE76850"/>
    <w:rsid w:val="6EEB55FE"/>
    <w:rsid w:val="6F103A37"/>
    <w:rsid w:val="6F53759C"/>
    <w:rsid w:val="6FB20BD4"/>
    <w:rsid w:val="6FB650F7"/>
    <w:rsid w:val="6FBA59BE"/>
    <w:rsid w:val="6FDB2297"/>
    <w:rsid w:val="6FFD4F62"/>
    <w:rsid w:val="70296B3E"/>
    <w:rsid w:val="7050295F"/>
    <w:rsid w:val="70611204"/>
    <w:rsid w:val="717C673D"/>
    <w:rsid w:val="71EC078C"/>
    <w:rsid w:val="71F85B6D"/>
    <w:rsid w:val="72F86CBC"/>
    <w:rsid w:val="73C32BEE"/>
    <w:rsid w:val="74221BDB"/>
    <w:rsid w:val="74B775BA"/>
    <w:rsid w:val="74B87FBF"/>
    <w:rsid w:val="74FA2C30"/>
    <w:rsid w:val="754D5C4B"/>
    <w:rsid w:val="756C1AA4"/>
    <w:rsid w:val="75B754E0"/>
    <w:rsid w:val="75CB3D87"/>
    <w:rsid w:val="75D40971"/>
    <w:rsid w:val="75D80B91"/>
    <w:rsid w:val="761E1F9A"/>
    <w:rsid w:val="76787A16"/>
    <w:rsid w:val="76C240A7"/>
    <w:rsid w:val="76D733F1"/>
    <w:rsid w:val="76DB0DCF"/>
    <w:rsid w:val="76F94C58"/>
    <w:rsid w:val="775246B7"/>
    <w:rsid w:val="775818AC"/>
    <w:rsid w:val="776E05AD"/>
    <w:rsid w:val="77F81A56"/>
    <w:rsid w:val="781E69D1"/>
    <w:rsid w:val="7831514A"/>
    <w:rsid w:val="78FB168A"/>
    <w:rsid w:val="79053481"/>
    <w:rsid w:val="790F08A5"/>
    <w:rsid w:val="792B7DEB"/>
    <w:rsid w:val="79956E9C"/>
    <w:rsid w:val="79A33E26"/>
    <w:rsid w:val="7A263B6B"/>
    <w:rsid w:val="7A3341CB"/>
    <w:rsid w:val="7A66770D"/>
    <w:rsid w:val="7AF46346"/>
    <w:rsid w:val="7B0F5EBF"/>
    <w:rsid w:val="7B130FB9"/>
    <w:rsid w:val="7B436EEC"/>
    <w:rsid w:val="7BED5B47"/>
    <w:rsid w:val="7BF64EDE"/>
    <w:rsid w:val="7C400C1E"/>
    <w:rsid w:val="7C522392"/>
    <w:rsid w:val="7CA26617"/>
    <w:rsid w:val="7CB63E70"/>
    <w:rsid w:val="7CFE6DE4"/>
    <w:rsid w:val="7D022E9F"/>
    <w:rsid w:val="7DA62054"/>
    <w:rsid w:val="7DD11708"/>
    <w:rsid w:val="7DD34BB2"/>
    <w:rsid w:val="7E5F4093"/>
    <w:rsid w:val="7E7026C5"/>
    <w:rsid w:val="7EA11727"/>
    <w:rsid w:val="7EB72D23"/>
    <w:rsid w:val="7EBD579E"/>
    <w:rsid w:val="7EC167BD"/>
    <w:rsid w:val="7EF0681C"/>
    <w:rsid w:val="7F272D9E"/>
    <w:rsid w:val="7FD5216D"/>
    <w:rsid w:val="7FD954F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5"/>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unhideWhenUsed/>
    <w:qFormat/>
    <w:uiPriority w:val="9"/>
    <w:pPr>
      <w:keepNext/>
      <w:keepLines/>
      <w:numPr>
        <w:ilvl w:val="2"/>
        <w:numId w:val="1"/>
      </w:numPr>
      <w:tabs>
        <w:tab w:val="left" w:pos="0"/>
      </w:tabs>
      <w:spacing w:before="260" w:after="260" w:line="413" w:lineRule="auto"/>
      <w:outlineLvl w:val="2"/>
    </w:pPr>
    <w:rPr>
      <w:b/>
      <w:sz w:val="32"/>
    </w:rPr>
  </w:style>
  <w:style w:type="paragraph" w:styleId="6">
    <w:name w:val="heading 4"/>
    <w:basedOn w:val="1"/>
    <w:next w:val="1"/>
    <w:qFormat/>
    <w:uiPriority w:val="0"/>
    <w:pPr>
      <w:ind w:firstLine="680"/>
      <w:outlineLvl w:val="3"/>
    </w:pPr>
    <w:rPr>
      <w:rFonts w:ascii="宋体"/>
      <w:sz w:val="28"/>
      <w:szCs w:val="20"/>
    </w:rPr>
  </w:style>
  <w:style w:type="paragraph" w:styleId="7">
    <w:name w:val="heading 5"/>
    <w:basedOn w:val="1"/>
    <w:next w:val="8"/>
    <w:link w:val="41"/>
    <w:qFormat/>
    <w:uiPriority w:val="9"/>
    <w:pPr>
      <w:keepNext/>
      <w:keepLines/>
      <w:spacing w:before="280" w:after="290" w:line="376" w:lineRule="auto"/>
      <w:outlineLvl w:val="4"/>
    </w:pPr>
    <w:rPr>
      <w:b/>
      <w:bCs/>
      <w:sz w:val="28"/>
      <w:szCs w:val="28"/>
    </w:rPr>
  </w:style>
  <w:style w:type="paragraph" w:styleId="9">
    <w:name w:val="heading 8"/>
    <w:basedOn w:val="1"/>
    <w:next w:val="1"/>
    <w:link w:val="42"/>
    <w:qFormat/>
    <w:uiPriority w:val="9"/>
    <w:pPr>
      <w:keepNext/>
      <w:keepLines/>
      <w:spacing w:before="240" w:after="64" w:line="320" w:lineRule="auto"/>
      <w:outlineLvl w:val="7"/>
    </w:pPr>
    <w:rPr>
      <w:rFonts w:ascii="等线 Light" w:hAnsi="等线 Light" w:eastAsia="等线 Light"/>
      <w:sz w:val="24"/>
    </w:rPr>
  </w:style>
  <w:style w:type="character" w:default="1" w:styleId="31">
    <w:name w:val="Default Paragraph Font"/>
    <w:unhideWhenUsed/>
    <w:qFormat/>
    <w:uiPriority w:val="1"/>
  </w:style>
  <w:style w:type="table" w:default="1" w:styleId="29">
    <w:name w:val="Normal Table"/>
    <w:unhideWhenUsed/>
    <w:qFormat/>
    <w:uiPriority w:val="99"/>
    <w:tblPr>
      <w:tblCellMar>
        <w:top w:w="0" w:type="dxa"/>
        <w:left w:w="108" w:type="dxa"/>
        <w:bottom w:w="0" w:type="dxa"/>
        <w:right w:w="108" w:type="dxa"/>
      </w:tblCellMar>
    </w:tblPr>
  </w:style>
  <w:style w:type="paragraph" w:styleId="2">
    <w:name w:val="footer"/>
    <w:basedOn w:val="1"/>
    <w:next w:val="1"/>
    <w:link w:val="49"/>
    <w:unhideWhenUsed/>
    <w:qFormat/>
    <w:uiPriority w:val="99"/>
    <w:pPr>
      <w:tabs>
        <w:tab w:val="center" w:pos="4153"/>
        <w:tab w:val="right" w:pos="8306"/>
      </w:tabs>
      <w:snapToGrid w:val="0"/>
      <w:jc w:val="left"/>
    </w:pPr>
    <w:rPr>
      <w:kern w:val="0"/>
      <w:sz w:val="18"/>
      <w:szCs w:val="18"/>
    </w:rPr>
  </w:style>
  <w:style w:type="paragraph" w:styleId="8">
    <w:name w:val="Normal Indent"/>
    <w:basedOn w:val="1"/>
    <w:qFormat/>
    <w:uiPriority w:val="0"/>
    <w:pPr>
      <w:ind w:firstLine="420"/>
    </w:pPr>
    <w:rPr>
      <w:szCs w:val="20"/>
    </w:rPr>
  </w:style>
  <w:style w:type="paragraph" w:styleId="10">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1">
    <w:name w:val="annotation text"/>
    <w:basedOn w:val="1"/>
    <w:link w:val="43"/>
    <w:qFormat/>
    <w:uiPriority w:val="0"/>
    <w:pPr>
      <w:jc w:val="left"/>
    </w:pPr>
  </w:style>
  <w:style w:type="paragraph" w:styleId="12">
    <w:name w:val="Body Text 3"/>
    <w:basedOn w:val="1"/>
    <w:link w:val="44"/>
    <w:unhideWhenUsed/>
    <w:qFormat/>
    <w:uiPriority w:val="99"/>
    <w:pPr>
      <w:spacing w:after="120"/>
    </w:pPr>
    <w:rPr>
      <w:sz w:val="16"/>
      <w:szCs w:val="16"/>
    </w:rPr>
  </w:style>
  <w:style w:type="paragraph" w:styleId="13">
    <w:name w:val="Body Text"/>
    <w:basedOn w:val="1"/>
    <w:link w:val="45"/>
    <w:unhideWhenUsed/>
    <w:qFormat/>
    <w:uiPriority w:val="0"/>
    <w:pPr>
      <w:spacing w:after="120"/>
    </w:pPr>
  </w:style>
  <w:style w:type="paragraph" w:styleId="14">
    <w:name w:val="Body Text Indent"/>
    <w:basedOn w:val="1"/>
    <w:next w:val="15"/>
    <w:link w:val="46"/>
    <w:qFormat/>
    <w:uiPriority w:val="0"/>
    <w:pPr>
      <w:ind w:firstLine="830" w:firstLineChars="352"/>
    </w:pPr>
    <w:rPr>
      <w:rFonts w:ascii="仿宋_GB2312" w:eastAsia="仿宋_GB2312"/>
      <w:kern w:val="0"/>
      <w:sz w:val="32"/>
      <w:szCs w:val="20"/>
    </w:rPr>
  </w:style>
  <w:style w:type="paragraph" w:styleId="15">
    <w:name w:val="envelope return"/>
    <w:basedOn w:val="1"/>
    <w:qFormat/>
    <w:uiPriority w:val="0"/>
    <w:pPr>
      <w:snapToGrid w:val="0"/>
    </w:pPr>
    <w:rPr>
      <w:rFonts w:ascii="Arial" w:hAnsi="Arial" w:cs="Arial"/>
      <w:szCs w:val="24"/>
    </w:rPr>
  </w:style>
  <w:style w:type="paragraph" w:styleId="16">
    <w:name w:val="List 2"/>
    <w:basedOn w:val="1"/>
    <w:unhideWhenUsed/>
    <w:qFormat/>
    <w:uiPriority w:val="99"/>
    <w:pPr>
      <w:ind w:left="100" w:leftChars="200" w:hanging="200" w:hangingChars="200"/>
      <w:contextualSpacing/>
    </w:pPr>
  </w:style>
  <w:style w:type="paragraph" w:styleId="17">
    <w:name w:val="toc 3"/>
    <w:basedOn w:val="1"/>
    <w:next w:val="1"/>
    <w:semiHidden/>
    <w:unhideWhenUsed/>
    <w:qFormat/>
    <w:uiPriority w:val="39"/>
    <w:pPr>
      <w:ind w:left="840" w:leftChars="400"/>
    </w:pPr>
  </w:style>
  <w:style w:type="paragraph" w:styleId="18">
    <w:name w:val="Plain Text"/>
    <w:basedOn w:val="1"/>
    <w:next w:val="1"/>
    <w:link w:val="47"/>
    <w:qFormat/>
    <w:uiPriority w:val="0"/>
    <w:rPr>
      <w:rFonts w:ascii="宋体" w:hAnsi="Courier New"/>
      <w:kern w:val="0"/>
      <w:sz w:val="20"/>
      <w:szCs w:val="21"/>
    </w:rPr>
  </w:style>
  <w:style w:type="paragraph" w:styleId="19">
    <w:name w:val="Date"/>
    <w:basedOn w:val="1"/>
    <w:next w:val="1"/>
    <w:link w:val="48"/>
    <w:unhideWhenUsed/>
    <w:qFormat/>
    <w:uiPriority w:val="99"/>
    <w:pPr>
      <w:ind w:left="100" w:leftChars="2500"/>
    </w:pPr>
  </w:style>
  <w:style w:type="paragraph" w:styleId="20">
    <w:name w:val="Balloon Text"/>
    <w:basedOn w:val="1"/>
    <w:semiHidden/>
    <w:qFormat/>
    <w:uiPriority w:val="0"/>
    <w:rPr>
      <w:sz w:val="18"/>
      <w:szCs w:val="18"/>
    </w:rPr>
  </w:style>
  <w:style w:type="paragraph" w:styleId="21">
    <w:name w:val="header"/>
    <w:basedOn w:val="1"/>
    <w:link w:val="50"/>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unhideWhenUsed/>
    <w:qFormat/>
    <w:uiPriority w:val="39"/>
  </w:style>
  <w:style w:type="paragraph" w:styleId="23">
    <w:name w:val="toc 2"/>
    <w:basedOn w:val="1"/>
    <w:next w:val="1"/>
    <w:unhideWhenUsed/>
    <w:qFormat/>
    <w:uiPriority w:val="39"/>
    <w:pPr>
      <w:tabs>
        <w:tab w:val="right" w:leader="dot" w:pos="8296"/>
      </w:tabs>
      <w:ind w:left="420" w:leftChars="200"/>
    </w:pPr>
  </w:style>
  <w:style w:type="paragraph" w:styleId="2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5">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6">
    <w:name w:val="annotation subject"/>
    <w:basedOn w:val="11"/>
    <w:next w:val="11"/>
    <w:link w:val="51"/>
    <w:qFormat/>
    <w:uiPriority w:val="99"/>
    <w:rPr>
      <w:b/>
      <w:bCs/>
    </w:rPr>
  </w:style>
  <w:style w:type="paragraph" w:styleId="27">
    <w:name w:val="Body Text First Indent"/>
    <w:basedOn w:val="13"/>
    <w:qFormat/>
    <w:uiPriority w:val="0"/>
    <w:pPr>
      <w:spacing w:after="120" w:line="275" w:lineRule="atLeast"/>
      <w:ind w:firstLine="420"/>
      <w:textAlignment w:val="baseline"/>
    </w:pPr>
  </w:style>
  <w:style w:type="paragraph" w:styleId="28">
    <w:name w:val="Body Text First Indent 2"/>
    <w:basedOn w:val="14"/>
    <w:next w:val="1"/>
    <w:qFormat/>
    <w:uiPriority w:val="0"/>
    <w:pPr>
      <w:ind w:left="420" w:leftChars="200" w:firstLine="420" w:firstLineChars="200"/>
    </w:pPr>
  </w:style>
  <w:style w:type="table" w:styleId="30">
    <w:name w:val="Table Grid"/>
    <w:basedOn w:val="2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Strong"/>
    <w:basedOn w:val="31"/>
    <w:qFormat/>
    <w:uiPriority w:val="22"/>
    <w:rPr>
      <w:b/>
    </w:rPr>
  </w:style>
  <w:style w:type="character" w:styleId="33">
    <w:name w:val="endnote reference"/>
    <w:unhideWhenUsed/>
    <w:qFormat/>
    <w:uiPriority w:val="99"/>
    <w:rPr>
      <w:vertAlign w:val="superscript"/>
    </w:rPr>
  </w:style>
  <w:style w:type="character" w:styleId="34">
    <w:name w:val="FollowedHyperlink"/>
    <w:basedOn w:val="31"/>
    <w:unhideWhenUsed/>
    <w:qFormat/>
    <w:uiPriority w:val="99"/>
    <w:rPr>
      <w:color w:val="575656"/>
      <w:u w:val="none"/>
    </w:rPr>
  </w:style>
  <w:style w:type="character" w:styleId="35">
    <w:name w:val="Hyperlink"/>
    <w:basedOn w:val="31"/>
    <w:unhideWhenUsed/>
    <w:qFormat/>
    <w:uiPriority w:val="99"/>
    <w:rPr>
      <w:color w:val="575656"/>
      <w:u w:val="none"/>
    </w:rPr>
  </w:style>
  <w:style w:type="character" w:styleId="36">
    <w:name w:val="annotation reference"/>
    <w:basedOn w:val="31"/>
    <w:qFormat/>
    <w:uiPriority w:val="0"/>
    <w:rPr>
      <w:sz w:val="21"/>
      <w:szCs w:val="21"/>
    </w:rPr>
  </w:style>
  <w:style w:type="character" w:styleId="37">
    <w:name w:val="HTML Sample"/>
    <w:basedOn w:val="31"/>
    <w:unhideWhenUsed/>
    <w:qFormat/>
    <w:uiPriority w:val="99"/>
    <w:rPr>
      <w:rFonts w:ascii="Courier New" w:hAnsi="Courier New"/>
    </w:rPr>
  </w:style>
  <w:style w:type="paragraph" w:customStyle="1" w:styleId="38">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character" w:customStyle="1" w:styleId="39">
    <w:name w:val="标题 1 字符1"/>
    <w:link w:val="3"/>
    <w:qFormat/>
    <w:uiPriority w:val="0"/>
    <w:rPr>
      <w:b/>
      <w:bCs/>
      <w:kern w:val="44"/>
      <w:sz w:val="44"/>
      <w:szCs w:val="44"/>
    </w:rPr>
  </w:style>
  <w:style w:type="character" w:customStyle="1" w:styleId="40">
    <w:name w:val="标题 2 Char1"/>
    <w:link w:val="4"/>
    <w:qFormat/>
    <w:uiPriority w:val="9"/>
    <w:rPr>
      <w:rFonts w:ascii="Cambria" w:hAnsi="Cambria" w:eastAsia="宋体" w:cs="Times New Roman"/>
      <w:b/>
      <w:bCs/>
      <w:kern w:val="2"/>
      <w:sz w:val="32"/>
      <w:szCs w:val="32"/>
    </w:rPr>
  </w:style>
  <w:style w:type="character" w:customStyle="1" w:styleId="41">
    <w:name w:val="标题 5 Char"/>
    <w:link w:val="7"/>
    <w:semiHidden/>
    <w:qFormat/>
    <w:uiPriority w:val="9"/>
    <w:rPr>
      <w:rFonts w:ascii="Times New Roman" w:hAnsi="Times New Roman"/>
      <w:b/>
      <w:bCs/>
      <w:kern w:val="2"/>
      <w:sz w:val="28"/>
      <w:szCs w:val="28"/>
    </w:rPr>
  </w:style>
  <w:style w:type="character" w:customStyle="1" w:styleId="42">
    <w:name w:val="标题 8 Char1"/>
    <w:link w:val="9"/>
    <w:semiHidden/>
    <w:qFormat/>
    <w:uiPriority w:val="9"/>
    <w:rPr>
      <w:rFonts w:ascii="等线 Light" w:hAnsi="等线 Light" w:eastAsia="等线 Light" w:cs="Times New Roman"/>
      <w:kern w:val="2"/>
      <w:sz w:val="24"/>
      <w:szCs w:val="24"/>
    </w:rPr>
  </w:style>
  <w:style w:type="character" w:customStyle="1" w:styleId="43">
    <w:name w:val="批注文字 Char1"/>
    <w:link w:val="11"/>
    <w:qFormat/>
    <w:uiPriority w:val="0"/>
    <w:rPr>
      <w:rFonts w:ascii="Times New Roman" w:hAnsi="Times New Roman"/>
      <w:kern w:val="2"/>
      <w:sz w:val="21"/>
      <w:szCs w:val="24"/>
    </w:rPr>
  </w:style>
  <w:style w:type="character" w:customStyle="1" w:styleId="44">
    <w:name w:val="正文文本 3 Char"/>
    <w:link w:val="12"/>
    <w:semiHidden/>
    <w:qFormat/>
    <w:uiPriority w:val="99"/>
    <w:rPr>
      <w:kern w:val="2"/>
      <w:sz w:val="16"/>
      <w:szCs w:val="16"/>
    </w:rPr>
  </w:style>
  <w:style w:type="character" w:customStyle="1" w:styleId="45">
    <w:name w:val="正文文本 Char1"/>
    <w:link w:val="13"/>
    <w:qFormat/>
    <w:uiPriority w:val="0"/>
    <w:rPr>
      <w:rFonts w:ascii="Times New Roman" w:hAnsi="Times New Roman"/>
      <w:kern w:val="2"/>
      <w:sz w:val="21"/>
      <w:szCs w:val="24"/>
    </w:rPr>
  </w:style>
  <w:style w:type="character" w:customStyle="1" w:styleId="46">
    <w:name w:val="正文文本缩进 Char"/>
    <w:link w:val="14"/>
    <w:qFormat/>
    <w:uiPriority w:val="0"/>
    <w:rPr>
      <w:rFonts w:ascii="仿宋_GB2312" w:hAnsi="Times New Roman" w:eastAsia="仿宋_GB2312" w:cs="Times New Roman"/>
      <w:sz w:val="32"/>
      <w:szCs w:val="20"/>
    </w:rPr>
  </w:style>
  <w:style w:type="character" w:customStyle="1" w:styleId="47">
    <w:name w:val="纯文本 Char1"/>
    <w:link w:val="18"/>
    <w:qFormat/>
    <w:uiPriority w:val="0"/>
    <w:rPr>
      <w:rFonts w:ascii="宋体" w:hAnsi="Courier New" w:eastAsia="宋体" w:cs="Courier New"/>
      <w:szCs w:val="21"/>
    </w:rPr>
  </w:style>
  <w:style w:type="character" w:customStyle="1" w:styleId="48">
    <w:name w:val="日期 Char"/>
    <w:link w:val="19"/>
    <w:semiHidden/>
    <w:qFormat/>
    <w:uiPriority w:val="99"/>
    <w:rPr>
      <w:rFonts w:ascii="Times New Roman" w:hAnsi="Times New Roman"/>
      <w:kern w:val="2"/>
      <w:sz w:val="21"/>
      <w:szCs w:val="24"/>
    </w:rPr>
  </w:style>
  <w:style w:type="character" w:customStyle="1" w:styleId="49">
    <w:name w:val="页脚 Char"/>
    <w:link w:val="2"/>
    <w:qFormat/>
    <w:uiPriority w:val="99"/>
    <w:rPr>
      <w:sz w:val="18"/>
      <w:szCs w:val="18"/>
    </w:rPr>
  </w:style>
  <w:style w:type="character" w:customStyle="1" w:styleId="50">
    <w:name w:val="页眉 Char"/>
    <w:link w:val="21"/>
    <w:qFormat/>
    <w:uiPriority w:val="99"/>
    <w:rPr>
      <w:sz w:val="18"/>
      <w:szCs w:val="18"/>
    </w:rPr>
  </w:style>
  <w:style w:type="character" w:customStyle="1" w:styleId="51">
    <w:name w:val="批注主题 Char"/>
    <w:link w:val="26"/>
    <w:qFormat/>
    <w:uiPriority w:val="99"/>
    <w:rPr>
      <w:rFonts w:ascii="Times New Roman" w:hAnsi="Times New Roman"/>
      <w:b/>
      <w:bCs/>
      <w:kern w:val="2"/>
      <w:sz w:val="21"/>
      <w:szCs w:val="24"/>
    </w:rPr>
  </w:style>
  <w:style w:type="character" w:customStyle="1" w:styleId="52">
    <w:name w:val="标题 1 Char"/>
    <w:basedOn w:val="31"/>
    <w:link w:val="3"/>
    <w:qFormat/>
    <w:uiPriority w:val="9"/>
    <w:rPr>
      <w:b/>
      <w:bCs/>
      <w:kern w:val="44"/>
      <w:sz w:val="44"/>
      <w:szCs w:val="44"/>
    </w:rPr>
  </w:style>
  <w:style w:type="character" w:customStyle="1" w:styleId="53">
    <w:name w:val="纯文本 字符2"/>
    <w:qFormat/>
    <w:uiPriority w:val="0"/>
    <w:rPr>
      <w:rFonts w:ascii="宋体" w:hAnsi="Courier New" w:eastAsia="宋体" w:cs="Courier New"/>
      <w:szCs w:val="21"/>
    </w:rPr>
  </w:style>
  <w:style w:type="character" w:customStyle="1" w:styleId="54">
    <w:name w:val="apple-style-span"/>
    <w:basedOn w:val="31"/>
    <w:qFormat/>
    <w:uiPriority w:val="0"/>
  </w:style>
  <w:style w:type="character" w:customStyle="1" w:styleId="55">
    <w:name w:val="标题 2 Char"/>
    <w:link w:val="4"/>
    <w:qFormat/>
    <w:uiPriority w:val="9"/>
    <w:rPr>
      <w:rFonts w:ascii="Cambria" w:hAnsi="Cambria" w:eastAsia="宋体" w:cs="Times New Roman"/>
      <w:b/>
      <w:bCs/>
      <w:kern w:val="2"/>
      <w:sz w:val="32"/>
      <w:szCs w:val="32"/>
    </w:rPr>
  </w:style>
  <w:style w:type="character" w:customStyle="1" w:styleId="56">
    <w:name w:val="纯文本 字符"/>
    <w:qFormat/>
    <w:uiPriority w:val="0"/>
    <w:rPr>
      <w:rFonts w:ascii="宋体" w:hAnsi="Courier New" w:eastAsia="宋体" w:cs="Courier New"/>
      <w:szCs w:val="21"/>
    </w:rPr>
  </w:style>
  <w:style w:type="character" w:customStyle="1" w:styleId="57">
    <w:name w:val="纯文本 字符1"/>
    <w:qFormat/>
    <w:uiPriority w:val="0"/>
    <w:rPr>
      <w:rFonts w:ascii="宋体" w:hAnsi="Courier New"/>
    </w:rPr>
  </w:style>
  <w:style w:type="character" w:customStyle="1" w:styleId="58">
    <w:name w:val="标题 8 Char"/>
    <w:qFormat/>
    <w:uiPriority w:val="0"/>
    <w:rPr>
      <w:rFonts w:ascii="Arial" w:hAnsi="Arial" w:eastAsia="黑体"/>
      <w:kern w:val="2"/>
      <w:sz w:val="24"/>
      <w:szCs w:val="24"/>
    </w:rPr>
  </w:style>
  <w:style w:type="character" w:customStyle="1" w:styleId="59">
    <w:name w:val="纯文本 Char"/>
    <w:qFormat/>
    <w:uiPriority w:val="0"/>
    <w:rPr>
      <w:rFonts w:ascii="宋体" w:hAnsi="Courier New" w:eastAsia="宋体" w:cs="Courier New"/>
      <w:szCs w:val="21"/>
    </w:rPr>
  </w:style>
  <w:style w:type="character" w:customStyle="1" w:styleId="60">
    <w:name w:val="正文文本 Char"/>
    <w:qFormat/>
    <w:uiPriority w:val="0"/>
    <w:rPr>
      <w:rFonts w:ascii="Times New Roman" w:hAnsi="Times New Roman"/>
      <w:kern w:val="2"/>
      <w:sz w:val="21"/>
      <w:szCs w:val="24"/>
    </w:rPr>
  </w:style>
  <w:style w:type="character" w:customStyle="1" w:styleId="61">
    <w:name w:val="批注文字 字符1"/>
    <w:qFormat/>
    <w:uiPriority w:val="0"/>
    <w:rPr>
      <w:rFonts w:ascii="Times New Roman" w:hAnsi="Times New Roman"/>
      <w:kern w:val="2"/>
      <w:sz w:val="21"/>
      <w:szCs w:val="24"/>
    </w:rPr>
  </w:style>
  <w:style w:type="character" w:customStyle="1" w:styleId="6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3">
    <w:name w:val="正文文本 字符"/>
    <w:qFormat/>
    <w:uiPriority w:val="0"/>
    <w:rPr>
      <w:rFonts w:ascii="Times New Roman" w:hAnsi="Times New Roman"/>
      <w:kern w:val="2"/>
      <w:sz w:val="21"/>
      <w:szCs w:val="24"/>
    </w:rPr>
  </w:style>
  <w:style w:type="character" w:customStyle="1" w:styleId="64">
    <w:name w:val="批注文字 字符"/>
    <w:qFormat/>
    <w:uiPriority w:val="0"/>
    <w:rPr>
      <w:rFonts w:ascii="Times New Roman" w:hAnsi="Times New Roman"/>
      <w:kern w:val="2"/>
      <w:sz w:val="21"/>
      <w:szCs w:val="24"/>
    </w:rPr>
  </w:style>
  <w:style w:type="character" w:customStyle="1" w:styleId="65">
    <w:name w:val="textcontents"/>
    <w:basedOn w:val="31"/>
    <w:qFormat/>
    <w:uiPriority w:val="0"/>
  </w:style>
  <w:style w:type="character" w:customStyle="1" w:styleId="66">
    <w:name w:val="批注文字 Char"/>
    <w:qFormat/>
    <w:uiPriority w:val="0"/>
    <w:rPr>
      <w:rFonts w:ascii="Times New Roman" w:hAnsi="Times New Roman"/>
      <w:kern w:val="2"/>
      <w:sz w:val="21"/>
      <w:szCs w:val="24"/>
    </w:rPr>
  </w:style>
  <w:style w:type="paragraph" w:customStyle="1" w:styleId="6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68">
    <w:name w:val="List Paragraph"/>
    <w:basedOn w:val="1"/>
    <w:qFormat/>
    <w:uiPriority w:val="34"/>
    <w:pPr>
      <w:ind w:firstLine="420" w:firstLineChars="200"/>
    </w:pPr>
  </w:style>
  <w:style w:type="paragraph" w:customStyle="1" w:styleId="69">
    <w:name w:val="默认段落字体 Para Char Char Char Char Char Char Char Char Char1 Char Char Char Char"/>
    <w:basedOn w:val="1"/>
    <w:qFormat/>
    <w:uiPriority w:val="0"/>
    <w:rPr>
      <w:rFonts w:ascii="Tahoma" w:hAnsi="Tahoma"/>
      <w:sz w:val="24"/>
      <w:szCs w:val="20"/>
    </w:rPr>
  </w:style>
  <w:style w:type="paragraph" w:customStyle="1" w:styleId="70">
    <w:name w:val="Table Paragraph"/>
    <w:basedOn w:val="1"/>
    <w:qFormat/>
    <w:uiPriority w:val="1"/>
    <w:pPr>
      <w:jc w:val="left"/>
    </w:pPr>
    <w:rPr>
      <w:rFonts w:ascii="Calibri" w:hAnsi="Calibri"/>
      <w:kern w:val="0"/>
      <w:sz w:val="22"/>
      <w:szCs w:val="22"/>
      <w:lang w:eastAsia="en-US"/>
    </w:rPr>
  </w:style>
  <w:style w:type="paragraph" w:customStyle="1" w:styleId="71">
    <w:name w:val="首行缩进"/>
    <w:basedOn w:val="1"/>
    <w:qFormat/>
    <w:uiPriority w:val="99"/>
    <w:pPr>
      <w:ind w:firstLine="480" w:firstLineChars="200"/>
    </w:pPr>
    <w:rPr>
      <w:lang w:val="zh-CN"/>
    </w:rPr>
  </w:style>
  <w:style w:type="paragraph" w:customStyle="1" w:styleId="72">
    <w:name w:val="p0"/>
    <w:basedOn w:val="1"/>
    <w:qFormat/>
    <w:uiPriority w:val="99"/>
    <w:pPr>
      <w:widowControl/>
    </w:pPr>
    <w:rPr>
      <w:kern w:val="0"/>
      <w:szCs w:val="21"/>
    </w:rPr>
  </w:style>
  <w:style w:type="paragraph" w:customStyle="1" w:styleId="73">
    <w:name w:val="*正文"/>
    <w:basedOn w:val="1"/>
    <w:qFormat/>
    <w:uiPriority w:val="0"/>
    <w:pPr>
      <w:spacing w:line="360" w:lineRule="auto"/>
      <w:ind w:firstLine="482"/>
      <w:jc w:val="left"/>
    </w:pPr>
    <w:rPr>
      <w:rFonts w:ascii="宋体" w:hAnsi="宋体" w:eastAsia="宋体" w:cs="Times New Roman"/>
      <w:sz w:val="24"/>
      <w:szCs w:val="22"/>
    </w:rPr>
  </w:style>
  <w:style w:type="paragraph" w:customStyle="1" w:styleId="74">
    <w:name w:val="列表段落2"/>
    <w:basedOn w:val="1"/>
    <w:qFormat/>
    <w:uiPriority w:val="99"/>
    <w:pPr>
      <w:ind w:firstLine="420" w:firstLineChars="200"/>
    </w:pPr>
  </w:style>
  <w:style w:type="paragraph" w:customStyle="1" w:styleId="75">
    <w:name w:val="表格文字"/>
    <w:basedOn w:val="1"/>
    <w:next w:val="13"/>
    <w:qFormat/>
    <w:uiPriority w:val="99"/>
    <w:pPr>
      <w:spacing w:before="25" w:after="25"/>
      <w:jc w:val="left"/>
    </w:pPr>
    <w:rPr>
      <w:bCs/>
      <w:spacing w:val="10"/>
      <w:kern w:val="0"/>
      <w:sz w:val="24"/>
    </w:rPr>
  </w:style>
  <w:style w:type="paragraph" w:customStyle="1" w:styleId="76">
    <w:name w:val="2"/>
    <w:basedOn w:val="1"/>
    <w:next w:val="18"/>
    <w:qFormat/>
    <w:uiPriority w:val="99"/>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59</Pages>
  <Words>19310</Words>
  <Characters>20525</Characters>
  <Lines>358</Lines>
  <Paragraphs>101</Paragraphs>
  <TotalTime>2</TotalTime>
  <ScaleCrop>false</ScaleCrop>
  <LinksUpToDate>false</LinksUpToDate>
  <CharactersWithSpaces>20821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2020-07-13T02:59:00Z</dcterms:created>
  <dc:creator>唐冰</dc:creator>
  <cp:lastModifiedBy>Administrator</cp:lastModifiedBy>
  <cp:lastPrinted>2021-12-14T03:39:00Z</cp:lastPrinted>
  <dcterms:modified xsi:type="dcterms:W3CDTF">2026-05-06T09:23:30Z</dcterms:modified>
  <dc:title>竞争性谈判文件规范</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E45D824FC35E4680934C229E2AAACD90_13</vt:lpwstr>
  </property>
  <property fmtid="{D5CDD505-2E9C-101B-9397-08002B2CF9AE}" pid="4" name="KSOTemplateDocerSaveRecord">
    <vt:lpwstr>eyJoZGlkIjoiYTBiNDc5N2Q3ODQ0NjM3MTg5OWU0MWZjMjM0ZTM5MjIiLCJ1c2VySWQiOiIxMjA0MjAzNjAifQ==</vt:lpwstr>
  </property>
</Properties>
</file>