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158C17">
      <w:pPr>
        <w:pageBreakBefore w:val="0"/>
        <w:kinsoku/>
        <w:wordWrap/>
        <w:topLinePunct w:val="0"/>
        <w:bidi w:val="0"/>
        <w:spacing w:line="312" w:lineRule="auto"/>
        <w:jc w:val="center"/>
        <w:rPr>
          <w:rFonts w:hint="eastAsia" w:ascii="宋体" w:hAnsi="宋体" w:eastAsia="宋体" w:cs="宋体"/>
          <w:color w:val="auto"/>
          <w:sz w:val="52"/>
          <w:szCs w:val="52"/>
          <w:lang w:eastAsia="zh-CN"/>
        </w:rPr>
      </w:pPr>
      <w:r>
        <w:rPr>
          <w:rFonts w:hint="eastAsia" w:ascii="宋体" w:hAnsi="宋体" w:eastAsia="宋体" w:cs="宋体"/>
          <w:color w:val="auto"/>
          <w:sz w:val="52"/>
          <w:szCs w:val="52"/>
          <w:lang w:eastAsia="zh-CN"/>
        </w:rPr>
        <w:t>南宁品正建设咨询有限责任公司</w:t>
      </w:r>
    </w:p>
    <w:p w14:paraId="70C7ECB3">
      <w:pPr>
        <w:pageBreakBefore w:val="0"/>
        <w:kinsoku/>
        <w:wordWrap/>
        <w:topLinePunct w:val="0"/>
        <w:bidi w:val="0"/>
        <w:spacing w:line="312" w:lineRule="auto"/>
        <w:jc w:val="center"/>
        <w:rPr>
          <w:rFonts w:hint="eastAsia" w:ascii="宋体" w:hAnsi="宋体" w:eastAsia="宋体" w:cs="宋体"/>
          <w:color w:val="auto"/>
          <w:sz w:val="48"/>
          <w:szCs w:val="48"/>
        </w:rPr>
      </w:pPr>
    </w:p>
    <w:p w14:paraId="45D9FE85">
      <w:pPr>
        <w:pageBreakBefore w:val="0"/>
        <w:kinsoku/>
        <w:wordWrap/>
        <w:topLinePunct w:val="0"/>
        <w:bidi w:val="0"/>
        <w:spacing w:line="312" w:lineRule="auto"/>
        <w:jc w:val="center"/>
        <w:rPr>
          <w:rFonts w:hint="eastAsia" w:ascii="宋体" w:hAnsi="宋体" w:eastAsia="宋体" w:cs="宋体"/>
          <w:color w:val="auto"/>
        </w:rPr>
      </w:pPr>
    </w:p>
    <w:p w14:paraId="516FBD38">
      <w:pPr>
        <w:keepNext/>
        <w:keepLines/>
        <w:pageBreakBefore w:val="0"/>
        <w:widowControl w:val="0"/>
        <w:kinsoku/>
        <w:wordWrap/>
        <w:topLinePunct w:val="0"/>
        <w:bidi w:val="0"/>
        <w:spacing w:before="340" w:after="330" w:line="312" w:lineRule="auto"/>
        <w:jc w:val="center"/>
        <w:outlineLvl w:val="9"/>
        <w:rPr>
          <w:rFonts w:hint="eastAsia" w:ascii="宋体" w:hAnsi="宋体" w:eastAsia="宋体" w:cs="宋体"/>
          <w:b/>
          <w:bCs/>
          <w:color w:val="auto"/>
          <w:kern w:val="44"/>
          <w:sz w:val="44"/>
          <w:szCs w:val="44"/>
          <w:lang w:val="en-US" w:eastAsia="zh-CN" w:bidi="ar-SA"/>
        </w:rPr>
      </w:pPr>
      <w:r>
        <w:rPr>
          <w:rFonts w:hint="eastAsia" w:ascii="宋体" w:hAnsi="宋体" w:eastAsia="宋体" w:cs="宋体"/>
          <w:b/>
          <w:bCs/>
          <w:color w:val="auto"/>
          <w:kern w:val="44"/>
          <w:sz w:val="44"/>
          <w:szCs w:val="44"/>
          <w:lang w:val="en-US" w:eastAsia="zh-CN" w:bidi="ar-SA"/>
        </w:rPr>
        <w:drawing>
          <wp:inline distT="0" distB="0" distL="114300" distR="114300">
            <wp:extent cx="2580640" cy="1761490"/>
            <wp:effectExtent l="0" t="0" r="10160" b="10160"/>
            <wp:docPr id="1" name="图片 2" descr="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图标"/>
                    <pic:cNvPicPr>
                      <a:picLocks noChangeAspect="1"/>
                    </pic:cNvPicPr>
                  </pic:nvPicPr>
                  <pic:blipFill>
                    <a:blip r:embed="rId12"/>
                    <a:stretch>
                      <a:fillRect/>
                    </a:stretch>
                  </pic:blipFill>
                  <pic:spPr>
                    <a:xfrm>
                      <a:off x="0" y="0"/>
                      <a:ext cx="2580640" cy="1761490"/>
                    </a:xfrm>
                    <a:prstGeom prst="rect">
                      <a:avLst/>
                    </a:prstGeom>
                    <a:noFill/>
                    <a:ln>
                      <a:noFill/>
                    </a:ln>
                  </pic:spPr>
                </pic:pic>
              </a:graphicData>
            </a:graphic>
          </wp:inline>
        </w:drawing>
      </w:r>
    </w:p>
    <w:p w14:paraId="28158C24">
      <w:pPr>
        <w:keepNext/>
        <w:keepLines/>
        <w:pageBreakBefore w:val="0"/>
        <w:widowControl w:val="0"/>
        <w:kinsoku/>
        <w:wordWrap/>
        <w:topLinePunct w:val="0"/>
        <w:bidi w:val="0"/>
        <w:spacing w:before="340" w:after="330" w:line="312" w:lineRule="auto"/>
        <w:jc w:val="both"/>
        <w:outlineLvl w:val="9"/>
        <w:rPr>
          <w:rFonts w:hint="eastAsia" w:ascii="宋体" w:hAnsi="宋体" w:eastAsia="宋体" w:cs="宋体"/>
          <w:b/>
          <w:bCs/>
          <w:color w:val="auto"/>
          <w:kern w:val="44"/>
          <w:sz w:val="44"/>
          <w:szCs w:val="44"/>
          <w:lang w:val="en-US" w:eastAsia="zh-CN" w:bidi="ar-SA"/>
        </w:rPr>
      </w:pPr>
    </w:p>
    <w:p w14:paraId="682FF24C">
      <w:pPr>
        <w:pageBreakBefore w:val="0"/>
        <w:kinsoku/>
        <w:wordWrap/>
        <w:topLinePunct w:val="0"/>
        <w:bidi w:val="0"/>
        <w:spacing w:line="312" w:lineRule="auto"/>
        <w:rPr>
          <w:rFonts w:hint="eastAsia" w:ascii="宋体" w:hAnsi="宋体" w:eastAsia="宋体" w:cs="宋体"/>
          <w:color w:val="auto"/>
        </w:rPr>
      </w:pPr>
    </w:p>
    <w:p w14:paraId="74D90760">
      <w:pPr>
        <w:pageBreakBefore w:val="0"/>
        <w:kinsoku/>
        <w:wordWrap/>
        <w:topLinePunct w:val="0"/>
        <w:bidi w:val="0"/>
        <w:spacing w:line="312" w:lineRule="auto"/>
        <w:jc w:val="center"/>
        <w:rPr>
          <w:rFonts w:hint="eastAsia" w:ascii="宋体" w:hAnsi="宋体" w:eastAsia="宋体" w:cs="宋体"/>
          <w:b/>
          <w:bCs/>
          <w:color w:val="auto"/>
          <w:sz w:val="84"/>
        </w:rPr>
      </w:pPr>
      <w:r>
        <w:rPr>
          <w:rFonts w:hint="eastAsia" w:ascii="宋体" w:hAnsi="宋体" w:eastAsia="宋体" w:cs="宋体"/>
          <w:b/>
          <w:bCs/>
          <w:color w:val="auto"/>
          <w:sz w:val="84"/>
        </w:rPr>
        <w:t>竞争性磋商文件</w:t>
      </w:r>
    </w:p>
    <w:p w14:paraId="39F7FE7B">
      <w:pPr>
        <w:pageBreakBefore w:val="0"/>
        <w:kinsoku/>
        <w:wordWrap/>
        <w:topLinePunct w:val="0"/>
        <w:bidi w:val="0"/>
        <w:spacing w:line="312" w:lineRule="auto"/>
        <w:jc w:val="center"/>
        <w:rPr>
          <w:rFonts w:hint="eastAsia" w:ascii="宋体" w:hAnsi="宋体" w:eastAsia="宋体" w:cs="宋体"/>
          <w:color w:val="auto"/>
        </w:rPr>
      </w:pPr>
    </w:p>
    <w:p w14:paraId="61B64998">
      <w:pPr>
        <w:pageBreakBefore w:val="0"/>
        <w:kinsoku/>
        <w:wordWrap/>
        <w:topLinePunct w:val="0"/>
        <w:bidi w:val="0"/>
        <w:spacing w:line="312" w:lineRule="auto"/>
        <w:jc w:val="center"/>
        <w:rPr>
          <w:rFonts w:hint="eastAsia" w:ascii="宋体" w:hAnsi="宋体" w:eastAsia="宋体" w:cs="宋体"/>
          <w:color w:val="auto"/>
        </w:rPr>
      </w:pPr>
    </w:p>
    <w:p w14:paraId="6459E3CC">
      <w:pPr>
        <w:pStyle w:val="18"/>
        <w:pageBreakBefore w:val="0"/>
        <w:kinsoku/>
        <w:wordWrap/>
        <w:topLinePunct w:val="0"/>
        <w:bidi w:val="0"/>
        <w:spacing w:line="312" w:lineRule="auto"/>
        <w:ind w:left="0" w:leftChars="0"/>
        <w:rPr>
          <w:rFonts w:hint="eastAsia" w:ascii="宋体" w:hAnsi="宋体" w:eastAsia="宋体" w:cs="宋体"/>
          <w:color w:val="auto"/>
        </w:rPr>
      </w:pPr>
    </w:p>
    <w:p w14:paraId="39F8C377">
      <w:pPr>
        <w:pStyle w:val="18"/>
        <w:pageBreakBefore w:val="0"/>
        <w:kinsoku/>
        <w:wordWrap/>
        <w:topLinePunct w:val="0"/>
        <w:bidi w:val="0"/>
        <w:spacing w:line="312" w:lineRule="auto"/>
        <w:ind w:left="0" w:leftChars="0" w:firstLine="1807" w:firstLineChars="600"/>
        <w:jc w:val="both"/>
        <w:rPr>
          <w:rFonts w:hint="eastAsia" w:ascii="宋体" w:hAnsi="宋体" w:eastAsia="宋体" w:cs="宋体"/>
          <w:b/>
          <w:color w:val="auto"/>
          <w:sz w:val="30"/>
          <w:szCs w:val="30"/>
          <w:u w:val="single"/>
          <w:lang w:eastAsia="zh-CN"/>
        </w:rPr>
      </w:pPr>
      <w:r>
        <w:rPr>
          <w:rFonts w:hint="eastAsia" w:ascii="宋体" w:hAnsi="宋体" w:eastAsia="宋体" w:cs="宋体"/>
          <w:b/>
          <w:color w:val="auto"/>
          <w:sz w:val="30"/>
          <w:szCs w:val="30"/>
        </w:rPr>
        <w:t>项目名称：</w:t>
      </w:r>
      <w:r>
        <w:rPr>
          <w:rFonts w:hint="eastAsia" w:ascii="宋体" w:hAnsi="宋体" w:cs="宋体"/>
          <w:b/>
          <w:color w:val="auto"/>
          <w:sz w:val="30"/>
          <w:szCs w:val="30"/>
          <w:lang w:eastAsia="zh-CN"/>
        </w:rPr>
        <w:t>2026年龙圩区松材线虫病疫情枯死树清理项目</w:t>
      </w:r>
    </w:p>
    <w:p w14:paraId="1D618D50">
      <w:pPr>
        <w:pStyle w:val="18"/>
        <w:pageBreakBefore w:val="0"/>
        <w:kinsoku/>
        <w:wordWrap/>
        <w:topLinePunct w:val="0"/>
        <w:bidi w:val="0"/>
        <w:spacing w:line="312" w:lineRule="auto"/>
        <w:ind w:left="0" w:leftChars="0" w:firstLine="1858" w:firstLineChars="617"/>
        <w:jc w:val="both"/>
        <w:rPr>
          <w:rFonts w:hint="eastAsia" w:ascii="宋体" w:hAnsi="宋体" w:eastAsia="宋体" w:cs="宋体"/>
          <w:color w:val="auto"/>
          <w:sz w:val="30"/>
          <w:szCs w:val="30"/>
          <w:highlight w:val="yellow"/>
          <w:lang w:eastAsia="zh-CN"/>
        </w:rPr>
      </w:pPr>
      <w:r>
        <w:rPr>
          <w:rFonts w:hint="eastAsia" w:ascii="宋体" w:hAnsi="宋体" w:eastAsia="宋体" w:cs="宋体"/>
          <w:b/>
          <w:color w:val="auto"/>
          <w:sz w:val="30"/>
          <w:szCs w:val="30"/>
        </w:rPr>
        <w:t>项目编号：</w:t>
      </w:r>
      <w:r>
        <w:rPr>
          <w:rFonts w:hint="eastAsia" w:ascii="宋体" w:hAnsi="宋体" w:cs="宋体"/>
          <w:b/>
          <w:strike w:val="0"/>
          <w:dstrike w:val="0"/>
          <w:color w:val="auto"/>
          <w:sz w:val="30"/>
          <w:szCs w:val="30"/>
          <w:lang w:eastAsia="zh-CN"/>
        </w:rPr>
        <w:t>WZZC2026-C3-</w:t>
      </w:r>
      <w:bookmarkStart w:id="228" w:name="_GoBack"/>
      <w:r>
        <w:rPr>
          <w:rFonts w:hint="eastAsia" w:ascii="宋体" w:hAnsi="宋体" w:cs="宋体"/>
          <w:b/>
          <w:strike w:val="0"/>
          <w:dstrike w:val="0"/>
          <w:color w:val="auto"/>
          <w:sz w:val="30"/>
          <w:szCs w:val="30"/>
          <w:lang w:eastAsia="zh-CN"/>
        </w:rPr>
        <w:t>060041</w:t>
      </w:r>
      <w:bookmarkEnd w:id="228"/>
      <w:r>
        <w:rPr>
          <w:rFonts w:hint="eastAsia" w:ascii="宋体" w:hAnsi="宋体" w:cs="宋体"/>
          <w:b/>
          <w:strike w:val="0"/>
          <w:dstrike w:val="0"/>
          <w:color w:val="auto"/>
          <w:sz w:val="30"/>
          <w:szCs w:val="30"/>
          <w:lang w:eastAsia="zh-CN"/>
        </w:rPr>
        <w:t>-NNPZ</w:t>
      </w:r>
    </w:p>
    <w:p w14:paraId="6E5AA3BE">
      <w:pPr>
        <w:pageBreakBefore w:val="0"/>
        <w:kinsoku/>
        <w:wordWrap/>
        <w:topLinePunct w:val="0"/>
        <w:bidi w:val="0"/>
        <w:spacing w:line="312" w:lineRule="auto"/>
        <w:jc w:val="center"/>
        <w:rPr>
          <w:rFonts w:hint="eastAsia" w:ascii="宋体" w:hAnsi="宋体" w:eastAsia="宋体" w:cs="宋体"/>
          <w:color w:val="auto"/>
          <w:sz w:val="32"/>
        </w:rPr>
      </w:pPr>
    </w:p>
    <w:p w14:paraId="3864225D">
      <w:pPr>
        <w:pageBreakBefore w:val="0"/>
        <w:kinsoku/>
        <w:wordWrap/>
        <w:topLinePunct w:val="0"/>
        <w:bidi w:val="0"/>
        <w:spacing w:line="312" w:lineRule="auto"/>
        <w:rPr>
          <w:rFonts w:hint="eastAsia" w:ascii="宋体" w:hAnsi="宋体" w:eastAsia="宋体" w:cs="宋体"/>
          <w:color w:val="auto"/>
          <w:sz w:val="32"/>
        </w:rPr>
      </w:pPr>
    </w:p>
    <w:p w14:paraId="3A54FB65">
      <w:pPr>
        <w:pageBreakBefore w:val="0"/>
        <w:kinsoku/>
        <w:wordWrap/>
        <w:topLinePunct w:val="0"/>
        <w:bidi w:val="0"/>
        <w:spacing w:line="312" w:lineRule="auto"/>
        <w:rPr>
          <w:rFonts w:hint="eastAsia" w:ascii="宋体" w:hAnsi="宋体" w:eastAsia="宋体" w:cs="宋体"/>
          <w:b w:val="0"/>
          <w:bCs/>
          <w:color w:val="auto"/>
          <w:sz w:val="32"/>
          <w:szCs w:val="32"/>
        </w:rPr>
      </w:pPr>
      <w:r>
        <w:rPr>
          <w:rFonts w:hint="eastAsia" w:ascii="宋体" w:hAnsi="宋体" w:eastAsia="宋体" w:cs="宋体"/>
          <w:b/>
          <w:color w:val="auto"/>
          <w:sz w:val="32"/>
          <w:szCs w:val="32"/>
        </w:rPr>
        <w:t xml:space="preserve">      </w:t>
      </w:r>
      <w:r>
        <w:rPr>
          <w:rFonts w:hint="eastAsia" w:ascii="宋体" w:hAnsi="宋体" w:eastAsia="宋体" w:cs="宋体"/>
          <w:b w:val="0"/>
          <w:bCs/>
          <w:color w:val="auto"/>
          <w:sz w:val="32"/>
          <w:szCs w:val="32"/>
        </w:rPr>
        <w:t xml:space="preserve"> 采   购   </w:t>
      </w:r>
      <w:r>
        <w:rPr>
          <w:rFonts w:hint="eastAsia" w:ascii="宋体" w:hAnsi="宋体" w:eastAsia="宋体" w:cs="宋体"/>
          <w:b w:val="0"/>
          <w:bCs/>
          <w:color w:val="auto"/>
          <w:spacing w:val="2"/>
          <w:sz w:val="32"/>
          <w:szCs w:val="32"/>
        </w:rPr>
        <w:t>人</w:t>
      </w:r>
      <w:r>
        <w:rPr>
          <w:rFonts w:hint="eastAsia" w:ascii="宋体" w:hAnsi="宋体" w:eastAsia="宋体" w:cs="宋体"/>
          <w:b w:val="0"/>
          <w:bCs/>
          <w:color w:val="auto"/>
          <w:sz w:val="32"/>
          <w:szCs w:val="32"/>
        </w:rPr>
        <w:t>:</w:t>
      </w:r>
      <w:r>
        <w:rPr>
          <w:rFonts w:hint="eastAsia" w:ascii="宋体" w:hAnsi="宋体" w:cs="宋体"/>
          <w:b w:val="0"/>
          <w:bCs/>
          <w:color w:val="auto"/>
          <w:sz w:val="32"/>
          <w:szCs w:val="32"/>
          <w:lang w:eastAsia="zh-CN"/>
        </w:rPr>
        <w:t>梧州市龙圩区林业局</w:t>
      </w:r>
    </w:p>
    <w:p w14:paraId="2EF164F7">
      <w:pPr>
        <w:pageBreakBefore w:val="0"/>
        <w:kinsoku/>
        <w:wordWrap/>
        <w:topLinePunct w:val="0"/>
        <w:bidi w:val="0"/>
        <w:spacing w:line="312" w:lineRule="auto"/>
        <w:ind w:firstLine="1104" w:firstLineChars="345"/>
        <w:rPr>
          <w:rFonts w:hint="eastAsia" w:ascii="宋体" w:hAnsi="宋体" w:eastAsia="宋体" w:cs="宋体"/>
          <w:b w:val="0"/>
          <w:bCs/>
          <w:color w:val="auto"/>
          <w:spacing w:val="10"/>
          <w:kern w:val="0"/>
          <w:sz w:val="32"/>
          <w:szCs w:val="32"/>
          <w:lang w:eastAsia="zh-CN"/>
        </w:rPr>
      </w:pPr>
      <w:r>
        <w:rPr>
          <w:rFonts w:hint="eastAsia" w:ascii="宋体" w:hAnsi="宋体" w:eastAsia="宋体" w:cs="宋体"/>
          <w:b w:val="0"/>
          <w:bCs/>
          <w:color w:val="auto"/>
          <w:sz w:val="32"/>
          <w:szCs w:val="32"/>
        </w:rPr>
        <w:t>采购</w:t>
      </w:r>
      <w:r>
        <w:rPr>
          <w:rFonts w:hint="eastAsia" w:ascii="宋体" w:hAnsi="宋体" w:eastAsia="宋体" w:cs="宋体"/>
          <w:b w:val="0"/>
          <w:bCs/>
          <w:color w:val="auto"/>
          <w:spacing w:val="2"/>
          <w:sz w:val="32"/>
          <w:szCs w:val="32"/>
        </w:rPr>
        <w:t>代理机</w:t>
      </w:r>
      <w:r>
        <w:rPr>
          <w:rFonts w:hint="eastAsia" w:ascii="宋体" w:hAnsi="宋体" w:eastAsia="宋体" w:cs="宋体"/>
          <w:b w:val="0"/>
          <w:bCs/>
          <w:color w:val="auto"/>
          <w:sz w:val="32"/>
          <w:szCs w:val="32"/>
        </w:rPr>
        <w:t>构:</w:t>
      </w:r>
      <w:r>
        <w:rPr>
          <w:rFonts w:hint="eastAsia" w:ascii="宋体" w:hAnsi="宋体" w:eastAsia="宋体" w:cs="宋体"/>
          <w:b w:val="0"/>
          <w:bCs/>
          <w:color w:val="auto"/>
          <w:spacing w:val="10"/>
          <w:kern w:val="0"/>
          <w:sz w:val="32"/>
          <w:szCs w:val="32"/>
          <w:lang w:eastAsia="zh-CN"/>
        </w:rPr>
        <w:t>南宁品正建设咨询有限责任公司</w:t>
      </w:r>
    </w:p>
    <w:p w14:paraId="237CACEB">
      <w:pPr>
        <w:pageBreakBefore w:val="0"/>
        <w:kinsoku/>
        <w:wordWrap/>
        <w:topLinePunct w:val="0"/>
        <w:bidi w:val="0"/>
        <w:spacing w:line="312" w:lineRule="auto"/>
        <w:ind w:left="0" w:leftChars="0" w:firstLine="1104" w:firstLineChars="0"/>
        <w:jc w:val="both"/>
        <w:rPr>
          <w:rFonts w:hint="eastAsia" w:ascii="宋体" w:hAnsi="宋体" w:eastAsia="宋体"/>
          <w:b/>
          <w:color w:val="auto"/>
          <w:sz w:val="44"/>
          <w:szCs w:val="44"/>
          <w:highlight w:val="none"/>
          <w:lang w:eastAsia="zh-CN"/>
        </w:rPr>
        <w:sectPr>
          <w:headerReference r:id="rId4" w:type="first"/>
          <w:footerReference r:id="rId6" w:type="first"/>
          <w:headerReference r:id="rId3" w:type="default"/>
          <w:footerReference r:id="rId5" w:type="default"/>
          <w:pgSz w:w="11906" w:h="16838"/>
          <w:pgMar w:top="1440" w:right="1080" w:bottom="1440" w:left="1080" w:header="851" w:footer="992" w:gutter="0"/>
          <w:pgNumType w:fmt="decimal" w:start="0"/>
          <w:cols w:space="720" w:num="1"/>
          <w:titlePg/>
          <w:docGrid w:type="lines" w:linePitch="312" w:charSpace="0"/>
        </w:sectPr>
      </w:pPr>
      <w:r>
        <w:rPr>
          <w:rFonts w:hint="eastAsia" w:ascii="宋体" w:hAnsi="宋体" w:eastAsia="宋体" w:cs="宋体"/>
          <w:b w:val="0"/>
          <w:bCs/>
          <w:color w:val="auto"/>
          <w:sz w:val="32"/>
          <w:szCs w:val="32"/>
        </w:rPr>
        <w:t>日        期</w:t>
      </w:r>
      <w:r>
        <w:rPr>
          <w:rFonts w:hint="eastAsia" w:ascii="宋体" w:hAnsi="宋体" w:eastAsia="宋体" w:cs="宋体"/>
          <w:b/>
          <w:bCs w:val="0"/>
          <w:color w:val="auto"/>
          <w:sz w:val="32"/>
          <w:szCs w:val="32"/>
        </w:rPr>
        <w:t>：</w:t>
      </w:r>
      <w:r>
        <w:rPr>
          <w:rFonts w:hint="eastAsia" w:ascii="宋体" w:hAnsi="宋体" w:eastAsia="宋体" w:cs="宋体"/>
          <w:b w:val="0"/>
          <w:bCs/>
          <w:color w:val="auto"/>
          <w:spacing w:val="-8"/>
          <w:sz w:val="32"/>
          <w:lang w:val="en-US" w:eastAsia="zh-CN"/>
        </w:rPr>
        <w:t>202</w:t>
      </w:r>
      <w:r>
        <w:rPr>
          <w:rFonts w:hint="eastAsia" w:ascii="宋体" w:hAnsi="宋体" w:cs="宋体"/>
          <w:b w:val="0"/>
          <w:bCs/>
          <w:color w:val="auto"/>
          <w:spacing w:val="-8"/>
          <w:sz w:val="32"/>
          <w:lang w:val="en-US" w:eastAsia="zh-CN"/>
        </w:rPr>
        <w:t>6</w:t>
      </w:r>
      <w:r>
        <w:rPr>
          <w:rFonts w:hint="eastAsia" w:ascii="宋体" w:hAnsi="宋体" w:eastAsia="宋体" w:cs="宋体"/>
          <w:b w:val="0"/>
          <w:bCs/>
          <w:color w:val="auto"/>
          <w:spacing w:val="-8"/>
          <w:sz w:val="32"/>
        </w:rPr>
        <w:t>年</w:t>
      </w:r>
      <w:r>
        <w:rPr>
          <w:rFonts w:hint="eastAsia" w:ascii="宋体" w:hAnsi="宋体" w:eastAsia="宋体" w:cs="宋体"/>
          <w:b w:val="0"/>
          <w:bCs/>
          <w:color w:val="auto"/>
          <w:spacing w:val="-8"/>
          <w:sz w:val="32"/>
          <w:lang w:val="en-US" w:eastAsia="zh-CN"/>
        </w:rPr>
        <w:t>0</w:t>
      </w:r>
      <w:r>
        <w:rPr>
          <w:rFonts w:hint="eastAsia" w:ascii="宋体" w:hAnsi="宋体" w:cs="宋体"/>
          <w:b w:val="0"/>
          <w:bCs/>
          <w:color w:val="auto"/>
          <w:spacing w:val="-8"/>
          <w:sz w:val="32"/>
          <w:lang w:val="en-US" w:eastAsia="zh-CN"/>
        </w:rPr>
        <w:t>7</w:t>
      </w:r>
      <w:r>
        <w:rPr>
          <w:rFonts w:hint="eastAsia" w:ascii="宋体" w:hAnsi="宋体" w:eastAsia="宋体" w:cs="宋体"/>
          <w:b w:val="0"/>
          <w:bCs/>
          <w:color w:val="auto"/>
          <w:spacing w:val="-8"/>
          <w:sz w:val="32"/>
        </w:rPr>
        <w:t>月</w:t>
      </w:r>
    </w:p>
    <w:p w14:paraId="65BD1E6C">
      <w:pPr>
        <w:pStyle w:val="24"/>
        <w:pageBreakBefore w:val="0"/>
        <w:tabs>
          <w:tab w:val="right" w:leader="dot" w:pos="8879"/>
          <w:tab w:val="clear" w:pos="8296"/>
        </w:tabs>
        <w:kinsoku/>
        <w:wordWrap/>
        <w:topLinePunct w:val="0"/>
        <w:bidi w:val="0"/>
        <w:spacing w:line="312" w:lineRule="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fldChar w:fldCharType="begin"/>
      </w:r>
      <w:r>
        <w:rPr>
          <w:rFonts w:hint="eastAsia" w:ascii="宋体" w:hAnsi="宋体" w:eastAsia="宋体" w:cs="宋体"/>
          <w:b/>
          <w:color w:val="auto"/>
          <w:sz w:val="21"/>
          <w:szCs w:val="21"/>
          <w:highlight w:val="none"/>
        </w:rPr>
        <w:instrText xml:space="preserve"> TOC \o "1-3" \h \z \u </w:instrText>
      </w:r>
      <w:r>
        <w:rPr>
          <w:rFonts w:hint="eastAsia" w:ascii="宋体" w:hAnsi="宋体" w:eastAsia="宋体" w:cs="宋体"/>
          <w:b/>
          <w:color w:val="auto"/>
          <w:sz w:val="21"/>
          <w:szCs w:val="21"/>
          <w:highlight w:val="none"/>
        </w:rPr>
        <w:fldChar w:fldCharType="separate"/>
      </w:r>
    </w:p>
    <w:p w14:paraId="03041805">
      <w:pPr>
        <w:pageBreakBefore w:val="0"/>
        <w:kinsoku/>
        <w:wordWrap/>
        <w:topLinePunct w:val="0"/>
        <w:bidi w:val="0"/>
        <w:spacing w:line="312" w:lineRule="auto"/>
        <w:rPr>
          <w:rFonts w:hint="eastAsia" w:ascii="宋体" w:hAnsi="宋体" w:eastAsia="宋体" w:cs="宋体"/>
          <w:color w:val="auto"/>
          <w:sz w:val="21"/>
          <w:szCs w:val="21"/>
          <w:highlight w:val="none"/>
        </w:rPr>
      </w:pPr>
    </w:p>
    <w:sdt>
      <w:sdtPr>
        <w:rPr>
          <w:rFonts w:ascii="宋体" w:hAnsi="宋体" w:eastAsia="宋体" w:cs="Times New Roman"/>
          <w:kern w:val="2"/>
          <w:sz w:val="21"/>
          <w:szCs w:val="24"/>
          <w:lang w:val="en-US" w:eastAsia="zh-CN" w:bidi="ar-SA"/>
        </w:rPr>
        <w:id w:val="147472179"/>
        <w15:color w:val="DBDBDB"/>
        <w:docPartObj>
          <w:docPartGallery w:val="Table of Contents"/>
          <w:docPartUnique/>
        </w:docPartObj>
      </w:sdtPr>
      <w:sdtEndPr>
        <w:rPr>
          <w:rFonts w:hint="eastAsia" w:ascii="宋体" w:hAnsi="宋体" w:eastAsia="宋体" w:cs="宋体"/>
          <w:color w:val="auto"/>
          <w:kern w:val="2"/>
          <w:sz w:val="21"/>
          <w:szCs w:val="21"/>
          <w:highlight w:val="none"/>
          <w:lang w:val="en-US" w:eastAsia="zh-CN" w:bidi="ar-SA"/>
        </w:rPr>
      </w:sdtEndPr>
      <w:sdtContent>
        <w:p w14:paraId="0C9C49AE">
          <w:pPr>
            <w:spacing w:before="0" w:beforeLines="0" w:after="0" w:afterLines="0" w:line="240" w:lineRule="auto"/>
            <w:ind w:left="0" w:leftChars="0" w:right="0" w:rightChars="0" w:firstLine="0" w:firstLineChars="0"/>
            <w:jc w:val="center"/>
            <w:rPr>
              <w:rStyle w:val="53"/>
            </w:rPr>
          </w:pPr>
          <w:r>
            <w:rPr>
              <w:rStyle w:val="53"/>
            </w:rPr>
            <w:t>目录</w:t>
          </w:r>
        </w:p>
        <w:p w14:paraId="6CDC7ECC">
          <w:pPr>
            <w:pStyle w:val="23"/>
            <w:tabs>
              <w:tab w:val="right" w:leader="dot" w:pos="9071"/>
            </w:tabs>
            <w:rPr>
              <w:rFonts w:hint="eastAsia" w:ascii="宋体" w:hAnsi="宋体" w:eastAsia="宋体" w:cs="宋体"/>
              <w:color w:val="auto"/>
              <w:kern w:val="2"/>
              <w:sz w:val="21"/>
              <w:szCs w:val="21"/>
              <w:highlight w:val="none"/>
              <w:lang w:val="en-US" w:eastAsia="zh-CN" w:bidi="ar-SA"/>
            </w:rPr>
          </w:pPr>
        </w:p>
        <w:p w14:paraId="650958A9">
          <w:pPr>
            <w:pStyle w:val="23"/>
            <w:tabs>
              <w:tab w:val="right" w:leader="dot" w:pos="9071"/>
            </w:tabs>
            <w:rPr>
              <w:sz w:val="28"/>
              <w:szCs w:val="28"/>
            </w:rPr>
          </w:pPr>
          <w:r>
            <w:rPr>
              <w:rFonts w:hint="eastAsia" w:ascii="宋体" w:hAnsi="宋体" w:eastAsia="宋体" w:cs="宋体"/>
              <w:color w:val="auto"/>
              <w:kern w:val="2"/>
              <w:sz w:val="28"/>
              <w:szCs w:val="28"/>
              <w:highlight w:val="none"/>
              <w:lang w:val="en-US" w:eastAsia="zh-CN" w:bidi="ar-SA"/>
            </w:rPr>
            <w:fldChar w:fldCharType="begin"/>
          </w:r>
          <w:r>
            <w:rPr>
              <w:rFonts w:hint="eastAsia" w:ascii="宋体" w:hAnsi="宋体" w:eastAsia="宋体" w:cs="宋体"/>
              <w:color w:val="auto"/>
              <w:kern w:val="2"/>
              <w:sz w:val="28"/>
              <w:szCs w:val="28"/>
              <w:highlight w:val="none"/>
              <w:lang w:val="en-US" w:eastAsia="zh-CN" w:bidi="ar-SA"/>
            </w:rPr>
            <w:instrText xml:space="preserve">TOC \o "1-1" \h \u </w:instrText>
          </w:r>
          <w:r>
            <w:rPr>
              <w:rFonts w:hint="eastAsia" w:ascii="宋体" w:hAnsi="宋体" w:eastAsia="宋体" w:cs="宋体"/>
              <w:color w:val="auto"/>
              <w:kern w:val="2"/>
              <w:sz w:val="28"/>
              <w:szCs w:val="28"/>
              <w:highlight w:val="none"/>
              <w:lang w:val="en-US" w:eastAsia="zh-CN" w:bidi="ar-SA"/>
            </w:rPr>
            <w:fldChar w:fldCharType="separate"/>
          </w:r>
          <w:r>
            <w:rPr>
              <w:rFonts w:hint="eastAsia" w:ascii="宋体" w:hAnsi="宋体" w:eastAsia="宋体" w:cs="宋体"/>
              <w:color w:val="auto"/>
              <w:kern w:val="2"/>
              <w:sz w:val="28"/>
              <w:szCs w:val="28"/>
              <w:highlight w:val="none"/>
              <w:lang w:val="en-US" w:eastAsia="zh-CN" w:bidi="ar-SA"/>
            </w:rPr>
            <w:fldChar w:fldCharType="begin"/>
          </w:r>
          <w:r>
            <w:rPr>
              <w:rFonts w:hint="eastAsia" w:ascii="宋体" w:hAnsi="宋体" w:eastAsia="宋体" w:cs="宋体"/>
              <w:kern w:val="2"/>
              <w:sz w:val="28"/>
              <w:szCs w:val="28"/>
              <w:highlight w:val="none"/>
              <w:lang w:val="en-US" w:eastAsia="zh-CN" w:bidi="ar-SA"/>
            </w:rPr>
            <w:instrText xml:space="preserve"> HYPERLINK \l _Toc2558 </w:instrText>
          </w:r>
          <w:r>
            <w:rPr>
              <w:rFonts w:hint="eastAsia" w:ascii="宋体" w:hAnsi="宋体" w:eastAsia="宋体" w:cs="宋体"/>
              <w:kern w:val="2"/>
              <w:sz w:val="28"/>
              <w:szCs w:val="28"/>
              <w:highlight w:val="none"/>
              <w:lang w:val="en-US" w:eastAsia="zh-CN" w:bidi="ar-SA"/>
            </w:rPr>
            <w:fldChar w:fldCharType="separate"/>
          </w:r>
          <w:r>
            <w:rPr>
              <w:rFonts w:hint="eastAsia"/>
              <w:sz w:val="28"/>
              <w:szCs w:val="28"/>
              <w:highlight w:val="none"/>
              <w:lang w:val="en-US" w:eastAsia="zh-CN"/>
            </w:rPr>
            <w:t>第一章 竞争性磋商公告</w:t>
          </w:r>
          <w:r>
            <w:rPr>
              <w:sz w:val="28"/>
              <w:szCs w:val="28"/>
            </w:rPr>
            <w:tab/>
          </w:r>
          <w:r>
            <w:rPr>
              <w:sz w:val="28"/>
              <w:szCs w:val="28"/>
            </w:rPr>
            <w:fldChar w:fldCharType="begin"/>
          </w:r>
          <w:r>
            <w:rPr>
              <w:sz w:val="28"/>
              <w:szCs w:val="28"/>
            </w:rPr>
            <w:instrText xml:space="preserve"> PAGEREF _Toc2558 \h </w:instrText>
          </w:r>
          <w:r>
            <w:rPr>
              <w:sz w:val="28"/>
              <w:szCs w:val="28"/>
            </w:rPr>
            <w:fldChar w:fldCharType="separate"/>
          </w:r>
          <w:r>
            <w:rPr>
              <w:sz w:val="28"/>
              <w:szCs w:val="28"/>
            </w:rPr>
            <w:t>1</w:t>
          </w:r>
          <w:r>
            <w:rPr>
              <w:sz w:val="28"/>
              <w:szCs w:val="28"/>
            </w:rPr>
            <w:fldChar w:fldCharType="end"/>
          </w:r>
          <w:r>
            <w:rPr>
              <w:rFonts w:hint="eastAsia" w:ascii="宋体" w:hAnsi="宋体" w:eastAsia="宋体" w:cs="宋体"/>
              <w:color w:val="auto"/>
              <w:kern w:val="2"/>
              <w:sz w:val="28"/>
              <w:szCs w:val="28"/>
              <w:highlight w:val="none"/>
              <w:lang w:val="en-US" w:eastAsia="zh-CN" w:bidi="ar-SA"/>
            </w:rPr>
            <w:fldChar w:fldCharType="end"/>
          </w:r>
        </w:p>
        <w:p w14:paraId="4F4E161D">
          <w:pPr>
            <w:pStyle w:val="23"/>
            <w:tabs>
              <w:tab w:val="right" w:leader="dot" w:pos="9071"/>
            </w:tabs>
            <w:rPr>
              <w:sz w:val="28"/>
              <w:szCs w:val="28"/>
            </w:rPr>
          </w:pPr>
          <w:r>
            <w:rPr>
              <w:rFonts w:hint="eastAsia" w:ascii="宋体" w:hAnsi="宋体" w:eastAsia="宋体" w:cs="宋体"/>
              <w:color w:val="auto"/>
              <w:kern w:val="2"/>
              <w:sz w:val="28"/>
              <w:szCs w:val="28"/>
              <w:highlight w:val="none"/>
              <w:lang w:val="en-US" w:eastAsia="zh-CN" w:bidi="ar-SA"/>
            </w:rPr>
            <w:fldChar w:fldCharType="begin"/>
          </w:r>
          <w:r>
            <w:rPr>
              <w:rFonts w:hint="eastAsia" w:ascii="宋体" w:hAnsi="宋体" w:eastAsia="宋体" w:cs="宋体"/>
              <w:kern w:val="2"/>
              <w:sz w:val="28"/>
              <w:szCs w:val="28"/>
              <w:highlight w:val="none"/>
              <w:lang w:val="en-US" w:eastAsia="zh-CN" w:bidi="ar-SA"/>
            </w:rPr>
            <w:instrText xml:space="preserve"> HYPERLINK \l _Toc7803 </w:instrText>
          </w:r>
          <w:r>
            <w:rPr>
              <w:rFonts w:hint="eastAsia" w:ascii="宋体" w:hAnsi="宋体" w:eastAsia="宋体" w:cs="宋体"/>
              <w:kern w:val="2"/>
              <w:sz w:val="28"/>
              <w:szCs w:val="28"/>
              <w:highlight w:val="none"/>
              <w:lang w:val="en-US" w:eastAsia="zh-CN" w:bidi="ar-SA"/>
            </w:rPr>
            <w:fldChar w:fldCharType="separate"/>
          </w:r>
          <w:r>
            <w:rPr>
              <w:rFonts w:hint="eastAsia"/>
              <w:sz w:val="28"/>
              <w:szCs w:val="28"/>
              <w:highlight w:val="none"/>
            </w:rPr>
            <w:t>第二章 供应商须知</w:t>
          </w:r>
          <w:r>
            <w:rPr>
              <w:sz w:val="28"/>
              <w:szCs w:val="28"/>
            </w:rPr>
            <w:tab/>
          </w:r>
          <w:r>
            <w:rPr>
              <w:sz w:val="28"/>
              <w:szCs w:val="28"/>
            </w:rPr>
            <w:fldChar w:fldCharType="begin"/>
          </w:r>
          <w:r>
            <w:rPr>
              <w:sz w:val="28"/>
              <w:szCs w:val="28"/>
            </w:rPr>
            <w:instrText xml:space="preserve"> PAGEREF _Toc7803 \h </w:instrText>
          </w:r>
          <w:r>
            <w:rPr>
              <w:sz w:val="28"/>
              <w:szCs w:val="28"/>
            </w:rPr>
            <w:fldChar w:fldCharType="separate"/>
          </w:r>
          <w:r>
            <w:rPr>
              <w:sz w:val="28"/>
              <w:szCs w:val="28"/>
            </w:rPr>
            <w:t>5</w:t>
          </w:r>
          <w:r>
            <w:rPr>
              <w:sz w:val="28"/>
              <w:szCs w:val="28"/>
            </w:rPr>
            <w:fldChar w:fldCharType="end"/>
          </w:r>
          <w:r>
            <w:rPr>
              <w:rFonts w:hint="eastAsia" w:ascii="宋体" w:hAnsi="宋体" w:eastAsia="宋体" w:cs="宋体"/>
              <w:color w:val="auto"/>
              <w:kern w:val="2"/>
              <w:sz w:val="28"/>
              <w:szCs w:val="28"/>
              <w:highlight w:val="none"/>
              <w:lang w:val="en-US" w:eastAsia="zh-CN" w:bidi="ar-SA"/>
            </w:rPr>
            <w:fldChar w:fldCharType="end"/>
          </w:r>
        </w:p>
        <w:p w14:paraId="27512D3B">
          <w:pPr>
            <w:pStyle w:val="23"/>
            <w:tabs>
              <w:tab w:val="right" w:leader="dot" w:pos="9071"/>
            </w:tabs>
            <w:rPr>
              <w:sz w:val="28"/>
              <w:szCs w:val="28"/>
            </w:rPr>
          </w:pPr>
          <w:r>
            <w:rPr>
              <w:rFonts w:hint="eastAsia" w:ascii="宋体" w:hAnsi="宋体" w:eastAsia="宋体" w:cs="宋体"/>
              <w:color w:val="auto"/>
              <w:kern w:val="2"/>
              <w:sz w:val="28"/>
              <w:szCs w:val="28"/>
              <w:highlight w:val="none"/>
              <w:lang w:val="en-US" w:eastAsia="zh-CN" w:bidi="ar-SA"/>
            </w:rPr>
            <w:fldChar w:fldCharType="begin"/>
          </w:r>
          <w:r>
            <w:rPr>
              <w:rFonts w:hint="eastAsia" w:ascii="宋体" w:hAnsi="宋体" w:eastAsia="宋体" w:cs="宋体"/>
              <w:kern w:val="2"/>
              <w:sz w:val="28"/>
              <w:szCs w:val="28"/>
              <w:highlight w:val="none"/>
              <w:lang w:val="en-US" w:eastAsia="zh-CN" w:bidi="ar-SA"/>
            </w:rPr>
            <w:instrText xml:space="preserve"> HYPERLINK \l _Toc876 </w:instrText>
          </w:r>
          <w:r>
            <w:rPr>
              <w:rFonts w:hint="eastAsia" w:ascii="宋体" w:hAnsi="宋体" w:eastAsia="宋体" w:cs="宋体"/>
              <w:kern w:val="2"/>
              <w:sz w:val="28"/>
              <w:szCs w:val="28"/>
              <w:highlight w:val="none"/>
              <w:lang w:val="en-US" w:eastAsia="zh-CN" w:bidi="ar-SA"/>
            </w:rPr>
            <w:fldChar w:fldCharType="separate"/>
          </w:r>
          <w:r>
            <w:rPr>
              <w:rFonts w:hint="eastAsia"/>
              <w:sz w:val="28"/>
              <w:szCs w:val="28"/>
            </w:rPr>
            <w:t xml:space="preserve">第三章 </w:t>
          </w:r>
          <w:r>
            <w:rPr>
              <w:rFonts w:hint="eastAsia"/>
              <w:sz w:val="28"/>
              <w:szCs w:val="28"/>
              <w:highlight w:val="none"/>
            </w:rPr>
            <w:t>采购需求</w:t>
          </w:r>
          <w:r>
            <w:rPr>
              <w:sz w:val="28"/>
              <w:szCs w:val="28"/>
            </w:rPr>
            <w:tab/>
          </w:r>
          <w:r>
            <w:rPr>
              <w:sz w:val="28"/>
              <w:szCs w:val="28"/>
            </w:rPr>
            <w:fldChar w:fldCharType="begin"/>
          </w:r>
          <w:r>
            <w:rPr>
              <w:sz w:val="28"/>
              <w:szCs w:val="28"/>
            </w:rPr>
            <w:instrText xml:space="preserve"> PAGEREF _Toc876 \h </w:instrText>
          </w:r>
          <w:r>
            <w:rPr>
              <w:sz w:val="28"/>
              <w:szCs w:val="28"/>
            </w:rPr>
            <w:fldChar w:fldCharType="separate"/>
          </w:r>
          <w:r>
            <w:rPr>
              <w:sz w:val="28"/>
              <w:szCs w:val="28"/>
            </w:rPr>
            <w:t>21</w:t>
          </w:r>
          <w:r>
            <w:rPr>
              <w:sz w:val="28"/>
              <w:szCs w:val="28"/>
            </w:rPr>
            <w:fldChar w:fldCharType="end"/>
          </w:r>
          <w:r>
            <w:rPr>
              <w:rFonts w:hint="eastAsia" w:ascii="宋体" w:hAnsi="宋体" w:eastAsia="宋体" w:cs="宋体"/>
              <w:color w:val="auto"/>
              <w:kern w:val="2"/>
              <w:sz w:val="28"/>
              <w:szCs w:val="28"/>
              <w:highlight w:val="none"/>
              <w:lang w:val="en-US" w:eastAsia="zh-CN" w:bidi="ar-SA"/>
            </w:rPr>
            <w:fldChar w:fldCharType="end"/>
          </w:r>
        </w:p>
        <w:p w14:paraId="4B76D8F2">
          <w:pPr>
            <w:pStyle w:val="23"/>
            <w:tabs>
              <w:tab w:val="right" w:leader="dot" w:pos="9071"/>
            </w:tabs>
            <w:rPr>
              <w:sz w:val="28"/>
              <w:szCs w:val="28"/>
            </w:rPr>
          </w:pPr>
          <w:r>
            <w:rPr>
              <w:rFonts w:hint="eastAsia" w:ascii="宋体" w:hAnsi="宋体" w:eastAsia="宋体" w:cs="宋体"/>
              <w:color w:val="auto"/>
              <w:kern w:val="2"/>
              <w:sz w:val="28"/>
              <w:szCs w:val="28"/>
              <w:highlight w:val="none"/>
              <w:lang w:val="en-US" w:eastAsia="zh-CN" w:bidi="ar-SA"/>
            </w:rPr>
            <w:fldChar w:fldCharType="begin"/>
          </w:r>
          <w:r>
            <w:rPr>
              <w:rFonts w:hint="eastAsia" w:ascii="宋体" w:hAnsi="宋体" w:eastAsia="宋体" w:cs="宋体"/>
              <w:kern w:val="2"/>
              <w:sz w:val="28"/>
              <w:szCs w:val="28"/>
              <w:highlight w:val="none"/>
              <w:lang w:val="en-US" w:eastAsia="zh-CN" w:bidi="ar-SA"/>
            </w:rPr>
            <w:instrText xml:space="preserve"> HYPERLINK \l _Toc6447 </w:instrText>
          </w:r>
          <w:r>
            <w:rPr>
              <w:rFonts w:hint="eastAsia" w:ascii="宋体" w:hAnsi="宋体" w:eastAsia="宋体" w:cs="宋体"/>
              <w:kern w:val="2"/>
              <w:sz w:val="28"/>
              <w:szCs w:val="28"/>
              <w:highlight w:val="none"/>
              <w:lang w:val="en-US" w:eastAsia="zh-CN" w:bidi="ar-SA"/>
            </w:rPr>
            <w:fldChar w:fldCharType="separate"/>
          </w:r>
          <w:r>
            <w:rPr>
              <w:rFonts w:hint="eastAsia" w:ascii="宋体" w:hAnsi="宋体" w:eastAsia="宋体" w:cs="宋体"/>
              <w:sz w:val="28"/>
              <w:szCs w:val="28"/>
            </w:rPr>
            <w:t>第</w:t>
          </w:r>
          <w:r>
            <w:rPr>
              <w:rFonts w:hint="eastAsia" w:ascii="宋体" w:hAnsi="宋体" w:cs="宋体"/>
              <w:sz w:val="28"/>
              <w:szCs w:val="28"/>
              <w:lang w:val="en-US" w:eastAsia="zh-CN"/>
            </w:rPr>
            <w:t>四</w:t>
          </w:r>
          <w:r>
            <w:rPr>
              <w:rFonts w:hint="eastAsia" w:ascii="宋体" w:hAnsi="宋体" w:eastAsia="宋体" w:cs="宋体"/>
              <w:sz w:val="28"/>
              <w:szCs w:val="28"/>
            </w:rPr>
            <w:t xml:space="preserve">章 </w:t>
          </w:r>
          <w:r>
            <w:rPr>
              <w:rFonts w:hint="eastAsia" w:ascii="宋体" w:hAnsi="宋体" w:eastAsia="宋体" w:cs="宋体"/>
              <w:sz w:val="28"/>
              <w:szCs w:val="28"/>
              <w:lang w:eastAsia="zh-CN"/>
            </w:rPr>
            <w:t>评审</w:t>
          </w:r>
          <w:r>
            <w:rPr>
              <w:rFonts w:hint="eastAsia" w:ascii="宋体" w:hAnsi="宋体" w:eastAsia="宋体" w:cs="宋体"/>
              <w:sz w:val="28"/>
              <w:szCs w:val="28"/>
            </w:rPr>
            <w:t>方法和成交标准</w:t>
          </w:r>
          <w:r>
            <w:rPr>
              <w:sz w:val="28"/>
              <w:szCs w:val="28"/>
            </w:rPr>
            <w:tab/>
          </w:r>
          <w:r>
            <w:rPr>
              <w:sz w:val="28"/>
              <w:szCs w:val="28"/>
            </w:rPr>
            <w:fldChar w:fldCharType="begin"/>
          </w:r>
          <w:r>
            <w:rPr>
              <w:sz w:val="28"/>
              <w:szCs w:val="28"/>
            </w:rPr>
            <w:instrText xml:space="preserve"> PAGEREF _Toc6447 \h </w:instrText>
          </w:r>
          <w:r>
            <w:rPr>
              <w:sz w:val="28"/>
              <w:szCs w:val="28"/>
            </w:rPr>
            <w:fldChar w:fldCharType="separate"/>
          </w:r>
          <w:r>
            <w:rPr>
              <w:sz w:val="28"/>
              <w:szCs w:val="28"/>
            </w:rPr>
            <w:t>24</w:t>
          </w:r>
          <w:r>
            <w:rPr>
              <w:sz w:val="28"/>
              <w:szCs w:val="28"/>
            </w:rPr>
            <w:fldChar w:fldCharType="end"/>
          </w:r>
          <w:r>
            <w:rPr>
              <w:rFonts w:hint="eastAsia" w:ascii="宋体" w:hAnsi="宋体" w:eastAsia="宋体" w:cs="宋体"/>
              <w:color w:val="auto"/>
              <w:kern w:val="2"/>
              <w:sz w:val="28"/>
              <w:szCs w:val="28"/>
              <w:highlight w:val="none"/>
              <w:lang w:val="en-US" w:eastAsia="zh-CN" w:bidi="ar-SA"/>
            </w:rPr>
            <w:fldChar w:fldCharType="end"/>
          </w:r>
        </w:p>
        <w:p w14:paraId="792473D2">
          <w:pPr>
            <w:pStyle w:val="23"/>
            <w:tabs>
              <w:tab w:val="right" w:leader="dot" w:pos="9071"/>
            </w:tabs>
            <w:rPr>
              <w:sz w:val="28"/>
              <w:szCs w:val="28"/>
            </w:rPr>
          </w:pPr>
          <w:r>
            <w:rPr>
              <w:rFonts w:hint="eastAsia" w:ascii="宋体" w:hAnsi="宋体" w:eastAsia="宋体" w:cs="宋体"/>
              <w:color w:val="auto"/>
              <w:kern w:val="2"/>
              <w:sz w:val="28"/>
              <w:szCs w:val="28"/>
              <w:highlight w:val="none"/>
              <w:lang w:val="en-US" w:eastAsia="zh-CN" w:bidi="ar-SA"/>
            </w:rPr>
            <w:fldChar w:fldCharType="begin"/>
          </w:r>
          <w:r>
            <w:rPr>
              <w:rFonts w:hint="eastAsia" w:ascii="宋体" w:hAnsi="宋体" w:eastAsia="宋体" w:cs="宋体"/>
              <w:kern w:val="2"/>
              <w:sz w:val="28"/>
              <w:szCs w:val="28"/>
              <w:highlight w:val="none"/>
              <w:lang w:val="en-US" w:eastAsia="zh-CN" w:bidi="ar-SA"/>
            </w:rPr>
            <w:instrText xml:space="preserve"> HYPERLINK \l _Toc15054 </w:instrText>
          </w:r>
          <w:r>
            <w:rPr>
              <w:rFonts w:hint="eastAsia" w:ascii="宋体" w:hAnsi="宋体" w:eastAsia="宋体" w:cs="宋体"/>
              <w:kern w:val="2"/>
              <w:sz w:val="28"/>
              <w:szCs w:val="28"/>
              <w:highlight w:val="none"/>
              <w:lang w:val="en-US" w:eastAsia="zh-CN" w:bidi="ar-SA"/>
            </w:rPr>
            <w:fldChar w:fldCharType="separate"/>
          </w:r>
          <w:r>
            <w:rPr>
              <w:rFonts w:hint="eastAsia"/>
              <w:sz w:val="28"/>
              <w:szCs w:val="28"/>
              <w:highlight w:val="none"/>
            </w:rPr>
            <w:t>第</w:t>
          </w:r>
          <w:r>
            <w:rPr>
              <w:rFonts w:hint="eastAsia"/>
              <w:sz w:val="28"/>
              <w:szCs w:val="28"/>
              <w:highlight w:val="none"/>
              <w:lang w:val="en-US" w:eastAsia="zh-CN"/>
            </w:rPr>
            <w:t>五</w:t>
          </w:r>
          <w:r>
            <w:rPr>
              <w:rFonts w:hint="eastAsia"/>
              <w:sz w:val="28"/>
              <w:szCs w:val="28"/>
              <w:highlight w:val="none"/>
            </w:rPr>
            <w:t>章 响应文件格式</w:t>
          </w:r>
          <w:r>
            <w:rPr>
              <w:sz w:val="28"/>
              <w:szCs w:val="28"/>
            </w:rPr>
            <w:tab/>
          </w:r>
          <w:r>
            <w:rPr>
              <w:sz w:val="28"/>
              <w:szCs w:val="28"/>
            </w:rPr>
            <w:fldChar w:fldCharType="begin"/>
          </w:r>
          <w:r>
            <w:rPr>
              <w:sz w:val="28"/>
              <w:szCs w:val="28"/>
            </w:rPr>
            <w:instrText xml:space="preserve"> PAGEREF _Toc15054 \h </w:instrText>
          </w:r>
          <w:r>
            <w:rPr>
              <w:sz w:val="28"/>
              <w:szCs w:val="28"/>
            </w:rPr>
            <w:fldChar w:fldCharType="separate"/>
          </w:r>
          <w:r>
            <w:rPr>
              <w:sz w:val="28"/>
              <w:szCs w:val="28"/>
            </w:rPr>
            <w:t>31</w:t>
          </w:r>
          <w:r>
            <w:rPr>
              <w:sz w:val="28"/>
              <w:szCs w:val="28"/>
            </w:rPr>
            <w:fldChar w:fldCharType="end"/>
          </w:r>
          <w:r>
            <w:rPr>
              <w:rFonts w:hint="eastAsia" w:ascii="宋体" w:hAnsi="宋体" w:eastAsia="宋体" w:cs="宋体"/>
              <w:color w:val="auto"/>
              <w:kern w:val="2"/>
              <w:sz w:val="28"/>
              <w:szCs w:val="28"/>
              <w:highlight w:val="none"/>
              <w:lang w:val="en-US" w:eastAsia="zh-CN" w:bidi="ar-SA"/>
            </w:rPr>
            <w:fldChar w:fldCharType="end"/>
          </w:r>
        </w:p>
        <w:p w14:paraId="7AE34010">
          <w:pPr>
            <w:pStyle w:val="23"/>
            <w:tabs>
              <w:tab w:val="right" w:leader="dot" w:pos="9071"/>
            </w:tabs>
            <w:rPr>
              <w:sz w:val="28"/>
              <w:szCs w:val="28"/>
            </w:rPr>
          </w:pPr>
          <w:r>
            <w:rPr>
              <w:rFonts w:hint="eastAsia" w:ascii="宋体" w:hAnsi="宋体" w:eastAsia="宋体" w:cs="宋体"/>
              <w:color w:val="auto"/>
              <w:kern w:val="2"/>
              <w:sz w:val="28"/>
              <w:szCs w:val="28"/>
              <w:highlight w:val="none"/>
              <w:lang w:val="en-US" w:eastAsia="zh-CN" w:bidi="ar-SA"/>
            </w:rPr>
            <w:fldChar w:fldCharType="begin"/>
          </w:r>
          <w:r>
            <w:rPr>
              <w:rFonts w:hint="eastAsia" w:ascii="宋体" w:hAnsi="宋体" w:eastAsia="宋体" w:cs="宋体"/>
              <w:kern w:val="2"/>
              <w:sz w:val="28"/>
              <w:szCs w:val="28"/>
              <w:highlight w:val="none"/>
              <w:lang w:val="en-US" w:eastAsia="zh-CN" w:bidi="ar-SA"/>
            </w:rPr>
            <w:instrText xml:space="preserve"> HYPERLINK \l _Toc32227 </w:instrText>
          </w:r>
          <w:r>
            <w:rPr>
              <w:rFonts w:hint="eastAsia" w:ascii="宋体" w:hAnsi="宋体" w:eastAsia="宋体" w:cs="宋体"/>
              <w:kern w:val="2"/>
              <w:sz w:val="28"/>
              <w:szCs w:val="28"/>
              <w:highlight w:val="none"/>
              <w:lang w:val="en-US" w:eastAsia="zh-CN" w:bidi="ar-SA"/>
            </w:rPr>
            <w:fldChar w:fldCharType="separate"/>
          </w:r>
          <w:r>
            <w:rPr>
              <w:rFonts w:hint="eastAsia"/>
              <w:sz w:val="28"/>
              <w:szCs w:val="28"/>
              <w:highlight w:val="none"/>
            </w:rPr>
            <w:t xml:space="preserve">第六章 </w:t>
          </w:r>
          <w:r>
            <w:rPr>
              <w:rFonts w:hint="eastAsia"/>
              <w:sz w:val="28"/>
              <w:szCs w:val="28"/>
              <w:highlight w:val="none"/>
              <w:lang w:val="en-US" w:eastAsia="zh-CN"/>
            </w:rPr>
            <w:t>拟签订的</w:t>
          </w:r>
          <w:r>
            <w:rPr>
              <w:rFonts w:hint="eastAsia"/>
              <w:sz w:val="28"/>
              <w:szCs w:val="28"/>
              <w:highlight w:val="none"/>
            </w:rPr>
            <w:t>合同文本</w:t>
          </w:r>
          <w:r>
            <w:rPr>
              <w:sz w:val="28"/>
              <w:szCs w:val="28"/>
            </w:rPr>
            <w:tab/>
          </w:r>
          <w:r>
            <w:rPr>
              <w:sz w:val="28"/>
              <w:szCs w:val="28"/>
            </w:rPr>
            <w:fldChar w:fldCharType="begin"/>
          </w:r>
          <w:r>
            <w:rPr>
              <w:sz w:val="28"/>
              <w:szCs w:val="28"/>
            </w:rPr>
            <w:instrText xml:space="preserve"> PAGEREF _Toc32227 \h </w:instrText>
          </w:r>
          <w:r>
            <w:rPr>
              <w:sz w:val="28"/>
              <w:szCs w:val="28"/>
            </w:rPr>
            <w:fldChar w:fldCharType="separate"/>
          </w:r>
          <w:r>
            <w:rPr>
              <w:sz w:val="28"/>
              <w:szCs w:val="28"/>
            </w:rPr>
            <w:t>53</w:t>
          </w:r>
          <w:r>
            <w:rPr>
              <w:sz w:val="28"/>
              <w:szCs w:val="28"/>
            </w:rPr>
            <w:fldChar w:fldCharType="end"/>
          </w:r>
          <w:r>
            <w:rPr>
              <w:rFonts w:hint="eastAsia" w:ascii="宋体" w:hAnsi="宋体" w:eastAsia="宋体" w:cs="宋体"/>
              <w:color w:val="auto"/>
              <w:kern w:val="2"/>
              <w:sz w:val="28"/>
              <w:szCs w:val="28"/>
              <w:highlight w:val="none"/>
              <w:lang w:val="en-US" w:eastAsia="zh-CN" w:bidi="ar-SA"/>
            </w:rPr>
            <w:fldChar w:fldCharType="end"/>
          </w:r>
        </w:p>
        <w:p w14:paraId="0B8A6F18">
          <w:pPr>
            <w:pStyle w:val="12"/>
            <w:pageBreakBefore w:val="0"/>
            <w:kinsoku/>
            <w:wordWrap/>
            <w:topLinePunct w:val="0"/>
            <w:bidi w:val="0"/>
            <w:spacing w:line="312" w:lineRule="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8"/>
              <w:szCs w:val="28"/>
              <w:highlight w:val="none"/>
              <w:lang w:val="en-US" w:eastAsia="zh-CN" w:bidi="ar-SA"/>
            </w:rPr>
            <w:fldChar w:fldCharType="end"/>
          </w:r>
        </w:p>
      </w:sdtContent>
    </w:sdt>
    <w:p w14:paraId="797B8E70">
      <w:pPr>
        <w:pStyle w:val="12"/>
        <w:pageBreakBefore w:val="0"/>
        <w:kinsoku/>
        <w:wordWrap/>
        <w:topLinePunct w:val="0"/>
        <w:bidi w:val="0"/>
        <w:spacing w:line="312" w:lineRule="auto"/>
        <w:rPr>
          <w:rFonts w:hint="eastAsia" w:ascii="宋体" w:hAnsi="宋体" w:eastAsia="宋体" w:cs="宋体"/>
          <w:color w:val="auto"/>
          <w:kern w:val="2"/>
          <w:sz w:val="21"/>
          <w:szCs w:val="21"/>
          <w:highlight w:val="none"/>
          <w:lang w:val="en-US" w:eastAsia="zh-CN" w:bidi="ar-SA"/>
        </w:rPr>
      </w:pPr>
    </w:p>
    <w:p w14:paraId="170F0C32">
      <w:pPr>
        <w:pStyle w:val="12"/>
        <w:pageBreakBefore w:val="0"/>
        <w:kinsoku/>
        <w:wordWrap/>
        <w:topLinePunct w:val="0"/>
        <w:bidi w:val="0"/>
        <w:spacing w:line="312" w:lineRule="auto"/>
        <w:rPr>
          <w:rFonts w:hint="eastAsia" w:ascii="宋体" w:hAnsi="宋体" w:eastAsia="宋体" w:cs="宋体"/>
          <w:color w:val="auto"/>
          <w:sz w:val="21"/>
          <w:szCs w:val="21"/>
          <w:highlight w:val="none"/>
        </w:rPr>
      </w:pPr>
    </w:p>
    <w:p w14:paraId="063892B6">
      <w:pPr>
        <w:pageBreakBefore w:val="0"/>
        <w:kinsoku/>
        <w:wordWrap/>
        <w:topLinePunct w:val="0"/>
        <w:bidi w:val="0"/>
        <w:spacing w:line="312" w:lineRule="auto"/>
        <w:rPr>
          <w:rFonts w:hint="eastAsia" w:ascii="宋体" w:hAnsi="宋体" w:eastAsia="宋体" w:cs="宋体"/>
          <w:color w:val="auto"/>
          <w:sz w:val="21"/>
          <w:szCs w:val="21"/>
          <w:highlight w:val="none"/>
        </w:rPr>
      </w:pPr>
    </w:p>
    <w:p w14:paraId="2DC1C52B">
      <w:pPr>
        <w:pStyle w:val="12"/>
        <w:pageBreakBefore w:val="0"/>
        <w:kinsoku/>
        <w:wordWrap/>
        <w:topLinePunct w:val="0"/>
        <w:bidi w:val="0"/>
        <w:spacing w:line="312" w:lineRule="auto"/>
        <w:rPr>
          <w:rFonts w:hint="eastAsia" w:ascii="宋体" w:hAnsi="宋体" w:eastAsia="宋体" w:cs="宋体"/>
          <w:color w:val="auto"/>
          <w:sz w:val="21"/>
          <w:szCs w:val="21"/>
          <w:highlight w:val="none"/>
        </w:rPr>
      </w:pPr>
    </w:p>
    <w:p w14:paraId="7D4087E5">
      <w:pPr>
        <w:pageBreakBefore w:val="0"/>
        <w:kinsoku/>
        <w:wordWrap/>
        <w:topLinePunct w:val="0"/>
        <w:bidi w:val="0"/>
        <w:spacing w:line="312" w:lineRule="auto"/>
        <w:rPr>
          <w:rFonts w:hint="eastAsia" w:ascii="宋体" w:hAnsi="宋体" w:eastAsia="宋体" w:cs="宋体"/>
          <w:color w:val="auto"/>
          <w:sz w:val="21"/>
          <w:szCs w:val="21"/>
          <w:highlight w:val="none"/>
        </w:rPr>
      </w:pPr>
    </w:p>
    <w:p w14:paraId="43A2DCCE">
      <w:pPr>
        <w:pStyle w:val="12"/>
        <w:pageBreakBefore w:val="0"/>
        <w:kinsoku/>
        <w:wordWrap/>
        <w:topLinePunct w:val="0"/>
        <w:bidi w:val="0"/>
        <w:spacing w:line="312" w:lineRule="auto"/>
        <w:rPr>
          <w:rFonts w:hint="eastAsia" w:ascii="宋体" w:hAnsi="宋体" w:eastAsia="宋体" w:cs="宋体"/>
          <w:color w:val="auto"/>
          <w:sz w:val="21"/>
          <w:szCs w:val="21"/>
          <w:highlight w:val="none"/>
        </w:rPr>
      </w:pPr>
    </w:p>
    <w:p w14:paraId="3D465041">
      <w:pPr>
        <w:pageBreakBefore w:val="0"/>
        <w:kinsoku/>
        <w:wordWrap/>
        <w:topLinePunct w:val="0"/>
        <w:bidi w:val="0"/>
        <w:spacing w:line="312" w:lineRule="auto"/>
        <w:rPr>
          <w:rFonts w:hint="eastAsia" w:ascii="宋体" w:hAnsi="宋体" w:eastAsia="宋体" w:cs="宋体"/>
          <w:color w:val="auto"/>
          <w:sz w:val="21"/>
          <w:szCs w:val="21"/>
          <w:highlight w:val="none"/>
        </w:rPr>
      </w:pPr>
    </w:p>
    <w:p w14:paraId="7EE5280E">
      <w:pPr>
        <w:pStyle w:val="12"/>
        <w:pageBreakBefore w:val="0"/>
        <w:kinsoku/>
        <w:wordWrap/>
        <w:topLinePunct w:val="0"/>
        <w:bidi w:val="0"/>
        <w:spacing w:line="312" w:lineRule="auto"/>
        <w:rPr>
          <w:rFonts w:hint="eastAsia" w:ascii="宋体" w:hAnsi="宋体" w:eastAsia="宋体" w:cs="宋体"/>
          <w:color w:val="auto"/>
          <w:sz w:val="21"/>
          <w:szCs w:val="21"/>
          <w:highlight w:val="none"/>
        </w:rPr>
      </w:pPr>
    </w:p>
    <w:p w14:paraId="4A7C81BA">
      <w:pPr>
        <w:pageBreakBefore w:val="0"/>
        <w:kinsoku/>
        <w:wordWrap/>
        <w:topLinePunct w:val="0"/>
        <w:bidi w:val="0"/>
        <w:spacing w:line="312" w:lineRule="auto"/>
        <w:rPr>
          <w:rFonts w:hint="eastAsia" w:ascii="宋体" w:hAnsi="宋体" w:eastAsia="宋体" w:cs="宋体"/>
          <w:color w:val="auto"/>
          <w:sz w:val="21"/>
          <w:szCs w:val="21"/>
          <w:highlight w:val="none"/>
        </w:rPr>
      </w:pPr>
    </w:p>
    <w:p w14:paraId="643BFE1B">
      <w:pPr>
        <w:pStyle w:val="12"/>
        <w:pageBreakBefore w:val="0"/>
        <w:kinsoku/>
        <w:wordWrap/>
        <w:topLinePunct w:val="0"/>
        <w:bidi w:val="0"/>
        <w:spacing w:line="312" w:lineRule="auto"/>
        <w:rPr>
          <w:rFonts w:hint="eastAsia" w:ascii="宋体" w:hAnsi="宋体" w:eastAsia="宋体" w:cs="宋体"/>
          <w:color w:val="auto"/>
          <w:sz w:val="21"/>
          <w:szCs w:val="21"/>
          <w:highlight w:val="none"/>
        </w:rPr>
      </w:pPr>
    </w:p>
    <w:p w14:paraId="68F82674">
      <w:pPr>
        <w:pageBreakBefore w:val="0"/>
        <w:kinsoku/>
        <w:wordWrap/>
        <w:topLinePunct w:val="0"/>
        <w:bidi w:val="0"/>
        <w:spacing w:line="312" w:lineRule="auto"/>
        <w:rPr>
          <w:rFonts w:hint="eastAsia" w:ascii="宋体" w:hAnsi="宋体" w:eastAsia="宋体" w:cs="宋体"/>
          <w:color w:val="auto"/>
          <w:sz w:val="21"/>
          <w:szCs w:val="21"/>
          <w:highlight w:val="none"/>
        </w:rPr>
      </w:pPr>
    </w:p>
    <w:p w14:paraId="45DBD098">
      <w:pPr>
        <w:pStyle w:val="12"/>
        <w:pageBreakBefore w:val="0"/>
        <w:kinsoku/>
        <w:wordWrap/>
        <w:topLinePunct w:val="0"/>
        <w:bidi w:val="0"/>
        <w:spacing w:line="312" w:lineRule="auto"/>
        <w:rPr>
          <w:rFonts w:hint="eastAsia" w:ascii="宋体" w:hAnsi="宋体" w:eastAsia="宋体" w:cs="宋体"/>
          <w:color w:val="auto"/>
          <w:sz w:val="21"/>
          <w:szCs w:val="21"/>
          <w:highlight w:val="none"/>
        </w:rPr>
      </w:pPr>
    </w:p>
    <w:p w14:paraId="5BA66032">
      <w:pPr>
        <w:pageBreakBefore w:val="0"/>
        <w:kinsoku/>
        <w:wordWrap/>
        <w:topLinePunct w:val="0"/>
        <w:bidi w:val="0"/>
        <w:spacing w:line="312" w:lineRule="auto"/>
        <w:rPr>
          <w:rFonts w:hint="eastAsia" w:ascii="宋体" w:hAnsi="宋体" w:eastAsia="宋体" w:cs="宋体"/>
          <w:color w:val="auto"/>
          <w:sz w:val="21"/>
          <w:szCs w:val="21"/>
          <w:highlight w:val="none"/>
        </w:rPr>
      </w:pPr>
    </w:p>
    <w:p w14:paraId="19618AE1">
      <w:pPr>
        <w:pStyle w:val="12"/>
        <w:pageBreakBefore w:val="0"/>
        <w:kinsoku/>
        <w:wordWrap/>
        <w:topLinePunct w:val="0"/>
        <w:bidi w:val="0"/>
        <w:spacing w:line="312" w:lineRule="auto"/>
        <w:rPr>
          <w:rFonts w:hint="eastAsia" w:ascii="宋体" w:hAnsi="宋体" w:eastAsia="宋体" w:cs="宋体"/>
          <w:color w:val="auto"/>
          <w:sz w:val="21"/>
          <w:szCs w:val="21"/>
          <w:highlight w:val="none"/>
        </w:rPr>
      </w:pPr>
    </w:p>
    <w:p w14:paraId="001780EB">
      <w:pPr>
        <w:pageBreakBefore w:val="0"/>
        <w:kinsoku/>
        <w:wordWrap/>
        <w:topLinePunct w:val="0"/>
        <w:bidi w:val="0"/>
        <w:spacing w:line="312" w:lineRule="auto"/>
        <w:rPr>
          <w:rFonts w:hint="eastAsia" w:ascii="宋体" w:hAnsi="宋体" w:eastAsia="宋体" w:cs="宋体"/>
          <w:color w:val="auto"/>
          <w:sz w:val="21"/>
          <w:szCs w:val="21"/>
          <w:highlight w:val="none"/>
        </w:rPr>
      </w:pPr>
    </w:p>
    <w:p w14:paraId="215A8C22">
      <w:pPr>
        <w:pStyle w:val="12"/>
        <w:pageBreakBefore w:val="0"/>
        <w:kinsoku/>
        <w:wordWrap/>
        <w:topLinePunct w:val="0"/>
        <w:bidi w:val="0"/>
        <w:spacing w:line="312" w:lineRule="auto"/>
        <w:rPr>
          <w:rFonts w:hint="eastAsia" w:ascii="宋体" w:hAnsi="宋体" w:eastAsia="宋体" w:cs="宋体"/>
          <w:color w:val="auto"/>
          <w:sz w:val="21"/>
          <w:szCs w:val="21"/>
          <w:highlight w:val="none"/>
        </w:rPr>
      </w:pPr>
    </w:p>
    <w:p w14:paraId="5BD1E173">
      <w:pPr>
        <w:pStyle w:val="3"/>
        <w:keepNext/>
        <w:keepLines/>
        <w:pageBreakBefore w:val="0"/>
        <w:widowControl w:val="0"/>
        <w:kinsoku/>
        <w:wordWrap/>
        <w:overflowPunct/>
        <w:topLinePunct w:val="0"/>
        <w:autoSpaceDE/>
        <w:autoSpaceDN/>
        <w:bidi w:val="0"/>
        <w:adjustRightInd/>
        <w:snapToGrid/>
        <w:spacing w:before="200" w:after="200" w:line="360" w:lineRule="auto"/>
        <w:jc w:val="center"/>
        <w:textAlignment w:val="auto"/>
        <w:outlineLvl w:val="0"/>
        <w:rPr>
          <w:rFonts w:hint="eastAsia"/>
          <w:color w:val="auto"/>
          <w:highlight w:val="none"/>
          <w:lang w:val="en-US" w:eastAsia="zh-CN"/>
        </w:rPr>
      </w:pPr>
      <w:r>
        <w:rPr>
          <w:rFonts w:hint="eastAsia" w:ascii="宋体" w:hAnsi="宋体" w:eastAsia="宋体" w:cs="宋体"/>
          <w:color w:val="auto"/>
          <w:sz w:val="21"/>
          <w:szCs w:val="21"/>
          <w:highlight w:val="none"/>
        </w:rPr>
        <w:fldChar w:fldCharType="end"/>
      </w:r>
      <w:bookmarkStart w:id="0" w:name="_Toc2558"/>
      <w:bookmarkStart w:id="1" w:name="_Toc16252"/>
      <w:bookmarkStart w:id="2" w:name="_Hlk37430271"/>
      <w:r>
        <w:rPr>
          <w:rFonts w:hint="eastAsia"/>
          <w:color w:val="auto"/>
          <w:highlight w:val="none"/>
          <w:lang w:val="en-US" w:eastAsia="zh-CN"/>
        </w:rPr>
        <w:t>第一章 竞争性磋商公告</w:t>
      </w:r>
      <w:bookmarkEnd w:id="0"/>
      <w:bookmarkEnd w:id="1"/>
    </w:p>
    <w:p w14:paraId="5FA77C0F">
      <w:pPr>
        <w:pageBreakBefore w:val="0"/>
        <w:pBdr>
          <w:top w:val="single" w:color="auto" w:sz="4" w:space="1"/>
          <w:left w:val="single" w:color="auto" w:sz="4" w:space="4"/>
          <w:bottom w:val="single" w:color="auto" w:sz="4" w:space="1"/>
          <w:right w:val="single" w:color="auto" w:sz="4" w:space="4"/>
        </w:pBdr>
        <w:kinsoku/>
        <w:wordWrap/>
        <w:overflowPunct/>
        <w:topLinePunct w:val="0"/>
        <w:autoSpaceDE/>
        <w:autoSpaceDN/>
        <w:bidi w:val="0"/>
        <w:spacing w:line="336" w:lineRule="auto"/>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项目概况</w:t>
      </w:r>
    </w:p>
    <w:p w14:paraId="2C66A36B">
      <w:pPr>
        <w:pageBreakBefore w:val="0"/>
        <w:pBdr>
          <w:top w:val="single" w:color="auto" w:sz="4" w:space="1"/>
          <w:left w:val="single" w:color="auto" w:sz="4" w:space="4"/>
          <w:bottom w:val="single" w:color="auto" w:sz="4" w:space="1"/>
          <w:right w:val="single" w:color="auto" w:sz="4" w:space="4"/>
        </w:pBdr>
        <w:kinsoku/>
        <w:wordWrap/>
        <w:overflowPunct/>
        <w:topLinePunct w:val="0"/>
        <w:autoSpaceDE/>
        <w:autoSpaceDN/>
        <w:bidi w:val="0"/>
        <w:spacing w:line="336" w:lineRule="auto"/>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2026年龙圩区松材线虫病疫情枯死树清理项目项目的潜在供应商应在“广西政府采购云平台”（https://www.gcy.zfcg.gxzf.gov.cn/）获取采购文件，并于2026年07月31日 09:30（北京时间）前提交响应文件。</w:t>
      </w:r>
    </w:p>
    <w:bookmarkEnd w:id="2"/>
    <w:p w14:paraId="3E0D640F">
      <w:pPr>
        <w:pStyle w:val="3"/>
        <w:pageBreakBefore w:val="0"/>
        <w:kinsoku/>
        <w:wordWrap/>
        <w:overflowPunct/>
        <w:topLinePunct w:val="0"/>
        <w:autoSpaceDE/>
        <w:autoSpaceDN/>
        <w:bidi w:val="0"/>
        <w:spacing w:before="0" w:after="0" w:line="336" w:lineRule="auto"/>
        <w:ind w:firstLine="482" w:firstLineChars="200"/>
        <w:textAlignment w:val="auto"/>
        <w:outlineLvl w:val="0"/>
        <w:rPr>
          <w:rFonts w:hint="eastAsia" w:asciiTheme="minorEastAsia" w:hAnsiTheme="minorEastAsia" w:eastAsiaTheme="minorEastAsia" w:cstheme="minorEastAsia"/>
          <w:bCs w:val="0"/>
          <w:color w:val="auto"/>
          <w:sz w:val="24"/>
          <w:szCs w:val="24"/>
          <w:highlight w:val="none"/>
        </w:rPr>
      </w:pPr>
      <w:bookmarkStart w:id="3" w:name="_Toc1531"/>
      <w:bookmarkStart w:id="4" w:name="_Toc35393629"/>
      <w:bookmarkStart w:id="5" w:name="_Toc28359012"/>
      <w:bookmarkStart w:id="6" w:name="_Toc44229878"/>
      <w:bookmarkStart w:id="7" w:name="_Toc28359089"/>
      <w:bookmarkStart w:id="8" w:name="_Toc35393798"/>
      <w:r>
        <w:rPr>
          <w:rFonts w:hint="eastAsia" w:asciiTheme="minorEastAsia" w:hAnsiTheme="minorEastAsia" w:eastAsiaTheme="minorEastAsia" w:cstheme="minorEastAsia"/>
          <w:bCs w:val="0"/>
          <w:color w:val="auto"/>
          <w:sz w:val="24"/>
          <w:szCs w:val="24"/>
          <w:highlight w:val="none"/>
        </w:rPr>
        <w:t>一、项目基本情况</w:t>
      </w:r>
      <w:bookmarkEnd w:id="3"/>
      <w:bookmarkEnd w:id="4"/>
      <w:bookmarkEnd w:id="5"/>
      <w:bookmarkEnd w:id="6"/>
      <w:bookmarkEnd w:id="7"/>
      <w:bookmarkEnd w:id="8"/>
    </w:p>
    <w:p w14:paraId="777FACF3">
      <w:pPr>
        <w:pageBreakBefore w:val="0"/>
        <w:kinsoku/>
        <w:wordWrap/>
        <w:overflowPunct/>
        <w:topLinePunct w:val="0"/>
        <w:autoSpaceDE/>
        <w:autoSpaceDN/>
        <w:bidi w:val="0"/>
        <w:spacing w:line="336" w:lineRule="auto"/>
        <w:ind w:firstLine="420" w:firstLineChars="200"/>
        <w:textAlignment w:val="auto"/>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rPr>
        <w:t>项目编号：</w:t>
      </w:r>
      <w:r>
        <w:rPr>
          <w:rFonts w:hint="eastAsia" w:asciiTheme="minorEastAsia" w:hAnsiTheme="minorEastAsia" w:eastAsiaTheme="minorEastAsia" w:cstheme="minorEastAsia"/>
          <w:color w:val="auto"/>
          <w:szCs w:val="21"/>
          <w:highlight w:val="none"/>
          <w:lang w:eastAsia="zh-CN"/>
        </w:rPr>
        <w:t>WZZC2026-C3-060041-NNPZ</w:t>
      </w:r>
      <w:r>
        <w:rPr>
          <w:rFonts w:hint="eastAsia" w:asciiTheme="minorEastAsia" w:hAnsiTheme="minorEastAsia" w:eastAsiaTheme="minorEastAsia" w:cstheme="minorEastAsia"/>
          <w:color w:val="auto"/>
          <w:szCs w:val="21"/>
          <w:highlight w:val="none"/>
          <w:lang w:val="en-US" w:eastAsia="zh-CN"/>
        </w:rPr>
        <w:tab/>
      </w:r>
    </w:p>
    <w:p w14:paraId="5AD49F51">
      <w:pPr>
        <w:pageBreakBefore w:val="0"/>
        <w:kinsoku/>
        <w:wordWrap/>
        <w:overflowPunct/>
        <w:topLinePunct w:val="0"/>
        <w:autoSpaceDE/>
        <w:autoSpaceDN/>
        <w:bidi w:val="0"/>
        <w:spacing w:line="336" w:lineRule="auto"/>
        <w:ind w:firstLine="420" w:firstLineChars="200"/>
        <w:textAlignment w:val="auto"/>
        <w:rPr>
          <w:rFonts w:hint="eastAsia" w:asciiTheme="minorEastAsia" w:hAnsiTheme="minorEastAsia" w:eastAsiaTheme="minorEastAsia" w:cstheme="minorEastAsia"/>
          <w:color w:val="auto"/>
          <w:szCs w:val="21"/>
          <w:highlight w:val="none"/>
          <w:u w:val="single"/>
          <w:lang w:val="en-US" w:eastAsia="zh-CN"/>
        </w:rPr>
      </w:pPr>
      <w:r>
        <w:rPr>
          <w:rFonts w:hint="eastAsia" w:asciiTheme="minorEastAsia" w:hAnsiTheme="minorEastAsia" w:eastAsiaTheme="minorEastAsia" w:cstheme="minorEastAsia"/>
          <w:color w:val="auto"/>
          <w:szCs w:val="21"/>
          <w:highlight w:val="none"/>
        </w:rPr>
        <w:t>项目名称：</w:t>
      </w:r>
      <w:r>
        <w:rPr>
          <w:rFonts w:hint="eastAsia" w:asciiTheme="minorEastAsia" w:hAnsiTheme="minorEastAsia" w:eastAsiaTheme="minorEastAsia" w:cstheme="minorEastAsia"/>
          <w:color w:val="auto"/>
          <w:szCs w:val="21"/>
          <w:highlight w:val="none"/>
          <w:lang w:val="en-US" w:eastAsia="zh-CN"/>
        </w:rPr>
        <w:t>2026年龙圩区松材线虫病疫情枯死树清理项目</w:t>
      </w:r>
    </w:p>
    <w:p w14:paraId="6B74003C">
      <w:pPr>
        <w:pageBreakBefore w:val="0"/>
        <w:kinsoku/>
        <w:wordWrap/>
        <w:overflowPunct/>
        <w:topLinePunct w:val="0"/>
        <w:autoSpaceDE/>
        <w:autoSpaceDN/>
        <w:bidi w:val="0"/>
        <w:spacing w:line="336" w:lineRule="auto"/>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采购方式：竞争性磋商</w:t>
      </w:r>
    </w:p>
    <w:p w14:paraId="46403675">
      <w:pPr>
        <w:pageBreakBefore w:val="0"/>
        <w:kinsoku/>
        <w:wordWrap/>
        <w:overflowPunct/>
        <w:topLinePunct w:val="0"/>
        <w:autoSpaceDE/>
        <w:autoSpaceDN/>
        <w:bidi w:val="0"/>
        <w:spacing w:line="336" w:lineRule="auto"/>
        <w:ind w:firstLine="420" w:firstLineChars="200"/>
        <w:textAlignment w:val="auto"/>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rPr>
        <w:t>预算总金额（元）：</w:t>
      </w:r>
      <w:r>
        <w:rPr>
          <w:rFonts w:hint="eastAsia" w:asciiTheme="minorEastAsia" w:hAnsiTheme="minorEastAsia" w:eastAsiaTheme="minorEastAsia" w:cstheme="minorEastAsia"/>
          <w:color w:val="auto"/>
          <w:szCs w:val="21"/>
          <w:highlight w:val="none"/>
          <w:lang w:val="en-US" w:eastAsia="zh-CN"/>
        </w:rPr>
        <w:t>840000.00</w:t>
      </w:r>
    </w:p>
    <w:p w14:paraId="210C4F2A">
      <w:pPr>
        <w:pageBreakBefore w:val="0"/>
        <w:kinsoku/>
        <w:wordWrap/>
        <w:overflowPunct/>
        <w:topLinePunct w:val="0"/>
        <w:autoSpaceDE/>
        <w:autoSpaceDN/>
        <w:bidi w:val="0"/>
        <w:spacing w:line="336" w:lineRule="auto"/>
        <w:ind w:firstLine="420" w:firstLineChars="200"/>
        <w:textAlignment w:val="auto"/>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采购需求：</w:t>
      </w:r>
    </w:p>
    <w:p w14:paraId="7BE7B0C8">
      <w:pPr>
        <w:pageBreakBefore w:val="0"/>
        <w:kinsoku/>
        <w:wordWrap/>
        <w:overflowPunct/>
        <w:topLinePunct w:val="0"/>
        <w:autoSpaceDE/>
        <w:autoSpaceDN/>
        <w:bidi w:val="0"/>
        <w:spacing w:line="336" w:lineRule="auto"/>
        <w:textAlignment w:val="auto"/>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标项名称:2026年龙圩区松材线虫病疫情枯死树清理项目</w:t>
      </w:r>
    </w:p>
    <w:p w14:paraId="467F077E">
      <w:pPr>
        <w:pageBreakBefore w:val="0"/>
        <w:kinsoku/>
        <w:wordWrap/>
        <w:overflowPunct/>
        <w:topLinePunct w:val="0"/>
        <w:autoSpaceDE/>
        <w:autoSpaceDN/>
        <w:bidi w:val="0"/>
        <w:spacing w:line="336" w:lineRule="auto"/>
        <w:textAlignment w:val="auto"/>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数量:1</w:t>
      </w:r>
    </w:p>
    <w:p w14:paraId="6CF61D76">
      <w:pPr>
        <w:pageBreakBefore w:val="0"/>
        <w:kinsoku/>
        <w:wordWrap/>
        <w:overflowPunct/>
        <w:topLinePunct w:val="0"/>
        <w:autoSpaceDE/>
        <w:autoSpaceDN/>
        <w:bidi w:val="0"/>
        <w:spacing w:line="336" w:lineRule="auto"/>
        <w:textAlignment w:val="auto"/>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预算金额（元）:840000.00</w:t>
      </w:r>
    </w:p>
    <w:p w14:paraId="6681756C">
      <w:pPr>
        <w:pageBreakBefore w:val="0"/>
        <w:kinsoku/>
        <w:wordWrap/>
        <w:overflowPunct/>
        <w:topLinePunct w:val="0"/>
        <w:autoSpaceDE/>
        <w:autoSpaceDN/>
        <w:bidi w:val="0"/>
        <w:spacing w:line="336" w:lineRule="auto"/>
        <w:textAlignment w:val="auto"/>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简要规格描述或项目基本概况介绍、用途：</w:t>
      </w:r>
      <w:r>
        <w:rPr>
          <w:rFonts w:hint="eastAsia" w:asciiTheme="minorEastAsia" w:hAnsiTheme="minorEastAsia" w:eastAsiaTheme="minorEastAsia" w:cstheme="minorEastAsia"/>
          <w:color w:val="000000"/>
          <w:sz w:val="21"/>
          <w:szCs w:val="21"/>
          <w:lang w:eastAsia="zh-CN"/>
        </w:rPr>
        <w:t>计划清理全区松材线虫病枯死木3000株（具体内容详见主要技术服务要求）</w:t>
      </w:r>
    </w:p>
    <w:p w14:paraId="7F71B2C2">
      <w:pPr>
        <w:pageBreakBefore w:val="0"/>
        <w:kinsoku/>
        <w:wordWrap/>
        <w:overflowPunct/>
        <w:topLinePunct w:val="0"/>
        <w:autoSpaceDE/>
        <w:autoSpaceDN/>
        <w:bidi w:val="0"/>
        <w:spacing w:line="336" w:lineRule="auto"/>
        <w:textAlignment w:val="auto"/>
        <w:rPr>
          <w:rFonts w:hint="default"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最高限价（如有）：840000.00元</w:t>
      </w:r>
    </w:p>
    <w:p w14:paraId="34EFDE0C">
      <w:pPr>
        <w:pageBreakBefore w:val="0"/>
        <w:kinsoku/>
        <w:wordWrap/>
        <w:overflowPunct/>
        <w:topLinePunct w:val="0"/>
        <w:autoSpaceDE/>
        <w:autoSpaceDN/>
        <w:bidi w:val="0"/>
        <w:spacing w:line="336" w:lineRule="auto"/>
        <w:textAlignment w:val="auto"/>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合同履约期限：</w:t>
      </w:r>
      <w:r>
        <w:rPr>
          <w:rFonts w:hint="eastAsia" w:asciiTheme="minorEastAsia" w:hAnsiTheme="minorEastAsia" w:eastAsiaTheme="minorEastAsia" w:cstheme="minorEastAsia"/>
          <w:kern w:val="0"/>
          <w:sz w:val="21"/>
          <w:szCs w:val="21"/>
          <w:lang w:eastAsia="zh-CN"/>
        </w:rPr>
        <w:t>自签订合同之日起至2026年09月30日前完成。</w:t>
      </w:r>
    </w:p>
    <w:p w14:paraId="7A494D11">
      <w:pPr>
        <w:pageBreakBefore w:val="0"/>
        <w:kinsoku/>
        <w:wordWrap/>
        <w:overflowPunct/>
        <w:topLinePunct w:val="0"/>
        <w:autoSpaceDE/>
        <w:autoSpaceDN/>
        <w:bidi w:val="0"/>
        <w:spacing w:line="336" w:lineRule="auto"/>
        <w:textAlignment w:val="auto"/>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本标项（否）接受联合体投标</w:t>
      </w:r>
    </w:p>
    <w:p w14:paraId="3964349D">
      <w:pPr>
        <w:pageBreakBefore w:val="0"/>
        <w:kinsoku/>
        <w:wordWrap/>
        <w:overflowPunct/>
        <w:topLinePunct w:val="0"/>
        <w:autoSpaceDE/>
        <w:autoSpaceDN/>
        <w:bidi w:val="0"/>
        <w:spacing w:line="336" w:lineRule="auto"/>
        <w:textAlignment w:val="auto"/>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备注：</w:t>
      </w:r>
    </w:p>
    <w:p w14:paraId="48FED91F">
      <w:pPr>
        <w:pStyle w:val="3"/>
        <w:pageBreakBefore w:val="0"/>
        <w:kinsoku/>
        <w:wordWrap/>
        <w:overflowPunct/>
        <w:topLinePunct w:val="0"/>
        <w:autoSpaceDE/>
        <w:autoSpaceDN/>
        <w:bidi w:val="0"/>
        <w:spacing w:before="0" w:after="0" w:line="336" w:lineRule="auto"/>
        <w:ind w:firstLine="482" w:firstLineChars="200"/>
        <w:textAlignment w:val="auto"/>
        <w:outlineLvl w:val="0"/>
        <w:rPr>
          <w:rFonts w:hint="eastAsia" w:asciiTheme="minorEastAsia" w:hAnsiTheme="minorEastAsia" w:eastAsiaTheme="minorEastAsia" w:cstheme="minorEastAsia"/>
          <w:bCs w:val="0"/>
          <w:color w:val="auto"/>
          <w:sz w:val="24"/>
          <w:szCs w:val="24"/>
          <w:highlight w:val="none"/>
        </w:rPr>
      </w:pPr>
      <w:bookmarkStart w:id="9" w:name="_Toc28359090"/>
      <w:bookmarkStart w:id="10" w:name="_Toc35393799"/>
      <w:bookmarkStart w:id="11" w:name="_Toc28359013"/>
      <w:bookmarkStart w:id="12" w:name="_Toc21544"/>
      <w:bookmarkStart w:id="13" w:name="_Toc35393630"/>
      <w:bookmarkStart w:id="14" w:name="_Toc44229879"/>
      <w:r>
        <w:rPr>
          <w:rFonts w:hint="eastAsia" w:asciiTheme="minorEastAsia" w:hAnsiTheme="minorEastAsia" w:eastAsiaTheme="minorEastAsia" w:cstheme="minorEastAsia"/>
          <w:bCs w:val="0"/>
          <w:color w:val="auto"/>
          <w:sz w:val="24"/>
          <w:szCs w:val="24"/>
          <w:highlight w:val="none"/>
        </w:rPr>
        <w:t>二、申请人的资格要求：</w:t>
      </w:r>
      <w:bookmarkEnd w:id="9"/>
      <w:bookmarkEnd w:id="10"/>
      <w:bookmarkEnd w:id="11"/>
      <w:bookmarkEnd w:id="12"/>
      <w:bookmarkEnd w:id="13"/>
      <w:bookmarkEnd w:id="14"/>
    </w:p>
    <w:p w14:paraId="00B07C43">
      <w:pPr>
        <w:pageBreakBefore w:val="0"/>
        <w:kinsoku/>
        <w:wordWrap/>
        <w:overflowPunct/>
        <w:topLinePunct w:val="0"/>
        <w:autoSpaceDE/>
        <w:autoSpaceDN/>
        <w:bidi w:val="0"/>
        <w:spacing w:line="336" w:lineRule="auto"/>
        <w:ind w:firstLine="420" w:firstLineChars="200"/>
        <w:textAlignment w:val="auto"/>
        <w:outlineLvl w:val="9"/>
        <w:rPr>
          <w:rFonts w:hint="eastAsia" w:asciiTheme="minorEastAsia" w:hAnsiTheme="minorEastAsia" w:eastAsiaTheme="minorEastAsia" w:cstheme="minorEastAsia"/>
          <w:color w:val="auto"/>
          <w:szCs w:val="21"/>
          <w:highlight w:val="none"/>
        </w:rPr>
      </w:pPr>
      <w:bookmarkStart w:id="15" w:name="_Toc28359091"/>
      <w:bookmarkStart w:id="16" w:name="_Toc35393631"/>
      <w:bookmarkStart w:id="17" w:name="_Toc35393800"/>
      <w:bookmarkStart w:id="18" w:name="_Toc44229880"/>
      <w:bookmarkStart w:id="19" w:name="_Toc28359014"/>
      <w:r>
        <w:rPr>
          <w:rFonts w:hint="eastAsia" w:asciiTheme="minorEastAsia" w:hAnsiTheme="minorEastAsia" w:eastAsiaTheme="minorEastAsia" w:cstheme="minorEastAsia"/>
          <w:color w:val="auto"/>
          <w:szCs w:val="21"/>
          <w:highlight w:val="none"/>
        </w:rPr>
        <w:t>1.满足《中华人民共和国政府采购法》第二十二条规定；</w:t>
      </w:r>
    </w:p>
    <w:p w14:paraId="0C04DC71">
      <w:pPr>
        <w:pageBreakBefore w:val="0"/>
        <w:kinsoku/>
        <w:wordWrap/>
        <w:overflowPunct/>
        <w:topLinePunct w:val="0"/>
        <w:autoSpaceDE/>
        <w:autoSpaceDN/>
        <w:bidi w:val="0"/>
        <w:spacing w:line="336" w:lineRule="auto"/>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2.</w:t>
      </w:r>
      <w:r>
        <w:rPr>
          <w:rFonts w:hint="eastAsia" w:asciiTheme="minorEastAsia" w:hAnsiTheme="minorEastAsia" w:eastAsiaTheme="minorEastAsia" w:cstheme="minorEastAsia"/>
          <w:color w:val="auto"/>
          <w:szCs w:val="21"/>
          <w:highlight w:val="none"/>
        </w:rPr>
        <w:t>落实政府采购政策需满足的资格要求：专门面向中小企业采购的项目（供应商应为中小微企业或监狱企业或残疾人福利性单位)。</w:t>
      </w:r>
    </w:p>
    <w:p w14:paraId="6CD36E19">
      <w:pPr>
        <w:pageBreakBefore w:val="0"/>
        <w:kinsoku/>
        <w:wordWrap/>
        <w:overflowPunct/>
        <w:topLinePunct w:val="0"/>
        <w:autoSpaceDE/>
        <w:autoSpaceDN/>
        <w:bidi w:val="0"/>
        <w:spacing w:line="336" w:lineRule="auto"/>
        <w:ind w:firstLine="420" w:firstLineChars="200"/>
        <w:textAlignment w:val="auto"/>
        <w:outlineLvl w:val="9"/>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3.本项目的特定资格要求：分标1：无。 </w:t>
      </w:r>
    </w:p>
    <w:p w14:paraId="45DE0FFC">
      <w:pPr>
        <w:pStyle w:val="3"/>
        <w:pageBreakBefore w:val="0"/>
        <w:kinsoku/>
        <w:wordWrap/>
        <w:overflowPunct/>
        <w:topLinePunct w:val="0"/>
        <w:autoSpaceDE/>
        <w:autoSpaceDN/>
        <w:bidi w:val="0"/>
        <w:spacing w:before="0" w:after="0" w:line="336" w:lineRule="auto"/>
        <w:ind w:firstLine="482" w:firstLineChars="200"/>
        <w:textAlignment w:val="auto"/>
        <w:outlineLvl w:val="0"/>
        <w:rPr>
          <w:rFonts w:hint="eastAsia" w:asciiTheme="minorEastAsia" w:hAnsiTheme="minorEastAsia" w:eastAsiaTheme="minorEastAsia" w:cstheme="minorEastAsia"/>
          <w:bCs w:val="0"/>
          <w:color w:val="auto"/>
          <w:sz w:val="24"/>
          <w:szCs w:val="24"/>
          <w:highlight w:val="none"/>
        </w:rPr>
      </w:pPr>
      <w:bookmarkStart w:id="20" w:name="_Toc418"/>
      <w:r>
        <w:rPr>
          <w:rFonts w:hint="eastAsia" w:asciiTheme="minorEastAsia" w:hAnsiTheme="minorEastAsia" w:eastAsiaTheme="minorEastAsia" w:cstheme="minorEastAsia"/>
          <w:bCs w:val="0"/>
          <w:color w:val="auto"/>
          <w:sz w:val="24"/>
          <w:szCs w:val="24"/>
          <w:highlight w:val="none"/>
        </w:rPr>
        <w:t>三、</w:t>
      </w:r>
      <w:bookmarkEnd w:id="15"/>
      <w:bookmarkEnd w:id="16"/>
      <w:bookmarkEnd w:id="17"/>
      <w:bookmarkEnd w:id="18"/>
      <w:bookmarkEnd w:id="19"/>
      <w:r>
        <w:rPr>
          <w:rFonts w:hint="eastAsia" w:asciiTheme="minorEastAsia" w:hAnsiTheme="minorEastAsia" w:eastAsiaTheme="minorEastAsia" w:cstheme="minorEastAsia"/>
          <w:bCs w:val="0"/>
          <w:color w:val="auto"/>
          <w:sz w:val="24"/>
          <w:szCs w:val="24"/>
          <w:highlight w:val="none"/>
        </w:rPr>
        <w:t>获取采购文件</w:t>
      </w:r>
      <w:bookmarkEnd w:id="20"/>
    </w:p>
    <w:p w14:paraId="6F225758">
      <w:pPr>
        <w:pageBreakBefore w:val="0"/>
        <w:kinsoku/>
        <w:wordWrap/>
        <w:overflowPunct/>
        <w:topLinePunct w:val="0"/>
        <w:autoSpaceDE/>
        <w:autoSpaceDN/>
        <w:bidi w:val="0"/>
        <w:spacing w:line="336" w:lineRule="auto"/>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时间：</w:t>
      </w:r>
      <w:r>
        <w:rPr>
          <w:rFonts w:hint="eastAsia" w:asciiTheme="minorEastAsia" w:hAnsiTheme="minorEastAsia" w:eastAsiaTheme="minorEastAsia" w:cstheme="minorEastAsia"/>
          <w:color w:val="auto"/>
          <w:szCs w:val="21"/>
          <w:highlight w:val="none"/>
          <w:lang w:eastAsia="zh-CN"/>
        </w:rPr>
        <w:t>2026年07月21日</w:t>
      </w:r>
      <w:r>
        <w:rPr>
          <w:rFonts w:hint="eastAsia" w:asciiTheme="minorEastAsia" w:hAnsiTheme="minorEastAsia" w:eastAsiaTheme="minorEastAsia" w:cstheme="minorEastAsia"/>
          <w:color w:val="auto"/>
          <w:szCs w:val="21"/>
          <w:highlight w:val="none"/>
        </w:rPr>
        <w:t>至202</w:t>
      </w:r>
      <w:r>
        <w:rPr>
          <w:rFonts w:hint="eastAsia" w:asciiTheme="minorEastAsia" w:hAnsiTheme="minorEastAsia" w:eastAsiaTheme="minorEastAsia" w:cstheme="minorEastAsia"/>
          <w:color w:val="auto"/>
          <w:szCs w:val="21"/>
          <w:highlight w:val="none"/>
          <w:lang w:val="en-US" w:eastAsia="zh-CN"/>
        </w:rPr>
        <w:t>6</w:t>
      </w:r>
      <w:r>
        <w:rPr>
          <w:rFonts w:hint="eastAsia" w:asciiTheme="minorEastAsia" w:hAnsiTheme="minorEastAsia" w:eastAsiaTheme="minorEastAsia" w:cstheme="minorEastAsia"/>
          <w:color w:val="auto"/>
          <w:szCs w:val="21"/>
          <w:highlight w:val="none"/>
        </w:rPr>
        <w:t>年</w:t>
      </w:r>
      <w:r>
        <w:rPr>
          <w:rFonts w:hint="eastAsia" w:asciiTheme="minorEastAsia" w:hAnsiTheme="minorEastAsia" w:eastAsiaTheme="minorEastAsia" w:cstheme="minorEastAsia"/>
          <w:color w:val="auto"/>
          <w:szCs w:val="21"/>
          <w:highlight w:val="none"/>
          <w:lang w:val="en-US" w:eastAsia="zh-CN"/>
        </w:rPr>
        <w:t>07月28</w:t>
      </w:r>
      <w:r>
        <w:rPr>
          <w:rFonts w:hint="eastAsia" w:asciiTheme="minorEastAsia" w:hAnsiTheme="minorEastAsia" w:eastAsiaTheme="minorEastAsia" w:cstheme="minorEastAsia"/>
          <w:color w:val="auto"/>
          <w:szCs w:val="21"/>
          <w:highlight w:val="none"/>
        </w:rPr>
        <w:t>日，每天上午00:00至12:00，下午12:00至23:59（北京时间，法定节假日除外）</w:t>
      </w:r>
    </w:p>
    <w:p w14:paraId="4C3DE60B">
      <w:pPr>
        <w:pStyle w:val="26"/>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36" w:lineRule="auto"/>
        <w:ind w:right="0" w:firstLine="420" w:firstLineChars="200"/>
        <w:textAlignment w:val="auto"/>
        <w:rPr>
          <w:rFonts w:hint="eastAsia" w:ascii="宋体" w:hAnsi="宋体" w:eastAsia="宋体" w:cs="宋体"/>
          <w:sz w:val="21"/>
          <w:szCs w:val="21"/>
        </w:rPr>
      </w:pPr>
      <w:r>
        <w:rPr>
          <w:rFonts w:hint="eastAsia" w:ascii="宋体" w:hAnsi="宋体" w:eastAsia="宋体" w:cs="宋体"/>
          <w:i w:val="0"/>
          <w:iCs w:val="0"/>
          <w:caps w:val="0"/>
          <w:color w:val="000000"/>
          <w:spacing w:val="0"/>
          <w:sz w:val="21"/>
          <w:szCs w:val="21"/>
        </w:rPr>
        <w:t>地点（网址）：“</w:t>
      </w:r>
      <w:r>
        <w:rPr>
          <w:rFonts w:hint="eastAsia" w:ascii="宋体" w:hAnsi="宋体" w:eastAsia="宋体" w:cs="宋体"/>
          <w:i w:val="0"/>
          <w:iCs w:val="0"/>
          <w:caps w:val="0"/>
          <w:color w:val="000000"/>
          <w:spacing w:val="0"/>
          <w:sz w:val="21"/>
          <w:szCs w:val="21"/>
          <w:lang w:eastAsia="zh-CN"/>
        </w:rPr>
        <w:t>广西政府采购云平台</w:t>
      </w:r>
      <w:r>
        <w:rPr>
          <w:rFonts w:hint="eastAsia" w:ascii="宋体" w:hAnsi="宋体" w:eastAsia="宋体" w:cs="宋体"/>
          <w:i w:val="0"/>
          <w:iCs w:val="0"/>
          <w:caps w:val="0"/>
          <w:color w:val="000000"/>
          <w:spacing w:val="0"/>
          <w:sz w:val="21"/>
          <w:szCs w:val="21"/>
        </w:rPr>
        <w:t>”（</w:t>
      </w:r>
      <w:r>
        <w:rPr>
          <w:rFonts w:hint="eastAsia" w:ascii="宋体" w:hAnsi="宋体" w:cs="宋体"/>
          <w:i w:val="0"/>
          <w:iCs w:val="0"/>
          <w:caps w:val="0"/>
          <w:color w:val="000000"/>
          <w:spacing w:val="0"/>
          <w:sz w:val="21"/>
          <w:szCs w:val="21"/>
          <w:lang w:eastAsia="zh-CN"/>
        </w:rPr>
        <w:t>https://www.gcy.zfcg.gxzf.gov.cn/</w:t>
      </w:r>
      <w:r>
        <w:rPr>
          <w:rFonts w:hint="eastAsia" w:ascii="宋体" w:hAnsi="宋体" w:eastAsia="宋体" w:cs="宋体"/>
          <w:i w:val="0"/>
          <w:iCs w:val="0"/>
          <w:caps w:val="0"/>
          <w:color w:val="000000"/>
          <w:spacing w:val="0"/>
          <w:sz w:val="21"/>
          <w:szCs w:val="21"/>
        </w:rPr>
        <w:t>） </w:t>
      </w:r>
    </w:p>
    <w:p w14:paraId="04FA1E3A">
      <w:pPr>
        <w:pStyle w:val="26"/>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36" w:lineRule="auto"/>
        <w:ind w:left="0" w:right="0" w:firstLine="420" w:firstLineChars="200"/>
        <w:textAlignment w:val="auto"/>
        <w:rPr>
          <w:rFonts w:hint="eastAsia" w:ascii="宋体" w:hAnsi="宋体" w:eastAsia="宋体" w:cs="宋体"/>
          <w:sz w:val="21"/>
          <w:szCs w:val="21"/>
        </w:rPr>
      </w:pPr>
      <w:r>
        <w:rPr>
          <w:rFonts w:hint="eastAsia" w:ascii="宋体" w:hAnsi="宋体" w:eastAsia="宋体" w:cs="宋体"/>
          <w:i w:val="0"/>
          <w:iCs w:val="0"/>
          <w:caps w:val="0"/>
          <w:color w:val="000000"/>
          <w:spacing w:val="0"/>
          <w:sz w:val="21"/>
          <w:szCs w:val="21"/>
        </w:rPr>
        <w:t>方式：供应商登录广西政府采购云平台https://www.gcy.zfcg.gxzf.gov.cn/在线申请获取采购文件（进入“项目采购”应用，在获取采购文件菜单中选择项目，申请获取采购文件）。 </w:t>
      </w:r>
    </w:p>
    <w:p w14:paraId="583F9790">
      <w:pPr>
        <w:pageBreakBefore w:val="0"/>
        <w:kinsoku/>
        <w:wordWrap/>
        <w:overflowPunct/>
        <w:topLinePunct w:val="0"/>
        <w:autoSpaceDE/>
        <w:autoSpaceDN/>
        <w:bidi w:val="0"/>
        <w:spacing w:line="336"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i w:val="0"/>
          <w:iCs w:val="0"/>
          <w:caps w:val="0"/>
          <w:color w:val="000000"/>
          <w:spacing w:val="0"/>
          <w:sz w:val="21"/>
          <w:szCs w:val="21"/>
        </w:rPr>
        <w:t>售价（元）：0</w:t>
      </w:r>
    </w:p>
    <w:p w14:paraId="190EE5F6">
      <w:pPr>
        <w:pStyle w:val="3"/>
        <w:pageBreakBefore w:val="0"/>
        <w:kinsoku/>
        <w:wordWrap/>
        <w:overflowPunct/>
        <w:topLinePunct w:val="0"/>
        <w:autoSpaceDE/>
        <w:autoSpaceDN/>
        <w:bidi w:val="0"/>
        <w:spacing w:before="0" w:after="0" w:line="336" w:lineRule="auto"/>
        <w:ind w:firstLine="482" w:firstLineChars="200"/>
        <w:textAlignment w:val="auto"/>
        <w:outlineLvl w:val="0"/>
        <w:rPr>
          <w:rFonts w:hint="eastAsia" w:asciiTheme="minorEastAsia" w:hAnsiTheme="minorEastAsia" w:eastAsiaTheme="minorEastAsia" w:cstheme="minorEastAsia"/>
          <w:bCs w:val="0"/>
          <w:color w:val="auto"/>
          <w:sz w:val="24"/>
          <w:szCs w:val="24"/>
          <w:highlight w:val="none"/>
        </w:rPr>
      </w:pPr>
      <w:bookmarkStart w:id="21" w:name="_Toc35393801"/>
      <w:bookmarkStart w:id="22" w:name="_Toc35393632"/>
      <w:bookmarkStart w:id="23" w:name="_Toc28359015"/>
      <w:bookmarkStart w:id="24" w:name="_Toc28359092"/>
      <w:bookmarkStart w:id="25" w:name="_Toc44229881"/>
      <w:bookmarkStart w:id="26" w:name="_Toc21985"/>
      <w:r>
        <w:rPr>
          <w:rFonts w:hint="eastAsia" w:asciiTheme="minorEastAsia" w:hAnsiTheme="minorEastAsia" w:eastAsiaTheme="minorEastAsia" w:cstheme="minorEastAsia"/>
          <w:bCs w:val="0"/>
          <w:color w:val="auto"/>
          <w:sz w:val="24"/>
          <w:szCs w:val="24"/>
          <w:highlight w:val="none"/>
        </w:rPr>
        <w:t>四、</w:t>
      </w:r>
      <w:bookmarkEnd w:id="21"/>
      <w:bookmarkEnd w:id="22"/>
      <w:bookmarkEnd w:id="23"/>
      <w:bookmarkEnd w:id="24"/>
      <w:bookmarkEnd w:id="25"/>
      <w:r>
        <w:rPr>
          <w:rFonts w:hint="eastAsia" w:asciiTheme="minorEastAsia" w:hAnsiTheme="minorEastAsia" w:eastAsiaTheme="minorEastAsia" w:cstheme="minorEastAsia"/>
          <w:bCs w:val="0"/>
          <w:color w:val="auto"/>
          <w:sz w:val="24"/>
          <w:szCs w:val="24"/>
          <w:highlight w:val="none"/>
        </w:rPr>
        <w:t>响应文件提交</w:t>
      </w:r>
      <w:bookmarkEnd w:id="26"/>
    </w:p>
    <w:p w14:paraId="39498D0D">
      <w:pPr>
        <w:pageBreakBefore w:val="0"/>
        <w:kinsoku/>
        <w:wordWrap/>
        <w:overflowPunct/>
        <w:topLinePunct w:val="0"/>
        <w:autoSpaceDE/>
        <w:autoSpaceDN/>
        <w:bidi w:val="0"/>
        <w:spacing w:line="336" w:lineRule="auto"/>
        <w:ind w:firstLine="420" w:firstLineChars="200"/>
        <w:textAlignment w:val="auto"/>
        <w:rPr>
          <w:rFonts w:hint="eastAsia" w:asciiTheme="minorEastAsia" w:hAnsiTheme="minorEastAsia" w:eastAsiaTheme="minorEastAsia" w:cstheme="minorEastAsia"/>
          <w:bCs/>
          <w:color w:val="auto"/>
          <w:szCs w:val="21"/>
          <w:highlight w:val="none"/>
          <w:u w:val="single"/>
        </w:rPr>
      </w:pPr>
      <w:r>
        <w:rPr>
          <w:rFonts w:hint="eastAsia" w:asciiTheme="minorEastAsia" w:hAnsiTheme="minorEastAsia" w:eastAsiaTheme="minorEastAsia" w:cstheme="minorEastAsia"/>
          <w:bCs/>
          <w:color w:val="auto"/>
          <w:szCs w:val="21"/>
          <w:highlight w:val="none"/>
          <w:u w:val="none"/>
        </w:rPr>
        <w:t>截止时间：</w:t>
      </w:r>
      <w:r>
        <w:rPr>
          <w:rFonts w:hint="eastAsia" w:asciiTheme="minorEastAsia" w:hAnsiTheme="minorEastAsia" w:eastAsiaTheme="minorEastAsia" w:cstheme="minorEastAsia"/>
          <w:color w:val="auto"/>
          <w:szCs w:val="21"/>
          <w:highlight w:val="none"/>
          <w:lang w:eastAsia="zh-CN"/>
        </w:rPr>
        <w:t>2026年07月31日</w:t>
      </w:r>
      <w:r>
        <w:rPr>
          <w:rFonts w:hint="eastAsia" w:asciiTheme="minorEastAsia" w:hAnsiTheme="minorEastAsia" w:eastAsiaTheme="minorEastAsia" w:cstheme="minorEastAsia"/>
          <w:color w:val="auto"/>
          <w:szCs w:val="21"/>
          <w:highlight w:val="none"/>
          <w:u w:val="none"/>
          <w:lang w:val="en-US" w:eastAsia="zh-CN"/>
        </w:rPr>
        <w:t xml:space="preserve">09：30 </w:t>
      </w:r>
      <w:r>
        <w:rPr>
          <w:rFonts w:hint="eastAsia" w:asciiTheme="minorEastAsia" w:hAnsiTheme="minorEastAsia" w:eastAsiaTheme="minorEastAsia" w:cstheme="minorEastAsia"/>
          <w:bCs/>
          <w:color w:val="auto"/>
          <w:szCs w:val="21"/>
          <w:highlight w:val="none"/>
          <w:u w:val="none"/>
        </w:rPr>
        <w:t>（北京时间）</w:t>
      </w:r>
    </w:p>
    <w:p w14:paraId="4EAB6082">
      <w:pPr>
        <w:pageBreakBefore w:val="0"/>
        <w:kinsoku/>
        <w:wordWrap/>
        <w:overflowPunct/>
        <w:topLinePunct w:val="0"/>
        <w:autoSpaceDE/>
        <w:autoSpaceDN/>
        <w:bidi w:val="0"/>
        <w:spacing w:line="336" w:lineRule="auto"/>
        <w:ind w:firstLine="420" w:firstLineChars="200"/>
        <w:textAlignment w:val="auto"/>
        <w:rPr>
          <w:rFonts w:hint="eastAsia" w:asciiTheme="minorEastAsia" w:hAnsiTheme="minorEastAsia" w:eastAsiaTheme="minorEastAsia" w:cstheme="minorEastAsia"/>
          <w:bCs/>
          <w:color w:val="auto"/>
          <w:szCs w:val="21"/>
          <w:highlight w:val="none"/>
          <w:u w:val="single"/>
        </w:rPr>
      </w:pPr>
      <w:r>
        <w:rPr>
          <w:rFonts w:hint="eastAsia" w:asciiTheme="minorEastAsia" w:hAnsiTheme="minorEastAsia" w:eastAsiaTheme="minorEastAsia" w:cstheme="minorEastAsia"/>
          <w:bCs/>
          <w:color w:val="auto"/>
          <w:szCs w:val="21"/>
          <w:highlight w:val="none"/>
          <w:u w:val="none"/>
        </w:rPr>
        <w:t>地点（网址）：请登录广西政府采购云平台投标客户端投标。</w:t>
      </w:r>
    </w:p>
    <w:p w14:paraId="4847191D">
      <w:pPr>
        <w:pStyle w:val="3"/>
        <w:pageBreakBefore w:val="0"/>
        <w:kinsoku/>
        <w:wordWrap/>
        <w:overflowPunct/>
        <w:topLinePunct w:val="0"/>
        <w:autoSpaceDE/>
        <w:autoSpaceDN/>
        <w:bidi w:val="0"/>
        <w:spacing w:before="0" w:after="0" w:line="336" w:lineRule="auto"/>
        <w:ind w:firstLine="482" w:firstLineChars="200"/>
        <w:textAlignment w:val="auto"/>
        <w:outlineLvl w:val="0"/>
        <w:rPr>
          <w:rFonts w:hint="eastAsia" w:asciiTheme="minorEastAsia" w:hAnsiTheme="minorEastAsia" w:eastAsiaTheme="minorEastAsia" w:cstheme="minorEastAsia"/>
          <w:bCs w:val="0"/>
          <w:color w:val="auto"/>
          <w:sz w:val="24"/>
          <w:szCs w:val="24"/>
          <w:highlight w:val="none"/>
        </w:rPr>
      </w:pPr>
      <w:bookmarkStart w:id="27" w:name="_Toc35393802"/>
      <w:bookmarkStart w:id="28" w:name="_Toc35393633"/>
      <w:bookmarkStart w:id="29" w:name="_Toc28359093"/>
      <w:bookmarkStart w:id="30" w:name="_Toc28359016"/>
      <w:bookmarkStart w:id="31" w:name="_Toc44229882"/>
      <w:bookmarkStart w:id="32" w:name="_Toc5391"/>
      <w:r>
        <w:rPr>
          <w:rFonts w:hint="eastAsia" w:asciiTheme="minorEastAsia" w:hAnsiTheme="minorEastAsia" w:eastAsiaTheme="minorEastAsia" w:cstheme="minorEastAsia"/>
          <w:bCs w:val="0"/>
          <w:color w:val="auto"/>
          <w:sz w:val="24"/>
          <w:szCs w:val="24"/>
          <w:highlight w:val="none"/>
        </w:rPr>
        <w:t>五、响应文件开启</w:t>
      </w:r>
      <w:bookmarkEnd w:id="27"/>
      <w:bookmarkEnd w:id="28"/>
      <w:bookmarkEnd w:id="29"/>
      <w:bookmarkEnd w:id="30"/>
      <w:bookmarkEnd w:id="31"/>
      <w:bookmarkEnd w:id="32"/>
    </w:p>
    <w:p w14:paraId="5D50F4CA">
      <w:pPr>
        <w:pageBreakBefore w:val="0"/>
        <w:kinsoku/>
        <w:wordWrap/>
        <w:overflowPunct/>
        <w:topLinePunct w:val="0"/>
        <w:autoSpaceDE/>
        <w:autoSpaceDN/>
        <w:bidi w:val="0"/>
        <w:spacing w:line="336" w:lineRule="auto"/>
        <w:ind w:firstLine="420" w:firstLineChars="200"/>
        <w:textAlignment w:val="auto"/>
        <w:rPr>
          <w:rFonts w:hint="eastAsia" w:asciiTheme="minorEastAsia" w:hAnsiTheme="minorEastAsia" w:eastAsiaTheme="minorEastAsia" w:cstheme="minorEastAsia"/>
          <w:bCs/>
          <w:color w:val="auto"/>
          <w:szCs w:val="21"/>
          <w:highlight w:val="none"/>
          <w:u w:val="none"/>
        </w:rPr>
      </w:pPr>
      <w:r>
        <w:rPr>
          <w:rFonts w:hint="eastAsia" w:asciiTheme="minorEastAsia" w:hAnsiTheme="minorEastAsia" w:eastAsiaTheme="minorEastAsia" w:cstheme="minorEastAsia"/>
          <w:bCs/>
          <w:color w:val="auto"/>
          <w:szCs w:val="21"/>
          <w:highlight w:val="none"/>
          <w:u w:val="none"/>
        </w:rPr>
        <w:t>开启时间：</w:t>
      </w:r>
      <w:r>
        <w:rPr>
          <w:rFonts w:hint="eastAsia" w:asciiTheme="minorEastAsia" w:hAnsiTheme="minorEastAsia" w:eastAsiaTheme="minorEastAsia" w:cstheme="minorEastAsia"/>
          <w:color w:val="auto"/>
          <w:szCs w:val="21"/>
          <w:highlight w:val="none"/>
          <w:lang w:eastAsia="zh-CN"/>
        </w:rPr>
        <w:t>2026年07月31日</w:t>
      </w:r>
      <w:r>
        <w:rPr>
          <w:rFonts w:hint="eastAsia" w:asciiTheme="minorEastAsia" w:hAnsiTheme="minorEastAsia" w:eastAsiaTheme="minorEastAsia" w:cstheme="minorEastAsia"/>
          <w:color w:val="auto"/>
          <w:szCs w:val="21"/>
          <w:highlight w:val="none"/>
          <w:u w:val="none"/>
          <w:lang w:val="en-US" w:eastAsia="zh-CN"/>
        </w:rPr>
        <w:t>09：30</w:t>
      </w:r>
      <w:r>
        <w:rPr>
          <w:rFonts w:hint="eastAsia" w:asciiTheme="minorEastAsia" w:hAnsiTheme="minorEastAsia" w:eastAsiaTheme="minorEastAsia" w:cstheme="minorEastAsia"/>
          <w:bCs/>
          <w:color w:val="auto"/>
          <w:szCs w:val="21"/>
          <w:highlight w:val="none"/>
          <w:u w:val="none"/>
        </w:rPr>
        <w:t>（北京时间）；</w:t>
      </w:r>
    </w:p>
    <w:p w14:paraId="60F9C9D5">
      <w:pPr>
        <w:pageBreakBefore w:val="0"/>
        <w:kinsoku/>
        <w:wordWrap/>
        <w:overflowPunct/>
        <w:topLinePunct w:val="0"/>
        <w:autoSpaceDE/>
        <w:autoSpaceDN/>
        <w:bidi w:val="0"/>
        <w:spacing w:line="336" w:lineRule="auto"/>
        <w:ind w:firstLine="420" w:firstLineChars="200"/>
        <w:textAlignment w:val="auto"/>
        <w:rPr>
          <w:rFonts w:hint="eastAsia" w:asciiTheme="minorEastAsia" w:hAnsiTheme="minorEastAsia" w:eastAsiaTheme="minorEastAsia" w:cstheme="minorEastAsia"/>
          <w:bCs/>
          <w:color w:val="auto"/>
          <w:szCs w:val="21"/>
          <w:highlight w:val="none"/>
          <w:u w:val="none"/>
        </w:rPr>
      </w:pPr>
      <w:r>
        <w:rPr>
          <w:rFonts w:hint="eastAsia" w:asciiTheme="minorEastAsia" w:hAnsiTheme="minorEastAsia" w:eastAsiaTheme="minorEastAsia" w:cstheme="minorEastAsia"/>
          <w:bCs/>
          <w:color w:val="auto"/>
          <w:szCs w:val="21"/>
          <w:highlight w:val="none"/>
          <w:u w:val="none"/>
        </w:rPr>
        <w:t>地点：在</w:t>
      </w:r>
      <w:r>
        <w:rPr>
          <w:rFonts w:hint="eastAsia" w:asciiTheme="minorEastAsia" w:hAnsiTheme="minorEastAsia" w:eastAsiaTheme="minorEastAsia" w:cstheme="minorEastAsia"/>
          <w:bCs/>
          <w:color w:val="auto"/>
          <w:szCs w:val="21"/>
          <w:highlight w:val="none"/>
          <w:u w:val="none"/>
          <w:lang w:val="en-US" w:eastAsia="zh-CN"/>
        </w:rPr>
        <w:t>广西</w:t>
      </w:r>
      <w:r>
        <w:rPr>
          <w:rFonts w:hint="eastAsia" w:asciiTheme="minorEastAsia" w:hAnsiTheme="minorEastAsia" w:eastAsiaTheme="minorEastAsia" w:cstheme="minorEastAsia"/>
          <w:bCs/>
          <w:color w:val="auto"/>
          <w:szCs w:val="21"/>
          <w:highlight w:val="none"/>
          <w:u w:val="none"/>
        </w:rPr>
        <w:t>政府采购云平台（https://www.gcy.zfcg.gxzf.gov.cn/）线上解密开启投标响应文件，解密时间为30分钟，请各潜在</w:t>
      </w:r>
      <w:r>
        <w:rPr>
          <w:rFonts w:hint="eastAsia" w:asciiTheme="minorEastAsia" w:hAnsiTheme="minorEastAsia" w:eastAsiaTheme="minorEastAsia" w:cstheme="minorEastAsia"/>
          <w:bCs/>
          <w:color w:val="auto"/>
          <w:szCs w:val="21"/>
          <w:highlight w:val="none"/>
          <w:u w:val="none"/>
          <w:lang w:eastAsia="zh-CN"/>
        </w:rPr>
        <w:t>供应商</w:t>
      </w:r>
      <w:r>
        <w:rPr>
          <w:rFonts w:hint="eastAsia" w:asciiTheme="minorEastAsia" w:hAnsiTheme="minorEastAsia" w:eastAsiaTheme="minorEastAsia" w:cstheme="minorEastAsia"/>
          <w:bCs/>
          <w:color w:val="auto"/>
          <w:szCs w:val="21"/>
          <w:highlight w:val="none"/>
          <w:u w:val="none"/>
        </w:rPr>
        <w:t>合理安排时间。</w:t>
      </w:r>
    </w:p>
    <w:p w14:paraId="19C1D1C5">
      <w:pPr>
        <w:pStyle w:val="3"/>
        <w:pageBreakBefore w:val="0"/>
        <w:kinsoku/>
        <w:wordWrap/>
        <w:overflowPunct/>
        <w:topLinePunct w:val="0"/>
        <w:autoSpaceDE/>
        <w:autoSpaceDN/>
        <w:bidi w:val="0"/>
        <w:spacing w:before="0" w:after="0" w:line="336" w:lineRule="auto"/>
        <w:ind w:firstLine="482" w:firstLineChars="200"/>
        <w:textAlignment w:val="auto"/>
        <w:outlineLvl w:val="0"/>
        <w:rPr>
          <w:rFonts w:hint="eastAsia" w:asciiTheme="minorEastAsia" w:hAnsiTheme="minorEastAsia" w:eastAsiaTheme="minorEastAsia" w:cstheme="minorEastAsia"/>
          <w:bCs w:val="0"/>
          <w:color w:val="auto"/>
          <w:sz w:val="24"/>
          <w:szCs w:val="24"/>
          <w:highlight w:val="none"/>
        </w:rPr>
      </w:pPr>
      <w:bookmarkStart w:id="33" w:name="_Toc35393634"/>
      <w:bookmarkStart w:id="34" w:name="_Toc28359017"/>
      <w:bookmarkStart w:id="35" w:name="_Toc35393803"/>
      <w:bookmarkStart w:id="36" w:name="_Toc28359094"/>
      <w:bookmarkStart w:id="37" w:name="_Toc44229883"/>
      <w:bookmarkStart w:id="38" w:name="_Toc28143"/>
      <w:r>
        <w:rPr>
          <w:rFonts w:hint="eastAsia" w:asciiTheme="minorEastAsia" w:hAnsiTheme="minorEastAsia" w:eastAsiaTheme="minorEastAsia" w:cstheme="minorEastAsia"/>
          <w:bCs w:val="0"/>
          <w:color w:val="auto"/>
          <w:sz w:val="24"/>
          <w:szCs w:val="24"/>
          <w:highlight w:val="none"/>
        </w:rPr>
        <w:t>六、公告期限</w:t>
      </w:r>
      <w:bookmarkEnd w:id="33"/>
      <w:bookmarkEnd w:id="34"/>
      <w:bookmarkEnd w:id="35"/>
      <w:bookmarkEnd w:id="36"/>
      <w:bookmarkEnd w:id="37"/>
      <w:bookmarkEnd w:id="38"/>
    </w:p>
    <w:p w14:paraId="1499F694">
      <w:pPr>
        <w:pageBreakBefore w:val="0"/>
        <w:kinsoku/>
        <w:wordWrap/>
        <w:overflowPunct/>
        <w:topLinePunct w:val="0"/>
        <w:autoSpaceDE/>
        <w:autoSpaceDN/>
        <w:bidi w:val="0"/>
        <w:spacing w:line="336" w:lineRule="auto"/>
        <w:ind w:firstLine="420" w:firstLineChars="200"/>
        <w:textAlignment w:val="auto"/>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自本公告发布之日起5个工作日。</w:t>
      </w:r>
    </w:p>
    <w:p w14:paraId="21D7C92D">
      <w:pPr>
        <w:pStyle w:val="3"/>
        <w:pageBreakBefore w:val="0"/>
        <w:kinsoku/>
        <w:wordWrap/>
        <w:overflowPunct/>
        <w:topLinePunct w:val="0"/>
        <w:autoSpaceDE/>
        <w:autoSpaceDN/>
        <w:bidi w:val="0"/>
        <w:spacing w:before="0" w:after="0" w:line="336" w:lineRule="auto"/>
        <w:ind w:firstLine="482" w:firstLineChars="200"/>
        <w:textAlignment w:val="auto"/>
        <w:outlineLvl w:val="0"/>
        <w:rPr>
          <w:rFonts w:hint="eastAsia" w:asciiTheme="minorEastAsia" w:hAnsiTheme="minorEastAsia" w:eastAsiaTheme="minorEastAsia" w:cstheme="minorEastAsia"/>
          <w:bCs w:val="0"/>
          <w:color w:val="auto"/>
          <w:sz w:val="24"/>
          <w:szCs w:val="24"/>
          <w:highlight w:val="none"/>
        </w:rPr>
      </w:pPr>
      <w:bookmarkStart w:id="39" w:name="_Toc35393804"/>
      <w:bookmarkStart w:id="40" w:name="_Toc44229884"/>
      <w:bookmarkStart w:id="41" w:name="_Toc35393635"/>
      <w:bookmarkStart w:id="42" w:name="_Toc387"/>
      <w:r>
        <w:rPr>
          <w:rFonts w:hint="eastAsia" w:asciiTheme="minorEastAsia" w:hAnsiTheme="minorEastAsia" w:eastAsiaTheme="minorEastAsia" w:cstheme="minorEastAsia"/>
          <w:bCs w:val="0"/>
          <w:color w:val="auto"/>
          <w:sz w:val="24"/>
          <w:szCs w:val="24"/>
          <w:highlight w:val="none"/>
        </w:rPr>
        <w:t>七、其他补充事宜</w:t>
      </w:r>
      <w:bookmarkEnd w:id="39"/>
      <w:bookmarkEnd w:id="40"/>
      <w:bookmarkEnd w:id="41"/>
      <w:bookmarkEnd w:id="42"/>
    </w:p>
    <w:p w14:paraId="5EC2C888">
      <w:pPr>
        <w:pageBreakBefore w:val="0"/>
        <w:kinsoku/>
        <w:wordWrap/>
        <w:overflowPunct/>
        <w:topLinePunct w:val="0"/>
        <w:autoSpaceDE/>
        <w:autoSpaceDN/>
        <w:bidi w:val="0"/>
        <w:spacing w:line="336" w:lineRule="auto"/>
        <w:ind w:firstLine="420" w:firstLineChars="200"/>
        <w:textAlignment w:val="auto"/>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1.磋商保证金：本项目不需要缴纳磋商保证金</w:t>
      </w:r>
    </w:p>
    <w:p w14:paraId="15EA6492">
      <w:pPr>
        <w:pageBreakBefore w:val="0"/>
        <w:kinsoku/>
        <w:wordWrap/>
        <w:overflowPunct/>
        <w:topLinePunct w:val="0"/>
        <w:autoSpaceDE/>
        <w:autoSpaceDN/>
        <w:bidi w:val="0"/>
        <w:spacing w:line="336" w:lineRule="auto"/>
        <w:ind w:firstLine="420" w:firstLineChars="200"/>
        <w:textAlignment w:val="auto"/>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lang w:val="en-US" w:eastAsia="zh-CN"/>
        </w:rPr>
        <w:t>2.</w:t>
      </w:r>
      <w:r>
        <w:rPr>
          <w:rFonts w:hint="eastAsia" w:asciiTheme="minorEastAsia" w:hAnsiTheme="minorEastAsia" w:eastAsiaTheme="minorEastAsia" w:cstheme="minorEastAsia"/>
          <w:color w:val="auto"/>
          <w:kern w:val="0"/>
          <w:szCs w:val="21"/>
          <w:highlight w:val="none"/>
        </w:rPr>
        <w:t>单位负责人为同一人或者存在直接控股、管理关系的不同</w:t>
      </w:r>
      <w:r>
        <w:rPr>
          <w:rFonts w:hint="eastAsia" w:asciiTheme="minorEastAsia" w:hAnsiTheme="minorEastAsia" w:eastAsiaTheme="minorEastAsia" w:cstheme="minorEastAsia"/>
          <w:color w:val="auto"/>
          <w:kern w:val="0"/>
          <w:szCs w:val="21"/>
          <w:highlight w:val="none"/>
          <w:lang w:eastAsia="zh-CN"/>
        </w:rPr>
        <w:t>供应商</w:t>
      </w:r>
      <w:r>
        <w:rPr>
          <w:rFonts w:hint="eastAsia" w:asciiTheme="minorEastAsia" w:hAnsiTheme="minorEastAsia" w:eastAsiaTheme="minorEastAsia" w:cstheme="minorEastAsia"/>
          <w:color w:val="auto"/>
          <w:kern w:val="0"/>
          <w:szCs w:val="21"/>
          <w:highlight w:val="none"/>
        </w:rPr>
        <w:t>，不得参加同一合同项下的政府采购活动。</w:t>
      </w:r>
    </w:p>
    <w:p w14:paraId="2B1DECF9">
      <w:pPr>
        <w:pageBreakBefore w:val="0"/>
        <w:kinsoku/>
        <w:wordWrap/>
        <w:overflowPunct/>
        <w:topLinePunct w:val="0"/>
        <w:autoSpaceDE/>
        <w:autoSpaceDN/>
        <w:bidi w:val="0"/>
        <w:spacing w:line="336" w:lineRule="auto"/>
        <w:ind w:firstLine="420" w:firstLineChars="200"/>
        <w:textAlignment w:val="auto"/>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lang w:val="en-US" w:eastAsia="zh-CN"/>
        </w:rPr>
        <w:t>3.</w:t>
      </w:r>
      <w:r>
        <w:rPr>
          <w:rFonts w:hint="eastAsia" w:asciiTheme="minorEastAsia" w:hAnsiTheme="minorEastAsia" w:eastAsiaTheme="minorEastAsia" w:cstheme="minorEastAsia"/>
          <w:color w:val="auto"/>
          <w:kern w:val="0"/>
          <w:szCs w:val="21"/>
          <w:highlight w:val="none"/>
        </w:rPr>
        <w:t>对在“信用中国”网站(www.creditchina.gov.cn) 、中国政府采购网(www.ccgp.gov.cn)被列入失信被执行人、重大税收违法案件当事人名单、政府采购严重违法失信行为记录名单及其他不符合《中华人民共和国政府采购法》第二十二条规定条件的</w:t>
      </w:r>
      <w:r>
        <w:rPr>
          <w:rFonts w:hint="eastAsia" w:asciiTheme="minorEastAsia" w:hAnsiTheme="minorEastAsia" w:eastAsiaTheme="minorEastAsia" w:cstheme="minorEastAsia"/>
          <w:color w:val="auto"/>
          <w:kern w:val="0"/>
          <w:szCs w:val="21"/>
          <w:highlight w:val="none"/>
          <w:lang w:eastAsia="zh-CN"/>
        </w:rPr>
        <w:t>供应商</w:t>
      </w:r>
      <w:r>
        <w:rPr>
          <w:rFonts w:hint="eastAsia" w:asciiTheme="minorEastAsia" w:hAnsiTheme="minorEastAsia" w:eastAsiaTheme="minorEastAsia" w:cstheme="minorEastAsia"/>
          <w:color w:val="auto"/>
          <w:kern w:val="0"/>
          <w:szCs w:val="21"/>
          <w:highlight w:val="none"/>
        </w:rPr>
        <w:t>，不得参与政府采购活动。</w:t>
      </w:r>
    </w:p>
    <w:p w14:paraId="7B5A8D38">
      <w:pPr>
        <w:pageBreakBefore w:val="0"/>
        <w:kinsoku/>
        <w:wordWrap/>
        <w:overflowPunct/>
        <w:topLinePunct w:val="0"/>
        <w:autoSpaceDE/>
        <w:autoSpaceDN/>
        <w:bidi w:val="0"/>
        <w:spacing w:line="336" w:lineRule="auto"/>
        <w:ind w:firstLine="420" w:firstLineChars="200"/>
        <w:textAlignment w:val="auto"/>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lang w:val="en-US" w:eastAsia="zh-CN"/>
        </w:rPr>
        <w:t>4</w:t>
      </w:r>
      <w:r>
        <w:rPr>
          <w:rFonts w:hint="eastAsia" w:asciiTheme="minorEastAsia" w:hAnsiTheme="minorEastAsia" w:eastAsiaTheme="minorEastAsia" w:cstheme="minorEastAsia"/>
          <w:color w:val="auto"/>
          <w:kern w:val="0"/>
          <w:szCs w:val="21"/>
          <w:highlight w:val="none"/>
        </w:rPr>
        <w:t>.网上查询地址</w:t>
      </w:r>
      <w:r>
        <w:rPr>
          <w:rFonts w:hint="eastAsia" w:asciiTheme="minorEastAsia" w:hAnsiTheme="minorEastAsia" w:eastAsiaTheme="minorEastAsia" w:cstheme="minorEastAsia"/>
          <w:color w:val="auto"/>
          <w:kern w:val="0"/>
          <w:szCs w:val="21"/>
          <w:highlight w:val="none"/>
          <w:lang w:eastAsia="zh-CN"/>
        </w:rPr>
        <w:t>：</w:t>
      </w:r>
      <w:r>
        <w:rPr>
          <w:rFonts w:hint="eastAsia" w:asciiTheme="minorEastAsia" w:hAnsiTheme="minorEastAsia" w:eastAsiaTheme="minorEastAsia" w:cstheme="minorEastAsia"/>
          <w:color w:val="auto"/>
          <w:kern w:val="0"/>
          <w:szCs w:val="21"/>
          <w:highlight w:val="none"/>
        </w:rPr>
        <w:t>中国政府采购网、广西壮族自治区政府采购网、梧州市政府采购网。</w:t>
      </w:r>
    </w:p>
    <w:p w14:paraId="40372794">
      <w:pPr>
        <w:pageBreakBefore w:val="0"/>
        <w:kinsoku/>
        <w:wordWrap/>
        <w:overflowPunct/>
        <w:topLinePunct w:val="0"/>
        <w:autoSpaceDE/>
        <w:autoSpaceDN/>
        <w:bidi w:val="0"/>
        <w:spacing w:line="336" w:lineRule="auto"/>
        <w:ind w:firstLine="420" w:firstLineChars="200"/>
        <w:textAlignment w:val="auto"/>
        <w:outlineLvl w:val="9"/>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szCs w:val="21"/>
          <w:highlight w:val="none"/>
          <w:lang w:val="en-US" w:eastAsia="zh-CN"/>
        </w:rPr>
        <w:t>5</w:t>
      </w: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kern w:val="0"/>
          <w:szCs w:val="21"/>
          <w:highlight w:val="none"/>
        </w:rPr>
        <w:t>本项目需要落实的政府采购政策</w:t>
      </w:r>
    </w:p>
    <w:p w14:paraId="63AEBAC0">
      <w:pPr>
        <w:pageBreakBefore w:val="0"/>
        <w:kinsoku/>
        <w:wordWrap/>
        <w:overflowPunct/>
        <w:topLinePunct w:val="0"/>
        <w:autoSpaceDE/>
        <w:autoSpaceDN/>
        <w:bidi w:val="0"/>
        <w:spacing w:line="336" w:lineRule="auto"/>
        <w:ind w:firstLine="315" w:firstLineChars="150"/>
        <w:textAlignment w:val="auto"/>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（1）政府采购促进中小企业发展。</w:t>
      </w:r>
    </w:p>
    <w:p w14:paraId="13C69FAF">
      <w:pPr>
        <w:pageBreakBefore w:val="0"/>
        <w:kinsoku/>
        <w:wordWrap/>
        <w:overflowPunct/>
        <w:topLinePunct w:val="0"/>
        <w:autoSpaceDE/>
        <w:autoSpaceDN/>
        <w:bidi w:val="0"/>
        <w:spacing w:line="336" w:lineRule="auto"/>
        <w:ind w:firstLine="315" w:firstLineChars="150"/>
        <w:textAlignment w:val="auto"/>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（2）政府采购支持采用本国产品的政策。</w:t>
      </w:r>
    </w:p>
    <w:p w14:paraId="1F5F8B53">
      <w:pPr>
        <w:pageBreakBefore w:val="0"/>
        <w:kinsoku/>
        <w:wordWrap/>
        <w:overflowPunct/>
        <w:topLinePunct w:val="0"/>
        <w:autoSpaceDE/>
        <w:autoSpaceDN/>
        <w:bidi w:val="0"/>
        <w:spacing w:line="336" w:lineRule="auto"/>
        <w:ind w:firstLine="315" w:firstLineChars="150"/>
        <w:textAlignment w:val="auto"/>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（3）强制采购节能产品；优先采购节能产品、环境标志产品。</w:t>
      </w:r>
    </w:p>
    <w:p w14:paraId="3CA1C607">
      <w:pPr>
        <w:pageBreakBefore w:val="0"/>
        <w:kinsoku/>
        <w:wordWrap/>
        <w:overflowPunct/>
        <w:topLinePunct w:val="0"/>
        <w:autoSpaceDE/>
        <w:autoSpaceDN/>
        <w:bidi w:val="0"/>
        <w:spacing w:line="336" w:lineRule="auto"/>
        <w:ind w:firstLine="315" w:firstLineChars="150"/>
        <w:textAlignment w:val="auto"/>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（4）政府采购促进残疾人就业政策。</w:t>
      </w:r>
    </w:p>
    <w:p w14:paraId="0C2F9F49">
      <w:pPr>
        <w:pageBreakBefore w:val="0"/>
        <w:kinsoku/>
        <w:wordWrap/>
        <w:overflowPunct/>
        <w:topLinePunct w:val="0"/>
        <w:autoSpaceDE/>
        <w:autoSpaceDN/>
        <w:bidi w:val="0"/>
        <w:spacing w:line="336" w:lineRule="auto"/>
        <w:ind w:firstLine="315" w:firstLineChars="150"/>
        <w:textAlignment w:val="auto"/>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（5）政府采购支持监狱企业发展。</w:t>
      </w:r>
    </w:p>
    <w:p w14:paraId="0483BED5">
      <w:pPr>
        <w:pageBreakBefore w:val="0"/>
        <w:kinsoku/>
        <w:wordWrap/>
        <w:overflowPunct/>
        <w:topLinePunct w:val="0"/>
        <w:autoSpaceDE/>
        <w:autoSpaceDN/>
        <w:bidi w:val="0"/>
        <w:spacing w:line="336" w:lineRule="auto"/>
        <w:ind w:firstLine="315" w:firstLineChars="150"/>
        <w:textAlignment w:val="auto"/>
        <w:outlineLvl w:val="9"/>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lang w:val="en-US" w:eastAsia="zh-CN"/>
        </w:rPr>
        <w:t>6.</w:t>
      </w:r>
      <w:r>
        <w:rPr>
          <w:rFonts w:hint="eastAsia" w:asciiTheme="minorEastAsia" w:hAnsiTheme="minorEastAsia" w:eastAsiaTheme="minorEastAsia" w:cstheme="minorEastAsia"/>
          <w:color w:val="auto"/>
          <w:kern w:val="0"/>
          <w:szCs w:val="21"/>
          <w:highlight w:val="none"/>
        </w:rPr>
        <w:t>在线投标（电子投标）说明</w:t>
      </w:r>
    </w:p>
    <w:p w14:paraId="2B800224">
      <w:pPr>
        <w:pageBreakBefore w:val="0"/>
        <w:kinsoku/>
        <w:wordWrap/>
        <w:overflowPunct/>
        <w:topLinePunct w:val="0"/>
        <w:autoSpaceDE/>
        <w:autoSpaceDN/>
        <w:bidi w:val="0"/>
        <w:spacing w:line="336" w:lineRule="auto"/>
        <w:ind w:firstLine="315" w:firstLineChars="150"/>
        <w:textAlignment w:val="auto"/>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（1）本项目为全流程电子化采购项目，通过广西政府采购云平台（</w:t>
      </w:r>
      <w:r>
        <w:rPr>
          <w:rFonts w:hint="eastAsia" w:asciiTheme="minorEastAsia" w:hAnsiTheme="minorEastAsia" w:eastAsiaTheme="minorEastAsia" w:cstheme="minorEastAsia"/>
          <w:color w:val="auto"/>
          <w:kern w:val="0"/>
          <w:szCs w:val="21"/>
          <w:highlight w:val="none"/>
          <w:lang w:eastAsia="zh-CN"/>
        </w:rPr>
        <w:t>https://www.gcy.zfcg.gxzf.gov.cn/</w:t>
      </w:r>
      <w:r>
        <w:rPr>
          <w:rFonts w:hint="eastAsia" w:asciiTheme="minorEastAsia" w:hAnsiTheme="minorEastAsia" w:eastAsiaTheme="minorEastAsia" w:cstheme="minorEastAsia"/>
          <w:color w:val="auto"/>
          <w:kern w:val="0"/>
          <w:szCs w:val="21"/>
          <w:highlight w:val="none"/>
        </w:rPr>
        <w:t>）实行在线电子竞标，供应商按照本项目竞争性磋商文件和广西政府采购云平台的要求编制、加密后在提交响应文件截止时间前通过网络上传至广西政府采购云平台（加密的电子响应文件是指后缀名为“jmbs”的文件），供应商在广西政府采购云平台提交电子响应文件时，请填写参加远程采购活动经办人联系方式。供应商登录广西政府采购云平台，依次进入“服务中心-项目采购-操作流程-电子招投标-政府采购项目电子交易管理操作指南-供应商”查看电子竞标具体操作流程。</w:t>
      </w:r>
    </w:p>
    <w:p w14:paraId="71776D2F">
      <w:pPr>
        <w:pageBreakBefore w:val="0"/>
        <w:kinsoku/>
        <w:wordWrap/>
        <w:overflowPunct/>
        <w:topLinePunct w:val="0"/>
        <w:autoSpaceDE/>
        <w:autoSpaceDN/>
        <w:bidi w:val="0"/>
        <w:spacing w:line="336" w:lineRule="auto"/>
        <w:ind w:firstLine="315" w:firstLineChars="150"/>
        <w:textAlignment w:val="auto"/>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录广西政府采购云平台，依次进入“服务中心-入驻与配置”中查看CA数字证书办理操作流程。如在操作过程中遇到问题或者需要技术支持，请致电广西政府采购云客服热线：95763）。</w:t>
      </w:r>
    </w:p>
    <w:p w14:paraId="7739FB17">
      <w:pPr>
        <w:pageBreakBefore w:val="0"/>
        <w:kinsoku/>
        <w:wordWrap/>
        <w:overflowPunct/>
        <w:topLinePunct w:val="0"/>
        <w:autoSpaceDE/>
        <w:autoSpaceDN/>
        <w:bidi w:val="0"/>
        <w:spacing w:line="336" w:lineRule="auto"/>
        <w:ind w:firstLine="315" w:firstLineChars="150"/>
        <w:textAlignment w:val="auto"/>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3）CA证书在线解密：首次响应文件开启时，需携带制作响应文件时用来加密的有效数字证书（CA认证）登录广西政府采购云平台电子开标大厅现场按规定时间对加密的响应文件进行解密，否则后果自负。注：1）为确保网上操作合法、有效和安全，请供应商确保在电子竞标过程中能够对相关数据电文进行加密和使用电子签章，妥善保管CA数字证书并使用有效的CA数字证书参与整个采购活动。2）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p>
    <w:p w14:paraId="5FECB1B6">
      <w:pPr>
        <w:pageBreakBefore w:val="0"/>
        <w:kinsoku/>
        <w:wordWrap/>
        <w:overflowPunct/>
        <w:topLinePunct w:val="0"/>
        <w:autoSpaceDE/>
        <w:autoSpaceDN/>
        <w:bidi w:val="0"/>
        <w:spacing w:line="336" w:lineRule="auto"/>
        <w:ind w:firstLine="315" w:firstLineChars="150"/>
        <w:textAlignment w:val="auto"/>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（4）供应商需要在具备有摄像头及语音功能且互联网网络状况良好的电脑登录广西政府采购云平台远程开标大厅参与本次磋商，否则后果自负。</w:t>
      </w:r>
    </w:p>
    <w:p w14:paraId="56970788">
      <w:pPr>
        <w:pStyle w:val="3"/>
        <w:pageBreakBefore w:val="0"/>
        <w:kinsoku/>
        <w:wordWrap/>
        <w:overflowPunct/>
        <w:topLinePunct w:val="0"/>
        <w:autoSpaceDE/>
        <w:autoSpaceDN/>
        <w:bidi w:val="0"/>
        <w:spacing w:before="0" w:after="0" w:line="336" w:lineRule="auto"/>
        <w:ind w:firstLine="482" w:firstLineChars="200"/>
        <w:textAlignment w:val="auto"/>
        <w:outlineLvl w:val="0"/>
        <w:rPr>
          <w:rFonts w:hint="eastAsia" w:asciiTheme="minorEastAsia" w:hAnsiTheme="minorEastAsia" w:eastAsiaTheme="minorEastAsia" w:cstheme="minorEastAsia"/>
          <w:bCs w:val="0"/>
          <w:color w:val="auto"/>
          <w:sz w:val="24"/>
          <w:szCs w:val="24"/>
          <w:highlight w:val="none"/>
        </w:rPr>
      </w:pPr>
      <w:bookmarkStart w:id="43" w:name="_Toc2014"/>
      <w:bookmarkStart w:id="44" w:name="_Toc35393805"/>
      <w:bookmarkStart w:id="45" w:name="_Toc44229885"/>
      <w:bookmarkStart w:id="46" w:name="_Toc28359095"/>
      <w:bookmarkStart w:id="47" w:name="_Toc35393636"/>
      <w:bookmarkStart w:id="48" w:name="_Toc28359018"/>
      <w:r>
        <w:rPr>
          <w:rFonts w:hint="eastAsia" w:asciiTheme="minorEastAsia" w:hAnsiTheme="minorEastAsia" w:eastAsiaTheme="minorEastAsia" w:cstheme="minorEastAsia"/>
          <w:bCs w:val="0"/>
          <w:color w:val="auto"/>
          <w:sz w:val="24"/>
          <w:szCs w:val="24"/>
          <w:highlight w:val="none"/>
          <w:lang w:val="en-US" w:eastAsia="zh-CN"/>
        </w:rPr>
        <w:t>八</w:t>
      </w:r>
      <w:r>
        <w:rPr>
          <w:rFonts w:hint="eastAsia" w:asciiTheme="minorEastAsia" w:hAnsiTheme="minorEastAsia" w:eastAsiaTheme="minorEastAsia" w:cstheme="minorEastAsia"/>
          <w:bCs w:val="0"/>
          <w:color w:val="auto"/>
          <w:sz w:val="24"/>
          <w:szCs w:val="24"/>
          <w:highlight w:val="none"/>
        </w:rPr>
        <w:t>、凡对本次采购提出询问，请按以下方式联系。</w:t>
      </w:r>
      <w:bookmarkEnd w:id="43"/>
      <w:bookmarkEnd w:id="44"/>
      <w:bookmarkEnd w:id="45"/>
      <w:bookmarkEnd w:id="46"/>
      <w:bookmarkEnd w:id="47"/>
      <w:bookmarkEnd w:id="48"/>
    </w:p>
    <w:p w14:paraId="55499685">
      <w:pPr>
        <w:pageBreakBefore w:val="0"/>
        <w:kinsoku/>
        <w:wordWrap/>
        <w:overflowPunct/>
        <w:topLinePunct w:val="0"/>
        <w:autoSpaceDE/>
        <w:autoSpaceDN/>
        <w:bidi w:val="0"/>
        <w:spacing w:line="336" w:lineRule="auto"/>
        <w:ind w:firstLine="420" w:firstLineChars="200"/>
        <w:textAlignment w:val="auto"/>
        <w:outlineLvl w:val="1"/>
        <w:rPr>
          <w:rFonts w:hint="eastAsia" w:asciiTheme="minorEastAsia" w:hAnsiTheme="minorEastAsia" w:eastAsiaTheme="minorEastAsia" w:cstheme="minorEastAsia"/>
          <w:color w:val="auto"/>
          <w:kern w:val="0"/>
          <w:szCs w:val="21"/>
          <w:highlight w:val="none"/>
        </w:rPr>
      </w:pPr>
      <w:bookmarkStart w:id="49" w:name="_Toc35393637"/>
      <w:bookmarkStart w:id="50" w:name="_Toc28359019"/>
      <w:bookmarkStart w:id="51" w:name="_Toc28359096"/>
      <w:bookmarkStart w:id="52" w:name="_Toc35393806"/>
      <w:r>
        <w:rPr>
          <w:rFonts w:hint="eastAsia" w:asciiTheme="minorEastAsia" w:hAnsiTheme="minorEastAsia" w:eastAsiaTheme="minorEastAsia" w:cstheme="minorEastAsia"/>
          <w:color w:val="auto"/>
          <w:kern w:val="0"/>
          <w:szCs w:val="21"/>
          <w:highlight w:val="none"/>
        </w:rPr>
        <w:t>1.采购人信息</w:t>
      </w:r>
      <w:bookmarkEnd w:id="49"/>
      <w:bookmarkEnd w:id="50"/>
      <w:bookmarkEnd w:id="51"/>
      <w:bookmarkEnd w:id="52"/>
    </w:p>
    <w:p w14:paraId="595FFF90">
      <w:pPr>
        <w:pageBreakBefore w:val="0"/>
        <w:kinsoku/>
        <w:wordWrap/>
        <w:overflowPunct/>
        <w:topLinePunct w:val="0"/>
        <w:autoSpaceDE/>
        <w:autoSpaceDN/>
        <w:bidi w:val="0"/>
        <w:spacing w:line="336" w:lineRule="auto"/>
        <w:ind w:firstLine="420" w:firstLineChars="200"/>
        <w:jc w:val="left"/>
        <w:textAlignment w:val="auto"/>
        <w:rPr>
          <w:rFonts w:hint="eastAsia" w:asciiTheme="minorEastAsia" w:hAnsiTheme="minorEastAsia" w:eastAsiaTheme="minorEastAsia" w:cstheme="minorEastAsia"/>
          <w:color w:val="auto"/>
          <w:szCs w:val="21"/>
          <w:highlight w:val="none"/>
          <w:u w:val="none"/>
          <w:lang w:val="en-US" w:eastAsia="zh-CN"/>
        </w:rPr>
      </w:pPr>
      <w:r>
        <w:rPr>
          <w:rFonts w:hint="eastAsia" w:asciiTheme="minorEastAsia" w:hAnsiTheme="minorEastAsia" w:eastAsiaTheme="minorEastAsia" w:cstheme="minorEastAsia"/>
          <w:color w:val="auto"/>
          <w:szCs w:val="21"/>
          <w:highlight w:val="none"/>
          <w:u w:val="none"/>
        </w:rPr>
        <w:t>名    称：</w:t>
      </w:r>
      <w:r>
        <w:rPr>
          <w:rFonts w:hint="eastAsia" w:asciiTheme="minorEastAsia" w:hAnsiTheme="minorEastAsia" w:eastAsiaTheme="minorEastAsia" w:cstheme="minorEastAsia"/>
          <w:color w:val="auto"/>
          <w:szCs w:val="21"/>
          <w:highlight w:val="none"/>
          <w:u w:val="none"/>
          <w:lang w:val="en-US" w:eastAsia="zh-CN"/>
        </w:rPr>
        <w:t>梧州市龙圩区林业局</w:t>
      </w:r>
    </w:p>
    <w:p w14:paraId="2543F901">
      <w:pPr>
        <w:pageBreakBefore w:val="0"/>
        <w:kinsoku/>
        <w:wordWrap/>
        <w:overflowPunct/>
        <w:topLinePunct w:val="0"/>
        <w:autoSpaceDE/>
        <w:autoSpaceDN/>
        <w:bidi w:val="0"/>
        <w:spacing w:line="336" w:lineRule="auto"/>
        <w:ind w:firstLine="420" w:firstLineChars="200"/>
        <w:jc w:val="left"/>
        <w:textAlignment w:val="auto"/>
        <w:rPr>
          <w:rFonts w:hint="eastAsia" w:asciiTheme="minorEastAsia" w:hAnsiTheme="minorEastAsia" w:eastAsiaTheme="minorEastAsia" w:cstheme="minorEastAsia"/>
          <w:color w:val="auto"/>
          <w:szCs w:val="21"/>
          <w:highlight w:val="none"/>
          <w:u w:val="none"/>
          <w:lang w:val="en-US" w:eastAsia="zh-CN"/>
        </w:rPr>
      </w:pPr>
      <w:r>
        <w:rPr>
          <w:rFonts w:hint="eastAsia" w:asciiTheme="minorEastAsia" w:hAnsiTheme="minorEastAsia" w:eastAsiaTheme="minorEastAsia" w:cstheme="minorEastAsia"/>
          <w:color w:val="auto"/>
          <w:szCs w:val="21"/>
          <w:highlight w:val="none"/>
          <w:u w:val="none"/>
        </w:rPr>
        <w:t>地    址：梧州市龙圩区林业局（苍海国家湿地公园管理处）</w:t>
      </w:r>
    </w:p>
    <w:p w14:paraId="5C875E45">
      <w:pPr>
        <w:pageBreakBefore w:val="0"/>
        <w:kinsoku/>
        <w:wordWrap/>
        <w:overflowPunct/>
        <w:topLinePunct w:val="0"/>
        <w:autoSpaceDE/>
        <w:autoSpaceDN/>
        <w:bidi w:val="0"/>
        <w:spacing w:line="336" w:lineRule="auto"/>
        <w:ind w:firstLine="420" w:firstLineChars="200"/>
        <w:jc w:val="left"/>
        <w:textAlignment w:val="auto"/>
        <w:rPr>
          <w:rFonts w:hint="eastAsia" w:asciiTheme="minorEastAsia" w:hAnsiTheme="minorEastAsia" w:eastAsiaTheme="minorEastAsia" w:cstheme="minorEastAsia"/>
          <w:color w:val="auto"/>
          <w:szCs w:val="21"/>
          <w:highlight w:val="none"/>
          <w:u w:val="none"/>
          <w:lang w:val="en-US" w:eastAsia="zh-CN"/>
        </w:rPr>
      </w:pPr>
      <w:r>
        <w:rPr>
          <w:rFonts w:hint="eastAsia" w:asciiTheme="minorEastAsia" w:hAnsiTheme="minorEastAsia" w:eastAsiaTheme="minorEastAsia" w:cstheme="minorEastAsia"/>
          <w:color w:val="auto"/>
          <w:szCs w:val="21"/>
          <w:highlight w:val="none"/>
          <w:u w:val="none"/>
          <w:lang w:val="en-US" w:eastAsia="zh-CN"/>
        </w:rPr>
        <w:t>联 系 人： 何北海</w:t>
      </w:r>
    </w:p>
    <w:p w14:paraId="601604B3">
      <w:pPr>
        <w:pageBreakBefore w:val="0"/>
        <w:kinsoku/>
        <w:wordWrap/>
        <w:overflowPunct/>
        <w:topLinePunct w:val="0"/>
        <w:autoSpaceDE/>
        <w:autoSpaceDN/>
        <w:bidi w:val="0"/>
        <w:spacing w:line="336" w:lineRule="auto"/>
        <w:ind w:firstLine="420" w:firstLineChars="200"/>
        <w:jc w:val="left"/>
        <w:textAlignment w:val="auto"/>
        <w:rPr>
          <w:rFonts w:hint="eastAsia" w:asciiTheme="minorEastAsia" w:hAnsiTheme="minorEastAsia" w:eastAsiaTheme="minorEastAsia" w:cstheme="minorEastAsia"/>
          <w:color w:val="auto"/>
          <w:szCs w:val="21"/>
          <w:highlight w:val="none"/>
          <w:u w:val="none"/>
          <w:lang w:val="en-US" w:eastAsia="zh-CN"/>
        </w:rPr>
      </w:pPr>
      <w:r>
        <w:rPr>
          <w:rFonts w:hint="eastAsia" w:asciiTheme="minorEastAsia" w:hAnsiTheme="minorEastAsia" w:eastAsiaTheme="minorEastAsia" w:cstheme="minorEastAsia"/>
          <w:color w:val="auto"/>
          <w:szCs w:val="21"/>
          <w:highlight w:val="none"/>
          <w:u w:val="none"/>
        </w:rPr>
        <w:t>联系方式：</w:t>
      </w:r>
      <w:r>
        <w:rPr>
          <w:rFonts w:hint="eastAsia" w:asciiTheme="minorEastAsia" w:hAnsiTheme="minorEastAsia" w:eastAsiaTheme="minorEastAsia" w:cstheme="minorEastAsia"/>
          <w:color w:val="auto"/>
          <w:szCs w:val="21"/>
          <w:highlight w:val="none"/>
          <w:u w:val="none"/>
          <w:lang w:val="en-US" w:eastAsia="zh-CN"/>
        </w:rPr>
        <w:t xml:space="preserve"> 0774-2466841</w:t>
      </w:r>
    </w:p>
    <w:p w14:paraId="1848B4FB">
      <w:pPr>
        <w:pageBreakBefore w:val="0"/>
        <w:kinsoku/>
        <w:wordWrap/>
        <w:overflowPunct/>
        <w:topLinePunct w:val="0"/>
        <w:autoSpaceDE/>
        <w:autoSpaceDN/>
        <w:bidi w:val="0"/>
        <w:spacing w:line="336" w:lineRule="auto"/>
        <w:ind w:firstLine="420" w:firstLineChars="200"/>
        <w:textAlignment w:val="auto"/>
        <w:outlineLvl w:val="1"/>
        <w:rPr>
          <w:rFonts w:hint="eastAsia" w:asciiTheme="minorEastAsia" w:hAnsiTheme="minorEastAsia" w:eastAsiaTheme="minorEastAsia" w:cstheme="minorEastAsia"/>
          <w:color w:val="auto"/>
          <w:kern w:val="0"/>
          <w:szCs w:val="21"/>
          <w:highlight w:val="none"/>
        </w:rPr>
      </w:pPr>
      <w:bookmarkStart w:id="53" w:name="_Toc28359097"/>
      <w:bookmarkStart w:id="54" w:name="_Toc28359020"/>
      <w:bookmarkStart w:id="55" w:name="_Toc35393807"/>
      <w:bookmarkStart w:id="56" w:name="_Toc35393638"/>
      <w:r>
        <w:rPr>
          <w:rFonts w:hint="eastAsia" w:asciiTheme="minorEastAsia" w:hAnsiTheme="minorEastAsia" w:eastAsiaTheme="minorEastAsia" w:cstheme="minorEastAsia"/>
          <w:color w:val="auto"/>
          <w:kern w:val="0"/>
          <w:szCs w:val="21"/>
          <w:highlight w:val="none"/>
        </w:rPr>
        <w:t>2.采购代理机构信息</w:t>
      </w:r>
      <w:bookmarkEnd w:id="53"/>
      <w:bookmarkEnd w:id="54"/>
      <w:bookmarkEnd w:id="55"/>
      <w:bookmarkEnd w:id="56"/>
    </w:p>
    <w:p w14:paraId="4AE78873">
      <w:pPr>
        <w:pageBreakBefore w:val="0"/>
        <w:kinsoku/>
        <w:wordWrap/>
        <w:overflowPunct/>
        <w:topLinePunct w:val="0"/>
        <w:autoSpaceDE/>
        <w:autoSpaceDN/>
        <w:bidi w:val="0"/>
        <w:spacing w:line="336" w:lineRule="auto"/>
        <w:ind w:firstLine="420" w:firstLineChars="200"/>
        <w:textAlignment w:val="auto"/>
        <w:rPr>
          <w:rFonts w:hint="eastAsia" w:asciiTheme="minorEastAsia" w:hAnsiTheme="minorEastAsia" w:eastAsiaTheme="minorEastAsia" w:cstheme="minorEastAsia"/>
          <w:color w:val="auto"/>
          <w:szCs w:val="21"/>
          <w:highlight w:val="none"/>
          <w:u w:val="none"/>
          <w:lang w:eastAsia="zh-CN"/>
        </w:rPr>
      </w:pPr>
      <w:r>
        <w:rPr>
          <w:rFonts w:hint="eastAsia" w:asciiTheme="minorEastAsia" w:hAnsiTheme="minorEastAsia" w:eastAsiaTheme="minorEastAsia" w:cstheme="minorEastAsia"/>
          <w:color w:val="auto"/>
          <w:szCs w:val="21"/>
          <w:highlight w:val="none"/>
          <w:u w:val="none"/>
        </w:rPr>
        <w:t>名    称：</w:t>
      </w:r>
      <w:r>
        <w:rPr>
          <w:rFonts w:hint="eastAsia" w:asciiTheme="minorEastAsia" w:hAnsiTheme="minorEastAsia" w:eastAsiaTheme="minorEastAsia" w:cstheme="minorEastAsia"/>
          <w:color w:val="auto"/>
          <w:szCs w:val="21"/>
          <w:highlight w:val="none"/>
          <w:u w:val="none"/>
          <w:lang w:eastAsia="zh-CN"/>
        </w:rPr>
        <w:t>南宁品正建设咨询有限责任公司</w:t>
      </w:r>
    </w:p>
    <w:p w14:paraId="7D6CF50C">
      <w:pPr>
        <w:pageBreakBefore w:val="0"/>
        <w:kinsoku/>
        <w:wordWrap/>
        <w:overflowPunct/>
        <w:topLinePunct w:val="0"/>
        <w:autoSpaceDE/>
        <w:autoSpaceDN/>
        <w:bidi w:val="0"/>
        <w:spacing w:line="336" w:lineRule="auto"/>
        <w:ind w:firstLine="420" w:firstLineChars="200"/>
        <w:textAlignment w:val="auto"/>
        <w:rPr>
          <w:rFonts w:hint="eastAsia" w:asciiTheme="minorEastAsia" w:hAnsiTheme="minorEastAsia" w:eastAsiaTheme="minorEastAsia" w:cstheme="minorEastAsia"/>
          <w:color w:val="auto"/>
          <w:szCs w:val="21"/>
          <w:highlight w:val="none"/>
          <w:u w:val="none"/>
          <w:lang w:eastAsia="zh-CN"/>
        </w:rPr>
      </w:pPr>
      <w:r>
        <w:rPr>
          <w:rFonts w:hint="eastAsia" w:asciiTheme="minorEastAsia" w:hAnsiTheme="minorEastAsia" w:eastAsiaTheme="minorEastAsia" w:cstheme="minorEastAsia"/>
          <w:color w:val="auto"/>
          <w:szCs w:val="21"/>
          <w:highlight w:val="none"/>
          <w:u w:val="none"/>
        </w:rPr>
        <w:t>地　　址：</w:t>
      </w:r>
      <w:r>
        <w:rPr>
          <w:rFonts w:hint="eastAsia" w:asciiTheme="minorEastAsia" w:hAnsiTheme="minorEastAsia" w:eastAsiaTheme="minorEastAsia" w:cstheme="minorEastAsia"/>
          <w:color w:val="auto"/>
          <w:szCs w:val="21"/>
          <w:highlight w:val="none"/>
          <w:u w:val="none"/>
          <w:lang w:eastAsia="zh-CN"/>
        </w:rPr>
        <w:t>梧州市长洲区新兴二路119号西堤新苑小区5号楼地层</w:t>
      </w:r>
    </w:p>
    <w:p w14:paraId="1427602C">
      <w:pPr>
        <w:pageBreakBefore w:val="0"/>
        <w:kinsoku/>
        <w:wordWrap/>
        <w:overflowPunct/>
        <w:topLinePunct w:val="0"/>
        <w:autoSpaceDE/>
        <w:autoSpaceDN/>
        <w:bidi w:val="0"/>
        <w:spacing w:line="336" w:lineRule="auto"/>
        <w:ind w:firstLine="420" w:firstLineChars="200"/>
        <w:textAlignment w:val="auto"/>
        <w:rPr>
          <w:rFonts w:hint="default" w:asciiTheme="minorEastAsia" w:hAnsiTheme="minorEastAsia" w:eastAsiaTheme="minorEastAsia" w:cstheme="minorEastAsia"/>
          <w:color w:val="auto"/>
          <w:szCs w:val="21"/>
          <w:highlight w:val="none"/>
          <w:u w:val="none"/>
          <w:lang w:val="en-US" w:eastAsia="zh-CN"/>
        </w:rPr>
      </w:pPr>
      <w:r>
        <w:rPr>
          <w:rFonts w:hint="eastAsia" w:asciiTheme="minorEastAsia" w:hAnsiTheme="minorEastAsia" w:eastAsiaTheme="minorEastAsia" w:cstheme="minorEastAsia"/>
          <w:color w:val="auto"/>
          <w:szCs w:val="21"/>
          <w:highlight w:val="none"/>
          <w:u w:val="none"/>
          <w:lang w:val="en-US" w:eastAsia="zh-CN"/>
        </w:rPr>
        <w:t>联 系 人：黎远程</w:t>
      </w:r>
    </w:p>
    <w:p w14:paraId="68A23F29">
      <w:pPr>
        <w:pageBreakBefore w:val="0"/>
        <w:kinsoku/>
        <w:wordWrap/>
        <w:overflowPunct/>
        <w:topLinePunct w:val="0"/>
        <w:autoSpaceDE/>
        <w:autoSpaceDN/>
        <w:bidi w:val="0"/>
        <w:spacing w:line="336" w:lineRule="auto"/>
        <w:ind w:firstLine="420" w:firstLineChars="200"/>
        <w:textAlignment w:val="auto"/>
        <w:rPr>
          <w:rFonts w:hint="default" w:asciiTheme="minorEastAsia" w:hAnsiTheme="minorEastAsia" w:eastAsiaTheme="minorEastAsia" w:cstheme="minorEastAsia"/>
          <w:color w:val="auto"/>
          <w:szCs w:val="21"/>
          <w:highlight w:val="none"/>
          <w:u w:val="none"/>
          <w:lang w:val="en-US" w:eastAsia="zh-CN"/>
        </w:rPr>
      </w:pPr>
      <w:r>
        <w:rPr>
          <w:rFonts w:hint="eastAsia" w:asciiTheme="minorEastAsia" w:hAnsiTheme="minorEastAsia" w:eastAsiaTheme="minorEastAsia" w:cstheme="minorEastAsia"/>
          <w:color w:val="auto"/>
          <w:szCs w:val="21"/>
          <w:highlight w:val="none"/>
          <w:u w:val="none"/>
        </w:rPr>
        <w:t>联系方式：0774-</w:t>
      </w:r>
      <w:r>
        <w:rPr>
          <w:rFonts w:hint="eastAsia" w:asciiTheme="minorEastAsia" w:hAnsiTheme="minorEastAsia" w:eastAsiaTheme="minorEastAsia" w:cstheme="minorEastAsia"/>
          <w:color w:val="auto"/>
          <w:szCs w:val="21"/>
          <w:highlight w:val="none"/>
          <w:u w:val="none"/>
          <w:lang w:val="en-US" w:eastAsia="zh-CN"/>
        </w:rPr>
        <w:t>3894488</w:t>
      </w:r>
    </w:p>
    <w:p w14:paraId="175D5F4D">
      <w:pPr>
        <w:pageBreakBefore w:val="0"/>
        <w:kinsoku/>
        <w:wordWrap/>
        <w:overflowPunct/>
        <w:topLinePunct w:val="0"/>
        <w:autoSpaceDE/>
        <w:autoSpaceDN/>
        <w:bidi w:val="0"/>
        <w:spacing w:line="336" w:lineRule="auto"/>
        <w:ind w:firstLine="420" w:firstLineChars="200"/>
        <w:textAlignment w:val="auto"/>
        <w:rPr>
          <w:rFonts w:hint="eastAsia" w:asciiTheme="minorEastAsia" w:hAnsiTheme="minorEastAsia" w:eastAsiaTheme="minorEastAsia" w:cstheme="minorEastAsia"/>
          <w:color w:val="auto"/>
          <w:szCs w:val="21"/>
          <w:highlight w:val="none"/>
          <w:u w:val="single"/>
        </w:rPr>
      </w:pPr>
    </w:p>
    <w:p w14:paraId="6F48A225">
      <w:pPr>
        <w:pageBreakBefore w:val="0"/>
        <w:kinsoku/>
        <w:wordWrap/>
        <w:overflowPunct/>
        <w:topLinePunct w:val="0"/>
        <w:autoSpaceDE/>
        <w:autoSpaceDN/>
        <w:bidi w:val="0"/>
        <w:spacing w:line="336" w:lineRule="auto"/>
        <w:ind w:firstLine="630" w:firstLineChars="300"/>
        <w:jc w:val="right"/>
        <w:textAlignment w:val="auto"/>
        <w:rPr>
          <w:rFonts w:hint="eastAsia" w:asciiTheme="minorEastAsia" w:hAnsiTheme="minorEastAsia" w:eastAsiaTheme="minorEastAsia" w:cstheme="minorEastAsia"/>
          <w:color w:val="auto"/>
          <w:szCs w:val="21"/>
          <w:highlight w:val="none"/>
          <w:u w:val="single"/>
          <w:lang w:eastAsia="zh-CN"/>
        </w:rPr>
      </w:pPr>
      <w:r>
        <w:rPr>
          <w:rFonts w:hint="eastAsia" w:asciiTheme="minorEastAsia" w:hAnsiTheme="minorEastAsia" w:eastAsiaTheme="minorEastAsia" w:cstheme="minorEastAsia"/>
          <w:color w:val="auto"/>
          <w:szCs w:val="21"/>
          <w:highlight w:val="none"/>
          <w:lang w:eastAsia="zh-CN"/>
        </w:rPr>
        <w:t>南宁品正建设咨询有限责任公司</w:t>
      </w:r>
    </w:p>
    <w:p w14:paraId="628AB471">
      <w:pPr>
        <w:keepNext w:val="0"/>
        <w:keepLines w:val="0"/>
        <w:pageBreakBefore w:val="0"/>
        <w:widowControl w:val="0"/>
        <w:kinsoku/>
        <w:wordWrap/>
        <w:overflowPunct/>
        <w:topLinePunct w:val="0"/>
        <w:autoSpaceDE/>
        <w:autoSpaceDN/>
        <w:bidi w:val="0"/>
        <w:adjustRightInd/>
        <w:snapToGrid/>
        <w:spacing w:line="336" w:lineRule="auto"/>
        <w:ind w:firstLine="438" w:firstLineChars="209"/>
        <w:jc w:val="right"/>
        <w:textAlignment w:val="auto"/>
        <w:rPr>
          <w:rFonts w:hint="eastAsia" w:asciiTheme="minorEastAsia" w:hAnsiTheme="minorEastAsia" w:eastAsiaTheme="minorEastAsia" w:cstheme="minorEastAsia"/>
          <w:b/>
          <w:color w:val="000000"/>
          <w:lang w:eastAsia="zh-CN"/>
        </w:rPr>
      </w:pPr>
      <w:r>
        <w:rPr>
          <w:rFonts w:hint="eastAsia" w:asciiTheme="minorEastAsia" w:hAnsiTheme="minorEastAsia" w:eastAsiaTheme="minorEastAsia" w:cstheme="minorEastAsia"/>
          <w:color w:val="auto"/>
          <w:szCs w:val="21"/>
          <w:highlight w:val="none"/>
          <w:lang w:eastAsia="zh-CN"/>
        </w:rPr>
        <w:t>2026年07月21日</w:t>
      </w:r>
    </w:p>
    <w:p w14:paraId="5CADB7DA">
      <w:pPr>
        <w:pageBreakBefore w:val="0"/>
        <w:kinsoku/>
        <w:wordWrap/>
        <w:overflowPunct/>
        <w:topLinePunct w:val="0"/>
        <w:autoSpaceDE/>
        <w:autoSpaceDN/>
        <w:bidi w:val="0"/>
        <w:spacing w:line="336" w:lineRule="auto"/>
        <w:jc w:val="right"/>
        <w:textAlignment w:val="auto"/>
        <w:rPr>
          <w:rStyle w:val="36"/>
          <w:rFonts w:hint="eastAsia" w:asciiTheme="minorEastAsia" w:hAnsiTheme="minorEastAsia" w:eastAsiaTheme="minorEastAsia" w:cstheme="minorEastAsia"/>
          <w:color w:val="000000"/>
          <w:sz w:val="36"/>
          <w:szCs w:val="36"/>
        </w:rPr>
        <w:sectPr>
          <w:footerReference r:id="rId7" w:type="default"/>
          <w:pgSz w:w="11905" w:h="16838"/>
          <w:pgMar w:top="1417" w:right="1417" w:bottom="1417" w:left="1417" w:header="850" w:footer="992" w:gutter="0"/>
          <w:pgNumType w:fmt="decimal" w:start="1"/>
          <w:cols w:space="720" w:num="1"/>
          <w:rtlGutter w:val="0"/>
          <w:docGrid w:type="lines" w:linePitch="318" w:charSpace="0"/>
        </w:sectPr>
      </w:pPr>
    </w:p>
    <w:p w14:paraId="6EB06363">
      <w:pPr>
        <w:pStyle w:val="3"/>
        <w:pageBreakBefore w:val="0"/>
        <w:kinsoku/>
        <w:wordWrap/>
        <w:topLinePunct w:val="0"/>
        <w:bidi w:val="0"/>
        <w:spacing w:before="0" w:beforeAutospacing="0" w:after="0" w:afterAutospacing="0" w:line="312" w:lineRule="auto"/>
        <w:jc w:val="center"/>
        <w:outlineLvl w:val="0"/>
        <w:rPr>
          <w:rFonts w:hint="eastAsia"/>
          <w:color w:val="auto"/>
          <w:highlight w:val="none"/>
        </w:rPr>
      </w:pPr>
      <w:bookmarkStart w:id="57" w:name="_Toc7803"/>
      <w:bookmarkStart w:id="58" w:name="_Toc31383"/>
      <w:r>
        <w:rPr>
          <w:rFonts w:hint="eastAsia"/>
          <w:color w:val="auto"/>
          <w:highlight w:val="none"/>
        </w:rPr>
        <w:t>第二章 供应商须知</w:t>
      </w:r>
      <w:bookmarkEnd w:id="57"/>
      <w:bookmarkEnd w:id="58"/>
    </w:p>
    <w:p w14:paraId="7FA3D6E5">
      <w:pPr>
        <w:pageBreakBefore w:val="0"/>
        <w:kinsoku/>
        <w:wordWrap/>
        <w:topLinePunct w:val="0"/>
        <w:bidi w:val="0"/>
        <w:spacing w:beforeAutospacing="0" w:line="312" w:lineRule="auto"/>
        <w:jc w:val="center"/>
        <w:outlineLvl w:val="0"/>
        <w:rPr>
          <w:rFonts w:hint="eastAsia" w:ascii="宋体" w:hAnsi="宋体"/>
          <w:b/>
          <w:color w:val="auto"/>
          <w:sz w:val="32"/>
          <w:szCs w:val="32"/>
          <w:highlight w:val="none"/>
        </w:rPr>
      </w:pPr>
      <w:bookmarkStart w:id="59" w:name="_Toc22222"/>
      <w:r>
        <w:rPr>
          <w:rFonts w:hint="eastAsia" w:ascii="宋体" w:hAnsi="宋体"/>
          <w:b/>
          <w:color w:val="auto"/>
          <w:sz w:val="32"/>
          <w:szCs w:val="32"/>
          <w:highlight w:val="none"/>
        </w:rPr>
        <w:t>供应商须知前附表</w:t>
      </w:r>
      <w:bookmarkEnd w:id="59"/>
    </w:p>
    <w:p w14:paraId="49EBDCAC">
      <w:pPr>
        <w:pageBreakBefore w:val="0"/>
        <w:kinsoku/>
        <w:wordWrap/>
        <w:topLinePunct w:val="0"/>
        <w:bidi w:val="0"/>
        <w:spacing w:line="312" w:lineRule="auto"/>
        <w:jc w:val="center"/>
        <w:rPr>
          <w:rFonts w:hint="eastAsia" w:ascii="宋体" w:hAnsi="宋体"/>
          <w:b/>
          <w:color w:val="auto"/>
          <w:sz w:val="32"/>
          <w:szCs w:val="32"/>
          <w:highlight w:val="none"/>
        </w:rPr>
      </w:pPr>
    </w:p>
    <w:tbl>
      <w:tblPr>
        <w:tblStyle w:val="30"/>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70"/>
        <w:gridCol w:w="7834"/>
      </w:tblGrid>
      <w:tr w14:paraId="2F2C62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70" w:type="dxa"/>
            <w:noWrap w:val="0"/>
            <w:vAlign w:val="top"/>
          </w:tcPr>
          <w:p w14:paraId="01A61C99">
            <w:pPr>
              <w:keepNext w:val="0"/>
              <w:keepLines w:val="0"/>
              <w:pageBreakBefore w:val="0"/>
              <w:suppressLineNumbers w:val="0"/>
              <w:kinsoku/>
              <w:wordWrap/>
              <w:overflowPunct/>
              <w:topLinePunct w:val="0"/>
              <w:bidi w:val="0"/>
              <w:adjustRightInd/>
              <w:spacing w:before="0" w:beforeAutospacing="0" w:after="0" w:afterAutospacing="0" w:line="312" w:lineRule="auto"/>
              <w:ind w:left="0" w:right="0"/>
              <w:jc w:val="center"/>
              <w:textAlignment w:val="auto"/>
              <w:rPr>
                <w:rFonts w:hint="eastAsia" w:ascii="宋体" w:hAnsi="宋体" w:cs="宋体"/>
                <w:b/>
                <w:color w:val="auto"/>
                <w:szCs w:val="21"/>
                <w:highlight w:val="none"/>
              </w:rPr>
            </w:pPr>
            <w:r>
              <w:rPr>
                <w:rFonts w:hint="eastAsia" w:ascii="宋体" w:hAnsi="宋体" w:cs="宋体"/>
                <w:b/>
                <w:color w:val="auto"/>
                <w:szCs w:val="21"/>
                <w:highlight w:val="none"/>
              </w:rPr>
              <w:t>条款号</w:t>
            </w:r>
          </w:p>
        </w:tc>
        <w:tc>
          <w:tcPr>
            <w:tcW w:w="7834" w:type="dxa"/>
            <w:noWrap w:val="0"/>
            <w:vAlign w:val="top"/>
          </w:tcPr>
          <w:p w14:paraId="7C0453E9">
            <w:pPr>
              <w:keepNext w:val="0"/>
              <w:keepLines w:val="0"/>
              <w:pageBreakBefore w:val="0"/>
              <w:suppressLineNumbers w:val="0"/>
              <w:kinsoku/>
              <w:wordWrap/>
              <w:overflowPunct/>
              <w:topLinePunct w:val="0"/>
              <w:bidi w:val="0"/>
              <w:adjustRightInd/>
              <w:spacing w:before="0" w:beforeAutospacing="0" w:after="0" w:afterAutospacing="0" w:line="312" w:lineRule="auto"/>
              <w:ind w:left="0" w:right="0"/>
              <w:jc w:val="center"/>
              <w:textAlignment w:val="auto"/>
              <w:rPr>
                <w:rFonts w:hint="eastAsia" w:ascii="宋体" w:hAnsi="宋体" w:cs="宋体"/>
                <w:b/>
                <w:color w:val="auto"/>
                <w:szCs w:val="21"/>
                <w:highlight w:val="none"/>
              </w:rPr>
            </w:pPr>
            <w:r>
              <w:rPr>
                <w:rFonts w:hint="eastAsia" w:ascii="宋体" w:hAnsi="宋体" w:cs="宋体"/>
                <w:b/>
                <w:color w:val="auto"/>
                <w:szCs w:val="21"/>
                <w:highlight w:val="none"/>
              </w:rPr>
              <w:t>内    容</w:t>
            </w:r>
          </w:p>
        </w:tc>
      </w:tr>
      <w:tr w14:paraId="650511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70" w:type="dxa"/>
            <w:noWrap w:val="0"/>
            <w:vAlign w:val="center"/>
          </w:tcPr>
          <w:p w14:paraId="69D9DD50">
            <w:pPr>
              <w:keepNext w:val="0"/>
              <w:keepLines w:val="0"/>
              <w:pageBreakBefore w:val="0"/>
              <w:suppressLineNumbers w:val="0"/>
              <w:kinsoku/>
              <w:wordWrap/>
              <w:overflowPunct/>
              <w:topLinePunct w:val="0"/>
              <w:bidi w:val="0"/>
              <w:adjustRightInd/>
              <w:spacing w:before="0" w:beforeAutospacing="0" w:after="0" w:afterAutospacing="0" w:line="312" w:lineRule="auto"/>
              <w:ind w:left="0" w:right="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3</w:t>
            </w:r>
          </w:p>
        </w:tc>
        <w:tc>
          <w:tcPr>
            <w:tcW w:w="7834" w:type="dxa"/>
            <w:noWrap w:val="0"/>
            <w:vAlign w:val="center"/>
          </w:tcPr>
          <w:p w14:paraId="6E64D1A4">
            <w:pPr>
              <w:keepNext w:val="0"/>
              <w:keepLines w:val="0"/>
              <w:pageBreakBefore w:val="0"/>
              <w:suppressLineNumbers w:val="0"/>
              <w:kinsoku/>
              <w:wordWrap/>
              <w:overflowPunct/>
              <w:topLinePunct w:val="0"/>
              <w:bidi w:val="0"/>
              <w:adjustRightInd/>
              <w:spacing w:before="0" w:beforeAutospacing="0" w:after="0" w:afterAutospacing="0" w:line="312" w:lineRule="auto"/>
              <w:ind w:left="0" w:right="0"/>
              <w:textAlignment w:val="auto"/>
              <w:rPr>
                <w:rFonts w:hint="eastAsia" w:ascii="宋体" w:hAnsi="宋体" w:cs="宋体"/>
                <w:color w:val="auto"/>
                <w:szCs w:val="21"/>
                <w:highlight w:val="none"/>
              </w:rPr>
            </w:pPr>
            <w:r>
              <w:rPr>
                <w:rFonts w:hint="eastAsia" w:ascii="宋体" w:hAnsi="宋体" w:cs="宋体"/>
                <w:bCs/>
                <w:color w:val="auto"/>
                <w:szCs w:val="21"/>
                <w:highlight w:val="none"/>
              </w:rPr>
              <w:t>供应商的资格条件</w:t>
            </w:r>
            <w:r>
              <w:rPr>
                <w:rFonts w:hint="eastAsia" w:ascii="宋体" w:hAnsi="宋体" w:cs="宋体"/>
                <w:color w:val="auto"/>
                <w:szCs w:val="21"/>
                <w:highlight w:val="none"/>
              </w:rPr>
              <w:t>：详见竞争性磋商公告</w:t>
            </w:r>
          </w:p>
        </w:tc>
      </w:tr>
      <w:tr w14:paraId="5DDC9A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70" w:type="dxa"/>
            <w:noWrap w:val="0"/>
            <w:vAlign w:val="center"/>
          </w:tcPr>
          <w:p w14:paraId="08535440">
            <w:pPr>
              <w:keepNext w:val="0"/>
              <w:keepLines w:val="0"/>
              <w:pageBreakBefore w:val="0"/>
              <w:suppressLineNumbers w:val="0"/>
              <w:kinsoku/>
              <w:wordWrap/>
              <w:overflowPunct/>
              <w:topLinePunct w:val="0"/>
              <w:bidi w:val="0"/>
              <w:adjustRightInd/>
              <w:spacing w:before="0" w:beforeAutospacing="0" w:after="0" w:afterAutospacing="0" w:line="312" w:lineRule="auto"/>
              <w:ind w:left="0" w:right="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5.1</w:t>
            </w:r>
          </w:p>
        </w:tc>
        <w:tc>
          <w:tcPr>
            <w:tcW w:w="7834" w:type="dxa"/>
            <w:noWrap w:val="0"/>
            <w:vAlign w:val="center"/>
          </w:tcPr>
          <w:p w14:paraId="39795F89">
            <w:pPr>
              <w:keepNext w:val="0"/>
              <w:keepLines w:val="0"/>
              <w:pageBreakBefore w:val="0"/>
              <w:suppressLineNumbers w:val="0"/>
              <w:kinsoku/>
              <w:wordWrap/>
              <w:overflowPunct/>
              <w:topLinePunct w:val="0"/>
              <w:bidi w:val="0"/>
              <w:adjustRightInd/>
              <w:spacing w:before="0" w:beforeAutospacing="0" w:after="0" w:afterAutospacing="0" w:line="312" w:lineRule="auto"/>
              <w:ind w:left="0" w:right="0"/>
              <w:textAlignment w:val="auto"/>
              <w:rPr>
                <w:rFonts w:hint="eastAsia" w:ascii="宋体" w:hAnsi="宋体" w:cs="宋体"/>
                <w:color w:val="auto"/>
                <w:szCs w:val="21"/>
                <w:highlight w:val="none"/>
              </w:rPr>
            </w:pPr>
            <w:r>
              <w:rPr>
                <w:rFonts w:hint="eastAsia" w:ascii="宋体" w:hAnsi="宋体" w:cs="宋体"/>
                <w:color w:val="auto"/>
                <w:szCs w:val="21"/>
                <w:highlight w:val="none"/>
              </w:rPr>
              <w:t>是否接受联合体竞标: 详见竞争性磋商公告</w:t>
            </w:r>
          </w:p>
        </w:tc>
      </w:tr>
      <w:tr w14:paraId="528462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9" w:hRule="atLeast"/>
          <w:jc w:val="center"/>
        </w:trPr>
        <w:tc>
          <w:tcPr>
            <w:tcW w:w="1070" w:type="dxa"/>
            <w:noWrap w:val="0"/>
            <w:vAlign w:val="center"/>
          </w:tcPr>
          <w:p w14:paraId="4D9BB265">
            <w:pPr>
              <w:keepNext w:val="0"/>
              <w:keepLines w:val="0"/>
              <w:pageBreakBefore w:val="0"/>
              <w:suppressLineNumbers w:val="0"/>
              <w:kinsoku/>
              <w:wordWrap/>
              <w:overflowPunct/>
              <w:topLinePunct w:val="0"/>
              <w:bidi w:val="0"/>
              <w:adjustRightInd/>
              <w:spacing w:before="0" w:beforeAutospacing="0" w:after="0" w:afterAutospacing="0" w:line="312" w:lineRule="auto"/>
              <w:ind w:left="0" w:right="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6.2</w:t>
            </w:r>
          </w:p>
        </w:tc>
        <w:tc>
          <w:tcPr>
            <w:tcW w:w="7834" w:type="dxa"/>
            <w:noWrap w:val="0"/>
            <w:vAlign w:val="center"/>
          </w:tcPr>
          <w:p w14:paraId="78416CBD">
            <w:pPr>
              <w:pStyle w:val="10"/>
              <w:keepNext w:val="0"/>
              <w:keepLines w:val="0"/>
              <w:pageBreakBefore w:val="0"/>
              <w:suppressLineNumbers w:val="0"/>
              <w:kinsoku/>
              <w:wordWrap/>
              <w:overflowPunct/>
              <w:topLinePunct w:val="0"/>
              <w:bidi w:val="0"/>
              <w:adjustRightInd/>
              <w:spacing w:before="0" w:beforeAutospacing="0" w:after="0" w:afterAutospacing="0" w:line="312" w:lineRule="auto"/>
              <w:ind w:left="0" w:right="0"/>
              <w:textAlignment w:val="auto"/>
              <w:rPr>
                <w:rFonts w:hint="eastAsia" w:ascii="宋体" w:hAnsi="宋体" w:cs="宋体"/>
                <w:color w:val="auto"/>
                <w:szCs w:val="21"/>
                <w:highlight w:val="none"/>
                <w:lang w:val="en-US" w:eastAsia="zh-CN"/>
              </w:rPr>
            </w:pPr>
            <w:r>
              <w:rPr>
                <w:rFonts w:hint="eastAsia" w:ascii="宋体" w:hAnsi="宋体"/>
                <w:color w:val="auto"/>
                <w:szCs w:val="21"/>
                <w:highlight w:val="none"/>
                <w:lang w:val="en-US" w:eastAsia="zh-CN"/>
              </w:rPr>
              <w:t>不允许分包</w:t>
            </w:r>
          </w:p>
        </w:tc>
      </w:tr>
      <w:tr w14:paraId="2FC17C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70" w:type="dxa"/>
            <w:noWrap w:val="0"/>
            <w:vAlign w:val="center"/>
          </w:tcPr>
          <w:p w14:paraId="6DB91DC9">
            <w:pPr>
              <w:keepNext w:val="0"/>
              <w:keepLines w:val="0"/>
              <w:pageBreakBefore w:val="0"/>
              <w:suppressLineNumbers w:val="0"/>
              <w:kinsoku/>
              <w:wordWrap/>
              <w:overflowPunct/>
              <w:topLinePunct w:val="0"/>
              <w:bidi w:val="0"/>
              <w:adjustRightInd/>
              <w:spacing w:before="0" w:beforeAutospacing="0" w:after="0" w:afterAutospacing="0" w:line="312" w:lineRule="auto"/>
              <w:ind w:left="0" w:right="0"/>
              <w:jc w:val="center"/>
              <w:textAlignment w:val="auto"/>
              <w:rPr>
                <w:rFonts w:hint="default"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w:t>
            </w:r>
          </w:p>
        </w:tc>
        <w:tc>
          <w:tcPr>
            <w:tcW w:w="7834" w:type="dxa"/>
            <w:noWrap w:val="0"/>
            <w:vAlign w:val="center"/>
          </w:tcPr>
          <w:p w14:paraId="72846103">
            <w:pPr>
              <w:pStyle w:val="10"/>
              <w:keepNext w:val="0"/>
              <w:keepLines w:val="0"/>
              <w:pageBreakBefore w:val="0"/>
              <w:suppressLineNumbers w:val="0"/>
              <w:kinsoku/>
              <w:wordWrap/>
              <w:overflowPunct/>
              <w:topLinePunct w:val="0"/>
              <w:bidi w:val="0"/>
              <w:adjustRightInd/>
              <w:spacing w:before="0" w:beforeAutospacing="0" w:after="0" w:afterAutospacing="0" w:line="312" w:lineRule="auto"/>
              <w:ind w:left="0" w:right="0"/>
              <w:textAlignment w:val="auto"/>
              <w:rPr>
                <w:rFonts w:hint="eastAsia" w:ascii="宋体" w:hAnsi="宋体"/>
                <w:color w:val="000000" w:themeColor="text1"/>
                <w:szCs w:val="21"/>
                <w:highlight w:val="none"/>
                <w:lang w:val="en-US" w:eastAsia="zh-CN"/>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技术条款评审中允许负偏离的条款数为</w:t>
            </w:r>
            <w:r>
              <w:rPr>
                <w:rFonts w:hint="eastAsia" w:ascii="宋体" w:hAnsi="宋体"/>
                <w:color w:val="000000" w:themeColor="text1"/>
                <w:szCs w:val="21"/>
                <w:highlight w:val="none"/>
                <w:u w:val="single"/>
                <w:lang w:val="en-US" w:eastAsia="zh-CN"/>
                <w14:textFill>
                  <w14:solidFill>
                    <w14:schemeClr w14:val="tx1"/>
                  </w14:solidFill>
                </w14:textFill>
              </w:rPr>
              <w:t xml:space="preserve"> 0 </w:t>
            </w:r>
            <w:r>
              <w:rPr>
                <w:rFonts w:hint="eastAsia" w:ascii="宋体" w:hAnsi="宋体"/>
                <w:color w:val="000000" w:themeColor="text1"/>
                <w:szCs w:val="21"/>
                <w:highlight w:val="none"/>
                <w:lang w:val="en-US" w:eastAsia="zh-CN"/>
                <w14:textFill>
                  <w14:solidFill>
                    <w14:schemeClr w14:val="tx1"/>
                  </w14:solidFill>
                </w14:textFill>
              </w:rPr>
              <w:t>项。</w:t>
            </w:r>
          </w:p>
          <w:p w14:paraId="5CC19690">
            <w:pPr>
              <w:pStyle w:val="10"/>
              <w:keepNext w:val="0"/>
              <w:keepLines w:val="0"/>
              <w:pageBreakBefore w:val="0"/>
              <w:suppressLineNumbers w:val="0"/>
              <w:kinsoku/>
              <w:wordWrap/>
              <w:overflowPunct/>
              <w:topLinePunct w:val="0"/>
              <w:bidi w:val="0"/>
              <w:adjustRightInd/>
              <w:spacing w:before="0" w:beforeAutospacing="0" w:after="0" w:afterAutospacing="0" w:line="312" w:lineRule="auto"/>
              <w:ind w:left="0" w:right="0"/>
              <w:textAlignment w:val="auto"/>
              <w:rPr>
                <w:rFonts w:hint="eastAsia" w:ascii="宋体" w:hAnsi="宋体"/>
                <w:color w:val="000000" w:themeColor="text1"/>
                <w:szCs w:val="21"/>
                <w:highlight w:val="none"/>
                <w:lang w:val="en-US" w:eastAsia="zh-CN"/>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商务要求评审中允许负偏离的条款数为</w:t>
            </w:r>
            <w:r>
              <w:rPr>
                <w:rFonts w:hint="eastAsia" w:ascii="宋体" w:hAnsi="宋体"/>
                <w:color w:val="000000" w:themeColor="text1"/>
                <w:szCs w:val="21"/>
                <w:highlight w:val="none"/>
                <w:u w:val="single"/>
                <w:lang w:val="en-US" w:eastAsia="zh-CN"/>
                <w14:textFill>
                  <w14:solidFill>
                    <w14:schemeClr w14:val="tx1"/>
                  </w14:solidFill>
                </w14:textFill>
              </w:rPr>
              <w:t xml:space="preserve"> 0 </w:t>
            </w:r>
            <w:r>
              <w:rPr>
                <w:rFonts w:hint="eastAsia" w:ascii="宋体" w:hAnsi="宋体"/>
                <w:color w:val="000000" w:themeColor="text1"/>
                <w:szCs w:val="21"/>
                <w:highlight w:val="none"/>
                <w:lang w:val="en-US" w:eastAsia="zh-CN"/>
                <w14:textFill>
                  <w14:solidFill>
                    <w14:schemeClr w14:val="tx1"/>
                  </w14:solidFill>
                </w14:textFill>
              </w:rPr>
              <w:t>项。</w:t>
            </w:r>
          </w:p>
        </w:tc>
      </w:tr>
      <w:tr w14:paraId="251832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70" w:type="dxa"/>
            <w:noWrap w:val="0"/>
            <w:vAlign w:val="center"/>
          </w:tcPr>
          <w:p w14:paraId="20816358">
            <w:pPr>
              <w:keepNext w:val="0"/>
              <w:keepLines w:val="0"/>
              <w:pageBreakBefore w:val="0"/>
              <w:suppressLineNumbers w:val="0"/>
              <w:kinsoku/>
              <w:wordWrap/>
              <w:overflowPunct/>
              <w:topLinePunct w:val="0"/>
              <w:bidi w:val="0"/>
              <w:adjustRightInd/>
              <w:spacing w:before="0" w:beforeAutospacing="0" w:after="0" w:afterAutospacing="0" w:line="312" w:lineRule="auto"/>
              <w:ind w:left="0" w:right="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12.1.</w:t>
            </w:r>
            <w:r>
              <w:rPr>
                <w:rFonts w:hint="default" w:ascii="宋体" w:hAnsi="宋体" w:cs="宋体"/>
                <w:color w:val="auto"/>
                <w:szCs w:val="21"/>
                <w:highlight w:val="none"/>
              </w:rPr>
              <w:t>1</w:t>
            </w:r>
          </w:p>
        </w:tc>
        <w:tc>
          <w:tcPr>
            <w:tcW w:w="7834" w:type="dxa"/>
            <w:noWrap w:val="0"/>
            <w:vAlign w:val="center"/>
          </w:tcPr>
          <w:p w14:paraId="3B548911">
            <w:pPr>
              <w:keepNext w:val="0"/>
              <w:keepLines w:val="0"/>
              <w:pageBreakBefore w:val="0"/>
              <w:suppressLineNumbers w:val="0"/>
              <w:kinsoku/>
              <w:wordWrap/>
              <w:overflowPunct/>
              <w:topLinePunct w:val="0"/>
              <w:bidi w:val="0"/>
              <w:adjustRightInd/>
              <w:snapToGrid w:val="0"/>
              <w:spacing w:before="0" w:beforeAutospacing="0" w:after="0" w:afterAutospacing="0" w:line="312" w:lineRule="auto"/>
              <w:ind w:left="0" w:right="0"/>
              <w:jc w:val="left"/>
              <w:textAlignment w:val="auto"/>
              <w:rPr>
                <w:rFonts w:hint="eastAsia"/>
                <w:color w:val="auto"/>
              </w:rPr>
            </w:pPr>
            <w:r>
              <w:rPr>
                <w:rFonts w:hint="eastAsia"/>
                <w:color w:val="auto"/>
              </w:rPr>
              <w:t>资格证明文件</w:t>
            </w:r>
          </w:p>
          <w:p w14:paraId="6882B891">
            <w:pPr>
              <w:keepNext w:val="0"/>
              <w:keepLines w:val="0"/>
              <w:pageBreakBefore w:val="0"/>
              <w:suppressLineNumbers w:val="0"/>
              <w:kinsoku/>
              <w:wordWrap/>
              <w:overflowPunct/>
              <w:topLinePunct w:val="0"/>
              <w:bidi w:val="0"/>
              <w:adjustRightInd/>
              <w:spacing w:before="0" w:beforeAutospacing="0" w:after="0" w:afterAutospacing="0" w:line="312" w:lineRule="auto"/>
              <w:ind w:left="0" w:right="0"/>
              <w:textAlignment w:val="auto"/>
              <w:rPr>
                <w:rFonts w:hint="eastAsia"/>
                <w:color w:val="auto"/>
              </w:rPr>
            </w:pPr>
            <w:r>
              <w:rPr>
                <w:rFonts w:hint="eastAsia"/>
                <w:color w:val="auto"/>
                <w:lang w:val="en-US" w:eastAsia="zh-CN"/>
              </w:rPr>
              <w:t>1</w:t>
            </w:r>
            <w:r>
              <w:rPr>
                <w:rFonts w:hint="eastAsia"/>
                <w:color w:val="auto"/>
              </w:rPr>
              <w:t>.</w:t>
            </w:r>
            <w:r>
              <w:rPr>
                <w:rFonts w:hint="eastAsia"/>
                <w:color w:val="auto"/>
                <w:lang w:eastAsia="zh-CN"/>
              </w:rPr>
              <w:t>（</w:t>
            </w:r>
            <w:r>
              <w:rPr>
                <w:rFonts w:hint="eastAsia"/>
                <w:color w:val="auto"/>
                <w:lang w:val="en-US" w:eastAsia="zh-CN"/>
              </w:rPr>
              <w:t>1</w:t>
            </w:r>
            <w:r>
              <w:rPr>
                <w:rFonts w:hint="eastAsia"/>
                <w:color w:val="auto"/>
                <w:lang w:eastAsia="zh-CN"/>
              </w:rPr>
              <w:t>）</w:t>
            </w:r>
            <w:r>
              <w:rPr>
                <w:rFonts w:hint="eastAsia"/>
                <w:color w:val="auto"/>
              </w:rPr>
              <w:t>法定代表人身份证明书及法定代表人有效身份证正反面</w:t>
            </w:r>
            <w:r>
              <w:rPr>
                <w:rFonts w:hint="eastAsia"/>
                <w:color w:val="auto"/>
                <w:lang w:val="en-US" w:eastAsia="zh-CN"/>
              </w:rPr>
              <w:t>复印</w:t>
            </w:r>
            <w:r>
              <w:rPr>
                <w:rFonts w:hint="eastAsia"/>
                <w:color w:val="auto"/>
              </w:rPr>
              <w:t>件（格式后附）；</w:t>
            </w:r>
            <w:r>
              <w:rPr>
                <w:rFonts w:hint="eastAsia"/>
                <w:b/>
                <w:bCs/>
                <w:color w:val="auto"/>
              </w:rPr>
              <w:t>（除自然人竞标外必须提供，否则响应文件按无效响应处理）</w:t>
            </w:r>
            <w:r>
              <w:rPr>
                <w:rFonts w:hint="eastAsia"/>
                <w:b w:val="0"/>
                <w:bCs w:val="0"/>
                <w:color w:val="auto"/>
                <w:lang w:eastAsia="zh-CN"/>
              </w:rPr>
              <w:t>（</w:t>
            </w:r>
            <w:r>
              <w:rPr>
                <w:rFonts w:hint="eastAsia"/>
                <w:b w:val="0"/>
                <w:bCs w:val="0"/>
                <w:color w:val="auto"/>
                <w:lang w:val="en-US" w:eastAsia="zh-CN"/>
              </w:rPr>
              <w:t>2</w:t>
            </w:r>
            <w:r>
              <w:rPr>
                <w:rFonts w:hint="eastAsia"/>
                <w:b w:val="0"/>
                <w:bCs w:val="0"/>
                <w:color w:val="auto"/>
                <w:lang w:eastAsia="zh-CN"/>
              </w:rPr>
              <w:t>）</w:t>
            </w:r>
            <w:r>
              <w:rPr>
                <w:rFonts w:hint="eastAsia"/>
                <w:color w:val="auto"/>
              </w:rPr>
              <w:t>法定代表人授权委托书及委托代理人有效身份证正反面</w:t>
            </w:r>
            <w:r>
              <w:rPr>
                <w:rFonts w:hint="eastAsia"/>
                <w:color w:val="auto"/>
                <w:lang w:val="en-US" w:eastAsia="zh-CN"/>
              </w:rPr>
              <w:t>复印</w:t>
            </w:r>
            <w:r>
              <w:rPr>
                <w:rFonts w:hint="eastAsia"/>
                <w:color w:val="auto"/>
              </w:rPr>
              <w:t>件（格式后附）；</w:t>
            </w:r>
            <w:r>
              <w:rPr>
                <w:rFonts w:hint="eastAsia"/>
                <w:b/>
                <w:bCs/>
                <w:color w:val="auto"/>
              </w:rPr>
              <w:t>（委托时必须提供，否则响应文件按无效响应处理）</w:t>
            </w:r>
          </w:p>
          <w:p w14:paraId="7C82853B">
            <w:pPr>
              <w:pStyle w:val="10"/>
              <w:keepNext w:val="0"/>
              <w:keepLines w:val="0"/>
              <w:pageBreakBefore w:val="0"/>
              <w:suppressLineNumbers w:val="0"/>
              <w:kinsoku/>
              <w:wordWrap/>
              <w:overflowPunct/>
              <w:topLinePunct w:val="0"/>
              <w:bidi w:val="0"/>
              <w:adjustRightInd/>
              <w:spacing w:before="0" w:beforeAutospacing="0" w:after="0" w:afterAutospacing="0" w:line="312" w:lineRule="auto"/>
              <w:ind w:left="0" w:right="0"/>
              <w:textAlignment w:val="auto"/>
              <w:rPr>
                <w:rFonts w:hint="eastAsia"/>
                <w:b/>
                <w:bCs/>
                <w:color w:val="auto"/>
                <w:lang w:val="en-US" w:eastAsia="zh-CN"/>
              </w:rPr>
            </w:pPr>
            <w:r>
              <w:rPr>
                <w:rFonts w:hint="eastAsia"/>
                <w:color w:val="auto"/>
                <w:lang w:val="en-US" w:eastAsia="zh-CN"/>
              </w:rPr>
              <w:t>2.供应商为法人或者其他组织的提供其营业执照等证明文件（如营业执照或者事业单位法人证书或者执业许可证等），供应商为自然人的提供其身份证复印件</w:t>
            </w:r>
            <w:r>
              <w:rPr>
                <w:rFonts w:hint="eastAsia"/>
                <w:b w:val="0"/>
                <w:bCs w:val="0"/>
                <w:color w:val="auto"/>
                <w:lang w:val="en-US" w:eastAsia="zh-CN"/>
              </w:rPr>
              <w:t>；</w:t>
            </w:r>
            <w:r>
              <w:rPr>
                <w:rFonts w:hint="eastAsia"/>
                <w:b/>
                <w:bCs/>
                <w:color w:val="auto"/>
                <w:lang w:val="en-US" w:eastAsia="zh-CN"/>
              </w:rPr>
              <w:t>（必须提供，否则响应文件按无效响应处理）</w:t>
            </w:r>
          </w:p>
          <w:p w14:paraId="2D63BED1">
            <w:pPr>
              <w:keepNext w:val="0"/>
              <w:keepLines w:val="0"/>
              <w:pageBreakBefore w:val="0"/>
              <w:suppressLineNumbers w:val="0"/>
              <w:kinsoku/>
              <w:wordWrap/>
              <w:overflowPunct/>
              <w:topLinePunct w:val="0"/>
              <w:bidi w:val="0"/>
              <w:adjustRightInd/>
              <w:snapToGrid w:val="0"/>
              <w:spacing w:before="0" w:beforeAutospacing="0" w:after="0" w:afterAutospacing="0" w:line="312" w:lineRule="auto"/>
              <w:ind w:left="0" w:right="0"/>
              <w:jc w:val="left"/>
              <w:textAlignment w:val="auto"/>
              <w:rPr>
                <w:rFonts w:hint="eastAsia"/>
                <w:b/>
                <w:bCs/>
                <w:color w:val="auto"/>
              </w:rPr>
            </w:pPr>
            <w:r>
              <w:rPr>
                <w:rFonts w:hint="eastAsia"/>
                <w:color w:val="auto"/>
                <w:lang w:val="en-US" w:eastAsia="zh-CN"/>
              </w:rPr>
              <w:t>3</w:t>
            </w:r>
            <w:r>
              <w:rPr>
                <w:rFonts w:hint="eastAsia"/>
                <w:color w:val="auto"/>
              </w:rPr>
              <w:t>.供应商依法缴纳税收的相关材料（</w:t>
            </w:r>
            <w:r>
              <w:rPr>
                <w:rFonts w:hint="eastAsia"/>
                <w:color w:val="auto"/>
                <w:lang w:val="en-US" w:eastAsia="zh-CN"/>
              </w:rPr>
              <w:t>2026年01月至截标前任意</w:t>
            </w:r>
            <w:r>
              <w:rPr>
                <w:rFonts w:hint="eastAsia"/>
                <w:color w:val="auto"/>
              </w:rPr>
              <w:t xml:space="preserve"> </w:t>
            </w:r>
            <w:r>
              <w:rPr>
                <w:rFonts w:hint="eastAsia"/>
                <w:color w:val="auto"/>
                <w:lang w:val="en-US" w:eastAsia="zh-CN"/>
              </w:rPr>
              <w:t>1</w:t>
            </w:r>
            <w:r>
              <w:rPr>
                <w:rFonts w:hint="eastAsia"/>
                <w:color w:val="auto"/>
              </w:rPr>
              <w:t xml:space="preserve"> 个月的依法缴纳税收的凭据复印件；依法免税的供应商，必须提供相应文件证明其依法免税。</w:t>
            </w:r>
            <w:r>
              <w:rPr>
                <w:rFonts w:hint="eastAsia" w:ascii="宋体" w:hAnsi="宋体" w:cs="宋体"/>
                <w:color w:val="auto"/>
                <w:szCs w:val="21"/>
              </w:rPr>
              <w:t>从</w:t>
            </w:r>
            <w:r>
              <w:rPr>
                <w:rFonts w:hint="default"/>
                <w:color w:val="auto"/>
                <w:szCs w:val="21"/>
              </w:rPr>
              <w:t>成立</w:t>
            </w:r>
            <w:r>
              <w:rPr>
                <w:rFonts w:hint="eastAsia"/>
                <w:color w:val="auto"/>
                <w:szCs w:val="21"/>
              </w:rPr>
              <w:t>之日起</w:t>
            </w:r>
            <w:r>
              <w:rPr>
                <w:rFonts w:hint="eastAsia" w:ascii="宋体" w:hAnsi="宋体" w:cs="宋体"/>
                <w:color w:val="auto"/>
                <w:szCs w:val="21"/>
              </w:rPr>
              <w:t>到响应文件提交截止时间止不足要求月数的，只需提供从</w:t>
            </w:r>
            <w:r>
              <w:rPr>
                <w:rFonts w:hint="default"/>
                <w:color w:val="auto"/>
                <w:szCs w:val="21"/>
              </w:rPr>
              <w:t>成立</w:t>
            </w:r>
            <w:r>
              <w:rPr>
                <w:rFonts w:hint="eastAsia"/>
                <w:color w:val="auto"/>
                <w:szCs w:val="21"/>
              </w:rPr>
              <w:t>之日起</w:t>
            </w:r>
            <w:r>
              <w:rPr>
                <w:rFonts w:hint="eastAsia" w:ascii="宋体" w:hAnsi="宋体" w:cs="宋体"/>
                <w:color w:val="auto"/>
                <w:szCs w:val="21"/>
              </w:rPr>
              <w:t>的依法缴纳税收</w:t>
            </w:r>
            <w:r>
              <w:rPr>
                <w:rFonts w:hint="eastAsia"/>
                <w:color w:val="auto"/>
              </w:rPr>
              <w:t>相应证明文件</w:t>
            </w:r>
            <w:r>
              <w:rPr>
                <w:rFonts w:hint="eastAsia" w:ascii="宋体" w:hAnsi="宋体" w:cs="宋体"/>
                <w:color w:val="auto"/>
                <w:szCs w:val="21"/>
              </w:rPr>
              <w:t>）</w:t>
            </w:r>
            <w:r>
              <w:rPr>
                <w:rFonts w:hint="eastAsia"/>
                <w:color w:val="auto"/>
              </w:rPr>
              <w:t>；</w:t>
            </w:r>
            <w:r>
              <w:rPr>
                <w:rFonts w:hint="eastAsia"/>
                <w:b/>
                <w:bCs/>
                <w:color w:val="auto"/>
              </w:rPr>
              <w:t>（必须提供，否则响应文件按无效响应处理）</w:t>
            </w:r>
          </w:p>
          <w:p w14:paraId="63A580D8">
            <w:pPr>
              <w:keepNext w:val="0"/>
              <w:keepLines w:val="0"/>
              <w:pageBreakBefore w:val="0"/>
              <w:suppressLineNumbers w:val="0"/>
              <w:kinsoku/>
              <w:wordWrap/>
              <w:overflowPunct/>
              <w:topLinePunct w:val="0"/>
              <w:bidi w:val="0"/>
              <w:adjustRightInd/>
              <w:snapToGrid w:val="0"/>
              <w:spacing w:before="0" w:beforeAutospacing="0" w:after="0" w:afterAutospacing="0" w:line="312" w:lineRule="auto"/>
              <w:ind w:left="0" w:right="0"/>
              <w:jc w:val="left"/>
              <w:textAlignment w:val="auto"/>
              <w:rPr>
                <w:rFonts w:hint="eastAsia"/>
                <w:b/>
                <w:bCs/>
                <w:color w:val="auto"/>
              </w:rPr>
            </w:pPr>
            <w:r>
              <w:rPr>
                <w:rFonts w:hint="eastAsia"/>
                <w:color w:val="auto"/>
                <w:lang w:val="en-US" w:eastAsia="zh-CN"/>
              </w:rPr>
              <w:t>4</w:t>
            </w:r>
            <w:r>
              <w:rPr>
                <w:rFonts w:hint="eastAsia"/>
                <w:color w:val="auto"/>
              </w:rPr>
              <w:t>.供应商依法缴纳社会保障资金的相关材料[</w:t>
            </w:r>
            <w:r>
              <w:rPr>
                <w:rFonts w:hint="eastAsia"/>
                <w:color w:val="auto"/>
                <w:lang w:val="en-US" w:eastAsia="zh-CN"/>
              </w:rPr>
              <w:t>2026年01月至截标前任意 1 个月</w:t>
            </w:r>
            <w:r>
              <w:rPr>
                <w:rFonts w:hint="eastAsia"/>
                <w:color w:val="auto"/>
              </w:rPr>
              <w:t>的依法缴纳社会保障资金的缴费凭证（专用收据或者社会保险缴纳清单）复印件；依法不需要缴纳社会保障资金的供应商，必须提供相应文件证明不需要缴纳社会保障资金。</w:t>
            </w:r>
            <w:r>
              <w:rPr>
                <w:rFonts w:hint="eastAsia" w:ascii="宋体" w:hAnsi="宋体" w:cs="宋体"/>
                <w:color w:val="auto"/>
                <w:szCs w:val="21"/>
              </w:rPr>
              <w:t>从</w:t>
            </w:r>
            <w:r>
              <w:rPr>
                <w:rFonts w:hint="default"/>
                <w:color w:val="auto"/>
                <w:szCs w:val="21"/>
              </w:rPr>
              <w:t>成立</w:t>
            </w:r>
            <w:r>
              <w:rPr>
                <w:rFonts w:hint="eastAsia"/>
                <w:color w:val="auto"/>
                <w:szCs w:val="21"/>
              </w:rPr>
              <w:t>之日起</w:t>
            </w:r>
            <w:r>
              <w:rPr>
                <w:rFonts w:hint="eastAsia" w:ascii="宋体" w:hAnsi="宋体" w:cs="宋体"/>
                <w:color w:val="auto"/>
                <w:szCs w:val="21"/>
              </w:rPr>
              <w:t>到响应文件提交截止时间止不足要求月数的只需提供从</w:t>
            </w:r>
            <w:r>
              <w:rPr>
                <w:rFonts w:hint="default"/>
                <w:color w:val="auto"/>
                <w:szCs w:val="21"/>
              </w:rPr>
              <w:t>成立</w:t>
            </w:r>
            <w:r>
              <w:rPr>
                <w:rFonts w:hint="eastAsia"/>
                <w:color w:val="auto"/>
                <w:szCs w:val="21"/>
              </w:rPr>
              <w:t>之日起</w:t>
            </w:r>
            <w:r>
              <w:rPr>
                <w:rFonts w:hint="eastAsia" w:ascii="宋体" w:hAnsi="宋体" w:cs="宋体"/>
                <w:color w:val="auto"/>
                <w:szCs w:val="21"/>
              </w:rPr>
              <w:t>的依法缴纳社会保障资金的</w:t>
            </w:r>
            <w:r>
              <w:rPr>
                <w:rFonts w:hint="eastAsia"/>
                <w:color w:val="auto"/>
              </w:rPr>
              <w:t>相应证明文件</w:t>
            </w:r>
            <w:r>
              <w:rPr>
                <w:rFonts w:hint="eastAsia" w:ascii="宋体" w:hAnsi="宋体" w:cs="宋体"/>
                <w:color w:val="auto"/>
                <w:szCs w:val="21"/>
              </w:rPr>
              <w:t>]</w:t>
            </w:r>
            <w:r>
              <w:rPr>
                <w:rFonts w:hint="eastAsia"/>
                <w:color w:val="auto"/>
              </w:rPr>
              <w:t>；</w:t>
            </w:r>
            <w:r>
              <w:rPr>
                <w:rFonts w:hint="eastAsia"/>
                <w:b/>
                <w:bCs/>
                <w:color w:val="auto"/>
              </w:rPr>
              <w:t>（必须提供，否则响应文件按无效响应处理）</w:t>
            </w:r>
          </w:p>
          <w:p w14:paraId="36C61E39">
            <w:pPr>
              <w:keepNext w:val="0"/>
              <w:keepLines w:val="0"/>
              <w:pageBreakBefore w:val="0"/>
              <w:widowControl/>
              <w:suppressLineNumbers w:val="0"/>
              <w:kinsoku/>
              <w:wordWrap/>
              <w:overflowPunct/>
              <w:topLinePunct w:val="0"/>
              <w:bidi w:val="0"/>
              <w:adjustRightInd/>
              <w:spacing w:before="0" w:beforeAutospacing="0" w:after="0" w:afterAutospacing="0" w:line="312" w:lineRule="auto"/>
              <w:ind w:left="0" w:right="0"/>
              <w:jc w:val="left"/>
              <w:textAlignment w:val="auto"/>
              <w:rPr>
                <w:rFonts w:hint="eastAsia" w:ascii="Times New Roman" w:hAnsi="Times New Roman" w:eastAsia="宋体" w:cs="Times New Roman"/>
                <w:b/>
                <w:bCs/>
                <w:color w:val="auto"/>
              </w:rPr>
            </w:pPr>
            <w:r>
              <w:rPr>
                <w:rFonts w:hint="eastAsia"/>
                <w:color w:val="auto"/>
                <w:lang w:val="en-US" w:eastAsia="zh-CN"/>
              </w:rPr>
              <w:t>5</w:t>
            </w:r>
            <w:r>
              <w:rPr>
                <w:rFonts w:hint="eastAsia"/>
                <w:color w:val="auto"/>
              </w:rPr>
              <w:t>.</w:t>
            </w:r>
            <w:r>
              <w:rPr>
                <w:rFonts w:hint="eastAsia" w:ascii="Times New Roman" w:hAnsi="Times New Roman" w:eastAsia="宋体" w:cs="Times New Roman"/>
                <w:color w:val="auto"/>
                <w:lang w:val="en-US" w:eastAsia="zh-CN"/>
              </w:rPr>
              <w:t>供应商</w:t>
            </w:r>
            <w:r>
              <w:rPr>
                <w:rFonts w:hint="eastAsia" w:ascii="Times New Roman" w:hAnsi="Times New Roman" w:eastAsia="宋体" w:cs="Times New Roman"/>
                <w:color w:val="auto"/>
              </w:rPr>
              <w:t>财务状况报告（</w:t>
            </w:r>
            <w:r>
              <w:rPr>
                <w:rFonts w:hint="eastAsia" w:cs="Times New Roman"/>
                <w:color w:val="auto"/>
                <w:u w:val="single"/>
                <w:lang w:val="en-US" w:eastAsia="zh-CN"/>
              </w:rPr>
              <w:t>2024</w:t>
            </w:r>
            <w:r>
              <w:rPr>
                <w:rFonts w:hint="eastAsia" w:ascii="Times New Roman" w:hAnsi="Times New Roman" w:eastAsia="宋体" w:cs="Times New Roman"/>
                <w:color w:val="auto"/>
                <w:u w:val="single"/>
              </w:rPr>
              <w:t>年度</w:t>
            </w:r>
            <w:r>
              <w:rPr>
                <w:rFonts w:hint="eastAsia" w:cs="Times New Roman"/>
                <w:color w:val="auto"/>
                <w:u w:val="single"/>
                <w:lang w:val="en-US" w:eastAsia="zh-CN"/>
              </w:rPr>
              <w:t>或2025年度</w:t>
            </w:r>
            <w:r>
              <w:rPr>
                <w:rFonts w:hint="eastAsia" w:ascii="Times New Roman" w:hAnsi="Times New Roman" w:eastAsia="宋体" w:cs="Times New Roman"/>
                <w:color w:val="auto"/>
              </w:rPr>
              <w:t>财务</w:t>
            </w:r>
            <w:r>
              <w:rPr>
                <w:rFonts w:hint="eastAsia" w:ascii="Times New Roman" w:hAnsi="Times New Roman" w:eastAsia="宋体" w:cs="Times New Roman"/>
                <w:color w:val="auto"/>
                <w:lang w:val="en-US" w:eastAsia="zh-CN"/>
              </w:rPr>
              <w:t>报表</w:t>
            </w:r>
            <w:r>
              <w:rPr>
                <w:rFonts w:hint="eastAsia" w:ascii="Times New Roman" w:hAnsi="Times New Roman" w:eastAsia="宋体" w:cs="Times New Roman"/>
                <w:color w:val="auto"/>
              </w:rPr>
              <w:t>复印件或者银行出具的资信证明</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lang w:val="en-US" w:eastAsia="zh-CN"/>
              </w:rPr>
              <w:t>供应商属于</w:t>
            </w:r>
            <w:r>
              <w:rPr>
                <w:rFonts w:hint="eastAsia" w:ascii="Times New Roman" w:hAnsi="Times New Roman" w:eastAsia="宋体" w:cs="Times New Roman"/>
                <w:color w:val="auto"/>
              </w:rPr>
              <w:t>成立时间在规定年度之后的</w:t>
            </w:r>
            <w:r>
              <w:rPr>
                <w:rFonts w:hint="eastAsia" w:ascii="Times New Roman" w:hAnsi="Times New Roman" w:eastAsia="宋体" w:cs="Times New Roman"/>
                <w:color w:val="auto"/>
                <w:lang w:val="en-US" w:eastAsia="zh-CN"/>
              </w:rPr>
              <w:t>法人或其他组织</w:t>
            </w:r>
            <w:r>
              <w:rPr>
                <w:rFonts w:hint="eastAsia" w:ascii="Times New Roman" w:hAnsi="Times New Roman" w:eastAsia="宋体" w:cs="Times New Roman"/>
                <w:color w:val="auto"/>
              </w:rPr>
              <w:t>，需提供成立之日起至响应文件提交截止时间前的月报表或银行出具的资信证明</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lang w:val="en-US" w:eastAsia="zh-CN"/>
              </w:rPr>
              <w:t>资信证明</w:t>
            </w:r>
            <w:r>
              <w:rPr>
                <w:rFonts w:hint="eastAsia" w:ascii="Times New Roman" w:hAnsi="Times New Roman" w:eastAsia="宋体" w:cs="Times New Roman"/>
                <w:color w:val="auto"/>
              </w:rPr>
              <w:t>应在有效期内，未注明有效期的，</w:t>
            </w:r>
            <w:r>
              <w:rPr>
                <w:rFonts w:hint="eastAsia" w:ascii="Times New Roman" w:hAnsi="Times New Roman" w:eastAsia="宋体" w:cs="Times New Roman"/>
                <w:color w:val="auto"/>
                <w:lang w:val="en-US" w:eastAsia="zh-CN"/>
              </w:rPr>
              <w:t>银行</w:t>
            </w:r>
            <w:r>
              <w:rPr>
                <w:rFonts w:hint="eastAsia" w:ascii="Times New Roman" w:hAnsi="Times New Roman" w:eastAsia="宋体" w:cs="Times New Roman"/>
                <w:color w:val="auto"/>
              </w:rPr>
              <w:t>出具时间至响应文件提交截止时间不超过一年）；</w:t>
            </w:r>
            <w:r>
              <w:rPr>
                <w:rFonts w:hint="eastAsia" w:ascii="Times New Roman" w:hAnsi="Times New Roman" w:eastAsia="宋体" w:cs="Times New Roman"/>
                <w:b/>
                <w:bCs/>
                <w:color w:val="auto"/>
              </w:rPr>
              <w:t>（</w:t>
            </w:r>
            <w:r>
              <w:rPr>
                <w:rFonts w:hint="eastAsia" w:ascii="Times New Roman" w:hAnsi="Times New Roman" w:eastAsia="宋体" w:cs="Times New Roman"/>
                <w:b/>
                <w:bCs/>
                <w:color w:val="auto"/>
                <w:lang w:val="en-US" w:eastAsia="zh-CN"/>
              </w:rPr>
              <w:t>除自然人外</w:t>
            </w:r>
            <w:r>
              <w:rPr>
                <w:rFonts w:hint="eastAsia" w:ascii="Times New Roman" w:hAnsi="Times New Roman" w:eastAsia="宋体" w:cs="Times New Roman"/>
                <w:b/>
                <w:bCs/>
                <w:color w:val="auto"/>
              </w:rPr>
              <w:t>必须提供，否则响应文件按无效响应处理）</w:t>
            </w:r>
          </w:p>
          <w:p w14:paraId="6FBF2505">
            <w:pPr>
              <w:pStyle w:val="7"/>
              <w:keepNext w:val="0"/>
              <w:keepLines w:val="0"/>
              <w:pageBreakBefore w:val="0"/>
              <w:suppressLineNumbers w:val="0"/>
              <w:kinsoku/>
              <w:wordWrap/>
              <w:overflowPunct/>
              <w:topLinePunct w:val="0"/>
              <w:bidi w:val="0"/>
              <w:adjustRightInd/>
              <w:spacing w:before="0" w:beforeAutospacing="0" w:after="0" w:afterAutospacing="0" w:line="312" w:lineRule="auto"/>
              <w:ind w:left="0" w:leftChars="0" w:right="0" w:firstLine="0" w:firstLineChars="0"/>
              <w:textAlignment w:val="auto"/>
              <w:rPr>
                <w:rFonts w:hint="eastAsia" w:ascii="Times New Roman" w:hAnsi="Times New Roman" w:cs="Times New Roman"/>
                <w:b w:val="0"/>
                <w:bCs w:val="0"/>
                <w:color w:val="000000"/>
                <w:kern w:val="2"/>
                <w:sz w:val="21"/>
                <w:szCs w:val="24"/>
                <w:lang w:val="en-US" w:eastAsia="zh-CN" w:bidi="ar-SA"/>
              </w:rPr>
            </w:pPr>
            <w:r>
              <w:rPr>
                <w:rFonts w:hint="eastAsia" w:cs="Times New Roman"/>
                <w:b w:val="0"/>
                <w:bCs w:val="0"/>
                <w:color w:val="000000"/>
                <w:kern w:val="2"/>
                <w:sz w:val="21"/>
                <w:szCs w:val="24"/>
                <w:lang w:val="en-US" w:eastAsia="zh-CN" w:bidi="ar-SA"/>
              </w:rPr>
              <w:t>6</w:t>
            </w:r>
            <w:r>
              <w:rPr>
                <w:rFonts w:hint="eastAsia" w:ascii="Times New Roman" w:hAnsi="Times New Roman" w:cs="Times New Roman"/>
                <w:b w:val="0"/>
                <w:bCs w:val="0"/>
                <w:color w:val="000000"/>
                <w:kern w:val="2"/>
                <w:sz w:val="21"/>
                <w:szCs w:val="24"/>
                <w:lang w:val="en-US" w:eastAsia="zh-CN" w:bidi="ar-SA"/>
              </w:rPr>
              <w:t>.供应商直接控股、管理关系信息表（格式后附）；</w:t>
            </w:r>
            <w:r>
              <w:rPr>
                <w:rFonts w:hint="eastAsia" w:ascii="Times New Roman" w:hAnsi="Times New Roman" w:cs="Times New Roman"/>
                <w:b/>
                <w:bCs/>
                <w:color w:val="000000"/>
                <w:kern w:val="2"/>
                <w:sz w:val="21"/>
                <w:szCs w:val="24"/>
                <w:lang w:val="en-US" w:eastAsia="zh-CN" w:bidi="ar-SA"/>
              </w:rPr>
              <w:t>（必须提供，否则响应文件按无效处理）</w:t>
            </w:r>
          </w:p>
          <w:p w14:paraId="62E57CBB">
            <w:pPr>
              <w:pStyle w:val="7"/>
              <w:keepNext w:val="0"/>
              <w:keepLines w:val="0"/>
              <w:pageBreakBefore w:val="0"/>
              <w:suppressLineNumbers w:val="0"/>
              <w:kinsoku/>
              <w:wordWrap/>
              <w:overflowPunct/>
              <w:topLinePunct w:val="0"/>
              <w:bidi w:val="0"/>
              <w:adjustRightInd/>
              <w:spacing w:before="0" w:beforeAutospacing="0" w:after="0" w:afterAutospacing="0" w:line="312" w:lineRule="auto"/>
              <w:ind w:left="0" w:leftChars="0" w:right="0" w:firstLine="0" w:firstLineChars="0"/>
              <w:textAlignment w:val="auto"/>
              <w:rPr>
                <w:rFonts w:hint="default"/>
                <w:b/>
                <w:bCs/>
                <w:color w:val="000000"/>
                <w:lang w:val="en-US" w:eastAsia="zh-CN"/>
              </w:rPr>
            </w:pPr>
            <w:r>
              <w:rPr>
                <w:rFonts w:hint="eastAsia" w:cs="Times New Roman"/>
                <w:b w:val="0"/>
                <w:bCs w:val="0"/>
                <w:color w:val="000000"/>
                <w:kern w:val="2"/>
                <w:sz w:val="21"/>
                <w:szCs w:val="24"/>
                <w:lang w:val="en-US" w:eastAsia="zh-CN" w:bidi="ar-SA"/>
              </w:rPr>
              <w:t>7</w:t>
            </w:r>
            <w:r>
              <w:rPr>
                <w:rFonts w:hint="eastAsia" w:ascii="Times New Roman" w:hAnsi="Times New Roman" w:eastAsia="宋体" w:cs="Times New Roman"/>
                <w:b w:val="0"/>
                <w:bCs w:val="0"/>
                <w:color w:val="000000"/>
                <w:kern w:val="2"/>
                <w:sz w:val="21"/>
                <w:szCs w:val="24"/>
                <w:lang w:val="en-US" w:eastAsia="zh-CN" w:bidi="ar-SA"/>
              </w:rPr>
              <w:t>.</w:t>
            </w:r>
            <w:r>
              <w:rPr>
                <w:rFonts w:hint="eastAsia" w:ascii="宋体" w:hAnsi="宋体" w:cs="宋体"/>
                <w:color w:val="auto"/>
                <w:szCs w:val="21"/>
                <w:lang w:val="en-US" w:eastAsia="zh-CN"/>
              </w:rPr>
              <w:t>中小企业声明函（格式后附）（本项目属于专门面向中小企业采购的项目，供应商应为中小微企业或监狱企业或残疾人福利性单位，并根据《政府采购促进中小企业发展管理办法》（财库[2020] 46号）中《中小企业声明函》格式要求填报及提供声明函原件或《残疾人福利性单位声明函》原件或属于监狱企业的证明文件复印件。）；</w:t>
            </w:r>
            <w:r>
              <w:rPr>
                <w:rFonts w:hint="eastAsia"/>
                <w:b/>
                <w:bCs/>
                <w:color w:val="000000"/>
                <w:lang w:val="en-US" w:eastAsia="zh-CN"/>
              </w:rPr>
              <w:t>（</w:t>
            </w:r>
            <w:r>
              <w:rPr>
                <w:rFonts w:hint="eastAsia"/>
                <w:b/>
                <w:bCs/>
                <w:color w:val="000000"/>
              </w:rPr>
              <w:t>必须提供，否则响应文件按无效响应处理</w:t>
            </w:r>
            <w:r>
              <w:rPr>
                <w:rFonts w:hint="eastAsia"/>
                <w:b/>
                <w:bCs/>
                <w:color w:val="000000"/>
                <w:lang w:val="en-US" w:eastAsia="zh-CN"/>
              </w:rPr>
              <w:t>）</w:t>
            </w:r>
          </w:p>
          <w:p w14:paraId="630244FD">
            <w:pPr>
              <w:keepNext w:val="0"/>
              <w:keepLines w:val="0"/>
              <w:pageBreakBefore w:val="0"/>
              <w:suppressLineNumbers w:val="0"/>
              <w:kinsoku/>
              <w:wordWrap/>
              <w:overflowPunct/>
              <w:topLinePunct w:val="0"/>
              <w:bidi w:val="0"/>
              <w:adjustRightInd/>
              <w:snapToGrid w:val="0"/>
              <w:spacing w:before="0" w:beforeAutospacing="0" w:after="0" w:afterAutospacing="0" w:line="312" w:lineRule="auto"/>
              <w:ind w:left="0" w:right="0"/>
              <w:jc w:val="left"/>
              <w:textAlignment w:val="auto"/>
              <w:rPr>
                <w:rFonts w:hint="eastAsia"/>
                <w:color w:val="auto"/>
              </w:rPr>
            </w:pPr>
            <w:r>
              <w:rPr>
                <w:rFonts w:hint="eastAsia"/>
                <w:color w:val="auto"/>
                <w:lang w:val="en-US" w:eastAsia="zh-CN"/>
              </w:rPr>
              <w:t>8</w:t>
            </w:r>
            <w:r>
              <w:rPr>
                <w:rFonts w:hint="eastAsia"/>
                <w:color w:val="auto"/>
              </w:rPr>
              <w:t>.竞标声明（格式后附）；</w:t>
            </w:r>
            <w:r>
              <w:rPr>
                <w:rFonts w:hint="eastAsia"/>
                <w:b/>
                <w:bCs/>
                <w:color w:val="auto"/>
              </w:rPr>
              <w:t>（必须提供，否则响应文件按无效响应处理）</w:t>
            </w:r>
          </w:p>
          <w:p w14:paraId="030C201B">
            <w:pPr>
              <w:keepNext w:val="0"/>
              <w:keepLines w:val="0"/>
              <w:pageBreakBefore w:val="0"/>
              <w:suppressLineNumbers w:val="0"/>
              <w:kinsoku/>
              <w:wordWrap/>
              <w:overflowPunct/>
              <w:topLinePunct w:val="0"/>
              <w:bidi w:val="0"/>
              <w:adjustRightInd/>
              <w:snapToGrid w:val="0"/>
              <w:spacing w:before="0" w:beforeAutospacing="0" w:after="0" w:afterAutospacing="0" w:line="312" w:lineRule="auto"/>
              <w:ind w:left="0" w:right="0"/>
              <w:jc w:val="left"/>
              <w:textAlignment w:val="auto"/>
              <w:rPr>
                <w:rFonts w:hint="eastAsia"/>
                <w:color w:val="auto"/>
              </w:rPr>
            </w:pPr>
            <w:r>
              <w:rPr>
                <w:rFonts w:hint="eastAsia"/>
                <w:color w:val="auto"/>
                <w:lang w:val="en-US" w:eastAsia="zh-CN"/>
              </w:rPr>
              <w:t>9</w:t>
            </w:r>
            <w:r>
              <w:rPr>
                <w:rFonts w:hint="eastAsia"/>
                <w:color w:val="auto"/>
              </w:rPr>
              <w:t>.除磋商文件规定必须提供以外，供应商认为需要提供的其他证明材料；</w:t>
            </w:r>
          </w:p>
          <w:p w14:paraId="1CA4061D">
            <w:pPr>
              <w:keepNext w:val="0"/>
              <w:keepLines w:val="0"/>
              <w:pageBreakBefore w:val="0"/>
              <w:suppressLineNumbers w:val="0"/>
              <w:kinsoku/>
              <w:wordWrap/>
              <w:overflowPunct/>
              <w:topLinePunct w:val="0"/>
              <w:bidi w:val="0"/>
              <w:adjustRightInd/>
              <w:snapToGrid w:val="0"/>
              <w:spacing w:before="0" w:beforeAutospacing="0" w:after="0" w:afterAutospacing="0" w:line="312" w:lineRule="auto"/>
              <w:ind w:left="0" w:right="0"/>
              <w:jc w:val="left"/>
              <w:textAlignment w:val="auto"/>
              <w:rPr>
                <w:rFonts w:hint="eastAsia"/>
                <w:b/>
                <w:bCs/>
                <w:color w:val="000000"/>
              </w:rPr>
            </w:pPr>
            <w:r>
              <w:rPr>
                <w:rFonts w:hint="eastAsia"/>
                <w:b/>
                <w:bCs/>
                <w:color w:val="000000"/>
              </w:rPr>
              <w:t>注：</w:t>
            </w:r>
          </w:p>
          <w:p w14:paraId="6F9A52C6">
            <w:pPr>
              <w:keepNext w:val="0"/>
              <w:keepLines w:val="0"/>
              <w:pageBreakBefore w:val="0"/>
              <w:suppressLineNumbers w:val="0"/>
              <w:kinsoku/>
              <w:wordWrap/>
              <w:overflowPunct/>
              <w:topLinePunct w:val="0"/>
              <w:bidi w:val="0"/>
              <w:adjustRightInd/>
              <w:snapToGrid w:val="0"/>
              <w:spacing w:before="0" w:beforeAutospacing="0" w:after="0" w:afterAutospacing="0" w:line="312" w:lineRule="auto"/>
              <w:ind w:left="0" w:right="0" w:firstLine="413" w:firstLineChars="196"/>
              <w:jc w:val="left"/>
              <w:textAlignment w:val="auto"/>
              <w:rPr>
                <w:rFonts w:hint="eastAsia" w:ascii="宋体" w:hAnsi="宋体" w:eastAsia="宋体" w:cs="宋体"/>
                <w:b/>
                <w:bCs/>
                <w:color w:val="000000"/>
                <w:sz w:val="21"/>
                <w:szCs w:val="21"/>
              </w:rPr>
            </w:pPr>
            <w:r>
              <w:rPr>
                <w:rFonts w:hint="eastAsia" w:ascii="宋体" w:hAnsi="宋体" w:eastAsia="宋体" w:cs="宋体"/>
                <w:b/>
                <w:bCs/>
                <w:color w:val="000000"/>
                <w:sz w:val="21"/>
                <w:szCs w:val="21"/>
              </w:rPr>
              <w:t>1.以上标明“必须提供”的材料属于复印件的，必须加盖供应商</w:t>
            </w:r>
            <w:r>
              <w:rPr>
                <w:rFonts w:hint="eastAsia" w:ascii="宋体" w:hAnsi="宋体" w:eastAsia="宋体" w:cs="宋体"/>
                <w:b/>
                <w:color w:val="auto"/>
                <w:szCs w:val="21"/>
                <w:highlight w:val="none"/>
              </w:rPr>
              <w:t>CA</w:t>
            </w:r>
            <w:r>
              <w:rPr>
                <w:rFonts w:hint="eastAsia" w:ascii="宋体" w:hAnsi="宋体" w:eastAsia="宋体" w:cs="宋体"/>
                <w:b/>
                <w:bCs/>
                <w:color w:val="000000"/>
                <w:sz w:val="21"/>
                <w:szCs w:val="21"/>
                <w:lang w:val="en-US" w:eastAsia="zh-CN"/>
              </w:rPr>
              <w:t>签章</w:t>
            </w:r>
            <w:r>
              <w:rPr>
                <w:rFonts w:hint="eastAsia" w:ascii="宋体" w:hAnsi="宋体" w:eastAsia="宋体" w:cs="宋体"/>
                <w:b/>
                <w:bCs/>
                <w:color w:val="000000"/>
                <w:sz w:val="21"/>
                <w:szCs w:val="21"/>
              </w:rPr>
              <w:t>，否则响应文件按无效响应处理。</w:t>
            </w:r>
          </w:p>
          <w:p w14:paraId="487BBB1D">
            <w:pPr>
              <w:keepNext w:val="0"/>
              <w:keepLines w:val="0"/>
              <w:pageBreakBefore w:val="0"/>
              <w:suppressLineNumbers w:val="0"/>
              <w:kinsoku/>
              <w:wordWrap/>
              <w:overflowPunct/>
              <w:topLinePunct w:val="0"/>
              <w:bidi w:val="0"/>
              <w:adjustRightInd/>
              <w:snapToGrid w:val="0"/>
              <w:spacing w:before="0" w:beforeAutospacing="0" w:after="0" w:afterAutospacing="0" w:line="312" w:lineRule="auto"/>
              <w:ind w:left="0" w:right="0" w:firstLine="422" w:firstLineChars="200"/>
              <w:jc w:val="left"/>
              <w:textAlignment w:val="auto"/>
              <w:rPr>
                <w:rFonts w:hint="eastAsia" w:ascii="宋体" w:hAnsi="宋体" w:eastAsia="宋体" w:cs="宋体"/>
                <w:b/>
                <w:bCs/>
                <w:color w:val="000000"/>
                <w:sz w:val="21"/>
                <w:szCs w:val="21"/>
              </w:rPr>
            </w:pPr>
            <w:r>
              <w:rPr>
                <w:rFonts w:hint="eastAsia" w:ascii="宋体" w:hAnsi="宋体" w:eastAsia="宋体" w:cs="宋体"/>
                <w:b/>
                <w:bCs/>
                <w:color w:val="000000"/>
                <w:sz w:val="21"/>
                <w:szCs w:val="21"/>
              </w:rPr>
              <w:t>2.竞标声明必须由法定代表人在规定签章处签字并加盖供应商</w:t>
            </w:r>
            <w:r>
              <w:rPr>
                <w:rFonts w:hint="eastAsia" w:ascii="宋体" w:hAnsi="宋体" w:eastAsia="宋体" w:cs="宋体"/>
                <w:b/>
                <w:bCs/>
                <w:color w:val="000000"/>
                <w:sz w:val="21"/>
                <w:szCs w:val="21"/>
                <w:lang w:val="en-US" w:eastAsia="zh-CN"/>
              </w:rPr>
              <w:t>CA签章</w:t>
            </w:r>
            <w:r>
              <w:rPr>
                <w:rFonts w:hint="eastAsia" w:ascii="宋体" w:hAnsi="宋体" w:eastAsia="宋体" w:cs="宋体"/>
                <w:b/>
                <w:bCs/>
                <w:color w:val="000000"/>
                <w:sz w:val="21"/>
                <w:szCs w:val="21"/>
              </w:rPr>
              <w:t>，否则响应文件按无效响应处理。</w:t>
            </w:r>
          </w:p>
          <w:p w14:paraId="76006905">
            <w:pPr>
              <w:keepNext w:val="0"/>
              <w:keepLines w:val="0"/>
              <w:pageBreakBefore w:val="0"/>
              <w:suppressLineNumbers w:val="0"/>
              <w:kinsoku/>
              <w:wordWrap/>
              <w:overflowPunct/>
              <w:topLinePunct w:val="0"/>
              <w:bidi w:val="0"/>
              <w:adjustRightInd/>
              <w:snapToGrid w:val="0"/>
              <w:spacing w:before="0" w:beforeAutospacing="0" w:after="0" w:afterAutospacing="0" w:line="312" w:lineRule="auto"/>
              <w:ind w:left="0" w:right="0" w:firstLine="422" w:firstLineChars="200"/>
              <w:jc w:val="left"/>
              <w:textAlignment w:val="auto"/>
              <w:rPr>
                <w:rFonts w:hint="eastAsia" w:ascii="宋体" w:hAnsi="宋体" w:eastAsia="宋体" w:cs="宋体"/>
                <w:b/>
                <w:bCs/>
                <w:color w:val="000000"/>
                <w:kern w:val="2"/>
                <w:sz w:val="21"/>
                <w:szCs w:val="21"/>
                <w:lang w:val="en-US" w:eastAsia="zh-CN" w:bidi="ar-SA"/>
              </w:rPr>
            </w:pPr>
            <w:r>
              <w:rPr>
                <w:rFonts w:hint="eastAsia" w:ascii="宋体" w:hAnsi="宋体" w:eastAsia="宋体" w:cs="宋体"/>
                <w:b/>
                <w:bCs/>
                <w:color w:val="000000"/>
                <w:kern w:val="2"/>
                <w:sz w:val="21"/>
                <w:szCs w:val="21"/>
                <w:lang w:val="en-US" w:eastAsia="zh-CN" w:bidi="ar-SA"/>
              </w:rPr>
              <w:t>3.电子投标响应文件中所须加盖公章部分均采用CA签章。若竞争性磋商文件中有专门标注的某关联点，并要求供应商在电子投标系统中作出投标响应的，如供应商未对关联点进行响应或者在响应文件其它内容进行描述，造成电子评审不能查询的责任由供应商自行承担。</w:t>
            </w:r>
          </w:p>
          <w:p w14:paraId="1BF00E50">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uto"/>
              <w:ind w:left="0" w:right="0" w:firstLine="422" w:firstLineChars="200"/>
              <w:textAlignment w:val="auto"/>
              <w:outlineLvl w:val="9"/>
              <w:rPr>
                <w:rFonts w:hint="eastAsia"/>
                <w:color w:val="auto"/>
                <w:lang w:val="en-US" w:eastAsia="zh-CN"/>
              </w:rPr>
            </w:pPr>
            <w:r>
              <w:rPr>
                <w:rFonts w:hint="eastAsia" w:ascii="宋体" w:hAnsi="宋体" w:eastAsia="宋体" w:cs="宋体"/>
                <w:b/>
                <w:bCs/>
                <w:sz w:val="21"/>
                <w:szCs w:val="21"/>
                <w:lang w:val="en-US" w:eastAsia="zh-CN"/>
              </w:rPr>
              <w:t>4</w:t>
            </w:r>
            <w:r>
              <w:rPr>
                <w:rFonts w:hint="eastAsia" w:ascii="宋体" w:hAnsi="宋体" w:eastAsia="宋体" w:cs="宋体"/>
                <w:b/>
                <w:bCs/>
                <w:sz w:val="21"/>
                <w:szCs w:val="21"/>
              </w:rPr>
              <w:t>.以上材料未附格式的，由供应商自行拟定。</w:t>
            </w:r>
          </w:p>
        </w:tc>
      </w:tr>
      <w:tr w14:paraId="7798AF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1" w:hRule="atLeast"/>
          <w:jc w:val="center"/>
        </w:trPr>
        <w:tc>
          <w:tcPr>
            <w:tcW w:w="1070" w:type="dxa"/>
            <w:vMerge w:val="restart"/>
            <w:noWrap w:val="0"/>
            <w:vAlign w:val="center"/>
          </w:tcPr>
          <w:p w14:paraId="444C6A1E">
            <w:pPr>
              <w:keepNext w:val="0"/>
              <w:keepLines w:val="0"/>
              <w:pageBreakBefore w:val="0"/>
              <w:suppressLineNumbers w:val="0"/>
              <w:kinsoku/>
              <w:wordWrap/>
              <w:overflowPunct/>
              <w:topLinePunct w:val="0"/>
              <w:bidi w:val="0"/>
              <w:adjustRightInd/>
              <w:spacing w:before="0" w:beforeAutospacing="0" w:after="0" w:afterAutospacing="0" w:line="312" w:lineRule="auto"/>
              <w:ind w:left="0" w:right="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12.</w:t>
            </w:r>
            <w:r>
              <w:rPr>
                <w:rFonts w:hint="default" w:ascii="宋体" w:hAnsi="宋体" w:cs="宋体"/>
                <w:color w:val="auto"/>
                <w:szCs w:val="21"/>
                <w:highlight w:val="none"/>
              </w:rPr>
              <w:t>1</w:t>
            </w:r>
            <w:r>
              <w:rPr>
                <w:rFonts w:hint="eastAsia" w:ascii="宋体" w:hAnsi="宋体" w:cs="宋体"/>
                <w:color w:val="auto"/>
                <w:szCs w:val="21"/>
                <w:highlight w:val="none"/>
              </w:rPr>
              <w:t>.</w:t>
            </w:r>
            <w:r>
              <w:rPr>
                <w:rFonts w:hint="default" w:ascii="宋体" w:hAnsi="宋体" w:cs="宋体"/>
                <w:color w:val="auto"/>
                <w:szCs w:val="21"/>
                <w:highlight w:val="none"/>
              </w:rPr>
              <w:t>2</w:t>
            </w:r>
          </w:p>
        </w:tc>
        <w:tc>
          <w:tcPr>
            <w:tcW w:w="7834" w:type="dxa"/>
            <w:noWrap w:val="0"/>
            <w:vAlign w:val="center"/>
          </w:tcPr>
          <w:p w14:paraId="00EA0F55">
            <w:pPr>
              <w:pStyle w:val="2"/>
              <w:keepNext w:val="0"/>
              <w:keepLines w:val="0"/>
              <w:pageBreakBefore w:val="0"/>
              <w:widowControl w:val="0"/>
              <w:suppressLineNumbers w:val="0"/>
              <w:kinsoku/>
              <w:wordWrap/>
              <w:overflowPunct/>
              <w:topLinePunct w:val="0"/>
              <w:autoSpaceDE/>
              <w:autoSpaceDN/>
              <w:bidi w:val="0"/>
              <w:adjustRightInd/>
              <w:snapToGrid/>
              <w:spacing w:before="103" w:beforeLines="33" w:beforeAutospacing="0" w:after="0" w:afterAutospacing="0" w:line="312" w:lineRule="auto"/>
              <w:ind w:left="0" w:right="0"/>
              <w:jc w:val="left"/>
              <w:textAlignment w:val="auto"/>
              <w:outlineLvl w:val="9"/>
              <w:rPr>
                <w:rFonts w:hint="eastAsia"/>
                <w:b/>
                <w:bCs/>
                <w:color w:val="auto"/>
                <w:sz w:val="21"/>
                <w:szCs w:val="21"/>
              </w:rPr>
            </w:pPr>
            <w:r>
              <w:rPr>
                <w:rFonts w:hint="eastAsia"/>
                <w:b/>
                <w:bCs/>
                <w:color w:val="auto"/>
                <w:sz w:val="21"/>
                <w:szCs w:val="21"/>
              </w:rPr>
              <w:t>报价文件</w:t>
            </w:r>
          </w:p>
          <w:p w14:paraId="2F5309EB">
            <w:pPr>
              <w:keepNext w:val="0"/>
              <w:keepLines w:val="0"/>
              <w:pageBreakBefore w:val="0"/>
              <w:suppressLineNumbers w:val="0"/>
              <w:kinsoku/>
              <w:wordWrap/>
              <w:overflowPunct/>
              <w:topLinePunct w:val="0"/>
              <w:bidi w:val="0"/>
              <w:adjustRightInd/>
              <w:spacing w:before="0" w:beforeAutospacing="0" w:after="108" w:afterLines="34" w:afterAutospacing="0" w:line="312" w:lineRule="auto"/>
              <w:ind w:left="0" w:right="0"/>
              <w:textAlignment w:val="auto"/>
              <w:rPr>
                <w:rFonts w:hint="eastAsia"/>
                <w:b/>
                <w:bCs/>
                <w:color w:val="auto"/>
              </w:rPr>
            </w:pPr>
            <w:r>
              <w:rPr>
                <w:rFonts w:hint="eastAsia"/>
                <w:color w:val="auto"/>
                <w:lang w:val="en-US" w:eastAsia="zh-CN"/>
              </w:rPr>
              <w:t>1</w:t>
            </w:r>
            <w:r>
              <w:rPr>
                <w:rFonts w:hint="eastAsia"/>
                <w:color w:val="auto"/>
              </w:rPr>
              <w:t>.竞标报价表（格式后附）；</w:t>
            </w:r>
            <w:r>
              <w:rPr>
                <w:rFonts w:hint="eastAsia"/>
                <w:b/>
                <w:bCs/>
                <w:color w:val="auto"/>
              </w:rPr>
              <w:t>（必须提供，否则响应文件按无效响应处理）</w:t>
            </w:r>
          </w:p>
          <w:p w14:paraId="65EB0BD8">
            <w:pPr>
              <w:keepNext w:val="0"/>
              <w:keepLines w:val="0"/>
              <w:pageBreakBefore w:val="0"/>
              <w:suppressLineNumbers w:val="0"/>
              <w:kinsoku/>
              <w:wordWrap/>
              <w:overflowPunct/>
              <w:topLinePunct w:val="0"/>
              <w:bidi w:val="0"/>
              <w:adjustRightInd/>
              <w:spacing w:before="0" w:beforeAutospacing="0" w:after="108" w:afterLines="34" w:afterAutospacing="0" w:line="312" w:lineRule="auto"/>
              <w:ind w:left="0" w:right="0"/>
              <w:textAlignment w:val="auto"/>
              <w:rPr>
                <w:rFonts w:hint="default"/>
                <w:lang w:val="en-US" w:eastAsia="zh-CN"/>
              </w:rPr>
            </w:pPr>
            <w:r>
              <w:rPr>
                <w:rFonts w:hint="eastAsia" w:ascii="宋体" w:hAnsi="宋体" w:cs="宋体"/>
                <w:sz w:val="21"/>
                <w:szCs w:val="21"/>
                <w:lang w:val="en-US" w:eastAsia="zh-CN"/>
              </w:rPr>
              <w:t>2</w:t>
            </w:r>
            <w:r>
              <w:rPr>
                <w:rFonts w:hint="eastAsia" w:ascii="宋体" w:hAnsi="宋体" w:eastAsia="宋体" w:cs="宋体"/>
                <w:sz w:val="21"/>
                <w:szCs w:val="21"/>
                <w:lang w:val="en-US" w:eastAsia="zh-CN"/>
              </w:rPr>
              <w:t>.供应商认为需要提供的其他有关资料。</w:t>
            </w:r>
          </w:p>
        </w:tc>
      </w:tr>
      <w:tr w14:paraId="244CD4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70" w:type="dxa"/>
            <w:vMerge w:val="continue"/>
            <w:noWrap w:val="0"/>
            <w:vAlign w:val="center"/>
          </w:tcPr>
          <w:p w14:paraId="45A4AB70">
            <w:pPr>
              <w:keepNext w:val="0"/>
              <w:keepLines w:val="0"/>
              <w:pageBreakBefore w:val="0"/>
              <w:suppressLineNumbers w:val="0"/>
              <w:kinsoku/>
              <w:wordWrap/>
              <w:overflowPunct/>
              <w:topLinePunct w:val="0"/>
              <w:bidi w:val="0"/>
              <w:adjustRightInd/>
              <w:spacing w:before="0" w:beforeAutospacing="0" w:after="0" w:afterAutospacing="0" w:line="312" w:lineRule="auto"/>
              <w:ind w:left="0" w:right="0"/>
              <w:jc w:val="center"/>
              <w:textAlignment w:val="auto"/>
              <w:rPr>
                <w:rFonts w:hint="eastAsia" w:ascii="宋体" w:hAnsi="宋体" w:cs="宋体"/>
                <w:color w:val="auto"/>
                <w:szCs w:val="21"/>
                <w:highlight w:val="none"/>
              </w:rPr>
            </w:pPr>
          </w:p>
        </w:tc>
        <w:tc>
          <w:tcPr>
            <w:tcW w:w="7834" w:type="dxa"/>
            <w:noWrap w:val="0"/>
            <w:vAlign w:val="center"/>
          </w:tcPr>
          <w:p w14:paraId="46C044C2">
            <w:pPr>
              <w:keepNext w:val="0"/>
              <w:keepLines w:val="0"/>
              <w:pageBreakBefore w:val="0"/>
              <w:suppressLineNumbers w:val="0"/>
              <w:kinsoku/>
              <w:wordWrap/>
              <w:overflowPunct/>
              <w:topLinePunct w:val="0"/>
              <w:bidi w:val="0"/>
              <w:adjustRightInd/>
              <w:spacing w:before="159" w:beforeLines="50" w:beforeAutospacing="0" w:after="0" w:afterAutospacing="0" w:line="312" w:lineRule="auto"/>
              <w:ind w:left="0" w:right="0"/>
              <w:textAlignment w:val="auto"/>
              <w:rPr>
                <w:rFonts w:hint="eastAsia"/>
                <w:color w:val="auto"/>
              </w:rPr>
            </w:pPr>
            <w:r>
              <w:rPr>
                <w:rFonts w:hint="eastAsia"/>
                <w:color w:val="auto"/>
              </w:rPr>
              <w:t>商务技术文件</w:t>
            </w:r>
          </w:p>
          <w:p w14:paraId="63357E41">
            <w:pPr>
              <w:keepNext w:val="0"/>
              <w:keepLines w:val="0"/>
              <w:pageBreakBefore w:val="0"/>
              <w:suppressLineNumbers w:val="0"/>
              <w:kinsoku/>
              <w:wordWrap/>
              <w:overflowPunct/>
              <w:topLinePunct w:val="0"/>
              <w:bidi w:val="0"/>
              <w:adjustRightInd/>
              <w:spacing w:before="0" w:beforeAutospacing="0" w:after="0" w:afterAutospacing="0" w:line="312" w:lineRule="auto"/>
              <w:ind w:left="0" w:right="0"/>
              <w:textAlignment w:val="auto"/>
              <w:rPr>
                <w:rFonts w:hint="eastAsia"/>
                <w:b/>
                <w:bCs/>
                <w:color w:val="auto"/>
                <w:lang w:val="en-US" w:eastAsia="zh-CN"/>
              </w:rPr>
            </w:pPr>
            <w:r>
              <w:rPr>
                <w:rFonts w:hint="eastAsia"/>
                <w:color w:val="auto"/>
                <w:lang w:val="en-US" w:eastAsia="zh-CN"/>
              </w:rPr>
              <w:t>1.</w:t>
            </w:r>
            <w:r>
              <w:rPr>
                <w:rFonts w:hint="eastAsia"/>
                <w:color w:val="auto"/>
              </w:rPr>
              <w:t>无串通竞标行为的承诺函（格式后附）；</w:t>
            </w:r>
            <w:r>
              <w:rPr>
                <w:rFonts w:hint="eastAsia"/>
                <w:b/>
                <w:bCs/>
                <w:color w:val="auto"/>
              </w:rPr>
              <w:t>（必须提供，否则响应文件按无效响应处理）</w:t>
            </w:r>
          </w:p>
          <w:p w14:paraId="7A492D68">
            <w:pPr>
              <w:keepNext w:val="0"/>
              <w:keepLines w:val="0"/>
              <w:pageBreakBefore w:val="0"/>
              <w:suppressLineNumbers w:val="0"/>
              <w:kinsoku/>
              <w:wordWrap/>
              <w:overflowPunct/>
              <w:topLinePunct w:val="0"/>
              <w:bidi w:val="0"/>
              <w:adjustRightInd/>
              <w:spacing w:before="0" w:beforeAutospacing="0" w:after="0" w:afterAutospacing="0" w:line="312" w:lineRule="auto"/>
              <w:ind w:left="0" w:right="0"/>
              <w:textAlignment w:val="auto"/>
              <w:rPr>
                <w:rFonts w:hint="eastAsia"/>
                <w:color w:val="auto"/>
              </w:rPr>
            </w:pPr>
            <w:r>
              <w:rPr>
                <w:rFonts w:hint="eastAsia"/>
                <w:color w:val="auto"/>
                <w:lang w:val="en-US" w:eastAsia="zh-CN"/>
              </w:rPr>
              <w:t>2</w:t>
            </w:r>
            <w:r>
              <w:rPr>
                <w:rFonts w:hint="eastAsia"/>
                <w:color w:val="auto"/>
              </w:rPr>
              <w:t>.商务条款偏离表（格式后附）；</w:t>
            </w:r>
            <w:r>
              <w:rPr>
                <w:rFonts w:hint="eastAsia"/>
                <w:b/>
                <w:bCs/>
                <w:color w:val="auto"/>
              </w:rPr>
              <w:t>（必须提供，否则响应文件按无效响应处理）</w:t>
            </w:r>
          </w:p>
          <w:p w14:paraId="0E117A1B">
            <w:pPr>
              <w:keepNext w:val="0"/>
              <w:keepLines w:val="0"/>
              <w:pageBreakBefore w:val="0"/>
              <w:suppressLineNumbers w:val="0"/>
              <w:kinsoku/>
              <w:wordWrap/>
              <w:overflowPunct/>
              <w:topLinePunct w:val="0"/>
              <w:bidi w:val="0"/>
              <w:adjustRightInd/>
              <w:spacing w:before="0" w:beforeAutospacing="0" w:after="0" w:afterAutospacing="0" w:line="312" w:lineRule="auto"/>
              <w:ind w:left="0" w:right="0"/>
              <w:textAlignment w:val="auto"/>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3</w:t>
            </w:r>
            <w:r>
              <w:rPr>
                <w:rFonts w:hint="eastAsia"/>
                <w:color w:val="000000" w:themeColor="text1"/>
                <w14:textFill>
                  <w14:solidFill>
                    <w14:schemeClr w14:val="tx1"/>
                  </w14:solidFill>
                </w14:textFill>
              </w:rPr>
              <w:t>.工作实施方案；</w:t>
            </w:r>
            <w:r>
              <w:rPr>
                <w:rFonts w:hint="eastAsia"/>
                <w:b/>
                <w:bCs/>
                <w:color w:val="000000" w:themeColor="text1"/>
                <w14:textFill>
                  <w14:solidFill>
                    <w14:schemeClr w14:val="tx1"/>
                  </w14:solidFill>
                </w14:textFill>
              </w:rPr>
              <w:t>（必须提供，否则响应文件按无效响应处理）</w:t>
            </w:r>
          </w:p>
          <w:p w14:paraId="555C04A4">
            <w:pPr>
              <w:keepNext w:val="0"/>
              <w:keepLines w:val="0"/>
              <w:pageBreakBefore w:val="0"/>
              <w:suppressLineNumbers w:val="0"/>
              <w:kinsoku/>
              <w:wordWrap/>
              <w:overflowPunct/>
              <w:topLinePunct w:val="0"/>
              <w:bidi w:val="0"/>
              <w:adjustRightInd/>
              <w:spacing w:before="0" w:beforeAutospacing="0" w:after="0" w:afterAutospacing="0" w:line="312" w:lineRule="auto"/>
              <w:ind w:left="0" w:right="0"/>
              <w:textAlignment w:val="auto"/>
              <w:rPr>
                <w:rFonts w:hint="default"/>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4</w:t>
            </w:r>
            <w:r>
              <w:rPr>
                <w:rFonts w:hint="eastAsia"/>
                <w:color w:val="000000" w:themeColor="text1"/>
                <w14:textFill>
                  <w14:solidFill>
                    <w14:schemeClr w14:val="tx1"/>
                  </w14:solidFill>
                </w14:textFill>
              </w:rPr>
              <w:t>.</w:t>
            </w:r>
            <w:r>
              <w:rPr>
                <w:rFonts w:hint="eastAsia"/>
                <w:color w:val="000000" w:themeColor="text1"/>
                <w:lang w:val="en-US" w:eastAsia="zh-CN"/>
                <w14:textFill>
                  <w14:solidFill>
                    <w14:schemeClr w14:val="tx1"/>
                  </w14:solidFill>
                </w14:textFill>
              </w:rPr>
              <w:t>技术</w:t>
            </w:r>
            <w:r>
              <w:rPr>
                <w:rFonts w:hint="eastAsia"/>
                <w:color w:val="000000" w:themeColor="text1"/>
                <w14:textFill>
                  <w14:solidFill>
                    <w14:schemeClr w14:val="tx1"/>
                  </w14:solidFill>
                </w14:textFill>
              </w:rPr>
              <w:t>需求偏离表（格式后附）；</w:t>
            </w:r>
            <w:r>
              <w:rPr>
                <w:rFonts w:hint="eastAsia"/>
                <w:b/>
                <w:bCs/>
                <w:color w:val="000000" w:themeColor="text1"/>
                <w14:textFill>
                  <w14:solidFill>
                    <w14:schemeClr w14:val="tx1"/>
                  </w14:solidFill>
                </w14:textFill>
              </w:rPr>
              <w:t>（必须提供，否则响应文件按无效响应处理）</w:t>
            </w:r>
          </w:p>
          <w:p w14:paraId="46D454FE">
            <w:pPr>
              <w:keepNext w:val="0"/>
              <w:keepLines w:val="0"/>
              <w:pageBreakBefore w:val="0"/>
              <w:suppressLineNumbers w:val="0"/>
              <w:kinsoku/>
              <w:wordWrap/>
              <w:overflowPunct/>
              <w:topLinePunct w:val="0"/>
              <w:bidi w:val="0"/>
              <w:adjustRightInd/>
              <w:spacing w:before="0" w:beforeAutospacing="0" w:after="0" w:afterAutospacing="0" w:line="312" w:lineRule="auto"/>
              <w:ind w:left="0" w:right="0"/>
              <w:textAlignment w:val="auto"/>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5</w:t>
            </w:r>
            <w:r>
              <w:rPr>
                <w:rFonts w:hint="eastAsia"/>
                <w:color w:val="000000" w:themeColor="text1"/>
                <w14:textFill>
                  <w14:solidFill>
                    <w14:schemeClr w14:val="tx1"/>
                  </w14:solidFill>
                </w14:textFill>
              </w:rPr>
              <w:t>.项目实施人员一览表（格式自拟）；</w:t>
            </w:r>
            <w:r>
              <w:rPr>
                <w:rFonts w:hint="eastAsia"/>
                <w:b/>
                <w:bCs/>
                <w:color w:val="000000" w:themeColor="text1"/>
                <w14:textFill>
                  <w14:solidFill>
                    <w14:schemeClr w14:val="tx1"/>
                  </w14:solidFill>
                </w14:textFill>
              </w:rPr>
              <w:t>（必须提供，否则响应文件按无效响应处理）</w:t>
            </w:r>
          </w:p>
          <w:p w14:paraId="496B0819">
            <w:pPr>
              <w:keepNext w:val="0"/>
              <w:keepLines w:val="0"/>
              <w:pageBreakBefore w:val="0"/>
              <w:suppressLineNumbers w:val="0"/>
              <w:kinsoku/>
              <w:wordWrap/>
              <w:overflowPunct/>
              <w:topLinePunct w:val="0"/>
              <w:bidi w:val="0"/>
              <w:adjustRightInd/>
              <w:spacing w:before="0" w:beforeAutospacing="0" w:after="0" w:afterAutospacing="0" w:line="312" w:lineRule="auto"/>
              <w:ind w:left="0" w:right="0"/>
              <w:textAlignment w:val="auto"/>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6</w:t>
            </w:r>
            <w:r>
              <w:rPr>
                <w:rFonts w:hint="eastAsia"/>
                <w:color w:val="000000" w:themeColor="text1"/>
                <w14:textFill>
                  <w14:solidFill>
                    <w14:schemeClr w14:val="tx1"/>
                  </w14:solidFill>
                </w14:textFill>
              </w:rPr>
              <w:t>.对应采购需求的</w:t>
            </w:r>
            <w:r>
              <w:rPr>
                <w:rFonts w:hint="eastAsia"/>
                <w:color w:val="000000" w:themeColor="text1"/>
                <w:lang w:val="en-US" w:eastAsia="zh-CN"/>
                <w14:textFill>
                  <w14:solidFill>
                    <w14:schemeClr w14:val="tx1"/>
                  </w14:solidFill>
                </w14:textFill>
              </w:rPr>
              <w:t>技术</w:t>
            </w:r>
            <w:r>
              <w:rPr>
                <w:rFonts w:hint="eastAsia"/>
                <w:color w:val="000000" w:themeColor="text1"/>
                <w14:textFill>
                  <w14:solidFill>
                    <w14:schemeClr w14:val="tx1"/>
                  </w14:solidFill>
                </w14:textFill>
              </w:rPr>
              <w:t>需求、商务条款提供的其他文件资料；</w:t>
            </w:r>
          </w:p>
          <w:p w14:paraId="3EF93A52">
            <w:pPr>
              <w:keepNext w:val="0"/>
              <w:keepLines w:val="0"/>
              <w:pageBreakBefore w:val="0"/>
              <w:suppressLineNumbers w:val="0"/>
              <w:kinsoku/>
              <w:wordWrap/>
              <w:overflowPunct/>
              <w:topLinePunct w:val="0"/>
              <w:bidi w:val="0"/>
              <w:adjustRightInd/>
              <w:spacing w:before="0" w:beforeAutospacing="0" w:after="0" w:afterAutospacing="0" w:line="312" w:lineRule="auto"/>
              <w:ind w:left="0" w:right="0"/>
              <w:textAlignment w:val="auto"/>
              <w:rPr>
                <w:rFonts w:hint="eastAsia"/>
                <w:color w:val="auto"/>
              </w:rPr>
            </w:pPr>
            <w:r>
              <w:rPr>
                <w:rFonts w:hint="eastAsia"/>
                <w:color w:val="auto"/>
                <w:lang w:val="en-US" w:eastAsia="zh-CN"/>
              </w:rPr>
              <w:t>7</w:t>
            </w:r>
            <w:r>
              <w:rPr>
                <w:rFonts w:hint="eastAsia"/>
                <w:color w:val="auto"/>
              </w:rPr>
              <w:t>.供应商认为需要提供的其他有关资料。</w:t>
            </w:r>
          </w:p>
          <w:p w14:paraId="218B4A62">
            <w:pPr>
              <w:keepNext w:val="0"/>
              <w:keepLines w:val="0"/>
              <w:pageBreakBefore w:val="0"/>
              <w:suppressLineNumbers w:val="0"/>
              <w:kinsoku/>
              <w:wordWrap/>
              <w:overflowPunct/>
              <w:topLinePunct w:val="0"/>
              <w:bidi w:val="0"/>
              <w:adjustRightInd/>
              <w:snapToGrid w:val="0"/>
              <w:spacing w:before="0" w:beforeAutospacing="0" w:after="0" w:afterAutospacing="0" w:line="312" w:lineRule="auto"/>
              <w:ind w:left="0" w:right="0"/>
              <w:jc w:val="left"/>
              <w:textAlignment w:val="auto"/>
              <w:rPr>
                <w:rFonts w:hint="eastAsia"/>
                <w:b/>
                <w:bCs/>
                <w:color w:val="auto"/>
              </w:rPr>
            </w:pPr>
            <w:r>
              <w:rPr>
                <w:rFonts w:hint="eastAsia"/>
                <w:b/>
                <w:bCs/>
                <w:color w:val="auto"/>
              </w:rPr>
              <w:t xml:space="preserve">注： </w:t>
            </w:r>
          </w:p>
          <w:p w14:paraId="24ACD49B">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uto"/>
              <w:ind w:left="0" w:right="0" w:firstLine="422" w:firstLineChars="200"/>
              <w:textAlignment w:val="auto"/>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1</w:t>
            </w:r>
            <w:r>
              <w:rPr>
                <w:rFonts w:hint="eastAsia" w:asciiTheme="minorEastAsia" w:hAnsiTheme="minorEastAsia" w:eastAsiaTheme="minorEastAsia" w:cstheme="minorEastAsia"/>
                <w:color w:val="auto"/>
                <w:sz w:val="21"/>
                <w:szCs w:val="21"/>
              </w:rPr>
              <w:t>.以上标明“必须提供”的材料属于</w:t>
            </w:r>
            <w:r>
              <w:rPr>
                <w:rFonts w:hint="eastAsia" w:asciiTheme="minorEastAsia" w:hAnsiTheme="minorEastAsia" w:eastAsiaTheme="minorEastAsia" w:cstheme="minorEastAsia"/>
                <w:color w:val="auto"/>
                <w:sz w:val="21"/>
                <w:szCs w:val="21"/>
                <w:lang w:val="en-US" w:eastAsia="zh-CN"/>
              </w:rPr>
              <w:t>复印件</w:t>
            </w:r>
            <w:r>
              <w:rPr>
                <w:rFonts w:hint="eastAsia" w:asciiTheme="minorEastAsia" w:hAnsiTheme="minorEastAsia" w:eastAsiaTheme="minorEastAsia" w:cstheme="minorEastAsia"/>
                <w:color w:val="auto"/>
                <w:sz w:val="21"/>
                <w:szCs w:val="21"/>
              </w:rPr>
              <w:t>的，必须加盖供应商</w:t>
            </w:r>
            <w:r>
              <w:rPr>
                <w:rFonts w:hint="eastAsia" w:asciiTheme="minorEastAsia" w:hAnsiTheme="minorEastAsia" w:eastAsiaTheme="minorEastAsia" w:cstheme="minorEastAsia"/>
                <w:color w:val="auto"/>
                <w:sz w:val="21"/>
                <w:szCs w:val="21"/>
                <w:lang w:val="en-US" w:eastAsia="zh-CN"/>
              </w:rPr>
              <w:t>电子签章</w:t>
            </w:r>
            <w:r>
              <w:rPr>
                <w:rFonts w:hint="eastAsia" w:asciiTheme="minorEastAsia" w:hAnsiTheme="minorEastAsia" w:eastAsiaTheme="minorEastAsia" w:cstheme="minorEastAsia"/>
                <w:color w:val="auto"/>
                <w:sz w:val="21"/>
                <w:szCs w:val="21"/>
              </w:rPr>
              <w:t>，否则响应文件按无效响应处理。</w:t>
            </w:r>
          </w:p>
          <w:p w14:paraId="563BF840">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uto"/>
              <w:ind w:left="0" w:right="0" w:firstLine="422" w:firstLineChars="200"/>
              <w:textAlignment w:val="auto"/>
              <w:outlineLvl w:val="9"/>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电子投标响应文件中所须加盖公章部分均采用CA签章。若竞争性磋商文件中有专门标注的某关联点，并要求供应商在电子投标系统中作出投标响应的，如供应商未对关联点进行响应或者在响应文件其它内容进行描述，造成电子评审不能查询的责任由供应商自行承担。</w:t>
            </w:r>
          </w:p>
          <w:p w14:paraId="58135D44">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uto"/>
              <w:ind w:left="0" w:right="0" w:firstLine="422" w:firstLineChars="200"/>
              <w:textAlignment w:val="auto"/>
              <w:outlineLvl w:val="9"/>
              <w:rPr>
                <w:rFonts w:hint="eastAsia"/>
                <w:color w:val="auto"/>
              </w:rPr>
            </w:pPr>
            <w:r>
              <w:rPr>
                <w:rFonts w:hint="eastAsia" w:asciiTheme="minorEastAsia" w:hAnsiTheme="minorEastAsia" w:eastAsiaTheme="minorEastAsia" w:cstheme="minorEastAsia"/>
                <w:color w:val="auto"/>
                <w:sz w:val="21"/>
                <w:szCs w:val="21"/>
                <w:lang w:val="en-US" w:eastAsia="zh-CN"/>
              </w:rPr>
              <w:t>3</w:t>
            </w:r>
            <w:r>
              <w:rPr>
                <w:rFonts w:hint="eastAsia" w:asciiTheme="minorEastAsia" w:hAnsiTheme="minorEastAsia" w:eastAsiaTheme="minorEastAsia" w:cstheme="minorEastAsia"/>
                <w:color w:val="auto"/>
                <w:sz w:val="21"/>
                <w:szCs w:val="21"/>
              </w:rPr>
              <w:t>.以上材料未附格式的，由供应商自行拟定。</w:t>
            </w:r>
          </w:p>
        </w:tc>
      </w:tr>
      <w:tr w14:paraId="69F7AF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38" w:hRule="atLeast"/>
          <w:jc w:val="center"/>
        </w:trPr>
        <w:tc>
          <w:tcPr>
            <w:tcW w:w="1070" w:type="dxa"/>
            <w:noWrap w:val="0"/>
            <w:vAlign w:val="center"/>
          </w:tcPr>
          <w:p w14:paraId="237A1801">
            <w:pPr>
              <w:keepNext w:val="0"/>
              <w:keepLines w:val="0"/>
              <w:pageBreakBefore w:val="0"/>
              <w:suppressLineNumbers w:val="0"/>
              <w:kinsoku/>
              <w:wordWrap/>
              <w:overflowPunct/>
              <w:topLinePunct w:val="0"/>
              <w:bidi w:val="0"/>
              <w:adjustRightInd/>
              <w:spacing w:before="0" w:beforeAutospacing="0" w:after="0" w:afterAutospacing="0" w:line="312" w:lineRule="auto"/>
              <w:ind w:left="0" w:right="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15.2</w:t>
            </w:r>
          </w:p>
        </w:tc>
        <w:tc>
          <w:tcPr>
            <w:tcW w:w="7834" w:type="dxa"/>
            <w:noWrap w:val="0"/>
            <w:vAlign w:val="center"/>
          </w:tcPr>
          <w:p w14:paraId="26168FFF">
            <w:pPr>
              <w:keepNext w:val="0"/>
              <w:keepLines w:val="0"/>
              <w:pageBreakBefore w:val="0"/>
              <w:suppressLineNumbers w:val="0"/>
              <w:kinsoku/>
              <w:wordWrap/>
              <w:overflowPunct/>
              <w:topLinePunct w:val="0"/>
              <w:bidi w:val="0"/>
              <w:adjustRightInd/>
              <w:snapToGrid w:val="0"/>
              <w:spacing w:before="0" w:beforeAutospacing="0" w:after="0" w:afterAutospacing="0" w:line="312" w:lineRule="auto"/>
              <w:ind w:left="0" w:right="0"/>
              <w:jc w:val="left"/>
              <w:textAlignment w:val="auto"/>
              <w:rPr>
                <w:rFonts w:hint="eastAsia" w:ascii="宋体" w:hAnsi="宋体"/>
                <w:b/>
                <w:color w:val="auto"/>
                <w:szCs w:val="21"/>
                <w:highlight w:val="none"/>
              </w:rPr>
            </w:pPr>
            <w:r>
              <w:rPr>
                <w:rFonts w:hint="eastAsia"/>
                <w:color w:val="auto"/>
                <w:highlight w:val="none"/>
              </w:rPr>
              <w:t>竞标报价</w:t>
            </w:r>
            <w:r>
              <w:rPr>
                <w:rFonts w:hint="eastAsia" w:hAnsi="宋体"/>
                <w:color w:val="auto"/>
                <w:sz w:val="21"/>
                <w:highlight w:val="none"/>
              </w:rPr>
              <w:t>应包含顺利实施和完成服务所发生的各项劳务费、技术服务费、前期调查及资料收集、审查、评审、公示、设备、交通、通讯、办公场地、管理费、税费和利润及通过审批等所有费用和政策性文件规定及合同包含的所有风险、责任等各项应有的费用，除非上述费用在合同中另有说明。合同期内，费用不再调整</w:t>
            </w:r>
            <w:r>
              <w:rPr>
                <w:rFonts w:hint="eastAsia"/>
                <w:color w:val="auto"/>
                <w:highlight w:val="none"/>
              </w:rPr>
              <w:t>。</w:t>
            </w:r>
          </w:p>
        </w:tc>
      </w:tr>
      <w:tr w14:paraId="6B8731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70" w:type="dxa"/>
            <w:noWrap w:val="0"/>
            <w:vAlign w:val="center"/>
          </w:tcPr>
          <w:p w14:paraId="63DEE781">
            <w:pPr>
              <w:keepNext w:val="0"/>
              <w:keepLines w:val="0"/>
              <w:pageBreakBefore w:val="0"/>
              <w:suppressLineNumbers w:val="0"/>
              <w:kinsoku/>
              <w:wordWrap/>
              <w:overflowPunct/>
              <w:topLinePunct w:val="0"/>
              <w:bidi w:val="0"/>
              <w:adjustRightInd/>
              <w:spacing w:before="0" w:beforeAutospacing="0" w:after="0" w:afterAutospacing="0" w:line="312" w:lineRule="auto"/>
              <w:ind w:left="0" w:right="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16.</w:t>
            </w:r>
            <w:r>
              <w:rPr>
                <w:rFonts w:hint="default" w:ascii="宋体" w:hAnsi="宋体" w:cs="宋体"/>
                <w:color w:val="auto"/>
                <w:szCs w:val="21"/>
                <w:highlight w:val="none"/>
              </w:rPr>
              <w:t>2</w:t>
            </w:r>
          </w:p>
        </w:tc>
        <w:tc>
          <w:tcPr>
            <w:tcW w:w="7834" w:type="dxa"/>
            <w:noWrap w:val="0"/>
            <w:vAlign w:val="center"/>
          </w:tcPr>
          <w:p w14:paraId="6F4F0DAC">
            <w:pPr>
              <w:pStyle w:val="9"/>
              <w:keepNext w:val="0"/>
              <w:keepLines w:val="0"/>
              <w:pageBreakBefore w:val="0"/>
              <w:widowControl w:val="0"/>
              <w:suppressLineNumbers w:val="0"/>
              <w:tabs>
                <w:tab w:val="clear" w:pos="454"/>
              </w:tabs>
              <w:kinsoku/>
              <w:wordWrap/>
              <w:overflowPunct/>
              <w:topLinePunct w:val="0"/>
              <w:bidi w:val="0"/>
              <w:adjustRightInd/>
              <w:snapToGrid w:val="0"/>
              <w:spacing w:before="0" w:beforeAutospacing="0" w:afterLines="0" w:afterAutospacing="0" w:line="312" w:lineRule="auto"/>
              <w:ind w:left="283" w:right="0" w:hanging="283" w:hangingChars="135"/>
              <w:textAlignment w:val="auto"/>
              <w:rPr>
                <w:rFonts w:hint="eastAsia" w:ascii="宋体" w:hAnsi="宋体" w:cs="宋体"/>
                <w:color w:val="auto"/>
                <w:kern w:val="2"/>
                <w:sz w:val="21"/>
                <w:szCs w:val="21"/>
                <w:highlight w:val="none"/>
              </w:rPr>
            </w:pPr>
            <w:r>
              <w:rPr>
                <w:rFonts w:hint="eastAsia" w:ascii="宋体" w:hAnsi="宋体" w:cs="宋体"/>
                <w:color w:val="auto"/>
                <w:kern w:val="2"/>
                <w:sz w:val="21"/>
                <w:szCs w:val="21"/>
                <w:highlight w:val="none"/>
              </w:rPr>
              <w:t>竞标有效期：自首次响应文件提交截止之日起</w:t>
            </w:r>
            <w:r>
              <w:rPr>
                <w:rFonts w:hint="eastAsia" w:ascii="宋体" w:hAnsi="宋体" w:cs="宋体"/>
                <w:color w:val="auto"/>
                <w:kern w:val="2"/>
                <w:sz w:val="21"/>
                <w:szCs w:val="21"/>
                <w:highlight w:val="none"/>
                <w:u w:val="none"/>
                <w:lang w:val="en-US" w:eastAsia="zh-CN"/>
              </w:rPr>
              <w:t>60</w:t>
            </w:r>
            <w:r>
              <w:rPr>
                <w:rFonts w:hint="eastAsia" w:ascii="宋体" w:hAnsi="宋体" w:cs="宋体"/>
                <w:color w:val="auto"/>
                <w:kern w:val="2"/>
                <w:sz w:val="21"/>
                <w:szCs w:val="21"/>
                <w:highlight w:val="none"/>
              </w:rPr>
              <w:t>日。</w:t>
            </w:r>
          </w:p>
        </w:tc>
      </w:tr>
      <w:tr w14:paraId="19776F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70" w:type="dxa"/>
            <w:noWrap w:val="0"/>
            <w:vAlign w:val="center"/>
          </w:tcPr>
          <w:p w14:paraId="14C5711D">
            <w:pPr>
              <w:keepNext w:val="0"/>
              <w:keepLines w:val="0"/>
              <w:pageBreakBefore w:val="0"/>
              <w:suppressLineNumbers w:val="0"/>
              <w:kinsoku/>
              <w:wordWrap/>
              <w:overflowPunct/>
              <w:topLinePunct w:val="0"/>
              <w:bidi w:val="0"/>
              <w:adjustRightInd/>
              <w:spacing w:before="0" w:beforeAutospacing="0" w:after="0" w:afterAutospacing="0" w:line="312" w:lineRule="auto"/>
              <w:ind w:left="0" w:right="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17.1</w:t>
            </w:r>
          </w:p>
        </w:tc>
        <w:tc>
          <w:tcPr>
            <w:tcW w:w="7834" w:type="dxa"/>
            <w:noWrap w:val="0"/>
            <w:vAlign w:val="center"/>
          </w:tcPr>
          <w:p w14:paraId="5C566C3D">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312" w:lineRule="auto"/>
              <w:ind w:left="0" w:right="0"/>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t>☑</w:t>
            </w:r>
            <w:r>
              <w:rPr>
                <w:rFonts w:hint="eastAsia" w:ascii="宋体" w:hAnsi="宋体" w:eastAsia="宋体" w:cs="宋体"/>
                <w:sz w:val="21"/>
                <w:szCs w:val="21"/>
              </w:rPr>
              <w:t>本项目不收取磋商保证金。</w:t>
            </w:r>
          </w:p>
          <w:p w14:paraId="3A39236A">
            <w:pPr>
              <w:keepNext w:val="0"/>
              <w:keepLines w:val="0"/>
              <w:pageBreakBefore w:val="0"/>
              <w:widowControl w:val="0"/>
              <w:suppressLineNumbers w:val="0"/>
              <w:kinsoku/>
              <w:wordWrap/>
              <w:overflowPunct/>
              <w:topLinePunct w:val="0"/>
              <w:bidi w:val="0"/>
              <w:adjustRightInd/>
              <w:snapToGrid w:val="0"/>
              <w:spacing w:before="0" w:beforeAutospacing="0" w:after="0" w:afterAutospacing="0" w:line="312" w:lineRule="auto"/>
              <w:ind w:left="0" w:right="0"/>
              <w:textAlignment w:val="auto"/>
              <w:rPr>
                <w:rFonts w:hint="eastAsia" w:ascii="宋体" w:hAnsi="宋体" w:eastAsia="宋体" w:cs="宋体"/>
                <w:sz w:val="21"/>
                <w:szCs w:val="21"/>
              </w:rPr>
            </w:pPr>
            <w:r>
              <w:rPr>
                <w:rFonts w:hint="eastAsia" w:ascii="宋体" w:hAnsi="宋体" w:eastAsia="宋体" w:cs="宋体"/>
                <w:sz w:val="21"/>
                <w:szCs w:val="21"/>
              </w:rPr>
              <w:t>□本项目收取磋商保证金，具体规定如下：</w:t>
            </w:r>
          </w:p>
          <w:p w14:paraId="083A2979">
            <w:pPr>
              <w:pStyle w:val="5"/>
              <w:keepNext w:val="0"/>
              <w:keepLines w:val="0"/>
              <w:pageBreakBefore w:val="0"/>
              <w:widowControl w:val="0"/>
              <w:suppressLineNumbers w:val="0"/>
              <w:kinsoku/>
              <w:wordWrap/>
              <w:overflowPunct/>
              <w:topLinePunct w:val="0"/>
              <w:bidi w:val="0"/>
              <w:adjustRightInd/>
              <w:snapToGrid w:val="0"/>
              <w:spacing w:before="0" w:beforeAutospacing="0" w:after="0" w:afterAutospacing="0" w:line="312" w:lineRule="auto"/>
              <w:ind w:left="0" w:leftChars="0" w:right="0" w:firstLine="210" w:firstLineChars="100"/>
              <w:textAlignment w:val="auto"/>
              <w:outlineLvl w:val="9"/>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1.磋商保证金（人民币）：0.00元（须足额交纳）</w:t>
            </w:r>
          </w:p>
          <w:p w14:paraId="28220531">
            <w:pPr>
              <w:pStyle w:val="5"/>
              <w:keepNext w:val="0"/>
              <w:keepLines w:val="0"/>
              <w:pageBreakBefore w:val="0"/>
              <w:widowControl w:val="0"/>
              <w:suppressLineNumbers w:val="0"/>
              <w:kinsoku/>
              <w:wordWrap/>
              <w:overflowPunct/>
              <w:topLinePunct w:val="0"/>
              <w:bidi w:val="0"/>
              <w:adjustRightInd/>
              <w:snapToGrid w:val="0"/>
              <w:spacing w:before="0" w:beforeAutospacing="0" w:after="0" w:afterAutospacing="0" w:line="312" w:lineRule="auto"/>
              <w:ind w:left="0" w:leftChars="0" w:right="0" w:firstLine="210" w:firstLineChars="100"/>
              <w:textAlignment w:val="auto"/>
              <w:outlineLvl w:val="9"/>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2.磋商保证金的提交方式：银行转账/电汇、网上支付、支票、汇票、本票或者金融机构、担保机构出具的保函等非现金形式提交。采用金融结构、担保机构出具的保函，必须为无条件保函，保函有效期不得低于磋商有效期。）</w:t>
            </w:r>
          </w:p>
          <w:p w14:paraId="2EFE1DC0">
            <w:pPr>
              <w:pStyle w:val="5"/>
              <w:keepNext w:val="0"/>
              <w:keepLines w:val="0"/>
              <w:pageBreakBefore w:val="0"/>
              <w:widowControl w:val="0"/>
              <w:suppressLineNumbers w:val="0"/>
              <w:kinsoku/>
              <w:wordWrap/>
              <w:overflowPunct/>
              <w:topLinePunct w:val="0"/>
              <w:bidi w:val="0"/>
              <w:adjustRightInd/>
              <w:snapToGrid w:val="0"/>
              <w:spacing w:before="0" w:beforeAutospacing="0" w:after="0" w:afterAutospacing="0" w:line="312" w:lineRule="auto"/>
              <w:ind w:left="0" w:leftChars="0" w:right="0" w:firstLine="210" w:firstLineChars="100"/>
              <w:textAlignment w:val="auto"/>
              <w:outlineLvl w:val="9"/>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3.递交方式：</w:t>
            </w:r>
          </w:p>
          <w:p w14:paraId="09B821D1">
            <w:pPr>
              <w:pStyle w:val="5"/>
              <w:keepNext w:val="0"/>
              <w:keepLines w:val="0"/>
              <w:pageBreakBefore w:val="0"/>
              <w:widowControl w:val="0"/>
              <w:suppressLineNumbers w:val="0"/>
              <w:kinsoku/>
              <w:wordWrap/>
              <w:overflowPunct/>
              <w:topLinePunct w:val="0"/>
              <w:bidi w:val="0"/>
              <w:adjustRightInd/>
              <w:snapToGrid w:val="0"/>
              <w:spacing w:before="0" w:beforeAutospacing="0" w:after="0" w:afterAutospacing="0" w:line="312" w:lineRule="auto"/>
              <w:ind w:left="0" w:leftChars="0" w:right="0" w:firstLine="210" w:firstLineChars="100"/>
              <w:textAlignment w:val="auto"/>
              <w:outlineLvl w:val="9"/>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（1）以转账或电汇或网上支付等方式提交的，应从对公账户转出，并应当在响应文件提交截止时间前足额到达指定账户，在用途或备注栏注明事由“</w:t>
            </w:r>
            <w:r>
              <w:rPr>
                <w:rFonts w:hint="eastAsia" w:ascii="宋体" w:hAnsi="宋体" w:eastAsia="宋体" w:cs="宋体"/>
                <w:color w:val="000000"/>
                <w:kern w:val="2"/>
                <w:sz w:val="21"/>
                <w:szCs w:val="21"/>
                <w:highlight w:val="none"/>
                <w:u w:val="single"/>
                <w:lang w:val="en-US" w:eastAsia="zh-CN" w:bidi="ar-SA"/>
              </w:rPr>
              <w:t>项目名称或项目编号+磋商保证金(如有分标，须列出分标号)</w:t>
            </w:r>
            <w:r>
              <w:rPr>
                <w:rFonts w:hint="eastAsia" w:ascii="宋体" w:hAnsi="宋体" w:eastAsia="宋体" w:cs="宋体"/>
                <w:color w:val="000000"/>
                <w:kern w:val="2"/>
                <w:sz w:val="21"/>
                <w:szCs w:val="21"/>
                <w:highlight w:val="none"/>
                <w:lang w:val="en-US" w:eastAsia="zh-CN" w:bidi="ar-SA"/>
              </w:rPr>
              <w:t>”信息。</w:t>
            </w:r>
          </w:p>
          <w:p w14:paraId="207A29B8">
            <w:pPr>
              <w:pStyle w:val="5"/>
              <w:keepNext w:val="0"/>
              <w:keepLines w:val="0"/>
              <w:pageBreakBefore w:val="0"/>
              <w:widowControl w:val="0"/>
              <w:suppressLineNumbers w:val="0"/>
              <w:kinsoku/>
              <w:wordWrap/>
              <w:overflowPunct/>
              <w:topLinePunct w:val="0"/>
              <w:bidi w:val="0"/>
              <w:adjustRightInd/>
              <w:snapToGrid w:val="0"/>
              <w:spacing w:before="0" w:beforeAutospacing="0" w:after="0" w:afterAutospacing="0" w:line="312" w:lineRule="auto"/>
              <w:ind w:left="0" w:right="0" w:firstLine="680" w:firstLineChars="0"/>
              <w:textAlignment w:val="auto"/>
              <w:outlineLvl w:val="9"/>
              <w:rPr>
                <w:rFonts w:hint="default"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开户名称：/</w:t>
            </w:r>
          </w:p>
          <w:p w14:paraId="5F0F76A4">
            <w:pPr>
              <w:pStyle w:val="5"/>
              <w:keepNext w:val="0"/>
              <w:keepLines w:val="0"/>
              <w:pageBreakBefore w:val="0"/>
              <w:widowControl w:val="0"/>
              <w:suppressLineNumbers w:val="0"/>
              <w:kinsoku/>
              <w:wordWrap/>
              <w:overflowPunct/>
              <w:topLinePunct w:val="0"/>
              <w:bidi w:val="0"/>
              <w:adjustRightInd/>
              <w:snapToGrid w:val="0"/>
              <w:spacing w:before="0" w:beforeAutospacing="0" w:after="0" w:afterAutospacing="0" w:line="312" w:lineRule="auto"/>
              <w:ind w:left="0" w:right="0" w:firstLine="680" w:firstLineChars="0"/>
              <w:textAlignment w:val="auto"/>
              <w:outlineLvl w:val="9"/>
              <w:rPr>
                <w:rFonts w:hint="default"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开户银行：/</w:t>
            </w:r>
          </w:p>
          <w:p w14:paraId="5CA76AFA">
            <w:pPr>
              <w:pStyle w:val="5"/>
              <w:keepNext w:val="0"/>
              <w:keepLines w:val="0"/>
              <w:pageBreakBefore w:val="0"/>
              <w:widowControl w:val="0"/>
              <w:suppressLineNumbers w:val="0"/>
              <w:kinsoku/>
              <w:wordWrap/>
              <w:overflowPunct/>
              <w:topLinePunct w:val="0"/>
              <w:bidi w:val="0"/>
              <w:adjustRightInd/>
              <w:snapToGrid w:val="0"/>
              <w:spacing w:before="0" w:beforeAutospacing="0" w:after="0" w:afterAutospacing="0" w:line="312" w:lineRule="auto"/>
              <w:ind w:left="0" w:right="0" w:firstLine="680" w:firstLineChars="0"/>
              <w:textAlignment w:val="auto"/>
              <w:outlineLvl w:val="9"/>
              <w:rPr>
                <w:rFonts w:hint="default"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银行帐号：/</w:t>
            </w:r>
          </w:p>
          <w:p w14:paraId="0A76AA7A">
            <w:pPr>
              <w:pStyle w:val="5"/>
              <w:keepNext w:val="0"/>
              <w:keepLines w:val="0"/>
              <w:pageBreakBefore w:val="0"/>
              <w:widowControl w:val="0"/>
              <w:suppressLineNumbers w:val="0"/>
              <w:kinsoku/>
              <w:wordWrap/>
              <w:overflowPunct/>
              <w:topLinePunct w:val="0"/>
              <w:bidi w:val="0"/>
              <w:adjustRightInd/>
              <w:snapToGrid w:val="0"/>
              <w:spacing w:before="0" w:beforeAutospacing="0" w:after="0" w:afterAutospacing="0" w:line="312" w:lineRule="auto"/>
              <w:ind w:left="0" w:leftChars="0" w:right="0" w:firstLine="210" w:firstLineChars="100"/>
              <w:textAlignment w:val="auto"/>
              <w:outlineLvl w:val="9"/>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2）采用支票、汇票、本票或者金融、担保机构出具的保函方式的，应将支票、汇票、本票或者金融、担保机构出具的保函等原件扫描件作为磋商保证金提交凭证，放置于响应文件中，并应在响应文件提交截止时间前提交票据或保函原件(可邮寄)，否则响应文件按无效处理。提交(邮寄)地址及收件人详见竞争性磋商公告，拒收到付邮件，通过邮寄方式送达的，请合理安排邮寄时间。</w:t>
            </w:r>
          </w:p>
          <w:p w14:paraId="2917BF0B">
            <w:pPr>
              <w:pStyle w:val="5"/>
              <w:keepNext w:val="0"/>
              <w:keepLines w:val="0"/>
              <w:pageBreakBefore w:val="0"/>
              <w:widowControl w:val="0"/>
              <w:suppressLineNumbers w:val="0"/>
              <w:kinsoku/>
              <w:wordWrap/>
              <w:overflowPunct/>
              <w:topLinePunct w:val="0"/>
              <w:bidi w:val="0"/>
              <w:adjustRightInd/>
              <w:snapToGrid w:val="0"/>
              <w:spacing w:before="0" w:beforeAutospacing="0" w:after="0" w:afterAutospacing="0" w:line="312" w:lineRule="auto"/>
              <w:ind w:left="0" w:leftChars="0" w:right="0" w:firstLine="210" w:firstLineChars="100"/>
              <w:textAlignment w:val="auto"/>
              <w:outlineLvl w:val="9"/>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4.备注：</w:t>
            </w:r>
          </w:p>
          <w:p w14:paraId="631D79EB">
            <w:pPr>
              <w:pStyle w:val="5"/>
              <w:keepNext w:val="0"/>
              <w:keepLines w:val="0"/>
              <w:pageBreakBefore w:val="0"/>
              <w:widowControl w:val="0"/>
              <w:suppressLineNumbers w:val="0"/>
              <w:kinsoku/>
              <w:wordWrap/>
              <w:overflowPunct/>
              <w:topLinePunct w:val="0"/>
              <w:bidi w:val="0"/>
              <w:adjustRightInd/>
              <w:snapToGrid w:val="0"/>
              <w:spacing w:before="0" w:beforeAutospacing="0" w:after="0" w:afterAutospacing="0" w:line="312" w:lineRule="auto"/>
              <w:ind w:left="0" w:leftChars="0" w:right="0" w:firstLine="210" w:firstLineChars="100"/>
              <w:textAlignment w:val="auto"/>
              <w:outlineLvl w:val="9"/>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（1）磋商保证金在响应文件提交截止时间后提交的，或者不按规定提交方式交纳的，或者未足额交纳的(包含保函额度不足的)，视为无效磋商保证金。</w:t>
            </w:r>
          </w:p>
          <w:p w14:paraId="0A8428B0">
            <w:pPr>
              <w:pStyle w:val="5"/>
              <w:keepNext w:val="0"/>
              <w:keepLines w:val="0"/>
              <w:pageBreakBefore w:val="0"/>
              <w:widowControl w:val="0"/>
              <w:suppressLineNumbers w:val="0"/>
              <w:kinsoku/>
              <w:wordWrap/>
              <w:overflowPunct/>
              <w:topLinePunct w:val="0"/>
              <w:bidi w:val="0"/>
              <w:adjustRightInd/>
              <w:snapToGrid w:val="0"/>
              <w:spacing w:before="0" w:beforeAutospacing="0" w:after="0" w:afterAutospacing="0" w:line="312" w:lineRule="auto"/>
              <w:ind w:left="0" w:leftChars="0" w:right="0" w:firstLine="210" w:firstLineChars="100"/>
              <w:textAlignment w:val="auto"/>
              <w:outlineLvl w:val="9"/>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（2）供应商采用现钞方式、非供应商账户或者从个人账户转出的磋商保证金，视为无效磋商保证金。</w:t>
            </w:r>
          </w:p>
          <w:p w14:paraId="5DCAB6A9">
            <w:pPr>
              <w:pStyle w:val="5"/>
              <w:keepNext w:val="0"/>
              <w:keepLines w:val="0"/>
              <w:pageBreakBefore w:val="0"/>
              <w:widowControl w:val="0"/>
              <w:suppressLineNumbers w:val="0"/>
              <w:kinsoku/>
              <w:wordWrap/>
              <w:overflowPunct/>
              <w:topLinePunct w:val="0"/>
              <w:bidi w:val="0"/>
              <w:adjustRightInd/>
              <w:snapToGrid w:val="0"/>
              <w:spacing w:before="0" w:beforeAutospacing="0" w:after="0" w:afterAutospacing="0" w:line="312" w:lineRule="auto"/>
              <w:ind w:left="0" w:leftChars="0" w:right="0" w:firstLine="210" w:firstLineChars="100"/>
              <w:textAlignment w:val="auto"/>
              <w:outlineLvl w:val="9"/>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（3）支票、汇票或者本票出现无效或者背书情形的，视为无效磋商保证金。</w:t>
            </w:r>
          </w:p>
          <w:p w14:paraId="36BA7F5E">
            <w:pPr>
              <w:pStyle w:val="5"/>
              <w:keepNext w:val="0"/>
              <w:keepLines w:val="0"/>
              <w:pageBreakBefore w:val="0"/>
              <w:widowControl w:val="0"/>
              <w:suppressLineNumbers w:val="0"/>
              <w:kinsoku/>
              <w:wordWrap/>
              <w:overflowPunct/>
              <w:topLinePunct w:val="0"/>
              <w:bidi w:val="0"/>
              <w:adjustRightInd/>
              <w:snapToGrid w:val="0"/>
              <w:spacing w:before="0" w:beforeAutospacing="0" w:after="0" w:afterAutospacing="0" w:line="312" w:lineRule="auto"/>
              <w:ind w:left="0" w:leftChars="0" w:right="0" w:firstLine="210" w:firstLineChars="100"/>
              <w:textAlignment w:val="auto"/>
              <w:outlineLvl w:val="9"/>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（4）保函有效期低于磋商有效期的，视为无效磋商保证金。</w:t>
            </w:r>
          </w:p>
          <w:p w14:paraId="7784B356">
            <w:pPr>
              <w:pStyle w:val="5"/>
              <w:keepNext w:val="0"/>
              <w:keepLines w:val="0"/>
              <w:pageBreakBefore w:val="0"/>
              <w:widowControl w:val="0"/>
              <w:suppressLineNumbers w:val="0"/>
              <w:kinsoku/>
              <w:wordWrap/>
              <w:overflowPunct/>
              <w:topLinePunct w:val="0"/>
              <w:bidi w:val="0"/>
              <w:adjustRightInd/>
              <w:snapToGrid w:val="0"/>
              <w:spacing w:before="0" w:beforeAutospacing="0" w:after="0" w:afterAutospacing="0" w:line="312" w:lineRule="auto"/>
              <w:ind w:left="0" w:leftChars="0" w:right="0" w:firstLine="210" w:firstLineChars="100"/>
              <w:textAlignment w:val="auto"/>
              <w:outlineLvl w:val="9"/>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（5）采用金融、担保机构出具保函的，必须为无条件保函，否则视为无效磋商保证金。</w:t>
            </w:r>
          </w:p>
          <w:p w14:paraId="6D807FF8">
            <w:pPr>
              <w:keepNext w:val="0"/>
              <w:keepLines w:val="0"/>
              <w:pageBreakBefore w:val="0"/>
              <w:widowControl w:val="0"/>
              <w:suppressLineNumbers w:val="0"/>
              <w:kinsoku/>
              <w:wordWrap/>
              <w:overflowPunct/>
              <w:topLinePunct w:val="0"/>
              <w:bidi w:val="0"/>
              <w:adjustRightInd/>
              <w:snapToGrid w:val="0"/>
              <w:spacing w:before="0" w:beforeAutospacing="0" w:after="0" w:afterAutospacing="0" w:line="312" w:lineRule="auto"/>
              <w:ind w:left="0" w:right="0"/>
              <w:textAlignment w:val="auto"/>
              <w:rPr>
                <w:rFonts w:hint="eastAsia" w:ascii="宋体" w:hAnsi="宋体" w:cs="宋体"/>
                <w:color w:val="auto"/>
                <w:szCs w:val="21"/>
                <w:highlight w:val="none"/>
              </w:rPr>
            </w:pPr>
            <w:r>
              <w:rPr>
                <w:rFonts w:hint="eastAsia" w:ascii="宋体" w:hAnsi="宋体" w:eastAsia="宋体" w:cs="宋体"/>
                <w:color w:val="000000"/>
                <w:kern w:val="2"/>
                <w:sz w:val="21"/>
                <w:szCs w:val="21"/>
                <w:highlight w:val="none"/>
                <w:lang w:val="en-US" w:eastAsia="zh-CN" w:bidi="ar-SA"/>
              </w:rPr>
              <w:t>（6）经查实，供应商提供虚假保证金证明材料的，采购人报政府采购监督管理部门处理。</w:t>
            </w:r>
          </w:p>
        </w:tc>
      </w:tr>
      <w:tr w14:paraId="3C257C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6" w:hRule="atLeast"/>
          <w:jc w:val="center"/>
        </w:trPr>
        <w:tc>
          <w:tcPr>
            <w:tcW w:w="1070" w:type="dxa"/>
            <w:noWrap w:val="0"/>
            <w:vAlign w:val="center"/>
          </w:tcPr>
          <w:p w14:paraId="22EDFAE3">
            <w:pPr>
              <w:keepNext w:val="0"/>
              <w:keepLines w:val="0"/>
              <w:pageBreakBefore w:val="0"/>
              <w:suppressLineNumbers w:val="0"/>
              <w:kinsoku/>
              <w:wordWrap/>
              <w:overflowPunct/>
              <w:topLinePunct w:val="0"/>
              <w:bidi w:val="0"/>
              <w:adjustRightInd/>
              <w:spacing w:before="0" w:beforeAutospacing="0" w:after="0" w:afterAutospacing="0" w:line="312" w:lineRule="auto"/>
              <w:ind w:left="0" w:right="0"/>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19</w:t>
            </w:r>
          </w:p>
        </w:tc>
        <w:tc>
          <w:tcPr>
            <w:tcW w:w="7834" w:type="dxa"/>
            <w:noWrap w:val="0"/>
            <w:vAlign w:val="center"/>
          </w:tcPr>
          <w:p w14:paraId="5147403E">
            <w:pPr>
              <w:keepNext w:val="0"/>
              <w:keepLines w:val="0"/>
              <w:pageBreakBefore w:val="0"/>
              <w:suppressLineNumbers w:val="0"/>
              <w:kinsoku/>
              <w:wordWrap/>
              <w:overflowPunct/>
              <w:topLinePunct w:val="0"/>
              <w:bidi w:val="0"/>
              <w:adjustRightInd/>
              <w:spacing w:before="0" w:beforeAutospacing="0" w:after="0" w:afterAutospacing="0" w:line="312" w:lineRule="auto"/>
              <w:ind w:left="0" w:right="0"/>
              <w:textAlignment w:val="auto"/>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auto"/>
                <w:szCs w:val="21"/>
                <w:highlight w:val="none"/>
              </w:rPr>
              <w:t>本项目不接受</w:t>
            </w:r>
            <w:r>
              <w:rPr>
                <w:rFonts w:hint="eastAsia" w:ascii="宋体" w:hAnsi="宋体" w:eastAsia="宋体" w:cs="宋体"/>
                <w:color w:val="auto"/>
                <w:highlight w:val="none"/>
              </w:rPr>
              <w:t>电子</w:t>
            </w:r>
            <w:r>
              <w:rPr>
                <w:rFonts w:hint="eastAsia" w:ascii="宋体" w:hAnsi="宋体" w:eastAsia="宋体" w:cs="宋体"/>
                <w:color w:val="auto"/>
                <w:szCs w:val="21"/>
                <w:highlight w:val="none"/>
              </w:rPr>
              <w:t>备份响应文件</w:t>
            </w:r>
          </w:p>
        </w:tc>
      </w:tr>
      <w:tr w14:paraId="1191EE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70" w:type="dxa"/>
            <w:noWrap w:val="0"/>
            <w:vAlign w:val="center"/>
          </w:tcPr>
          <w:p w14:paraId="073BF6FE">
            <w:pPr>
              <w:keepNext w:val="0"/>
              <w:keepLines w:val="0"/>
              <w:pageBreakBefore w:val="0"/>
              <w:suppressLineNumbers w:val="0"/>
              <w:kinsoku/>
              <w:wordWrap/>
              <w:overflowPunct/>
              <w:topLinePunct w:val="0"/>
              <w:bidi w:val="0"/>
              <w:adjustRightInd/>
              <w:snapToGrid w:val="0"/>
              <w:spacing w:before="0" w:beforeAutospacing="0" w:after="0" w:afterAutospacing="0" w:line="312" w:lineRule="auto"/>
              <w:ind w:left="0" w:right="0"/>
              <w:jc w:val="center"/>
              <w:textAlignment w:val="auto"/>
              <w:rPr>
                <w:rFonts w:hint="eastAsia" w:ascii="宋体" w:hAnsi="宋体" w:eastAsia="宋体" w:cs="宋体"/>
                <w:color w:val="auto"/>
                <w:szCs w:val="21"/>
                <w:highlight w:val="yellow"/>
              </w:rPr>
            </w:pPr>
            <w:r>
              <w:rPr>
                <w:rFonts w:hint="eastAsia" w:ascii="宋体" w:hAnsi="宋体" w:eastAsia="宋体" w:cs="宋体"/>
                <w:color w:val="000000"/>
                <w:sz w:val="21"/>
                <w:szCs w:val="21"/>
                <w:highlight w:val="none"/>
              </w:rPr>
              <w:t>20.1</w:t>
            </w:r>
          </w:p>
        </w:tc>
        <w:tc>
          <w:tcPr>
            <w:tcW w:w="7834" w:type="dxa"/>
            <w:noWrap w:val="0"/>
            <w:vAlign w:val="center"/>
          </w:tcPr>
          <w:p w14:paraId="071624C2">
            <w:pPr>
              <w:keepNext w:val="0"/>
              <w:keepLines w:val="0"/>
              <w:pageBreakBefore w:val="0"/>
              <w:suppressLineNumbers w:val="0"/>
              <w:kinsoku/>
              <w:wordWrap/>
              <w:overflowPunct/>
              <w:topLinePunct w:val="0"/>
              <w:bidi w:val="0"/>
              <w:adjustRightInd/>
              <w:snapToGrid w:val="0"/>
              <w:spacing w:before="0" w:beforeAutospacing="0" w:after="0" w:afterAutospacing="0" w:line="312" w:lineRule="auto"/>
              <w:ind w:left="0" w:right="0" w:firstLine="420" w:firstLineChars="200"/>
              <w:jc w:val="left"/>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响应文件提交截止时间：详见竞争性磋商公告。</w:t>
            </w:r>
          </w:p>
          <w:p w14:paraId="512F101E">
            <w:pPr>
              <w:keepNext w:val="0"/>
              <w:keepLines w:val="0"/>
              <w:pageBreakBefore w:val="0"/>
              <w:suppressLineNumbers w:val="0"/>
              <w:kinsoku/>
              <w:wordWrap/>
              <w:overflowPunct/>
              <w:topLinePunct w:val="0"/>
              <w:bidi w:val="0"/>
              <w:adjustRightInd/>
              <w:snapToGrid w:val="0"/>
              <w:spacing w:before="0" w:beforeAutospacing="0" w:after="0" w:afterAutospacing="0" w:line="312" w:lineRule="auto"/>
              <w:ind w:left="0" w:right="0" w:firstLine="420" w:firstLineChars="200"/>
              <w:jc w:val="left"/>
              <w:textAlignment w:val="auto"/>
              <w:rPr>
                <w:rFonts w:hint="eastAsia" w:ascii="宋体" w:hAnsi="宋体" w:eastAsia="宋体" w:cs="宋体"/>
                <w:color w:val="auto"/>
                <w:szCs w:val="21"/>
                <w:highlight w:val="yellow"/>
              </w:rPr>
            </w:pPr>
            <w:r>
              <w:rPr>
                <w:rFonts w:hint="eastAsia" w:ascii="宋体" w:hAnsi="宋体" w:eastAsia="宋体" w:cs="宋体"/>
                <w:color w:val="000000"/>
                <w:sz w:val="21"/>
                <w:szCs w:val="21"/>
                <w:highlight w:val="none"/>
              </w:rPr>
              <w:t>响应文件提交地点：详见竞争性磋商公告。</w:t>
            </w:r>
          </w:p>
        </w:tc>
      </w:tr>
      <w:tr w14:paraId="2EB98D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9" w:hRule="atLeast"/>
          <w:jc w:val="center"/>
        </w:trPr>
        <w:tc>
          <w:tcPr>
            <w:tcW w:w="1070" w:type="dxa"/>
            <w:noWrap w:val="0"/>
            <w:vAlign w:val="center"/>
          </w:tcPr>
          <w:p w14:paraId="3148500A">
            <w:pPr>
              <w:keepNext w:val="0"/>
              <w:keepLines w:val="0"/>
              <w:pageBreakBefore w:val="0"/>
              <w:suppressLineNumbers w:val="0"/>
              <w:kinsoku/>
              <w:wordWrap/>
              <w:overflowPunct/>
              <w:topLinePunct w:val="0"/>
              <w:bidi w:val="0"/>
              <w:adjustRightInd/>
              <w:spacing w:before="0" w:beforeAutospacing="0" w:after="0" w:afterAutospacing="0" w:line="312" w:lineRule="auto"/>
              <w:ind w:left="0" w:right="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24.1</w:t>
            </w:r>
          </w:p>
        </w:tc>
        <w:tc>
          <w:tcPr>
            <w:tcW w:w="7834" w:type="dxa"/>
            <w:noWrap w:val="0"/>
            <w:vAlign w:val="center"/>
          </w:tcPr>
          <w:p w14:paraId="0D5D189A">
            <w:pPr>
              <w:keepNext w:val="0"/>
              <w:keepLines w:val="0"/>
              <w:pageBreakBefore w:val="0"/>
              <w:suppressLineNumbers w:val="0"/>
              <w:kinsoku/>
              <w:wordWrap/>
              <w:overflowPunct/>
              <w:topLinePunct w:val="0"/>
              <w:bidi w:val="0"/>
              <w:adjustRightInd/>
              <w:snapToGrid w:val="0"/>
              <w:spacing w:before="0" w:beforeAutospacing="0" w:after="0" w:afterAutospacing="0" w:line="312" w:lineRule="auto"/>
              <w:ind w:left="0" w:right="0"/>
              <w:jc w:val="left"/>
              <w:textAlignment w:val="auto"/>
              <w:rPr>
                <w:rFonts w:hint="eastAsia" w:ascii="宋体" w:hAnsi="宋体" w:cs="宋体"/>
                <w:color w:val="auto"/>
                <w:szCs w:val="21"/>
                <w:highlight w:val="none"/>
                <w:u w:val="single"/>
              </w:rPr>
            </w:pPr>
            <w:r>
              <w:rPr>
                <w:rFonts w:hint="eastAsia" w:ascii="宋体" w:hAnsi="宋体" w:cs="宋体"/>
                <w:color w:val="auto"/>
                <w:szCs w:val="21"/>
                <w:highlight w:val="none"/>
              </w:rPr>
              <w:t>磋商小组的人数：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3</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人。</w:t>
            </w:r>
          </w:p>
        </w:tc>
      </w:tr>
      <w:tr w14:paraId="18925A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9" w:hRule="atLeast"/>
          <w:jc w:val="center"/>
        </w:trPr>
        <w:tc>
          <w:tcPr>
            <w:tcW w:w="1070" w:type="dxa"/>
            <w:noWrap w:val="0"/>
            <w:vAlign w:val="center"/>
          </w:tcPr>
          <w:p w14:paraId="2E7D5C68">
            <w:pPr>
              <w:keepNext w:val="0"/>
              <w:keepLines w:val="0"/>
              <w:pageBreakBefore w:val="0"/>
              <w:suppressLineNumbers w:val="0"/>
              <w:kinsoku/>
              <w:wordWrap/>
              <w:overflowPunct/>
              <w:topLinePunct w:val="0"/>
              <w:bidi w:val="0"/>
              <w:adjustRightInd/>
              <w:spacing w:before="0" w:beforeAutospacing="0" w:after="0" w:afterAutospacing="0" w:line="312" w:lineRule="auto"/>
              <w:ind w:left="0" w:right="0"/>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25</w:t>
            </w:r>
          </w:p>
        </w:tc>
        <w:tc>
          <w:tcPr>
            <w:tcW w:w="7834" w:type="dxa"/>
            <w:noWrap w:val="0"/>
            <w:vAlign w:val="center"/>
          </w:tcPr>
          <w:p w14:paraId="3753D681">
            <w:pPr>
              <w:keepNext w:val="0"/>
              <w:keepLines w:val="0"/>
              <w:pageBreakBefore w:val="0"/>
              <w:suppressLineNumbers w:val="0"/>
              <w:kinsoku/>
              <w:wordWrap/>
              <w:overflowPunct/>
              <w:topLinePunct w:val="0"/>
              <w:bidi w:val="0"/>
              <w:adjustRightInd/>
              <w:snapToGrid w:val="0"/>
              <w:spacing w:before="0" w:beforeAutospacing="0" w:after="0" w:afterAutospacing="0" w:line="312" w:lineRule="auto"/>
              <w:ind w:left="0" w:right="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首次响应文件开启时间详见“竞争性磋商公告”</w:t>
            </w:r>
          </w:p>
          <w:p w14:paraId="5AFCD891">
            <w:pPr>
              <w:keepNext w:val="0"/>
              <w:keepLines w:val="0"/>
              <w:pageBreakBefore w:val="0"/>
              <w:suppressLineNumbers w:val="0"/>
              <w:kinsoku/>
              <w:wordWrap/>
              <w:overflowPunct/>
              <w:topLinePunct w:val="0"/>
              <w:bidi w:val="0"/>
              <w:adjustRightInd/>
              <w:snapToGrid w:val="0"/>
              <w:spacing w:before="0" w:beforeAutospacing="0" w:after="0" w:afterAutospacing="0" w:line="312" w:lineRule="auto"/>
              <w:ind w:left="0" w:right="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首次响应文件解密时间：</w:t>
            </w:r>
            <w:r>
              <w:rPr>
                <w:rFonts w:hint="eastAsia" w:ascii="宋体" w:hAnsi="宋体" w:eastAsia="宋体" w:cs="宋体"/>
                <w:color w:val="auto"/>
                <w:highlight w:val="none"/>
                <w:u w:val="single"/>
              </w:rPr>
              <w:t xml:space="preserve"> 30</w:t>
            </w:r>
            <w:r>
              <w:rPr>
                <w:rFonts w:hint="eastAsia" w:ascii="宋体" w:hAnsi="宋体" w:eastAsia="宋体" w:cs="宋体"/>
                <w:color w:val="auto"/>
                <w:highlight w:val="none"/>
              </w:rPr>
              <w:t>分钟</w:t>
            </w:r>
          </w:p>
        </w:tc>
      </w:tr>
      <w:tr w14:paraId="424B10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70" w:type="dxa"/>
            <w:noWrap w:val="0"/>
            <w:vAlign w:val="center"/>
          </w:tcPr>
          <w:p w14:paraId="11BAF5D0">
            <w:pPr>
              <w:keepNext w:val="0"/>
              <w:keepLines w:val="0"/>
              <w:pageBreakBefore w:val="0"/>
              <w:suppressLineNumbers w:val="0"/>
              <w:kinsoku/>
              <w:wordWrap/>
              <w:overflowPunct/>
              <w:topLinePunct w:val="0"/>
              <w:bidi w:val="0"/>
              <w:adjustRightInd/>
              <w:spacing w:before="0" w:beforeAutospacing="0" w:after="0" w:afterAutospacing="0" w:line="312" w:lineRule="auto"/>
              <w:ind w:left="0" w:right="0"/>
              <w:jc w:val="center"/>
              <w:textAlignment w:val="auto"/>
              <w:rPr>
                <w:rFonts w:hint="eastAsia" w:ascii="宋体" w:hAnsi="宋体" w:eastAsia="宋体" w:cs="宋体"/>
                <w:color w:val="auto"/>
                <w:szCs w:val="21"/>
                <w:highlight w:val="none"/>
                <w:lang w:eastAsia="zh-CN"/>
              </w:rPr>
            </w:pPr>
            <w:r>
              <w:rPr>
                <w:rFonts w:hint="default" w:ascii="宋体" w:hAnsi="宋体" w:cs="宋体"/>
                <w:color w:val="auto"/>
                <w:szCs w:val="21"/>
                <w:highlight w:val="none"/>
              </w:rPr>
              <w:t>2</w:t>
            </w:r>
            <w:r>
              <w:rPr>
                <w:rFonts w:hint="eastAsia" w:ascii="宋体" w:hAnsi="宋体" w:cs="宋体"/>
                <w:color w:val="auto"/>
                <w:szCs w:val="21"/>
                <w:highlight w:val="none"/>
                <w:lang w:val="en-US" w:eastAsia="zh-CN"/>
              </w:rPr>
              <w:t>6</w:t>
            </w:r>
          </w:p>
        </w:tc>
        <w:tc>
          <w:tcPr>
            <w:tcW w:w="7834" w:type="dxa"/>
            <w:noWrap w:val="0"/>
            <w:vAlign w:val="center"/>
          </w:tcPr>
          <w:p w14:paraId="0FEE69FC">
            <w:pPr>
              <w:keepNext w:val="0"/>
              <w:keepLines w:val="0"/>
              <w:pageBreakBefore w:val="0"/>
              <w:suppressLineNumbers w:val="0"/>
              <w:kinsoku/>
              <w:wordWrap/>
              <w:overflowPunct/>
              <w:topLinePunct w:val="0"/>
              <w:bidi w:val="0"/>
              <w:adjustRightInd/>
              <w:snapToGrid w:val="0"/>
              <w:spacing w:before="0" w:beforeAutospacing="0" w:after="0" w:afterAutospacing="0" w:line="312" w:lineRule="auto"/>
              <w:ind w:left="0" w:right="0"/>
              <w:textAlignment w:val="auto"/>
              <w:rPr>
                <w:rFonts w:hint="eastAsia"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本项目不收取履约保证金。</w:t>
            </w:r>
          </w:p>
          <w:p w14:paraId="27FCE999">
            <w:pPr>
              <w:keepNext w:val="0"/>
              <w:keepLines w:val="0"/>
              <w:pageBreakBefore w:val="0"/>
              <w:suppressLineNumbers w:val="0"/>
              <w:kinsoku/>
              <w:wordWrap/>
              <w:overflowPunct/>
              <w:topLinePunct w:val="0"/>
              <w:bidi w:val="0"/>
              <w:adjustRightInd/>
              <w:snapToGrid w:val="0"/>
              <w:spacing w:before="0" w:beforeAutospacing="0" w:after="0" w:afterAutospacing="0" w:line="312" w:lineRule="auto"/>
              <w:ind w:left="0" w:right="0"/>
              <w:textAlignment w:val="auto"/>
              <w:rPr>
                <w:rFonts w:hint="eastAsia" w:ascii="宋体" w:hAnsi="宋体" w:cs="宋体"/>
                <w:color w:val="auto"/>
                <w:szCs w:val="21"/>
                <w:highlight w:val="none"/>
              </w:rPr>
            </w:pP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rPr>
              <w:t>本项目收取履约保证金，具体规定如下</w:t>
            </w:r>
            <w:r>
              <w:rPr>
                <w:rFonts w:hint="eastAsia" w:ascii="宋体" w:hAnsi="宋体" w:cs="宋体"/>
                <w:color w:val="auto"/>
                <w:szCs w:val="21"/>
                <w:highlight w:val="none"/>
              </w:rPr>
              <w:t>：</w:t>
            </w:r>
          </w:p>
          <w:p w14:paraId="5A461C48">
            <w:pPr>
              <w:keepNext w:val="0"/>
              <w:keepLines w:val="0"/>
              <w:pageBreakBefore w:val="0"/>
              <w:suppressLineNumbers w:val="0"/>
              <w:kinsoku/>
              <w:wordWrap/>
              <w:overflowPunct/>
              <w:topLinePunct w:val="0"/>
              <w:bidi w:val="0"/>
              <w:adjustRightInd/>
              <w:snapToGrid w:val="0"/>
              <w:spacing w:before="0" w:beforeAutospacing="0" w:after="0" w:afterAutospacing="0" w:line="312" w:lineRule="auto"/>
              <w:ind w:left="0" w:right="0"/>
              <w:textAlignment w:val="auto"/>
              <w:rPr>
                <w:rFonts w:hint="eastAsia" w:ascii="宋体" w:hAnsi="宋体" w:cs="宋体"/>
                <w:color w:val="auto"/>
                <w:szCs w:val="21"/>
                <w:highlight w:val="none"/>
              </w:rPr>
            </w:pPr>
            <w:r>
              <w:rPr>
                <w:rFonts w:hint="eastAsia" w:ascii="宋体" w:hAnsi="宋体" w:cs="宋体"/>
                <w:color w:val="auto"/>
                <w:szCs w:val="21"/>
                <w:highlight w:val="none"/>
              </w:rPr>
              <w:t>履约保证金金额：按成交金额的</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w:t>
            </w:r>
          </w:p>
          <w:p w14:paraId="10FA3813">
            <w:pPr>
              <w:keepNext w:val="0"/>
              <w:keepLines w:val="0"/>
              <w:pageBreakBefore w:val="0"/>
              <w:suppressLineNumbers w:val="0"/>
              <w:kinsoku/>
              <w:wordWrap/>
              <w:overflowPunct/>
              <w:topLinePunct w:val="0"/>
              <w:bidi w:val="0"/>
              <w:adjustRightInd/>
              <w:snapToGrid w:val="0"/>
              <w:spacing w:before="0" w:beforeAutospacing="0" w:after="0" w:afterAutospacing="0" w:line="312" w:lineRule="auto"/>
              <w:ind w:left="0" w:right="0"/>
              <w:textAlignment w:val="auto"/>
              <w:rPr>
                <w:rFonts w:hint="eastAsia" w:ascii="宋体" w:hAnsi="宋体" w:cs="宋体"/>
                <w:color w:val="auto"/>
                <w:szCs w:val="21"/>
                <w:highlight w:val="none"/>
              </w:rPr>
            </w:pPr>
            <w:r>
              <w:rPr>
                <w:rFonts w:hint="eastAsia" w:ascii="宋体" w:hAnsi="宋体" w:cs="宋体"/>
                <w:color w:val="auto"/>
                <w:szCs w:val="21"/>
                <w:highlight w:val="none"/>
              </w:rPr>
              <w:t>履约保证金提交方式：银行转账、支票、汇票、本票或者金融、担保机构出具的保函等非现金方式。</w:t>
            </w:r>
          </w:p>
          <w:p w14:paraId="42342381">
            <w:pPr>
              <w:keepNext w:val="0"/>
              <w:keepLines w:val="0"/>
              <w:pageBreakBefore w:val="0"/>
              <w:suppressLineNumbers w:val="0"/>
              <w:kinsoku/>
              <w:wordWrap/>
              <w:overflowPunct/>
              <w:topLinePunct w:val="0"/>
              <w:bidi w:val="0"/>
              <w:adjustRightInd/>
              <w:snapToGrid w:val="0"/>
              <w:spacing w:before="0" w:beforeAutospacing="0" w:after="0" w:afterAutospacing="0" w:line="312" w:lineRule="auto"/>
              <w:ind w:left="0" w:right="0"/>
              <w:textAlignment w:val="auto"/>
              <w:rPr>
                <w:rFonts w:hint="eastAsia" w:ascii="宋体" w:hAnsi="宋体" w:cs="宋体"/>
                <w:color w:val="auto"/>
                <w:szCs w:val="21"/>
                <w:highlight w:val="none"/>
              </w:rPr>
            </w:pPr>
            <w:r>
              <w:rPr>
                <w:rFonts w:hint="eastAsia" w:ascii="宋体" w:hAnsi="宋体" w:cs="宋体"/>
                <w:color w:val="auto"/>
                <w:szCs w:val="21"/>
                <w:highlight w:val="none"/>
              </w:rPr>
              <w:t>履约保证金退付方式、时间及条件：成交供应商按合同履约的，从服务验收合格之日起满30日内，由成交供应商向履约保证金收取单位提供《广西壮族自治区政府采购项目合同验收书》（详见桂财采〔2015〕22号），保证金收取单位在收到合格材料后5个工作日内办理退还手续（不计利息）</w:t>
            </w:r>
            <w:r>
              <w:rPr>
                <w:rFonts w:hint="eastAsia" w:ascii="宋体" w:hAnsi="宋体" w:cs="宋体"/>
                <w:color w:val="auto"/>
                <w:szCs w:val="21"/>
                <w:highlight w:val="none"/>
                <w:lang w:eastAsia="zh-CN"/>
              </w:rPr>
              <w:t>。</w:t>
            </w:r>
          </w:p>
          <w:p w14:paraId="551E440A">
            <w:pPr>
              <w:keepNext w:val="0"/>
              <w:keepLines w:val="0"/>
              <w:pageBreakBefore w:val="0"/>
              <w:suppressLineNumbers w:val="0"/>
              <w:kinsoku/>
              <w:wordWrap/>
              <w:overflowPunct/>
              <w:topLinePunct w:val="0"/>
              <w:bidi w:val="0"/>
              <w:adjustRightInd/>
              <w:snapToGrid w:val="0"/>
              <w:spacing w:before="0" w:beforeAutospacing="0" w:after="0" w:afterAutospacing="0" w:line="312" w:lineRule="auto"/>
              <w:ind w:left="0" w:right="0"/>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备注：</w:t>
            </w:r>
          </w:p>
          <w:p w14:paraId="38301782">
            <w:pPr>
              <w:keepNext w:val="0"/>
              <w:keepLines w:val="0"/>
              <w:pageBreakBefore w:val="0"/>
              <w:suppressLineNumbers w:val="0"/>
              <w:kinsoku/>
              <w:wordWrap/>
              <w:overflowPunct/>
              <w:topLinePunct w:val="0"/>
              <w:bidi w:val="0"/>
              <w:adjustRightInd/>
              <w:snapToGrid w:val="0"/>
              <w:spacing w:before="0" w:beforeAutospacing="0" w:after="0" w:afterAutospacing="0" w:line="312" w:lineRule="auto"/>
              <w:ind w:left="0" w:right="0"/>
              <w:textAlignment w:val="auto"/>
              <w:rPr>
                <w:rFonts w:hint="eastAsia" w:ascii="宋体" w:hAnsi="宋体" w:cs="宋体"/>
                <w:b/>
                <w:bCs/>
                <w:color w:val="auto"/>
                <w:szCs w:val="21"/>
                <w:highlight w:val="none"/>
              </w:rPr>
            </w:pPr>
            <w:r>
              <w:rPr>
                <w:rFonts w:hint="eastAsia" w:ascii="宋体" w:hAnsi="宋体" w:cs="宋体"/>
                <w:b/>
                <w:bCs/>
                <w:color w:val="auto"/>
                <w:szCs w:val="21"/>
                <w:highlight w:val="none"/>
              </w:rPr>
              <w:t>1.</w:t>
            </w:r>
            <w:bookmarkStart w:id="60" w:name="_Hlk54170335"/>
            <w:r>
              <w:rPr>
                <w:rFonts w:hint="eastAsia" w:ascii="宋体" w:hAnsi="宋体" w:cs="宋体"/>
                <w:b/>
                <w:bCs/>
                <w:color w:val="auto"/>
                <w:szCs w:val="21"/>
                <w:highlight w:val="none"/>
              </w:rPr>
              <w:t>根据《广西壮族自治区财政厅关于持续优化政府采购营商环境推动高质量发展的通知》（桂财采〔2024〕55号）规定，采购文件要求中标或者成交供应商提交履约保证金的，履约保证金数额不得超过政府采购合同金额的5%，对中小企业收取的履约保证金数额不得超过政府采购合同金额的2%。采购人可根据供应商的资信等情况减免履约保证金。</w:t>
            </w:r>
            <w:bookmarkEnd w:id="60"/>
          </w:p>
          <w:p w14:paraId="57BAFB81">
            <w:pPr>
              <w:keepNext w:val="0"/>
              <w:keepLines w:val="0"/>
              <w:pageBreakBefore w:val="0"/>
              <w:suppressLineNumbers w:val="0"/>
              <w:kinsoku/>
              <w:wordWrap/>
              <w:overflowPunct/>
              <w:topLinePunct w:val="0"/>
              <w:bidi w:val="0"/>
              <w:adjustRightInd/>
              <w:snapToGrid w:val="0"/>
              <w:spacing w:before="0" w:beforeAutospacing="0" w:after="0" w:afterAutospacing="0" w:line="312" w:lineRule="auto"/>
              <w:ind w:left="0" w:right="0"/>
              <w:textAlignment w:val="auto"/>
              <w:rPr>
                <w:rFonts w:hint="eastAsia" w:ascii="宋体" w:hAnsi="宋体" w:cs="宋体"/>
                <w:b/>
                <w:bCs/>
                <w:color w:val="auto"/>
                <w:szCs w:val="21"/>
                <w:highlight w:val="none"/>
              </w:rPr>
            </w:pPr>
            <w:r>
              <w:rPr>
                <w:rFonts w:hint="eastAsia" w:ascii="宋体" w:hAnsi="宋体" w:cs="宋体"/>
                <w:b/>
                <w:bCs/>
                <w:color w:val="auto"/>
                <w:szCs w:val="21"/>
                <w:highlight w:val="none"/>
              </w:rPr>
              <w:t>2.履约保证金不足额缴纳的，或者银行、保险机构出具的保函额度不足的或者保函有效期低于合同履行期限（即签订采购合同之日起至履行完合同约定的权利及义务之日止）的，不予签订合同。</w:t>
            </w:r>
            <w:r>
              <w:rPr>
                <w:rFonts w:hint="eastAsia" w:ascii="宋体" w:hAnsi="宋体" w:cs="宋体"/>
                <w:b/>
                <w:bCs/>
                <w:color w:val="auto"/>
                <w:szCs w:val="21"/>
                <w:highlight w:val="none"/>
              </w:rPr>
              <w:br w:type="textWrapping"/>
            </w:r>
            <w:r>
              <w:rPr>
                <w:rFonts w:hint="eastAsia" w:ascii="宋体" w:hAnsi="宋体" w:cs="宋体"/>
                <w:b/>
                <w:bCs/>
                <w:color w:val="auto"/>
                <w:szCs w:val="21"/>
                <w:highlight w:val="none"/>
              </w:rPr>
              <w:t>3.采用银行、保险机构出具的保函的，必须为无条件保函，否则不予签订合同。</w:t>
            </w:r>
          </w:p>
          <w:p w14:paraId="7B244FB8">
            <w:pPr>
              <w:keepNext w:val="0"/>
              <w:keepLines w:val="0"/>
              <w:pageBreakBefore w:val="0"/>
              <w:suppressLineNumbers w:val="0"/>
              <w:kinsoku/>
              <w:wordWrap/>
              <w:overflowPunct/>
              <w:topLinePunct w:val="0"/>
              <w:bidi w:val="0"/>
              <w:adjustRightInd/>
              <w:snapToGrid w:val="0"/>
              <w:spacing w:before="0" w:beforeAutospacing="0" w:after="0" w:afterAutospacing="0" w:line="312" w:lineRule="auto"/>
              <w:ind w:left="0" w:right="0"/>
              <w:textAlignment w:val="auto"/>
              <w:rPr>
                <w:rFonts w:hint="eastAsia" w:ascii="宋体" w:hAnsi="宋体" w:cs="宋体"/>
                <w:color w:val="auto"/>
                <w:szCs w:val="21"/>
                <w:highlight w:val="none"/>
              </w:rPr>
            </w:pPr>
            <w:r>
              <w:rPr>
                <w:rFonts w:hint="eastAsia" w:ascii="宋体" w:hAnsi="宋体" w:cs="宋体"/>
                <w:b/>
                <w:bCs/>
                <w:color w:val="auto"/>
                <w:szCs w:val="21"/>
                <w:highlight w:val="none"/>
              </w:rPr>
              <w:t>4.供应商为联合体的，由联合体任意一方按规定提交的履约保证金，视为有效履约保证金。</w:t>
            </w:r>
          </w:p>
        </w:tc>
      </w:tr>
      <w:tr w14:paraId="676C59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70" w:type="dxa"/>
            <w:noWrap w:val="0"/>
            <w:vAlign w:val="center"/>
          </w:tcPr>
          <w:p w14:paraId="4E36111B">
            <w:pPr>
              <w:keepNext w:val="0"/>
              <w:keepLines w:val="0"/>
              <w:pageBreakBefore w:val="0"/>
              <w:suppressLineNumbers w:val="0"/>
              <w:kinsoku/>
              <w:wordWrap/>
              <w:overflowPunct/>
              <w:topLinePunct w:val="0"/>
              <w:bidi w:val="0"/>
              <w:adjustRightInd/>
              <w:spacing w:before="0" w:beforeAutospacing="0" w:after="0" w:afterAutospacing="0" w:line="312" w:lineRule="auto"/>
              <w:ind w:left="0" w:right="0"/>
              <w:jc w:val="center"/>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29</w:t>
            </w:r>
            <w:r>
              <w:rPr>
                <w:rFonts w:hint="default" w:ascii="宋体" w:hAnsi="宋体" w:cs="宋体"/>
                <w:color w:val="auto"/>
                <w:szCs w:val="21"/>
                <w:highlight w:val="none"/>
              </w:rPr>
              <w:t>.1</w:t>
            </w:r>
          </w:p>
        </w:tc>
        <w:tc>
          <w:tcPr>
            <w:tcW w:w="7834" w:type="dxa"/>
            <w:noWrap w:val="0"/>
            <w:vAlign w:val="center"/>
          </w:tcPr>
          <w:p w14:paraId="0A9DD171">
            <w:pPr>
              <w:keepNext w:val="0"/>
              <w:keepLines w:val="0"/>
              <w:pageBreakBefore w:val="0"/>
              <w:suppressLineNumbers w:val="0"/>
              <w:kinsoku/>
              <w:wordWrap/>
              <w:overflowPunct/>
              <w:topLinePunct w:val="0"/>
              <w:autoSpaceDE w:val="0"/>
              <w:autoSpaceDN w:val="0"/>
              <w:bidi w:val="0"/>
              <w:adjustRightInd/>
              <w:snapToGrid w:val="0"/>
              <w:spacing w:before="0" w:beforeAutospacing="0" w:after="0" w:afterAutospacing="0" w:line="312" w:lineRule="auto"/>
              <w:ind w:left="0" w:right="0"/>
              <w:textAlignment w:val="auto"/>
              <w:rPr>
                <w:rFonts w:hint="eastAsia" w:ascii="宋体" w:hAnsi="宋体"/>
                <w:color w:val="auto"/>
                <w:szCs w:val="21"/>
                <w:highlight w:val="none"/>
              </w:rPr>
            </w:pPr>
            <w:r>
              <w:rPr>
                <w:rFonts w:hint="eastAsia" w:ascii="宋体" w:hAnsi="宋体"/>
                <w:color w:val="auto"/>
                <w:szCs w:val="21"/>
                <w:highlight w:val="none"/>
              </w:rPr>
              <w:t xml:space="preserve">签订合同携带的证明材料： </w:t>
            </w:r>
          </w:p>
          <w:p w14:paraId="73E086D4">
            <w:pPr>
              <w:keepNext w:val="0"/>
              <w:keepLines w:val="0"/>
              <w:pageBreakBefore w:val="0"/>
              <w:suppressLineNumbers w:val="0"/>
              <w:kinsoku/>
              <w:wordWrap/>
              <w:overflowPunct/>
              <w:topLinePunct w:val="0"/>
              <w:autoSpaceDE w:val="0"/>
              <w:autoSpaceDN w:val="0"/>
              <w:bidi w:val="0"/>
              <w:adjustRightInd/>
              <w:snapToGrid w:val="0"/>
              <w:spacing w:before="0" w:beforeAutospacing="0" w:after="0" w:afterAutospacing="0" w:line="312" w:lineRule="auto"/>
              <w:ind w:left="0" w:right="0"/>
              <w:textAlignment w:val="auto"/>
              <w:rPr>
                <w:rFonts w:hint="eastAsia" w:ascii="宋体" w:hAnsi="宋体"/>
                <w:color w:val="auto"/>
                <w:szCs w:val="21"/>
                <w:highlight w:val="none"/>
              </w:rPr>
            </w:pPr>
            <w:r>
              <w:rPr>
                <w:rFonts w:hint="eastAsia" w:ascii="宋体" w:hAnsi="宋体"/>
                <w:color w:val="auto"/>
                <w:szCs w:val="21"/>
                <w:highlight w:val="none"/>
              </w:rPr>
              <w:t>委托代理人负责签订合同的，须携带授权委托书及委托代理人身份证原件等其他资格证件。</w:t>
            </w:r>
          </w:p>
          <w:p w14:paraId="6BAB7301">
            <w:pPr>
              <w:keepNext w:val="0"/>
              <w:keepLines w:val="0"/>
              <w:pageBreakBefore w:val="0"/>
              <w:suppressLineNumbers w:val="0"/>
              <w:kinsoku/>
              <w:wordWrap/>
              <w:overflowPunct/>
              <w:topLinePunct w:val="0"/>
              <w:bidi w:val="0"/>
              <w:adjustRightInd/>
              <w:snapToGrid w:val="0"/>
              <w:spacing w:before="0" w:beforeAutospacing="0" w:after="0" w:afterAutospacing="0" w:line="312" w:lineRule="auto"/>
              <w:ind w:left="0" w:right="0"/>
              <w:textAlignment w:val="auto"/>
              <w:rPr>
                <w:rFonts w:hint="eastAsia" w:ascii="宋体" w:hAnsi="宋体" w:cs="宋体"/>
                <w:color w:val="auto"/>
                <w:szCs w:val="21"/>
                <w:highlight w:val="none"/>
              </w:rPr>
            </w:pPr>
            <w:r>
              <w:rPr>
                <w:rFonts w:hint="eastAsia" w:ascii="宋体" w:hAnsi="宋体"/>
                <w:color w:val="auto"/>
                <w:szCs w:val="21"/>
                <w:highlight w:val="none"/>
              </w:rPr>
              <w:t>法定代表人负责签订合同的，须携带法定代表人</w:t>
            </w:r>
            <w:r>
              <w:rPr>
                <w:rFonts w:hint="default" w:ascii="宋体" w:hAnsi="宋体"/>
                <w:color w:val="auto"/>
                <w:szCs w:val="21"/>
                <w:highlight w:val="none"/>
              </w:rPr>
              <w:t>身份证明原件</w:t>
            </w:r>
            <w:r>
              <w:rPr>
                <w:rFonts w:hint="eastAsia" w:ascii="宋体" w:hAnsi="宋体"/>
                <w:color w:val="auto"/>
                <w:szCs w:val="21"/>
                <w:highlight w:val="none"/>
              </w:rPr>
              <w:t>及</w:t>
            </w:r>
            <w:r>
              <w:rPr>
                <w:rFonts w:hint="default" w:ascii="宋体" w:hAnsi="宋体"/>
                <w:color w:val="auto"/>
                <w:szCs w:val="21"/>
                <w:highlight w:val="none"/>
              </w:rPr>
              <w:t>身份证原件</w:t>
            </w:r>
            <w:r>
              <w:rPr>
                <w:rFonts w:hint="eastAsia" w:ascii="宋体" w:hAnsi="宋体"/>
                <w:color w:val="auto"/>
                <w:szCs w:val="21"/>
                <w:highlight w:val="none"/>
              </w:rPr>
              <w:t>等其他证明材料。</w:t>
            </w:r>
          </w:p>
        </w:tc>
      </w:tr>
      <w:tr w14:paraId="790657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45" w:hRule="atLeast"/>
          <w:jc w:val="center"/>
        </w:trPr>
        <w:tc>
          <w:tcPr>
            <w:tcW w:w="1070" w:type="dxa"/>
            <w:noWrap w:val="0"/>
            <w:vAlign w:val="center"/>
          </w:tcPr>
          <w:p w14:paraId="4FF0D142">
            <w:pPr>
              <w:keepNext w:val="0"/>
              <w:keepLines w:val="0"/>
              <w:pageBreakBefore w:val="0"/>
              <w:suppressLineNumbers w:val="0"/>
              <w:kinsoku/>
              <w:wordWrap/>
              <w:overflowPunct/>
              <w:topLinePunct w:val="0"/>
              <w:bidi w:val="0"/>
              <w:adjustRightInd/>
              <w:spacing w:before="0" w:beforeAutospacing="0" w:after="0" w:afterAutospacing="0" w:line="312" w:lineRule="auto"/>
              <w:ind w:left="0" w:right="0"/>
              <w:jc w:val="center"/>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31.2</w:t>
            </w:r>
          </w:p>
        </w:tc>
        <w:tc>
          <w:tcPr>
            <w:tcW w:w="7834" w:type="dxa"/>
            <w:noWrap w:val="0"/>
            <w:vAlign w:val="center"/>
          </w:tcPr>
          <w:p w14:paraId="05962F86">
            <w:pPr>
              <w:keepNext w:val="0"/>
              <w:keepLines w:val="0"/>
              <w:pageBreakBefore w:val="0"/>
              <w:suppressLineNumbers w:val="0"/>
              <w:kinsoku/>
              <w:wordWrap/>
              <w:overflowPunct/>
              <w:topLinePunct w:val="0"/>
              <w:bidi w:val="0"/>
              <w:adjustRightInd/>
              <w:snapToGrid w:val="0"/>
              <w:spacing w:before="0" w:beforeAutospacing="0" w:after="0" w:afterAutospacing="0" w:line="312" w:lineRule="auto"/>
              <w:ind w:left="0" w:right="0"/>
              <w:textAlignment w:val="auto"/>
              <w:rPr>
                <w:rFonts w:hint="eastAsia" w:ascii="宋体" w:hAnsi="宋体" w:cs="宋体"/>
                <w:color w:val="auto"/>
                <w:szCs w:val="21"/>
                <w:highlight w:val="none"/>
              </w:rPr>
            </w:pPr>
            <w:r>
              <w:rPr>
                <w:rFonts w:hint="eastAsia" w:ascii="宋体" w:hAnsi="宋体" w:cs="宋体"/>
                <w:color w:val="auto"/>
                <w:szCs w:val="21"/>
                <w:highlight w:val="none"/>
              </w:rPr>
              <w:t>接收质疑函方式：以书面形式。</w:t>
            </w:r>
          </w:p>
          <w:p w14:paraId="5A7E2DE8">
            <w:pPr>
              <w:pStyle w:val="17"/>
              <w:keepNext w:val="0"/>
              <w:keepLines w:val="0"/>
              <w:pageBreakBefore w:val="0"/>
              <w:suppressLineNumbers w:val="0"/>
              <w:kinsoku/>
              <w:wordWrap/>
              <w:overflowPunct/>
              <w:topLinePunct w:val="0"/>
              <w:bidi w:val="0"/>
              <w:adjustRightInd/>
              <w:snapToGrid w:val="0"/>
              <w:spacing w:before="0" w:beforeAutospacing="0" w:after="0" w:afterAutospacing="0" w:line="312" w:lineRule="auto"/>
              <w:ind w:left="0" w:right="0"/>
              <w:textAlignment w:val="auto"/>
              <w:rPr>
                <w:rFonts w:hint="eastAsia" w:hAnsi="宋体" w:cs="宋体"/>
                <w:color w:val="auto"/>
                <w:kern w:val="2"/>
                <w:sz w:val="21"/>
                <w:highlight w:val="none"/>
                <w:lang w:val="en-US" w:eastAsia="zh-CN"/>
              </w:rPr>
            </w:pPr>
            <w:r>
              <w:rPr>
                <w:rFonts w:hint="eastAsia" w:hAnsi="宋体" w:cs="宋体"/>
                <w:color w:val="auto"/>
                <w:kern w:val="2"/>
                <w:sz w:val="21"/>
                <w:highlight w:val="none"/>
                <w:lang w:val="en-US" w:eastAsia="zh-CN"/>
              </w:rPr>
              <w:t>质疑联系部门及联系方式：</w:t>
            </w:r>
            <w:r>
              <w:rPr>
                <w:rFonts w:hint="eastAsia" w:hAnsi="宋体" w:cs="宋体"/>
                <w:color w:val="auto"/>
                <w:sz w:val="21"/>
                <w:highlight w:val="none"/>
                <w:lang w:val="en-US" w:eastAsia="zh-CN"/>
              </w:rPr>
              <w:t>南宁品正建设咨询有限责任公司</w:t>
            </w:r>
            <w:r>
              <w:rPr>
                <w:rFonts w:hint="eastAsia" w:hAnsi="宋体" w:cs="宋体"/>
                <w:color w:val="auto"/>
                <w:kern w:val="2"/>
                <w:sz w:val="21"/>
                <w:highlight w:val="none"/>
                <w:lang w:val="en-US" w:eastAsia="zh-CN"/>
              </w:rPr>
              <w:t>，联系电话：0774-3894488，通讯地址：梧州市长洲区新兴二路119号西堤新苑5号楼地层。</w:t>
            </w:r>
          </w:p>
          <w:p w14:paraId="5977629B">
            <w:pPr>
              <w:keepNext w:val="0"/>
              <w:keepLines w:val="0"/>
              <w:pageBreakBefore w:val="0"/>
              <w:suppressLineNumbers w:val="0"/>
              <w:kinsoku/>
              <w:wordWrap/>
              <w:overflowPunct/>
              <w:topLinePunct w:val="0"/>
              <w:autoSpaceDE w:val="0"/>
              <w:autoSpaceDN w:val="0"/>
              <w:bidi w:val="0"/>
              <w:adjustRightInd/>
              <w:snapToGrid w:val="0"/>
              <w:spacing w:before="0" w:beforeAutospacing="0" w:after="0" w:afterAutospacing="0" w:line="312" w:lineRule="auto"/>
              <w:ind w:left="0" w:right="0"/>
              <w:textAlignment w:val="auto"/>
              <w:rPr>
                <w:rFonts w:hint="eastAsia" w:ascii="宋体" w:hAnsi="宋体"/>
                <w:color w:val="auto"/>
                <w:szCs w:val="21"/>
                <w:highlight w:val="none"/>
              </w:rPr>
            </w:pPr>
            <w:r>
              <w:rPr>
                <w:rFonts w:hint="eastAsia" w:hAnsi="宋体" w:cs="宋体"/>
                <w:color w:val="auto"/>
                <w:highlight w:val="none"/>
              </w:rPr>
              <w:t>业务时间：上午8时</w:t>
            </w:r>
            <w:r>
              <w:rPr>
                <w:rFonts w:hint="eastAsia" w:hAnsi="宋体" w:cs="宋体"/>
                <w:color w:val="auto"/>
                <w:highlight w:val="none"/>
                <w:lang w:val="en-US" w:eastAsia="zh-CN"/>
              </w:rPr>
              <w:t>3</w:t>
            </w:r>
            <w:r>
              <w:rPr>
                <w:rFonts w:hint="eastAsia" w:hAnsi="宋体" w:cs="宋体"/>
                <w:color w:val="auto"/>
                <w:highlight w:val="none"/>
              </w:rPr>
              <w:t>0分到12时00分，下午</w:t>
            </w:r>
            <w:r>
              <w:rPr>
                <w:rFonts w:hint="eastAsia" w:hAnsi="宋体" w:cs="宋体"/>
                <w:color w:val="auto"/>
                <w:highlight w:val="none"/>
                <w:lang w:val="en-US" w:eastAsia="zh-CN"/>
              </w:rPr>
              <w:t>15</w:t>
            </w:r>
            <w:r>
              <w:rPr>
                <w:rFonts w:hint="eastAsia" w:hAnsi="宋体" w:cs="宋体"/>
                <w:color w:val="auto"/>
                <w:highlight w:val="none"/>
              </w:rPr>
              <w:t>时00分到</w:t>
            </w:r>
            <w:r>
              <w:rPr>
                <w:rFonts w:hint="eastAsia" w:hAnsi="宋体" w:cs="宋体"/>
                <w:color w:val="auto"/>
                <w:highlight w:val="none"/>
                <w:lang w:val="en-US" w:eastAsia="zh-CN"/>
              </w:rPr>
              <w:t>18</w:t>
            </w:r>
            <w:r>
              <w:rPr>
                <w:rFonts w:hint="eastAsia" w:hAnsi="宋体" w:cs="宋体"/>
                <w:color w:val="auto"/>
                <w:highlight w:val="none"/>
              </w:rPr>
              <w:t>时00分，</w:t>
            </w:r>
            <w:r>
              <w:rPr>
                <w:rFonts w:hint="eastAsia" w:hAnsi="宋体"/>
                <w:color w:val="auto"/>
                <w:highlight w:val="none"/>
              </w:rPr>
              <w:t>业务时间以外、双休日和法定节假日不办理业务。</w:t>
            </w:r>
          </w:p>
        </w:tc>
      </w:tr>
      <w:tr w14:paraId="509983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70" w:type="dxa"/>
            <w:noWrap w:val="0"/>
            <w:vAlign w:val="center"/>
          </w:tcPr>
          <w:p w14:paraId="6A3EB32C">
            <w:pPr>
              <w:keepNext w:val="0"/>
              <w:keepLines w:val="0"/>
              <w:pageBreakBefore w:val="0"/>
              <w:suppressLineNumbers w:val="0"/>
              <w:kinsoku/>
              <w:wordWrap/>
              <w:overflowPunct/>
              <w:topLinePunct w:val="0"/>
              <w:bidi w:val="0"/>
              <w:adjustRightInd/>
              <w:snapToGrid w:val="0"/>
              <w:spacing w:before="0" w:beforeAutospacing="0" w:after="0" w:afterAutospacing="0" w:line="312" w:lineRule="auto"/>
              <w:ind w:left="0" w:right="0"/>
              <w:jc w:val="center"/>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000000"/>
                <w:sz w:val="21"/>
                <w:szCs w:val="21"/>
                <w:highlight w:val="none"/>
              </w:rPr>
              <w:t>32.1</w:t>
            </w:r>
          </w:p>
        </w:tc>
        <w:tc>
          <w:tcPr>
            <w:tcW w:w="7834" w:type="dxa"/>
            <w:noWrap w:val="0"/>
            <w:vAlign w:val="center"/>
          </w:tcPr>
          <w:p w14:paraId="20556193">
            <w:pPr>
              <w:pStyle w:val="17"/>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12" w:lineRule="auto"/>
              <w:ind w:left="0" w:right="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1.采购代理费支付方式：</w:t>
            </w:r>
          </w:p>
          <w:p w14:paraId="5DEAA3B4">
            <w:pPr>
              <w:pStyle w:val="17"/>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12" w:lineRule="auto"/>
              <w:ind w:left="0" w:right="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本项目代理服务费由成交供应商领取成交通知书前，一次性向采购代理机构支付。</w:t>
            </w:r>
          </w:p>
          <w:p w14:paraId="0173B5BB">
            <w:pPr>
              <w:pStyle w:val="17"/>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12" w:lineRule="auto"/>
              <w:ind w:left="0" w:right="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2.采购代理费收取标准：</w:t>
            </w:r>
          </w:p>
          <w:p w14:paraId="4E23F4BA">
            <w:pPr>
              <w:pStyle w:val="17"/>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12" w:lineRule="auto"/>
              <w:ind w:left="0" w:right="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以分标成交金额为计费额，按本须知正文第32.2条规定的收费计算标准（服务类）采用差额定率累进法计算出收费基准价格，采购代理收费以收费基准价格收取。</w:t>
            </w:r>
          </w:p>
          <w:p w14:paraId="0C7BC371">
            <w:pPr>
              <w:pStyle w:val="17"/>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12" w:lineRule="auto"/>
              <w:ind w:left="0" w:right="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3. 采购代理费收取银行账户</w:t>
            </w:r>
          </w:p>
          <w:p w14:paraId="3BE0AE6D">
            <w:pPr>
              <w:pStyle w:val="17"/>
              <w:keepNext w:val="0"/>
              <w:keepLines w:val="0"/>
              <w:pageBreakBefore w:val="0"/>
              <w:suppressLineNumbers w:val="0"/>
              <w:kinsoku/>
              <w:wordWrap/>
              <w:overflowPunct/>
              <w:topLinePunct w:val="0"/>
              <w:bidi w:val="0"/>
              <w:adjustRightInd/>
              <w:snapToGrid w:val="0"/>
              <w:spacing w:before="0" w:beforeAutospacing="0" w:after="0" w:afterAutospacing="0" w:line="312" w:lineRule="auto"/>
              <w:ind w:left="0" w:right="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开户名称：</w:t>
            </w:r>
            <w:r>
              <w:rPr>
                <w:rFonts w:hint="eastAsia" w:hAnsi="宋体" w:cs="宋体"/>
                <w:color w:val="auto"/>
                <w:sz w:val="21"/>
                <w:szCs w:val="21"/>
                <w:highlight w:val="none"/>
                <w:lang w:eastAsia="zh-CN"/>
              </w:rPr>
              <w:t>南宁品正建设咨询有限责任公司龙圩分公司</w:t>
            </w:r>
          </w:p>
          <w:p w14:paraId="0B14C57F">
            <w:pPr>
              <w:pStyle w:val="17"/>
              <w:keepNext w:val="0"/>
              <w:keepLines w:val="0"/>
              <w:pageBreakBefore w:val="0"/>
              <w:suppressLineNumbers w:val="0"/>
              <w:kinsoku/>
              <w:wordWrap/>
              <w:overflowPunct/>
              <w:topLinePunct w:val="0"/>
              <w:bidi w:val="0"/>
              <w:adjustRightInd/>
              <w:snapToGrid w:val="0"/>
              <w:spacing w:before="0" w:beforeAutospacing="0" w:after="0" w:afterAutospacing="0" w:line="312" w:lineRule="auto"/>
              <w:ind w:left="0" w:right="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开户银行：</w:t>
            </w:r>
            <w:r>
              <w:rPr>
                <w:rFonts w:hint="eastAsia" w:hAnsi="宋体" w:cs="宋体"/>
                <w:color w:val="auto"/>
                <w:sz w:val="21"/>
                <w:szCs w:val="21"/>
                <w:highlight w:val="none"/>
                <w:lang w:eastAsia="zh-CN"/>
              </w:rPr>
              <w:t>中国建设银行股份有限公司广西梧州龙圩支行</w:t>
            </w:r>
          </w:p>
          <w:p w14:paraId="27F448A7">
            <w:pPr>
              <w:pStyle w:val="17"/>
              <w:keepNext w:val="0"/>
              <w:keepLines w:val="0"/>
              <w:pageBreakBefore w:val="0"/>
              <w:suppressLineNumbers w:val="0"/>
              <w:kinsoku/>
              <w:wordWrap/>
              <w:overflowPunct/>
              <w:topLinePunct w:val="0"/>
              <w:bidi w:val="0"/>
              <w:adjustRightInd/>
              <w:snapToGrid w:val="0"/>
              <w:spacing w:before="0" w:beforeAutospacing="0" w:after="0" w:afterAutospacing="0" w:line="312" w:lineRule="auto"/>
              <w:ind w:left="0" w:right="0"/>
              <w:textAlignment w:val="auto"/>
              <w:rPr>
                <w:rFonts w:hint="eastAsia" w:ascii="宋体" w:hAnsi="宋体" w:eastAsia="宋体" w:cs="宋体"/>
                <w:color w:val="auto"/>
                <w:sz w:val="21"/>
                <w:highlight w:val="none"/>
                <w:lang w:val="en-US" w:eastAsia="zh-CN"/>
              </w:rPr>
            </w:pPr>
            <w:r>
              <w:rPr>
                <w:rFonts w:hint="eastAsia" w:ascii="宋体" w:hAnsi="宋体" w:eastAsia="宋体" w:cs="宋体"/>
                <w:color w:val="auto"/>
                <w:sz w:val="21"/>
                <w:szCs w:val="21"/>
                <w:highlight w:val="none"/>
              </w:rPr>
              <w:t>帐    号：</w:t>
            </w:r>
            <w:r>
              <w:rPr>
                <w:rFonts w:hint="eastAsia" w:hAnsi="宋体" w:cs="宋体"/>
                <w:color w:val="auto"/>
                <w:sz w:val="21"/>
                <w:szCs w:val="21"/>
                <w:highlight w:val="none"/>
                <w:lang w:eastAsia="zh-CN"/>
              </w:rPr>
              <w:t>914504063485593909</w:t>
            </w:r>
            <w:r>
              <w:rPr>
                <w:rFonts w:hint="eastAsia" w:ascii="宋体" w:hAnsi="宋体" w:eastAsia="宋体" w:cs="宋体"/>
                <w:color w:val="0000FF"/>
                <w:sz w:val="21"/>
                <w:szCs w:val="21"/>
                <w:highlight w:val="none"/>
                <w:lang w:val="en-US" w:eastAsia="zh-CN"/>
              </w:rPr>
              <w:t xml:space="preserve"> </w:t>
            </w:r>
          </w:p>
        </w:tc>
      </w:tr>
      <w:tr w14:paraId="05DFFE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70" w:type="dxa"/>
            <w:noWrap w:val="0"/>
            <w:vAlign w:val="center"/>
          </w:tcPr>
          <w:p w14:paraId="65CA5227">
            <w:pPr>
              <w:keepNext w:val="0"/>
              <w:keepLines w:val="0"/>
              <w:pageBreakBefore w:val="0"/>
              <w:suppressLineNumbers w:val="0"/>
              <w:kinsoku/>
              <w:wordWrap/>
              <w:overflowPunct/>
              <w:topLinePunct w:val="0"/>
              <w:bidi w:val="0"/>
              <w:adjustRightInd/>
              <w:spacing w:before="0" w:beforeAutospacing="0" w:after="0" w:afterAutospacing="0" w:line="312" w:lineRule="auto"/>
              <w:ind w:left="0" w:right="0"/>
              <w:jc w:val="center"/>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33.1</w:t>
            </w:r>
          </w:p>
        </w:tc>
        <w:tc>
          <w:tcPr>
            <w:tcW w:w="7834" w:type="dxa"/>
            <w:noWrap w:val="0"/>
            <w:vAlign w:val="center"/>
          </w:tcPr>
          <w:p w14:paraId="2A94C0FB">
            <w:pPr>
              <w:pStyle w:val="17"/>
              <w:keepNext w:val="0"/>
              <w:keepLines w:val="0"/>
              <w:pageBreakBefore w:val="0"/>
              <w:suppressLineNumbers w:val="0"/>
              <w:kinsoku/>
              <w:wordWrap/>
              <w:overflowPunct/>
              <w:topLinePunct w:val="0"/>
              <w:bidi w:val="0"/>
              <w:adjustRightInd/>
              <w:snapToGrid w:val="0"/>
              <w:spacing w:before="0" w:beforeAutospacing="0" w:after="0" w:afterAutospacing="0" w:line="312" w:lineRule="auto"/>
              <w:ind w:left="0" w:right="0"/>
              <w:textAlignment w:val="auto"/>
              <w:rPr>
                <w:rFonts w:hint="eastAsia" w:hAnsi="宋体" w:cs="宋体"/>
                <w:color w:val="auto"/>
                <w:kern w:val="2"/>
                <w:sz w:val="21"/>
                <w:highlight w:val="none"/>
                <w:lang w:val="en-US" w:eastAsia="zh-CN"/>
              </w:rPr>
            </w:pPr>
            <w:r>
              <w:rPr>
                <w:rFonts w:hint="eastAsia" w:hAnsi="宋体"/>
                <w:color w:val="auto"/>
                <w:sz w:val="21"/>
                <w:szCs w:val="21"/>
                <w:highlight w:val="none"/>
                <w:lang w:val="en-US" w:eastAsia="zh-CN"/>
              </w:rPr>
              <w:t>解释：</w:t>
            </w:r>
            <w:r>
              <w:rPr>
                <w:rFonts w:hint="default" w:hAnsi="宋体"/>
                <w:color w:val="auto"/>
                <w:sz w:val="21"/>
                <w:szCs w:val="21"/>
                <w:highlight w:val="none"/>
                <w:lang w:val="en-US" w:eastAsia="zh-CN"/>
              </w:rPr>
              <w:t>构成本</w:t>
            </w:r>
            <w:r>
              <w:rPr>
                <w:rFonts w:hint="eastAsia" w:hAnsi="宋体"/>
                <w:color w:val="auto"/>
                <w:sz w:val="21"/>
                <w:szCs w:val="21"/>
                <w:highlight w:val="none"/>
                <w:lang w:val="en-US" w:eastAsia="zh-CN"/>
              </w:rPr>
              <w:t>磋商文件</w:t>
            </w:r>
            <w:r>
              <w:rPr>
                <w:rFonts w:hint="default" w:hAnsi="宋体"/>
                <w:color w:val="auto"/>
                <w:sz w:val="21"/>
                <w:szCs w:val="21"/>
                <w:highlight w:val="none"/>
                <w:lang w:val="en-US" w:eastAsia="zh-CN"/>
              </w:rPr>
              <w:t>的各个组成文件应互为解释，互为说明；除</w:t>
            </w:r>
            <w:r>
              <w:rPr>
                <w:rFonts w:hint="eastAsia" w:hAnsi="宋体"/>
                <w:color w:val="auto"/>
                <w:sz w:val="21"/>
                <w:szCs w:val="21"/>
                <w:highlight w:val="none"/>
                <w:lang w:val="en-US" w:eastAsia="zh-CN"/>
              </w:rPr>
              <w:t>磋商文件</w:t>
            </w:r>
            <w:r>
              <w:rPr>
                <w:rFonts w:hint="default" w:hAnsi="宋体"/>
                <w:color w:val="auto"/>
                <w:sz w:val="21"/>
                <w:szCs w:val="21"/>
                <w:highlight w:val="none"/>
                <w:lang w:val="en-US" w:eastAsia="zh-CN"/>
              </w:rPr>
              <w:t>中有特别规定外，仅适用于</w:t>
            </w:r>
            <w:r>
              <w:rPr>
                <w:rFonts w:hint="eastAsia" w:hAnsi="宋体"/>
                <w:color w:val="auto"/>
                <w:sz w:val="21"/>
                <w:szCs w:val="21"/>
                <w:highlight w:val="none"/>
                <w:lang w:val="en-US" w:eastAsia="zh-CN"/>
              </w:rPr>
              <w:t>竞标</w:t>
            </w:r>
            <w:r>
              <w:rPr>
                <w:rFonts w:hint="default" w:hAnsi="宋体"/>
                <w:color w:val="auto"/>
                <w:sz w:val="21"/>
                <w:szCs w:val="21"/>
                <w:highlight w:val="none"/>
                <w:lang w:val="en-US" w:eastAsia="zh-CN"/>
              </w:rPr>
              <w:t>阶段的规定，按</w:t>
            </w:r>
            <w:r>
              <w:rPr>
                <w:rFonts w:hint="eastAsia" w:hAnsi="宋体"/>
                <w:color w:val="auto"/>
                <w:sz w:val="21"/>
                <w:szCs w:val="21"/>
                <w:highlight w:val="none"/>
                <w:lang w:val="en-US" w:eastAsia="zh-CN"/>
              </w:rPr>
              <w:t>更正公告（澄清公告）</w:t>
            </w:r>
            <w:r>
              <w:rPr>
                <w:rFonts w:hint="default" w:hAnsi="宋体"/>
                <w:color w:val="auto"/>
                <w:sz w:val="21"/>
                <w:szCs w:val="21"/>
                <w:highlight w:val="none"/>
                <w:lang w:val="en-US" w:eastAsia="zh-CN"/>
              </w:rPr>
              <w:t>、</w:t>
            </w:r>
            <w:r>
              <w:rPr>
                <w:rFonts w:hint="eastAsia" w:hAnsi="宋体"/>
                <w:color w:val="auto"/>
                <w:sz w:val="21"/>
                <w:szCs w:val="21"/>
                <w:highlight w:val="none"/>
                <w:lang w:val="en-US" w:eastAsia="zh-CN"/>
              </w:rPr>
              <w:t>竞争性磋商</w:t>
            </w:r>
            <w:r>
              <w:rPr>
                <w:rFonts w:hint="default" w:hAnsi="宋体"/>
                <w:color w:val="auto"/>
                <w:sz w:val="21"/>
                <w:szCs w:val="21"/>
                <w:highlight w:val="none"/>
                <w:lang w:val="en-US" w:eastAsia="zh-CN"/>
              </w:rPr>
              <w:t>公告、</w:t>
            </w:r>
            <w:r>
              <w:rPr>
                <w:rFonts w:hint="eastAsia" w:hAnsi="宋体"/>
                <w:color w:val="auto"/>
                <w:sz w:val="21"/>
                <w:szCs w:val="21"/>
                <w:highlight w:val="none"/>
                <w:lang w:val="en-US" w:eastAsia="zh-CN"/>
              </w:rPr>
              <w:t>供应商</w:t>
            </w:r>
            <w:r>
              <w:rPr>
                <w:rFonts w:hint="default" w:hAnsi="宋体"/>
                <w:color w:val="auto"/>
                <w:sz w:val="21"/>
                <w:szCs w:val="21"/>
                <w:highlight w:val="none"/>
                <w:lang w:val="en-US" w:eastAsia="zh-CN"/>
              </w:rPr>
              <w:t>须知</w:t>
            </w:r>
            <w:r>
              <w:rPr>
                <w:rFonts w:hint="eastAsia" w:hAnsi="宋体"/>
                <w:color w:val="auto"/>
                <w:sz w:val="21"/>
                <w:szCs w:val="21"/>
                <w:highlight w:val="none"/>
                <w:lang w:val="en-US" w:eastAsia="zh-CN"/>
              </w:rPr>
              <w:t>、采购需求</w:t>
            </w:r>
            <w:r>
              <w:rPr>
                <w:rFonts w:hint="default" w:hAnsi="宋体"/>
                <w:color w:val="auto"/>
                <w:sz w:val="21"/>
                <w:szCs w:val="21"/>
                <w:highlight w:val="none"/>
                <w:lang w:val="en-US" w:eastAsia="zh-CN"/>
              </w:rPr>
              <w:t>、</w:t>
            </w:r>
            <w:r>
              <w:rPr>
                <w:rFonts w:hint="eastAsia"/>
                <w:color w:val="auto"/>
                <w:sz w:val="21"/>
                <w:szCs w:val="21"/>
                <w:highlight w:val="none"/>
                <w:lang w:val="en-US" w:eastAsia="zh-CN"/>
              </w:rPr>
              <w:t>评审程序、评审方法和评审标准</w:t>
            </w:r>
            <w:r>
              <w:rPr>
                <w:rFonts w:hint="default" w:hAnsi="宋体"/>
                <w:color w:val="auto"/>
                <w:sz w:val="21"/>
                <w:szCs w:val="21"/>
                <w:highlight w:val="none"/>
                <w:lang w:val="en-US" w:eastAsia="zh-CN"/>
              </w:rPr>
              <w:t>、</w:t>
            </w:r>
            <w:r>
              <w:rPr>
                <w:rFonts w:hint="eastAsia" w:hAnsi="宋体"/>
                <w:color w:val="auto"/>
                <w:sz w:val="21"/>
                <w:szCs w:val="21"/>
                <w:highlight w:val="none"/>
                <w:lang w:val="en-US" w:eastAsia="zh-CN"/>
              </w:rPr>
              <w:t>响应</w:t>
            </w:r>
            <w:r>
              <w:rPr>
                <w:rFonts w:hint="default" w:hAnsi="宋体"/>
                <w:color w:val="auto"/>
                <w:sz w:val="21"/>
                <w:szCs w:val="21"/>
                <w:highlight w:val="none"/>
                <w:lang w:val="en-US" w:eastAsia="zh-CN"/>
              </w:rPr>
              <w:t>文件格式</w:t>
            </w:r>
            <w:r>
              <w:rPr>
                <w:rFonts w:hint="eastAsia" w:hAnsi="宋体"/>
                <w:color w:val="auto"/>
                <w:sz w:val="21"/>
                <w:szCs w:val="21"/>
                <w:highlight w:val="none"/>
                <w:lang w:val="en-US" w:eastAsia="zh-CN"/>
              </w:rPr>
              <w:t>、合同文本</w:t>
            </w:r>
            <w:r>
              <w:rPr>
                <w:rFonts w:hint="default" w:hAnsi="宋体"/>
                <w:color w:val="auto"/>
                <w:sz w:val="21"/>
                <w:szCs w:val="21"/>
                <w:highlight w:val="none"/>
                <w:lang w:val="en-US" w:eastAsia="zh-CN"/>
              </w:rPr>
              <w:t>的先后顺序解释；同一组成文件中就同一事项的规定或者约定不一致的，以编排顺序在后者为准；同一组成文件不同版本之间有不一致的，以形成时间在后者为准；</w:t>
            </w:r>
            <w:r>
              <w:rPr>
                <w:rFonts w:hint="eastAsia" w:hAnsi="宋体"/>
                <w:color w:val="auto"/>
                <w:sz w:val="21"/>
                <w:szCs w:val="21"/>
                <w:highlight w:val="none"/>
                <w:lang w:val="en-US" w:eastAsia="zh-CN"/>
              </w:rPr>
              <w:t>更正公告（澄清公告）</w:t>
            </w:r>
            <w:r>
              <w:rPr>
                <w:rFonts w:hint="default" w:hAnsi="宋体"/>
                <w:color w:val="auto"/>
                <w:sz w:val="21"/>
                <w:szCs w:val="21"/>
                <w:highlight w:val="none"/>
                <w:lang w:val="en-US" w:eastAsia="zh-CN"/>
              </w:rPr>
              <w:t>与同步更新的</w:t>
            </w:r>
            <w:r>
              <w:rPr>
                <w:rFonts w:hint="eastAsia" w:hAnsi="宋体"/>
                <w:color w:val="auto"/>
                <w:sz w:val="21"/>
                <w:szCs w:val="21"/>
                <w:highlight w:val="none"/>
                <w:lang w:val="en-US" w:eastAsia="zh-CN"/>
              </w:rPr>
              <w:t>磋商文件</w:t>
            </w:r>
            <w:r>
              <w:rPr>
                <w:rFonts w:hint="default" w:hAnsi="宋体"/>
                <w:color w:val="auto"/>
                <w:sz w:val="21"/>
                <w:szCs w:val="21"/>
                <w:highlight w:val="none"/>
                <w:lang w:val="en-US" w:eastAsia="zh-CN"/>
              </w:rPr>
              <w:t>不一致时以</w:t>
            </w:r>
            <w:r>
              <w:rPr>
                <w:rFonts w:hint="eastAsia" w:hAnsi="宋体"/>
                <w:color w:val="auto"/>
                <w:sz w:val="21"/>
                <w:szCs w:val="21"/>
                <w:highlight w:val="none"/>
                <w:lang w:val="en-US" w:eastAsia="zh-CN"/>
              </w:rPr>
              <w:t>更正公告（澄清公告）</w:t>
            </w:r>
            <w:r>
              <w:rPr>
                <w:rFonts w:hint="default" w:hAnsi="宋体"/>
                <w:color w:val="auto"/>
                <w:sz w:val="21"/>
                <w:szCs w:val="21"/>
                <w:highlight w:val="none"/>
                <w:lang w:val="en-US" w:eastAsia="zh-CN"/>
              </w:rPr>
              <w:t>为准。按本款前述规定仍不能形成结论的，由</w:t>
            </w:r>
            <w:r>
              <w:rPr>
                <w:rFonts w:hint="eastAsia" w:hAnsi="宋体"/>
                <w:color w:val="auto"/>
                <w:sz w:val="21"/>
                <w:szCs w:val="21"/>
                <w:highlight w:val="none"/>
                <w:lang w:val="en-US" w:eastAsia="zh-CN"/>
              </w:rPr>
              <w:t>采购</w:t>
            </w:r>
            <w:r>
              <w:rPr>
                <w:rFonts w:hint="default" w:hAnsi="宋体"/>
                <w:color w:val="auto"/>
                <w:sz w:val="21"/>
                <w:szCs w:val="21"/>
                <w:highlight w:val="none"/>
                <w:lang w:val="en-US" w:eastAsia="zh-CN"/>
              </w:rPr>
              <w:t>人</w:t>
            </w:r>
            <w:r>
              <w:rPr>
                <w:rFonts w:hint="eastAsia" w:hAnsi="宋体"/>
                <w:color w:val="auto"/>
                <w:sz w:val="21"/>
                <w:szCs w:val="21"/>
                <w:highlight w:val="none"/>
                <w:lang w:val="en-US" w:eastAsia="zh-CN"/>
              </w:rPr>
              <w:t>或者采购代理机构</w:t>
            </w:r>
            <w:r>
              <w:rPr>
                <w:rFonts w:hint="default" w:hAnsi="宋体"/>
                <w:color w:val="auto"/>
                <w:sz w:val="21"/>
                <w:szCs w:val="21"/>
                <w:highlight w:val="none"/>
                <w:lang w:val="en-US" w:eastAsia="zh-CN"/>
              </w:rPr>
              <w:t>负责解释。</w:t>
            </w:r>
          </w:p>
        </w:tc>
      </w:tr>
      <w:tr w14:paraId="140A66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70" w:type="dxa"/>
            <w:noWrap w:val="0"/>
            <w:vAlign w:val="center"/>
          </w:tcPr>
          <w:p w14:paraId="680036FA">
            <w:pPr>
              <w:keepNext w:val="0"/>
              <w:keepLines w:val="0"/>
              <w:pageBreakBefore w:val="0"/>
              <w:suppressLineNumbers w:val="0"/>
              <w:kinsoku/>
              <w:wordWrap/>
              <w:overflowPunct/>
              <w:topLinePunct w:val="0"/>
              <w:bidi w:val="0"/>
              <w:adjustRightInd/>
              <w:spacing w:before="0" w:beforeAutospacing="0" w:after="0" w:afterAutospacing="0" w:line="312" w:lineRule="auto"/>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Cs w:val="21"/>
                <w:highlight w:val="none"/>
              </w:rPr>
              <w:t>33.3</w:t>
            </w:r>
          </w:p>
        </w:tc>
        <w:tc>
          <w:tcPr>
            <w:tcW w:w="7834" w:type="dxa"/>
            <w:noWrap w:val="0"/>
            <w:vAlign w:val="center"/>
          </w:tcPr>
          <w:p w14:paraId="46487695">
            <w:pPr>
              <w:pStyle w:val="17"/>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12" w:lineRule="auto"/>
              <w:ind w:left="0" w:right="0"/>
              <w:textAlignment w:val="auto"/>
              <w:rPr>
                <w:rFonts w:hint="eastAsia" w:ascii="宋体" w:hAnsi="宋体" w:eastAsia="宋体" w:cs="宋体"/>
                <w:color w:val="auto"/>
                <w:sz w:val="21"/>
                <w:highlight w:val="none"/>
              </w:rPr>
            </w:pPr>
            <w:r>
              <w:rPr>
                <w:rFonts w:hint="eastAsia" w:ascii="宋体" w:hAnsi="宋体" w:eastAsia="宋体" w:cs="宋体"/>
                <w:color w:val="auto"/>
                <w:sz w:val="21"/>
                <w:highlight w:val="none"/>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1D995EA9">
            <w:pPr>
              <w:pStyle w:val="17"/>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12" w:lineRule="auto"/>
              <w:ind w:left="0" w:right="0"/>
              <w:textAlignment w:val="auto"/>
              <w:rPr>
                <w:rFonts w:hint="eastAsia" w:ascii="宋体" w:hAnsi="宋体" w:eastAsia="宋体" w:cs="宋体"/>
                <w:color w:val="auto"/>
                <w:sz w:val="21"/>
                <w:highlight w:val="none"/>
              </w:rPr>
            </w:pPr>
            <w:r>
              <w:rPr>
                <w:rFonts w:hint="eastAsia" w:ascii="宋体" w:hAnsi="宋体" w:eastAsia="宋体" w:cs="宋体"/>
                <w:bCs/>
                <w:color w:val="auto"/>
                <w:sz w:val="21"/>
                <w:highlight w:val="none"/>
              </w:rPr>
              <w:t>2.本磋商文件所称的“</w:t>
            </w:r>
            <w:r>
              <w:rPr>
                <w:rFonts w:hint="eastAsia" w:ascii="宋体" w:hAnsi="宋体" w:eastAsia="宋体" w:cs="宋体"/>
                <w:color w:val="auto"/>
                <w:sz w:val="21"/>
                <w:highlight w:val="none"/>
              </w:rPr>
              <w:t>电子签章</w:t>
            </w:r>
            <w:r>
              <w:rPr>
                <w:rFonts w:hint="eastAsia" w:ascii="宋体" w:hAnsi="宋体" w:eastAsia="宋体" w:cs="宋体"/>
                <w:bCs/>
                <w:color w:val="auto"/>
                <w:sz w:val="21"/>
                <w:highlight w:val="none"/>
              </w:rPr>
              <w:t>”、“电子签名”</w:t>
            </w:r>
            <w:r>
              <w:rPr>
                <w:rFonts w:hint="eastAsia" w:ascii="宋体" w:hAnsi="宋体" w:eastAsia="宋体" w:cs="宋体"/>
                <w:color w:val="auto"/>
                <w:sz w:val="21"/>
                <w:highlight w:val="none"/>
              </w:rPr>
              <w:t>，是指经广西政府采购云平台认可的CA认证的电子签名数据为表现形式的印章，可用于签署电子响应文件，电子印章与实物印章具有同等法律效力，不因其采用电子化表现形式而否定其法律效力。</w:t>
            </w:r>
          </w:p>
          <w:p w14:paraId="3BFA65DD">
            <w:pPr>
              <w:pStyle w:val="17"/>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12" w:lineRule="auto"/>
              <w:ind w:left="0" w:right="0"/>
              <w:textAlignment w:val="auto"/>
              <w:rPr>
                <w:rFonts w:hint="eastAsia" w:ascii="宋体" w:hAnsi="宋体" w:eastAsia="宋体" w:cs="宋体"/>
                <w:bCs/>
                <w:color w:val="auto"/>
                <w:sz w:val="21"/>
                <w:highlight w:val="none"/>
              </w:rPr>
            </w:pPr>
            <w:r>
              <w:rPr>
                <w:rFonts w:hint="eastAsia" w:ascii="宋体" w:hAnsi="宋体" w:eastAsia="宋体" w:cs="宋体"/>
                <w:color w:val="auto"/>
                <w:sz w:val="21"/>
                <w:highlight w:val="none"/>
              </w:rPr>
              <w:t>3.供应商为其他组织时，本磋商文件规定的法定代表人指负责人。本磋商文件所称负责人是指参加竞标的其他组织</w:t>
            </w:r>
            <w:r>
              <w:rPr>
                <w:rFonts w:hint="eastAsia" w:ascii="宋体" w:hAnsi="宋体" w:eastAsia="宋体" w:cs="宋体"/>
                <w:bCs/>
                <w:color w:val="auto"/>
                <w:sz w:val="21"/>
                <w:highlight w:val="none"/>
              </w:rPr>
              <w:t>营业执照或者执业许可证等证照上的</w:t>
            </w:r>
            <w:r>
              <w:rPr>
                <w:rFonts w:hint="eastAsia" w:ascii="宋体" w:hAnsi="宋体" w:eastAsia="宋体" w:cs="宋体"/>
                <w:color w:val="auto"/>
                <w:sz w:val="21"/>
                <w:highlight w:val="none"/>
              </w:rPr>
              <w:t>负责人</w:t>
            </w:r>
            <w:r>
              <w:rPr>
                <w:rFonts w:hint="eastAsia" w:ascii="宋体" w:hAnsi="宋体" w:eastAsia="宋体" w:cs="宋体"/>
                <w:bCs/>
                <w:color w:val="auto"/>
                <w:sz w:val="21"/>
                <w:highlight w:val="none"/>
              </w:rPr>
              <w:t>。</w:t>
            </w:r>
          </w:p>
          <w:p w14:paraId="4D86D759">
            <w:pPr>
              <w:pStyle w:val="17"/>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12" w:lineRule="auto"/>
              <w:ind w:left="0" w:right="0"/>
              <w:textAlignment w:val="auto"/>
              <w:rPr>
                <w:rFonts w:hint="eastAsia" w:ascii="宋体" w:hAnsi="宋体" w:eastAsia="宋体" w:cs="宋体"/>
                <w:color w:val="auto"/>
                <w:sz w:val="21"/>
                <w:highlight w:val="none"/>
              </w:rPr>
            </w:pPr>
            <w:r>
              <w:rPr>
                <w:rFonts w:hint="eastAsia" w:ascii="宋体" w:hAnsi="宋体" w:eastAsia="宋体" w:cs="宋体"/>
                <w:color w:val="auto"/>
                <w:sz w:val="21"/>
                <w:highlight w:val="none"/>
              </w:rPr>
              <w:t>4.本磋商文件中描述供应商的“签字”是指供应商的法定代表人或者委托代理人亲自在文件规定签署处亲笔写上个人的名字的行为，私章、签字章、印鉴、影印等其他形式均不能代替亲笔签字。</w:t>
            </w:r>
          </w:p>
          <w:p w14:paraId="3FDAE665">
            <w:pPr>
              <w:pStyle w:val="17"/>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12" w:lineRule="auto"/>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highlight w:val="none"/>
              </w:rPr>
              <w:t>5.本磋商文件所称的“以上”“以下”“以内”“届满”，包括本数；所称的“不满”“超过”“以外”，不包括本数。</w:t>
            </w:r>
          </w:p>
        </w:tc>
      </w:tr>
    </w:tbl>
    <w:p w14:paraId="024E1756">
      <w:pPr>
        <w:keepNext/>
        <w:keepLines/>
        <w:pageBreakBefore w:val="0"/>
        <w:widowControl w:val="0"/>
        <w:kinsoku/>
        <w:wordWrap/>
        <w:topLinePunct w:val="0"/>
        <w:bidi w:val="0"/>
        <w:spacing w:before="340" w:after="330" w:line="312" w:lineRule="auto"/>
        <w:jc w:val="both"/>
        <w:outlineLvl w:val="9"/>
        <w:rPr>
          <w:rFonts w:hint="eastAsia" w:ascii="Times New Roman" w:hAnsi="Times New Roman" w:eastAsia="宋体" w:cs="Times New Roman"/>
          <w:b/>
          <w:bCs/>
          <w:color w:val="auto"/>
          <w:kern w:val="44"/>
          <w:sz w:val="24"/>
          <w:szCs w:val="24"/>
          <w:lang w:val="en-US" w:eastAsia="zh-CN" w:bidi="ar-SA"/>
        </w:rPr>
      </w:pPr>
    </w:p>
    <w:p w14:paraId="51BF5EB6">
      <w:pPr>
        <w:pageBreakBefore w:val="0"/>
        <w:kinsoku/>
        <w:wordWrap/>
        <w:topLinePunct w:val="0"/>
        <w:bidi w:val="0"/>
        <w:spacing w:line="312" w:lineRule="auto"/>
        <w:rPr>
          <w:rFonts w:hint="eastAsia"/>
          <w:color w:val="auto"/>
          <w:sz w:val="24"/>
          <w:szCs w:val="24"/>
        </w:rPr>
      </w:pPr>
    </w:p>
    <w:p w14:paraId="4AEB65A3">
      <w:pPr>
        <w:keepNext/>
        <w:keepLines/>
        <w:widowControl w:val="0"/>
        <w:spacing w:before="340" w:after="330" w:line="578" w:lineRule="auto"/>
        <w:jc w:val="both"/>
        <w:outlineLvl w:val="9"/>
        <w:rPr>
          <w:rFonts w:hint="eastAsia" w:ascii="Times New Roman" w:hAnsi="Times New Roman" w:eastAsia="宋体" w:cs="Times New Roman"/>
          <w:b/>
          <w:bCs/>
          <w:color w:val="auto"/>
          <w:kern w:val="44"/>
          <w:sz w:val="24"/>
          <w:szCs w:val="24"/>
          <w:lang w:val="en-US" w:eastAsia="zh-CN" w:bidi="ar-SA"/>
        </w:rPr>
      </w:pPr>
    </w:p>
    <w:p w14:paraId="43EABD15">
      <w:pPr>
        <w:rPr>
          <w:rFonts w:hint="eastAsia"/>
          <w:color w:val="auto"/>
          <w:sz w:val="24"/>
          <w:szCs w:val="24"/>
        </w:rPr>
      </w:pPr>
    </w:p>
    <w:p w14:paraId="034DA33C">
      <w:pPr>
        <w:pStyle w:val="7"/>
        <w:rPr>
          <w:rFonts w:hint="eastAsia"/>
        </w:rPr>
      </w:pPr>
    </w:p>
    <w:p w14:paraId="4DE95747">
      <w:pPr>
        <w:rPr>
          <w:rFonts w:hint="eastAsia" w:ascii="宋体" w:hAnsi="宋体"/>
          <w:b/>
          <w:color w:val="auto"/>
          <w:sz w:val="32"/>
          <w:szCs w:val="32"/>
          <w:highlight w:val="none"/>
        </w:rPr>
      </w:pPr>
      <w:r>
        <w:rPr>
          <w:rFonts w:hint="eastAsia" w:ascii="宋体" w:hAnsi="宋体"/>
          <w:b/>
          <w:color w:val="auto"/>
          <w:sz w:val="32"/>
          <w:szCs w:val="32"/>
          <w:highlight w:val="none"/>
        </w:rPr>
        <w:br w:type="page"/>
      </w:r>
    </w:p>
    <w:p w14:paraId="62DED71A">
      <w:pPr>
        <w:pageBreakBefore w:val="0"/>
        <w:kinsoku/>
        <w:wordWrap/>
        <w:topLinePunct w:val="0"/>
        <w:bidi w:val="0"/>
        <w:spacing w:line="312" w:lineRule="auto"/>
        <w:jc w:val="center"/>
        <w:outlineLvl w:val="0"/>
        <w:rPr>
          <w:rFonts w:hint="eastAsia" w:ascii="宋体" w:hAnsi="宋体"/>
          <w:b/>
          <w:color w:val="auto"/>
          <w:sz w:val="32"/>
          <w:szCs w:val="32"/>
          <w:highlight w:val="none"/>
        </w:rPr>
      </w:pPr>
      <w:bookmarkStart w:id="61" w:name="_Toc3524"/>
      <w:r>
        <w:rPr>
          <w:rFonts w:hint="eastAsia" w:ascii="宋体" w:hAnsi="宋体"/>
          <w:b/>
          <w:color w:val="auto"/>
          <w:sz w:val="32"/>
          <w:szCs w:val="32"/>
          <w:highlight w:val="none"/>
        </w:rPr>
        <w:t>供应商须知正文</w:t>
      </w:r>
      <w:bookmarkEnd w:id="61"/>
    </w:p>
    <w:p w14:paraId="7E2C78AB">
      <w:pPr>
        <w:pageBreakBefore w:val="0"/>
        <w:kinsoku/>
        <w:wordWrap/>
        <w:topLinePunct w:val="0"/>
        <w:bidi w:val="0"/>
        <w:spacing w:line="312" w:lineRule="auto"/>
        <w:jc w:val="center"/>
        <w:rPr>
          <w:rFonts w:hint="eastAsia" w:ascii="宋体" w:hAnsi="宋体"/>
          <w:b/>
          <w:color w:val="auto"/>
          <w:sz w:val="32"/>
          <w:szCs w:val="32"/>
          <w:highlight w:val="none"/>
        </w:rPr>
      </w:pPr>
    </w:p>
    <w:p w14:paraId="43756C1A">
      <w:pPr>
        <w:pageBreakBefore w:val="0"/>
        <w:kinsoku/>
        <w:wordWrap/>
        <w:topLinePunct w:val="0"/>
        <w:bidi w:val="0"/>
        <w:spacing w:line="312" w:lineRule="auto"/>
        <w:jc w:val="center"/>
        <w:outlineLvl w:val="0"/>
        <w:rPr>
          <w:rFonts w:hint="eastAsia" w:ascii="宋体" w:hAnsi="宋体"/>
          <w:b/>
          <w:color w:val="auto"/>
          <w:sz w:val="32"/>
          <w:szCs w:val="32"/>
          <w:highlight w:val="none"/>
        </w:rPr>
      </w:pPr>
      <w:bookmarkStart w:id="62" w:name="_Toc3007"/>
      <w:r>
        <w:rPr>
          <w:rFonts w:hint="eastAsia" w:ascii="宋体" w:hAnsi="宋体"/>
          <w:b/>
          <w:color w:val="auto"/>
          <w:sz w:val="32"/>
          <w:szCs w:val="32"/>
          <w:highlight w:val="none"/>
        </w:rPr>
        <w:t>一、总则</w:t>
      </w:r>
      <w:bookmarkEnd w:id="62"/>
    </w:p>
    <w:p w14:paraId="52535680">
      <w:pPr>
        <w:pageBreakBefore w:val="0"/>
        <w:kinsoku/>
        <w:wordWrap/>
        <w:topLinePunct w:val="0"/>
        <w:bidi w:val="0"/>
        <w:spacing w:line="312" w:lineRule="auto"/>
        <w:rPr>
          <w:rFonts w:hint="eastAsia" w:ascii="宋体" w:hAnsi="宋体"/>
          <w:color w:val="auto"/>
          <w:szCs w:val="21"/>
          <w:highlight w:val="none"/>
        </w:rPr>
      </w:pPr>
    </w:p>
    <w:p w14:paraId="2066FBFF">
      <w:pPr>
        <w:pageBreakBefore w:val="0"/>
        <w:kinsoku/>
        <w:wordWrap/>
        <w:topLinePunct w:val="0"/>
        <w:bidi w:val="0"/>
        <w:spacing w:line="312"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1.适用范围</w:t>
      </w:r>
    </w:p>
    <w:p w14:paraId="52C8A152">
      <w:pPr>
        <w:pageBreakBefore w:val="0"/>
        <w:kinsoku/>
        <w:wordWrap/>
        <w:topLinePunct w:val="0"/>
        <w:bidi w:val="0"/>
        <w:spacing w:line="312"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1.1本项目采购人、采购代理机构、供应商、磋商小组的相关行为均受《中华人民共和国政府采购法》《中华人民共和国政府采购法实施条例》</w:t>
      </w:r>
      <w:r>
        <w:rPr>
          <w:rFonts w:hint="eastAsia" w:ascii="宋体" w:hAnsi="宋体"/>
          <w:color w:val="auto"/>
          <w:szCs w:val="21"/>
          <w:highlight w:val="none"/>
        </w:rPr>
        <w:t>《政府采购竞争性磋商采购方式管理暂行办法》《财政部关于政府采购竞争性磋商采购方式管理暂行办法有关问题的补充通知》</w:t>
      </w:r>
      <w:r>
        <w:rPr>
          <w:rFonts w:hint="eastAsia" w:ascii="宋体" w:hAnsi="宋体" w:cs="宋体"/>
          <w:color w:val="auto"/>
          <w:szCs w:val="21"/>
          <w:highlight w:val="none"/>
        </w:rPr>
        <w:t>及本项目本级和上级财政部门政府采购有关规定的约束和保护。</w:t>
      </w:r>
    </w:p>
    <w:p w14:paraId="0C887BF5">
      <w:pPr>
        <w:pageBreakBefore w:val="0"/>
        <w:kinsoku/>
        <w:wordWrap/>
        <w:topLinePunct w:val="0"/>
        <w:bidi w:val="0"/>
        <w:spacing w:line="312"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w:t>
      </w:r>
      <w:r>
        <w:rPr>
          <w:rFonts w:hint="eastAsia" w:ascii="宋体" w:hAnsi="宋体" w:cs="宋体"/>
          <w:color w:val="auto"/>
          <w:spacing w:val="-6"/>
          <w:szCs w:val="21"/>
          <w:highlight w:val="none"/>
        </w:rPr>
        <w:t>本竞争性磋商文件（以下简称磋商文件）适用于本项目的所有采购程序和环节（法律、法规另有规定的，从其规定）。</w:t>
      </w:r>
    </w:p>
    <w:p w14:paraId="13CF129C">
      <w:pPr>
        <w:pageBreakBefore w:val="0"/>
        <w:kinsoku/>
        <w:wordWrap/>
        <w:topLinePunct w:val="0"/>
        <w:bidi w:val="0"/>
        <w:spacing w:line="312"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2.定义</w:t>
      </w:r>
    </w:p>
    <w:p w14:paraId="1CAE6B22">
      <w:pPr>
        <w:pageBreakBefore w:val="0"/>
        <w:kinsoku/>
        <w:wordWrap/>
        <w:topLinePunct w:val="0"/>
        <w:bidi w:val="0"/>
        <w:spacing w:line="312"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2.1“采购人”是指依法进行政府采购的国家机关、事业单位、团体组织。</w:t>
      </w:r>
    </w:p>
    <w:p w14:paraId="28F50A74">
      <w:pPr>
        <w:pageBreakBefore w:val="0"/>
        <w:kinsoku/>
        <w:wordWrap/>
        <w:topLinePunct w:val="0"/>
        <w:bidi w:val="0"/>
        <w:spacing w:line="312" w:lineRule="auto"/>
        <w:ind w:firstLine="420" w:firstLineChars="200"/>
        <w:rPr>
          <w:rFonts w:hint="eastAsia" w:ascii="宋体" w:hAnsi="宋体" w:eastAsia="宋体" w:cs="宋体"/>
          <w:color w:val="000000"/>
          <w:szCs w:val="21"/>
          <w:highlight w:val="none"/>
          <w:u w:val="single"/>
        </w:rPr>
      </w:pPr>
      <w:r>
        <w:rPr>
          <w:rFonts w:hint="eastAsia" w:ascii="宋体" w:hAnsi="宋体" w:eastAsia="宋体" w:cs="宋体"/>
          <w:color w:val="000000"/>
          <w:szCs w:val="21"/>
          <w:highlight w:val="none"/>
        </w:rPr>
        <w:t>2.2“采购代理机构”是指政府采购集中采购机构和集中采购机构以外的采购代理机构。</w:t>
      </w:r>
    </w:p>
    <w:p w14:paraId="4C0B0867">
      <w:pPr>
        <w:pageBreakBefore w:val="0"/>
        <w:kinsoku/>
        <w:wordWrap/>
        <w:topLinePunct w:val="0"/>
        <w:bidi w:val="0"/>
        <w:spacing w:line="312"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2.3“供应商”是指向采购人提供货物、工程或者服务的法人、其他组织或者自然人。</w:t>
      </w:r>
    </w:p>
    <w:p w14:paraId="7635170F">
      <w:pPr>
        <w:pageBreakBefore w:val="0"/>
        <w:kinsoku/>
        <w:wordWrap/>
        <w:topLinePunct w:val="0"/>
        <w:bidi w:val="0"/>
        <w:spacing w:line="312"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2.4</w:t>
      </w:r>
      <w:r>
        <w:rPr>
          <w:rFonts w:hint="eastAsia" w:ascii="宋体" w:hAnsi="宋体" w:eastAsia="宋体" w:cs="宋体"/>
          <w:color w:val="auto"/>
          <w:szCs w:val="21"/>
          <w:highlight w:val="none"/>
        </w:rPr>
        <w:t>“工程”是指建设工程，包括建筑物和构筑物的新建、改建、扩建、装修、拆除、修缮等</w:t>
      </w:r>
      <w:r>
        <w:rPr>
          <w:rFonts w:hint="eastAsia" w:ascii="宋体" w:hAnsi="宋体" w:eastAsia="宋体" w:cs="宋体"/>
          <w:color w:val="000000"/>
          <w:szCs w:val="21"/>
          <w:highlight w:val="none"/>
        </w:rPr>
        <w:t>。</w:t>
      </w:r>
    </w:p>
    <w:p w14:paraId="6BF653A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2.5“竞标”是指供应商按照本项目竞争性磋商公告或者邀请函规定的方式获取磋商文件、提交响应文件并希望获得标的的行为。</w:t>
      </w:r>
    </w:p>
    <w:p w14:paraId="64552AE2">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2.6“书面形式”是指合同书、信件和数据电文（包括电报、电传、传真、电子数据交换和电子邮件）等可以有形地表现所载内容的形式。</w:t>
      </w:r>
    </w:p>
    <w:p w14:paraId="4B07B9E6">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2.7“响应文件”是指：供应商根据本磋商文件要求，编制包含资格证明、报价、商务技术等所有内容的文件</w:t>
      </w:r>
      <w:r>
        <w:rPr>
          <w:rFonts w:hint="eastAsia" w:ascii="宋体" w:hAnsi="宋体" w:eastAsia="宋体" w:cs="宋体"/>
          <w:color w:val="auto"/>
          <w:spacing w:val="-6"/>
          <w:szCs w:val="21"/>
          <w:highlight w:val="none"/>
        </w:rPr>
        <w:t>。</w:t>
      </w:r>
    </w:p>
    <w:p w14:paraId="05E11ED7">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2.8“实质性要求”是指磋商文件中已经指明不满足则响应文件按无效处理的条款，或者不能负偏离的条款，或者采购需求中带“▲”的条款。</w:t>
      </w:r>
    </w:p>
    <w:p w14:paraId="54BC219B">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2.9“正偏离”，是指响应文件对磋商文件“采购需求”中有关条款作出的响应优于条款要求并有利于采购人的情形。</w:t>
      </w:r>
    </w:p>
    <w:p w14:paraId="498718CA">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2.10“负偏离”，是指响应文件对磋商文件“采购需求”中有关条款作出的响应不满足条款要求，导致采购人要求不能得到满足的情形。</w:t>
      </w:r>
    </w:p>
    <w:p w14:paraId="5C1CF636">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2.11“允许负偏离的条款”是指采购需求中的不属于“实质性要求”的条款。</w:t>
      </w:r>
    </w:p>
    <w:p w14:paraId="392E21F8">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2.12“首次报价”是指供应商提交的首次响应文件中的报价。</w:t>
      </w:r>
    </w:p>
    <w:p w14:paraId="6F45B3D3">
      <w:pPr>
        <w:pageBreakBefore w:val="0"/>
        <w:kinsoku/>
        <w:wordWrap/>
        <w:topLinePunct w:val="0"/>
        <w:bidi w:val="0"/>
        <w:spacing w:line="312"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000000"/>
          <w:szCs w:val="21"/>
          <w:highlight w:val="none"/>
        </w:rPr>
        <w:t>2.13“评审报价”是指供应商提交的最后报价并经修正（如有）和政策功能价格扣除（如有）后的价格。</w:t>
      </w:r>
    </w:p>
    <w:p w14:paraId="073E229C">
      <w:pPr>
        <w:pageBreakBefore w:val="0"/>
        <w:kinsoku/>
        <w:wordWrap/>
        <w:topLinePunct w:val="0"/>
        <w:bidi w:val="0"/>
        <w:spacing w:line="312"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3.供应商的资格条件</w:t>
      </w:r>
    </w:p>
    <w:p w14:paraId="7401BD75">
      <w:pPr>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3.1</w:t>
      </w:r>
      <w:r>
        <w:rPr>
          <w:rFonts w:hint="eastAsia" w:ascii="宋体" w:hAnsi="宋体" w:eastAsia="宋体" w:cs="宋体"/>
          <w:color w:val="000000"/>
          <w:szCs w:val="21"/>
          <w:highlight w:val="none"/>
        </w:rPr>
        <w:t>供应商的资格条件详见“供应商须知前附表”。</w:t>
      </w:r>
    </w:p>
    <w:p w14:paraId="4010889E">
      <w:pPr>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3.2供应商</w:t>
      </w:r>
      <w:r>
        <w:rPr>
          <w:rFonts w:hint="eastAsia" w:ascii="宋体" w:hAnsi="宋体" w:eastAsia="宋体" w:cs="宋体"/>
          <w:color w:val="auto"/>
          <w:highlight w:val="none"/>
        </w:rPr>
        <w:t>不得存在下列情形之一：</w:t>
      </w:r>
    </w:p>
    <w:p w14:paraId="54CF2D5A">
      <w:pPr>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highlight w:val="none"/>
        </w:rPr>
        <w:t>（1）</w:t>
      </w:r>
      <w:r>
        <w:rPr>
          <w:rFonts w:hint="eastAsia" w:ascii="宋体" w:hAnsi="宋体" w:eastAsia="宋体" w:cs="宋体"/>
          <w:color w:val="auto"/>
          <w:szCs w:val="21"/>
          <w:highlight w:val="none"/>
        </w:rPr>
        <w:t>单位负责人为同一人或者存在直接控股、管理关系的不同供应商，不得参加同一合同项下的政府采购活动；</w:t>
      </w:r>
    </w:p>
    <w:p w14:paraId="119B76CE">
      <w:pPr>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（2）为本项目提供过整体设计、规范编制或者项目管理、监理、检测等服务的供应商，不得再参加本项目上述服务以外的其他采购活动；</w:t>
      </w:r>
    </w:p>
    <w:p w14:paraId="6960E1AC">
      <w:pPr>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（3）为本分标的代建人；</w:t>
      </w:r>
    </w:p>
    <w:p w14:paraId="2DA5DB06">
      <w:pPr>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（4）为本分标提供采购代理服务的；</w:t>
      </w:r>
    </w:p>
    <w:p w14:paraId="63F86BAE">
      <w:pPr>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（5）与本分标的监理人或代建人或采购代理机构同为一个法定代表人的；</w:t>
      </w:r>
    </w:p>
    <w:p w14:paraId="58BF4DBC">
      <w:pPr>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（6）与本分标的监理人或代建人或采购代理机构相互控股或参股的；</w:t>
      </w:r>
    </w:p>
    <w:p w14:paraId="37505999">
      <w:pPr>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（7）与本分标的监理人或代建人或采购代理机构相互任职或工作的；</w:t>
      </w:r>
    </w:p>
    <w:p w14:paraId="6CB7D8B5">
      <w:pPr>
        <w:pageBreakBefore w:val="0"/>
        <w:kinsoku/>
        <w:wordWrap/>
        <w:topLinePunct w:val="0"/>
        <w:bidi w:val="0"/>
        <w:spacing w:line="312" w:lineRule="auto"/>
        <w:ind w:firstLine="420" w:firstLineChars="200"/>
        <w:rPr>
          <w:rFonts w:hint="eastAsia" w:ascii="宋体" w:hAnsi="宋体" w:eastAsia="宋体" w:cs="宋体"/>
          <w:color w:val="auto"/>
          <w:szCs w:val="21"/>
          <w:highlight w:val="none"/>
        </w:rPr>
      </w:pPr>
      <w:bookmarkStart w:id="63" w:name="_Toc3986"/>
      <w:r>
        <w:rPr>
          <w:rFonts w:hint="eastAsia" w:ascii="宋体" w:hAnsi="宋体" w:eastAsia="宋体" w:cs="宋体"/>
          <w:b w:val="0"/>
          <w:bCs/>
          <w:color w:val="auto"/>
          <w:highlight w:val="none"/>
        </w:rPr>
        <w:t>（8）在“信用中国”网站（www.creditchina.gov.cn） 、中国政府采购网（www.ccgp.gov.cn）被列入失信被执行人、重大税收违法失信主体、政府采购严重违法失信行为记录名单及其他不符合《中华人民共和国政府采购法》第二十二条规定条件的。</w:t>
      </w:r>
      <w:bookmarkEnd w:id="63"/>
    </w:p>
    <w:p w14:paraId="21AEA68B">
      <w:pPr>
        <w:pageBreakBefore w:val="0"/>
        <w:kinsoku/>
        <w:wordWrap/>
        <w:topLinePunct w:val="0"/>
        <w:bidi w:val="0"/>
        <w:spacing w:line="312"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4.竞标费用</w:t>
      </w:r>
    </w:p>
    <w:p w14:paraId="7B2B291D">
      <w:pPr>
        <w:pageBreakBefore w:val="0"/>
        <w:kinsoku/>
        <w:wordWrap/>
        <w:topLinePunct w:val="0"/>
        <w:bidi w:val="0"/>
        <w:spacing w:line="312"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供应商应承担参与本次采购活动有关的所有费用，包括但不限于获取磋商文件、勘查现场、编制和提交响应文件、参加磋商与应答、签订合同等，不论竞标结果如何，均应自行承担。</w:t>
      </w:r>
    </w:p>
    <w:p w14:paraId="31211722">
      <w:pPr>
        <w:pageBreakBefore w:val="0"/>
        <w:kinsoku/>
        <w:wordWrap/>
        <w:topLinePunct w:val="0"/>
        <w:bidi w:val="0"/>
        <w:spacing w:line="312"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5.联合体竞标</w:t>
      </w:r>
    </w:p>
    <w:p w14:paraId="356EC956">
      <w:pPr>
        <w:pageBreakBefore w:val="0"/>
        <w:kinsoku/>
        <w:wordWrap/>
        <w:topLinePunct w:val="0"/>
        <w:bidi w:val="0"/>
        <w:spacing w:line="312"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5.1本项目是否接受联合体竞标，详见“供应商须知前附表”。</w:t>
      </w:r>
    </w:p>
    <w:p w14:paraId="5E8BB471">
      <w:pPr>
        <w:pageBreakBefore w:val="0"/>
        <w:kinsoku/>
        <w:wordWrap/>
        <w:topLinePunct w:val="0"/>
        <w:bidi w:val="0"/>
        <w:spacing w:line="312"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5.2</w:t>
      </w:r>
      <w:r>
        <w:rPr>
          <w:rFonts w:hint="eastAsia" w:ascii="宋体" w:hAnsi="宋体"/>
          <w:color w:val="auto"/>
          <w:highlight w:val="none"/>
        </w:rPr>
        <w:t>如接受联合体竞标，</w:t>
      </w:r>
      <w:r>
        <w:rPr>
          <w:rFonts w:hint="eastAsia" w:ascii="宋体" w:hAnsi="宋体" w:cs="宋体"/>
          <w:color w:val="auto"/>
          <w:szCs w:val="21"/>
          <w:highlight w:val="none"/>
        </w:rPr>
        <w:t>联合体竞标要求详见“供应商须知前附表”。</w:t>
      </w:r>
    </w:p>
    <w:p w14:paraId="29452DDD">
      <w:pPr>
        <w:pageBreakBefore w:val="0"/>
        <w:kinsoku/>
        <w:wordWrap/>
        <w:topLinePunct w:val="0"/>
        <w:bidi w:val="0"/>
        <w:spacing w:line="312"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5.3根据《政府采购促进中小企业发展管理办法》（财库〔2020〕46号）及《广西壮族自治区财政厅关于持续优化政府采购营商环境推动高质量发展的通知》（桂财采〔2024〕55号）的规定，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%的扣除，用扣除后的价格参加评审</w:t>
      </w:r>
      <w:r>
        <w:rPr>
          <w:rFonts w:hint="eastAsia" w:ascii="宋体" w:hAnsi="宋体" w:eastAsia="宋体" w:cs="宋体"/>
          <w:bCs/>
          <w:color w:val="auto"/>
          <w:szCs w:val="21"/>
          <w:lang w:val="en-US" w:eastAsia="zh-CN"/>
        </w:rPr>
        <w:t>。</w:t>
      </w:r>
    </w:p>
    <w:p w14:paraId="59D0D4CD">
      <w:pPr>
        <w:pageBreakBefore w:val="0"/>
        <w:kinsoku/>
        <w:wordWrap/>
        <w:topLinePunct w:val="0"/>
        <w:bidi w:val="0"/>
        <w:spacing w:line="312"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 xml:space="preserve">6.转包与分包             </w:t>
      </w:r>
    </w:p>
    <w:p w14:paraId="4F1CFB4D">
      <w:pPr>
        <w:pageBreakBefore w:val="0"/>
        <w:kinsoku/>
        <w:wordWrap/>
        <w:topLinePunct w:val="0"/>
        <w:bidi w:val="0"/>
        <w:spacing w:line="312"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6.1本项目不允许转包。</w:t>
      </w:r>
    </w:p>
    <w:p w14:paraId="2B573346">
      <w:pPr>
        <w:pageBreakBefore w:val="0"/>
        <w:kinsoku/>
        <w:wordWrap/>
        <w:topLinePunct w:val="0"/>
        <w:bidi w:val="0"/>
        <w:spacing w:line="312"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6.2本项目是否允许分包详见“供应商须知前附表”，本项目不允许违法分包。</w:t>
      </w:r>
    </w:p>
    <w:p w14:paraId="60967E94">
      <w:pPr>
        <w:pageBreakBefore w:val="0"/>
        <w:kinsoku/>
        <w:wordWrap/>
        <w:topLinePunct w:val="0"/>
        <w:bidi w:val="0"/>
        <w:spacing w:line="312" w:lineRule="auto"/>
        <w:ind w:firstLine="482" w:firstLineChars="200"/>
        <w:rPr>
          <w:rFonts w:hint="eastAsia" w:ascii="黑体" w:hAnsi="黑体" w:eastAsia="黑体" w:cs="宋体"/>
          <w:b/>
          <w:bCs/>
          <w:color w:val="auto"/>
          <w:sz w:val="24"/>
          <w:highlight w:val="none"/>
        </w:rPr>
      </w:pPr>
      <w:bookmarkStart w:id="64" w:name="_Toc254970673"/>
      <w:bookmarkStart w:id="65" w:name="_Toc254970532"/>
      <w:r>
        <w:rPr>
          <w:rFonts w:hint="eastAsia" w:ascii="黑体" w:hAnsi="黑体" w:eastAsia="黑体" w:cs="宋体"/>
          <w:b/>
          <w:bCs/>
          <w:color w:val="auto"/>
          <w:sz w:val="24"/>
          <w:highlight w:val="none"/>
        </w:rPr>
        <w:t>7.特别说明</w:t>
      </w:r>
      <w:bookmarkEnd w:id="64"/>
      <w:bookmarkEnd w:id="65"/>
    </w:p>
    <w:p w14:paraId="6EF67BFA">
      <w:pPr>
        <w:pageBreakBefore w:val="0"/>
        <w:kinsoku/>
        <w:wordWrap/>
        <w:topLinePunct w:val="0"/>
        <w:bidi w:val="0"/>
        <w:spacing w:line="312" w:lineRule="auto"/>
        <w:ind w:firstLine="420" w:firstLineChars="200"/>
        <w:rPr>
          <w:rFonts w:hint="eastAsia" w:ascii="宋体" w:hAnsi="宋体" w:cs="宋体"/>
          <w:color w:val="auto"/>
          <w:szCs w:val="21"/>
          <w:highlight w:val="none"/>
        </w:rPr>
      </w:pPr>
      <w:bookmarkStart w:id="66" w:name="_8.1提供相同品牌产品且通过资格审查、符合性审查的不同投标人参加同一合"/>
      <w:bookmarkEnd w:id="66"/>
      <w:r>
        <w:rPr>
          <w:rFonts w:hint="eastAsia" w:ascii="宋体" w:hAnsi="宋体" w:cs="宋体"/>
          <w:color w:val="auto"/>
          <w:szCs w:val="21"/>
          <w:highlight w:val="none"/>
        </w:rPr>
        <w:t>7.</w:t>
      </w:r>
      <w:r>
        <w:rPr>
          <w:rFonts w:ascii="宋体" w:hAnsi="宋体" w:cs="宋体"/>
          <w:color w:val="auto"/>
          <w:szCs w:val="21"/>
          <w:highlight w:val="none"/>
        </w:rPr>
        <w:t>1</w:t>
      </w:r>
      <w:bookmarkStart w:id="67" w:name="_Hlk65832145"/>
      <w:r>
        <w:rPr>
          <w:rFonts w:hint="eastAsia" w:ascii="宋体" w:hAnsi="宋体"/>
          <w:color w:val="auto"/>
          <w:szCs w:val="21"/>
          <w:highlight w:val="none"/>
        </w:rPr>
        <w:t xml:space="preserve">如果本磋商文件要求提供供应商或制造商的资格、信誉、荣誉、业绩与企业认证等材料的，资格、信誉、荣誉、业绩与企业认证等必须为供应商或者制造商所拥有或自身获得 </w:t>
      </w:r>
      <w:r>
        <w:rPr>
          <w:rFonts w:hint="eastAsia" w:ascii="宋体" w:hAnsi="宋体" w:cs="宋体"/>
          <w:color w:val="auto"/>
          <w:szCs w:val="21"/>
          <w:highlight w:val="none"/>
        </w:rPr>
        <w:t>。</w:t>
      </w:r>
    </w:p>
    <w:bookmarkEnd w:id="67"/>
    <w:p w14:paraId="14D96DB5">
      <w:pPr>
        <w:pageBreakBefore w:val="0"/>
        <w:kinsoku/>
        <w:wordWrap/>
        <w:topLinePunct w:val="0"/>
        <w:bidi w:val="0"/>
        <w:spacing w:line="312"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2</w:t>
      </w:r>
      <w:r>
        <w:rPr>
          <w:rFonts w:hint="eastAsia" w:ascii="宋体" w:hAnsi="宋体" w:cs="宋体"/>
          <w:color w:val="auto"/>
          <w:szCs w:val="21"/>
          <w:highlight w:val="none"/>
        </w:rPr>
        <w:t>供应商应仔细阅读磋商文件的所有内容，按照磋商文件的要求提交响应文件，并对所提供的全部资料的真实性承担法律责任。</w:t>
      </w:r>
    </w:p>
    <w:p w14:paraId="57C5237F">
      <w:pPr>
        <w:pageBreakBefore w:val="0"/>
        <w:kinsoku/>
        <w:wordWrap/>
        <w:topLinePunct w:val="0"/>
        <w:bidi w:val="0"/>
        <w:spacing w:line="312"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3</w:t>
      </w:r>
      <w:r>
        <w:rPr>
          <w:rFonts w:hint="eastAsia" w:ascii="宋体" w:hAnsi="宋体" w:cs="宋体"/>
          <w:color w:val="auto"/>
          <w:szCs w:val="21"/>
          <w:highlight w:val="none"/>
        </w:rPr>
        <w:t>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37969798">
      <w:pPr>
        <w:pageBreakBefore w:val="0"/>
        <w:kinsoku/>
        <w:wordWrap/>
        <w:topLinePunct w:val="0"/>
        <w:bidi w:val="0"/>
        <w:spacing w:line="312"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4</w:t>
      </w:r>
      <w:r>
        <w:rPr>
          <w:rFonts w:hint="eastAsia" w:ascii="宋体" w:hAnsi="宋体" w:cs="宋体"/>
          <w:color w:val="auto"/>
          <w:szCs w:val="21"/>
          <w:highlight w:val="none"/>
        </w:rPr>
        <w:t>在政府采购活动中，采购人员及相关人员与供应商有下列利害关系之一的，应当回避：</w:t>
      </w:r>
    </w:p>
    <w:p w14:paraId="447015F9">
      <w:pPr>
        <w:pageBreakBefore w:val="0"/>
        <w:kinsoku/>
        <w:wordWrap/>
        <w:topLinePunct w:val="0"/>
        <w:bidi w:val="0"/>
        <w:spacing w:line="312"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（1）参加采购活动前3年内与供应商存在劳动关系；</w:t>
      </w:r>
    </w:p>
    <w:p w14:paraId="0CCA3B09">
      <w:pPr>
        <w:pageBreakBefore w:val="0"/>
        <w:kinsoku/>
        <w:wordWrap/>
        <w:topLinePunct w:val="0"/>
        <w:bidi w:val="0"/>
        <w:spacing w:line="312"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（2）参加采购活动前3年内担任供应商的董事、监事；</w:t>
      </w:r>
    </w:p>
    <w:p w14:paraId="3145319F">
      <w:pPr>
        <w:pageBreakBefore w:val="0"/>
        <w:kinsoku/>
        <w:wordWrap/>
        <w:topLinePunct w:val="0"/>
        <w:bidi w:val="0"/>
        <w:spacing w:line="312"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（3）参加采购活动前3年内是供应商的控股股东或者实际控制人；</w:t>
      </w:r>
    </w:p>
    <w:p w14:paraId="03087EA1">
      <w:pPr>
        <w:pageBreakBefore w:val="0"/>
        <w:kinsoku/>
        <w:wordWrap/>
        <w:topLinePunct w:val="0"/>
        <w:bidi w:val="0"/>
        <w:spacing w:line="312"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（4）与供应商的法定代表人或者负责人有夫妻、直系血亲、三代以内旁系血亲或者近姻亲关系；</w:t>
      </w:r>
    </w:p>
    <w:p w14:paraId="48DAFC0C">
      <w:pPr>
        <w:pageBreakBefore w:val="0"/>
        <w:kinsoku/>
        <w:wordWrap/>
        <w:topLinePunct w:val="0"/>
        <w:bidi w:val="0"/>
        <w:spacing w:line="312"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（5）与供应商有其他可能影响政府采购活动公平、公正进行的关系。</w:t>
      </w:r>
    </w:p>
    <w:p w14:paraId="1A072EB2">
      <w:pPr>
        <w:pageBreakBefore w:val="0"/>
        <w:kinsoku/>
        <w:wordWrap/>
        <w:topLinePunct w:val="0"/>
        <w:bidi w:val="0"/>
        <w:spacing w:line="312"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4935C337">
      <w:pPr>
        <w:pageBreakBefore w:val="0"/>
        <w:kinsoku/>
        <w:wordWrap/>
        <w:topLinePunct w:val="0"/>
        <w:bidi w:val="0"/>
        <w:spacing w:line="312"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5</w:t>
      </w:r>
      <w:r>
        <w:rPr>
          <w:rFonts w:hint="eastAsia" w:ascii="宋体" w:hAnsi="宋体" w:cs="宋体"/>
          <w:color w:val="auto"/>
          <w:szCs w:val="21"/>
          <w:highlight w:val="none"/>
        </w:rPr>
        <w:t>有下列情形之一的视为供应商相互串通竞标，响应文件将被视为无效：</w:t>
      </w:r>
    </w:p>
    <w:p w14:paraId="6F6B3A66">
      <w:pPr>
        <w:pageBreakBefore w:val="0"/>
        <w:kinsoku/>
        <w:wordWrap/>
        <w:topLinePunct w:val="0"/>
        <w:bidi w:val="0"/>
        <w:spacing w:line="312"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（1）不同供应商的响应文件由同一单位或者个人编制； </w:t>
      </w:r>
    </w:p>
    <w:p w14:paraId="071844A9">
      <w:pPr>
        <w:pageBreakBefore w:val="0"/>
        <w:kinsoku/>
        <w:wordWrap/>
        <w:topLinePunct w:val="0"/>
        <w:bidi w:val="0"/>
        <w:spacing w:line="312"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（2）不同供应商委托同一单位或者个人办理竞标事宜；</w:t>
      </w:r>
    </w:p>
    <w:p w14:paraId="0FB1D908">
      <w:pPr>
        <w:pageBreakBefore w:val="0"/>
        <w:kinsoku/>
        <w:wordWrap/>
        <w:topLinePunct w:val="0"/>
        <w:bidi w:val="0"/>
        <w:spacing w:line="312"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（3）不同的供应商的响应文件载明的项目管理员为同一个人；</w:t>
      </w:r>
    </w:p>
    <w:p w14:paraId="6E21D91E">
      <w:pPr>
        <w:pageBreakBefore w:val="0"/>
        <w:kinsoku/>
        <w:wordWrap/>
        <w:topLinePunct w:val="0"/>
        <w:bidi w:val="0"/>
        <w:spacing w:line="312"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（4）不同供应商的响应文件异常一致或者报价呈规律性差异；</w:t>
      </w:r>
    </w:p>
    <w:p w14:paraId="58EB0699">
      <w:pPr>
        <w:pageBreakBefore w:val="0"/>
        <w:kinsoku/>
        <w:wordWrap/>
        <w:topLinePunct w:val="0"/>
        <w:bidi w:val="0"/>
        <w:spacing w:line="312"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（5）不同供应商的响应文件相互混装；</w:t>
      </w:r>
    </w:p>
    <w:p w14:paraId="69BB125E">
      <w:pPr>
        <w:pageBreakBefore w:val="0"/>
        <w:tabs>
          <w:tab w:val="left" w:pos="6931"/>
        </w:tabs>
        <w:kinsoku/>
        <w:wordWrap/>
        <w:topLinePunct w:val="0"/>
        <w:bidi w:val="0"/>
        <w:spacing w:line="312"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（6）不同供应商的磋商保证金从同一单位或者个人账户转出。</w:t>
      </w:r>
      <w:r>
        <w:rPr>
          <w:rFonts w:ascii="宋体" w:hAnsi="宋体" w:cs="宋体"/>
          <w:color w:val="auto"/>
          <w:szCs w:val="21"/>
          <w:highlight w:val="none"/>
        </w:rPr>
        <w:tab/>
      </w:r>
    </w:p>
    <w:p w14:paraId="22821054">
      <w:pPr>
        <w:pageBreakBefore w:val="0"/>
        <w:kinsoku/>
        <w:wordWrap/>
        <w:topLinePunct w:val="0"/>
        <w:bidi w:val="0"/>
        <w:spacing w:line="312"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6</w:t>
      </w:r>
      <w:r>
        <w:rPr>
          <w:rFonts w:hint="eastAsia" w:ascii="宋体" w:hAnsi="宋体" w:cs="宋体"/>
          <w:color w:val="auto"/>
          <w:szCs w:val="21"/>
          <w:highlight w:val="none"/>
        </w:rPr>
        <w:t>供应商有下列情形之一的，属于恶意串通行为，将报同级监督管理部门：</w:t>
      </w:r>
    </w:p>
    <w:p w14:paraId="106484EB">
      <w:pPr>
        <w:pageBreakBefore w:val="0"/>
        <w:kinsoku/>
        <w:wordWrap/>
        <w:topLinePunct w:val="0"/>
        <w:bidi w:val="0"/>
        <w:spacing w:line="312"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（1）供应商直接或者间接从采购人或者采购代理机构处获得其他供应商的相关信息并修改其响应文件；</w:t>
      </w:r>
    </w:p>
    <w:p w14:paraId="68B52D28">
      <w:pPr>
        <w:pageBreakBefore w:val="0"/>
        <w:kinsoku/>
        <w:wordWrap/>
        <w:topLinePunct w:val="0"/>
        <w:bidi w:val="0"/>
        <w:spacing w:line="312"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（2）供应商按照采购人或者采购代理机构的授意撤换、修改响应文件；</w:t>
      </w:r>
    </w:p>
    <w:p w14:paraId="1B6F65E7">
      <w:pPr>
        <w:pageBreakBefore w:val="0"/>
        <w:kinsoku/>
        <w:wordWrap/>
        <w:topLinePunct w:val="0"/>
        <w:bidi w:val="0"/>
        <w:spacing w:line="312"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（3）供应商之间协商报价、技术方案等响应文件或者响应文件的实质性内容；</w:t>
      </w:r>
    </w:p>
    <w:p w14:paraId="2C5359E1">
      <w:pPr>
        <w:pageBreakBefore w:val="0"/>
        <w:kinsoku/>
        <w:wordWrap/>
        <w:topLinePunct w:val="0"/>
        <w:bidi w:val="0"/>
        <w:spacing w:line="312"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（4）属于同一集团、协会、商会等组织成员的供应商按照该组织要求协同参加政府采购活动；</w:t>
      </w:r>
    </w:p>
    <w:p w14:paraId="69D05791">
      <w:pPr>
        <w:pageBreakBefore w:val="0"/>
        <w:kinsoku/>
        <w:wordWrap/>
        <w:topLinePunct w:val="0"/>
        <w:bidi w:val="0"/>
        <w:spacing w:line="312"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（5）供应商之间事先约定一致抬高或者压低报价，或者在政府采购活动中事先约定轮流以高价位或者低价位成交，或者事先约定由某一特定供应商成交，然后再参加竞标；</w:t>
      </w:r>
    </w:p>
    <w:p w14:paraId="6DABCC66">
      <w:pPr>
        <w:pageBreakBefore w:val="0"/>
        <w:kinsoku/>
        <w:wordWrap/>
        <w:topLinePunct w:val="0"/>
        <w:bidi w:val="0"/>
        <w:spacing w:line="312"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（6）供应商之间商定部分供应商放弃参加政府采购活动或者放弃成交；</w:t>
      </w:r>
    </w:p>
    <w:p w14:paraId="589EC69E">
      <w:pPr>
        <w:pageBreakBefore w:val="0"/>
        <w:kinsoku/>
        <w:wordWrap/>
        <w:topLinePunct w:val="0"/>
        <w:bidi w:val="0"/>
        <w:spacing w:line="312"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（7）供应商与采购人或者采购代理机构之间、供应商相互之间，为谋求特定供应商成交或者排斥其他供应商的其他串通行为。</w:t>
      </w:r>
    </w:p>
    <w:p w14:paraId="2B0CD98B">
      <w:pPr>
        <w:pageBreakBefore w:val="0"/>
        <w:kinsoku/>
        <w:wordWrap/>
        <w:topLinePunct w:val="0"/>
        <w:bidi w:val="0"/>
        <w:spacing w:line="312" w:lineRule="auto"/>
        <w:ind w:left="1" w:firstLine="417" w:firstLineChars="199"/>
        <w:jc w:val="center"/>
        <w:rPr>
          <w:rFonts w:hint="eastAsia" w:ascii="宋体" w:hAnsi="宋体"/>
          <w:color w:val="auto"/>
          <w:highlight w:val="none"/>
        </w:rPr>
      </w:pPr>
      <w:bookmarkStart w:id="68" w:name="_Toc254970675"/>
      <w:bookmarkStart w:id="69" w:name="_Toc254970534"/>
    </w:p>
    <w:p w14:paraId="031D717D">
      <w:pPr>
        <w:pageBreakBefore w:val="0"/>
        <w:kinsoku/>
        <w:wordWrap/>
        <w:topLinePunct w:val="0"/>
        <w:bidi w:val="0"/>
        <w:spacing w:line="312" w:lineRule="auto"/>
        <w:jc w:val="center"/>
        <w:outlineLvl w:val="0"/>
        <w:rPr>
          <w:rFonts w:hint="eastAsia" w:ascii="宋体" w:hAnsi="宋体"/>
          <w:b/>
          <w:bCs/>
          <w:color w:val="auto"/>
          <w:sz w:val="32"/>
          <w:szCs w:val="32"/>
          <w:highlight w:val="none"/>
        </w:rPr>
      </w:pPr>
      <w:bookmarkStart w:id="70" w:name="_Toc8488"/>
      <w:r>
        <w:rPr>
          <w:rFonts w:hint="eastAsia" w:ascii="宋体" w:hAnsi="宋体"/>
          <w:b/>
          <w:bCs/>
          <w:color w:val="auto"/>
          <w:sz w:val="32"/>
          <w:szCs w:val="32"/>
          <w:highlight w:val="none"/>
        </w:rPr>
        <w:t>二、磋商文件</w:t>
      </w:r>
      <w:bookmarkEnd w:id="68"/>
      <w:bookmarkEnd w:id="69"/>
      <w:bookmarkEnd w:id="70"/>
    </w:p>
    <w:p w14:paraId="2B6B0546">
      <w:pPr>
        <w:pageBreakBefore w:val="0"/>
        <w:kinsoku/>
        <w:wordWrap/>
        <w:topLinePunct w:val="0"/>
        <w:bidi w:val="0"/>
        <w:spacing w:line="312" w:lineRule="auto"/>
        <w:rPr>
          <w:rFonts w:hint="eastAsia" w:ascii="宋体" w:hAnsi="宋体"/>
          <w:color w:val="auto"/>
          <w:szCs w:val="21"/>
          <w:highlight w:val="none"/>
        </w:rPr>
      </w:pPr>
    </w:p>
    <w:p w14:paraId="6D41E670">
      <w:pPr>
        <w:pageBreakBefore w:val="0"/>
        <w:kinsoku/>
        <w:wordWrap/>
        <w:topLinePunct w:val="0"/>
        <w:bidi w:val="0"/>
        <w:spacing w:line="312"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8.磋商文件的构成</w:t>
      </w:r>
    </w:p>
    <w:p w14:paraId="145F19D9">
      <w:pPr>
        <w:pageBreakBefore w:val="0"/>
        <w:kinsoku/>
        <w:wordWrap/>
        <w:topLinePunct w:val="0"/>
        <w:bidi w:val="0"/>
        <w:spacing w:line="312"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（1）竞争性磋商公告；</w:t>
      </w:r>
    </w:p>
    <w:p w14:paraId="02896201">
      <w:pPr>
        <w:pageBreakBefore w:val="0"/>
        <w:kinsoku/>
        <w:wordWrap/>
        <w:topLinePunct w:val="0"/>
        <w:bidi w:val="0"/>
        <w:spacing w:line="312"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 xml:space="preserve">（2）供应商须知； </w:t>
      </w:r>
    </w:p>
    <w:p w14:paraId="1DC748D0">
      <w:pPr>
        <w:pageBreakBefore w:val="0"/>
        <w:kinsoku/>
        <w:wordWrap/>
        <w:topLinePunct w:val="0"/>
        <w:bidi w:val="0"/>
        <w:spacing w:line="312"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（3）采购需求；</w:t>
      </w:r>
    </w:p>
    <w:p w14:paraId="0C35A2ED">
      <w:pPr>
        <w:pageBreakBefore w:val="0"/>
        <w:kinsoku/>
        <w:wordWrap/>
        <w:topLinePunct w:val="0"/>
        <w:bidi w:val="0"/>
        <w:spacing w:line="312"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（4）评审程序、评审方法和评审标准；</w:t>
      </w:r>
    </w:p>
    <w:p w14:paraId="3359A53C">
      <w:pPr>
        <w:pageBreakBefore w:val="0"/>
        <w:kinsoku/>
        <w:wordWrap/>
        <w:topLinePunct w:val="0"/>
        <w:bidi w:val="0"/>
        <w:spacing w:line="312"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（5）响应文件格式；</w:t>
      </w:r>
    </w:p>
    <w:p w14:paraId="47F11B92">
      <w:pPr>
        <w:pageBreakBefore w:val="0"/>
        <w:kinsoku/>
        <w:wordWrap/>
        <w:topLinePunct w:val="0"/>
        <w:bidi w:val="0"/>
        <w:spacing w:line="312"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（6）合同文本。</w:t>
      </w:r>
    </w:p>
    <w:p w14:paraId="5B74C57F">
      <w:pPr>
        <w:pageBreakBefore w:val="0"/>
        <w:kinsoku/>
        <w:wordWrap/>
        <w:topLinePunct w:val="0"/>
        <w:bidi w:val="0"/>
        <w:spacing w:line="312"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9.供应商的询问</w:t>
      </w:r>
    </w:p>
    <w:p w14:paraId="30DC8C95">
      <w:pPr>
        <w:pageBreakBefore w:val="0"/>
        <w:kinsoku/>
        <w:wordWrap/>
        <w:topLinePunct w:val="0"/>
        <w:bidi w:val="0"/>
        <w:spacing w:line="312"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供应商如发现磋商文件内容有误或对政府采购活动事项有疑问的，应在提交首次响应文件截止时间5日前以书面形式向采购人或采购代理机构提出澄清或者询问。采购人、采购代理机构将在3个工作日内对供应商依法提出的询问作出答复</w:t>
      </w:r>
      <w:r>
        <w:rPr>
          <w:rFonts w:hint="eastAsia" w:ascii="宋体" w:hAnsi="宋体"/>
          <w:color w:val="auto"/>
          <w:szCs w:val="21"/>
          <w:highlight w:val="none"/>
        </w:rPr>
        <w:t>。</w:t>
      </w:r>
    </w:p>
    <w:p w14:paraId="7107D915">
      <w:pPr>
        <w:pageBreakBefore w:val="0"/>
        <w:kinsoku/>
        <w:wordWrap/>
        <w:topLinePunct w:val="0"/>
        <w:bidi w:val="0"/>
        <w:spacing w:line="312"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10.磋商文件的澄清和修改</w:t>
      </w:r>
    </w:p>
    <w:p w14:paraId="6F345C85">
      <w:pPr>
        <w:pageBreakBefore w:val="0"/>
        <w:kinsoku/>
        <w:wordWrap/>
        <w:topLinePunct w:val="0"/>
        <w:bidi w:val="0"/>
        <w:spacing w:line="312" w:lineRule="auto"/>
        <w:ind w:firstLine="420" w:firstLineChars="200"/>
        <w:rPr>
          <w:rFonts w:hint="eastAsia" w:ascii="宋体" w:hAnsi="宋体" w:eastAsia="宋体" w:cs="宋体"/>
          <w:color w:val="auto"/>
          <w:sz w:val="21"/>
        </w:rPr>
      </w:pPr>
      <w:r>
        <w:rPr>
          <w:rFonts w:hint="eastAsia" w:ascii="宋体" w:hAnsi="宋体" w:eastAsia="宋体" w:cs="宋体"/>
          <w:color w:val="auto"/>
          <w:sz w:val="21"/>
          <w:lang w:val="en-US" w:eastAsia="zh-CN"/>
        </w:rPr>
        <w:t xml:space="preserve">10.1 提交首次响应文件截止之日前，采购人、采购代理机构对已发出的磋商文件进行必要的澄清或者修改。如澄清或者修改的内容可能影响响应文件编制的，在提交首次响应文件截止之日3个工作日前，在政府采购信息发布媒体发布更正公告，不足3个工作日的，顺延提交首次响应文件截止时间。 </w:t>
      </w:r>
    </w:p>
    <w:p w14:paraId="4196119A">
      <w:pPr>
        <w:pageBreakBefore w:val="0"/>
        <w:kinsoku/>
        <w:wordWrap/>
        <w:topLinePunct w:val="0"/>
        <w:bidi w:val="0"/>
        <w:spacing w:line="312" w:lineRule="auto"/>
        <w:ind w:firstLine="420" w:firstLineChars="200"/>
        <w:rPr>
          <w:rFonts w:hint="eastAsia" w:ascii="宋体" w:hAnsi="宋体" w:eastAsia="宋体" w:cs="宋体"/>
          <w:color w:val="auto"/>
          <w:sz w:val="21"/>
        </w:rPr>
      </w:pPr>
      <w:r>
        <w:rPr>
          <w:rFonts w:hint="eastAsia" w:ascii="宋体" w:hAnsi="宋体" w:eastAsia="宋体" w:cs="宋体"/>
          <w:color w:val="auto"/>
          <w:sz w:val="21"/>
          <w:lang w:val="en-US" w:eastAsia="zh-CN"/>
        </w:rPr>
        <w:t xml:space="preserve">10.2 采购人、采购代理机构可视具体情况，延长磋商截止时间和开标时间的，在提交首次响应文件截止时间2日前，在政府采购信息发布媒体上发布变更公告。 </w:t>
      </w:r>
    </w:p>
    <w:p w14:paraId="3D085DD4">
      <w:pPr>
        <w:pageBreakBefore w:val="0"/>
        <w:kinsoku/>
        <w:wordWrap/>
        <w:topLinePunct w:val="0"/>
        <w:bidi w:val="0"/>
        <w:spacing w:line="312" w:lineRule="auto"/>
        <w:ind w:firstLine="420" w:firstLineChars="200"/>
        <w:rPr>
          <w:rFonts w:hint="eastAsia" w:ascii="宋体" w:hAnsi="宋体"/>
          <w:color w:val="auto"/>
          <w:szCs w:val="21"/>
          <w:highlight w:val="none"/>
        </w:rPr>
      </w:pPr>
      <w:r>
        <w:rPr>
          <w:rFonts w:hint="eastAsia" w:ascii="宋体" w:hAnsi="宋体" w:eastAsia="宋体" w:cs="宋体"/>
          <w:color w:val="auto"/>
          <w:sz w:val="21"/>
          <w:lang w:val="en-US" w:eastAsia="zh-CN"/>
        </w:rPr>
        <w:t>10.3 所有与本项目相关的澄清、修改、补遗的内容作为磋商文件的组成部分。该所有通知文件在政府采购信息媒体发布之日起，视为供应商已收到该通知。供应商未及时关注网站上发布的通知文件造成的损失，由供应商负责</w:t>
      </w:r>
      <w:r>
        <w:rPr>
          <w:rFonts w:hint="eastAsia" w:ascii="宋体" w:hAnsi="宋体" w:eastAsia="宋体" w:cs="宋体"/>
          <w:color w:val="auto"/>
          <w:sz w:val="21"/>
        </w:rPr>
        <w:t>。</w:t>
      </w:r>
    </w:p>
    <w:p w14:paraId="31CC0F5D">
      <w:pPr>
        <w:pageBreakBefore w:val="0"/>
        <w:kinsoku/>
        <w:wordWrap/>
        <w:topLinePunct w:val="0"/>
        <w:bidi w:val="0"/>
        <w:spacing w:line="312" w:lineRule="auto"/>
        <w:rPr>
          <w:rFonts w:hint="eastAsia" w:ascii="宋体" w:hAnsi="宋体"/>
          <w:color w:val="auto"/>
          <w:szCs w:val="21"/>
          <w:highlight w:val="none"/>
        </w:rPr>
      </w:pPr>
    </w:p>
    <w:p w14:paraId="1270A2CA">
      <w:pPr>
        <w:pageBreakBefore w:val="0"/>
        <w:kinsoku/>
        <w:wordWrap/>
        <w:topLinePunct w:val="0"/>
        <w:bidi w:val="0"/>
        <w:spacing w:line="312" w:lineRule="auto"/>
        <w:jc w:val="center"/>
        <w:outlineLvl w:val="0"/>
        <w:rPr>
          <w:rFonts w:hint="eastAsia" w:ascii="宋体" w:hAnsi="宋体"/>
          <w:b/>
          <w:bCs/>
          <w:color w:val="auto"/>
          <w:szCs w:val="21"/>
          <w:highlight w:val="none"/>
        </w:rPr>
      </w:pPr>
      <w:bookmarkStart w:id="71" w:name="_Toc2836"/>
      <w:r>
        <w:rPr>
          <w:rFonts w:hint="eastAsia" w:ascii="宋体" w:hAnsi="宋体"/>
          <w:b/>
          <w:bCs/>
          <w:color w:val="auto"/>
          <w:sz w:val="32"/>
          <w:szCs w:val="32"/>
          <w:highlight w:val="none"/>
        </w:rPr>
        <w:t>三、响应文件的编制</w:t>
      </w:r>
      <w:bookmarkEnd w:id="71"/>
    </w:p>
    <w:p w14:paraId="10120E07">
      <w:pPr>
        <w:pageBreakBefore w:val="0"/>
        <w:kinsoku/>
        <w:wordWrap/>
        <w:topLinePunct w:val="0"/>
        <w:bidi w:val="0"/>
        <w:spacing w:line="312" w:lineRule="auto"/>
        <w:rPr>
          <w:rFonts w:hint="eastAsia" w:ascii="宋体" w:hAnsi="宋体"/>
          <w:color w:val="auto"/>
          <w:szCs w:val="21"/>
          <w:highlight w:val="none"/>
        </w:rPr>
      </w:pPr>
    </w:p>
    <w:p w14:paraId="5B813CAE">
      <w:pPr>
        <w:pageBreakBefore w:val="0"/>
        <w:kinsoku/>
        <w:wordWrap/>
        <w:topLinePunct w:val="0"/>
        <w:bidi w:val="0"/>
        <w:spacing w:line="312"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11.响应文件的编制原则</w:t>
      </w:r>
    </w:p>
    <w:p w14:paraId="5CC22641">
      <w:pPr>
        <w:pageBreakBefore w:val="0"/>
        <w:kinsoku/>
        <w:wordWrap/>
        <w:topLinePunct w:val="0"/>
        <w:bidi w:val="0"/>
        <w:spacing w:line="312"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供应商必须按照磋商文件的要求编制响应文件，并对其提交的响应文件的真实性、合法性承担法律责任。响应文件必须对磋商文件作出实质性响应。</w:t>
      </w:r>
    </w:p>
    <w:p w14:paraId="3AEA3E49">
      <w:pPr>
        <w:pageBreakBefore w:val="0"/>
        <w:kinsoku/>
        <w:wordWrap/>
        <w:topLinePunct w:val="0"/>
        <w:bidi w:val="0"/>
        <w:spacing w:line="312"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12.响应文件的组成</w:t>
      </w:r>
    </w:p>
    <w:p w14:paraId="51E48BA8">
      <w:pPr>
        <w:pageBreakBefore w:val="0"/>
        <w:kinsoku/>
        <w:wordWrap/>
        <w:topLinePunct w:val="0"/>
        <w:bidi w:val="0"/>
        <w:spacing w:line="312"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12.1响应文件由资格证明文件、报价文件</w:t>
      </w:r>
      <w:r>
        <w:rPr>
          <w:rFonts w:hint="eastAsia" w:ascii="宋体" w:hAnsi="宋体" w:cs="宋体"/>
          <w:color w:val="auto"/>
          <w:szCs w:val="21"/>
          <w:highlight w:val="none"/>
          <w:lang w:eastAsia="zh-CN"/>
        </w:rPr>
        <w:t>、</w:t>
      </w:r>
      <w:r>
        <w:rPr>
          <w:rFonts w:hint="eastAsia" w:ascii="宋体" w:hAnsi="宋体" w:cs="宋体"/>
          <w:color w:val="auto"/>
          <w:szCs w:val="21"/>
          <w:highlight w:val="none"/>
        </w:rPr>
        <w:t>商务技术文件</w:t>
      </w:r>
      <w:r>
        <w:rPr>
          <w:rFonts w:hint="eastAsia" w:ascii="宋体" w:hAnsi="宋体" w:cs="宋体"/>
          <w:color w:val="auto"/>
          <w:szCs w:val="21"/>
          <w:highlight w:val="none"/>
          <w:lang w:val="en-US" w:eastAsia="zh-CN"/>
        </w:rPr>
        <w:t>三</w:t>
      </w:r>
      <w:r>
        <w:rPr>
          <w:rFonts w:hint="eastAsia" w:ascii="宋体" w:hAnsi="宋体" w:cs="宋体"/>
          <w:color w:val="auto"/>
          <w:szCs w:val="21"/>
          <w:highlight w:val="none"/>
        </w:rPr>
        <w:t>部分组成。</w:t>
      </w:r>
    </w:p>
    <w:p w14:paraId="7DD4804F">
      <w:pPr>
        <w:pageBreakBefore w:val="0"/>
        <w:kinsoku/>
        <w:wordWrap/>
        <w:topLinePunct w:val="0"/>
        <w:bidi w:val="0"/>
        <w:spacing w:line="312" w:lineRule="auto"/>
        <w:ind w:left="840" w:leftChars="200" w:hanging="420" w:hangingChars="200"/>
        <w:rPr>
          <w:rFonts w:hint="eastAsia"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2.1.1</w:t>
      </w:r>
      <w:r>
        <w:rPr>
          <w:rFonts w:hint="eastAsia" w:ascii="宋体" w:hAnsi="宋体" w:cs="宋体"/>
          <w:color w:val="auto"/>
          <w:szCs w:val="21"/>
          <w:highlight w:val="none"/>
        </w:rPr>
        <w:t>资格证明文件：详见须知前附表</w:t>
      </w:r>
    </w:p>
    <w:p w14:paraId="0D5A316D">
      <w:pPr>
        <w:pageBreakBefore w:val="0"/>
        <w:kinsoku/>
        <w:wordWrap/>
        <w:topLinePunct w:val="0"/>
        <w:bidi w:val="0"/>
        <w:spacing w:line="312" w:lineRule="auto"/>
        <w:ind w:left="840" w:leftChars="200" w:hanging="420" w:hangingChars="200"/>
        <w:rPr>
          <w:rFonts w:hint="eastAsia"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2.1.2</w:t>
      </w:r>
      <w:r>
        <w:rPr>
          <w:rFonts w:hint="eastAsia" w:ascii="宋体" w:hAnsi="宋体" w:cs="宋体"/>
          <w:color w:val="auto"/>
          <w:szCs w:val="21"/>
          <w:highlight w:val="none"/>
        </w:rPr>
        <w:t>报价文件：详见须知前附表</w:t>
      </w:r>
    </w:p>
    <w:p w14:paraId="0CF7A328">
      <w:pPr>
        <w:pageBreakBefore w:val="0"/>
        <w:kinsoku/>
        <w:wordWrap/>
        <w:topLinePunct w:val="0"/>
        <w:bidi w:val="0"/>
        <w:spacing w:line="312" w:lineRule="auto"/>
        <w:ind w:left="840" w:leftChars="200" w:hanging="420" w:hangingChars="200"/>
        <w:rPr>
          <w:rFonts w:hint="eastAsia"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2.1.</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商务技术文件：详见须知前附表</w:t>
      </w:r>
    </w:p>
    <w:p w14:paraId="222F5F82">
      <w:pPr>
        <w:pageBreakBefore w:val="0"/>
        <w:kinsoku/>
        <w:wordWrap/>
        <w:topLinePunct w:val="0"/>
        <w:bidi w:val="0"/>
        <w:spacing w:line="312"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电子</w:t>
      </w:r>
      <w:r>
        <w:rPr>
          <w:rFonts w:hint="eastAsia" w:ascii="宋体" w:hAnsi="宋体" w:cs="宋体"/>
          <w:color w:val="auto"/>
          <w:szCs w:val="21"/>
          <w:highlight w:val="none"/>
          <w:lang w:val="en-US" w:eastAsia="zh-CN"/>
        </w:rPr>
        <w:t>响应</w:t>
      </w:r>
      <w:r>
        <w:rPr>
          <w:rFonts w:hint="eastAsia" w:ascii="宋体" w:hAnsi="宋体" w:cs="宋体"/>
          <w:color w:val="auto"/>
          <w:szCs w:val="21"/>
          <w:highlight w:val="none"/>
        </w:rPr>
        <w:t>文件中所须加盖公章部分均采用CA签章。若</w:t>
      </w:r>
      <w:r>
        <w:rPr>
          <w:rFonts w:hint="eastAsia" w:ascii="宋体" w:hAnsi="宋体" w:cs="宋体"/>
          <w:color w:val="auto"/>
          <w:szCs w:val="21"/>
          <w:highlight w:val="none"/>
          <w:lang w:val="en-US" w:eastAsia="zh-CN"/>
        </w:rPr>
        <w:t>竞争性磋商</w:t>
      </w:r>
      <w:r>
        <w:rPr>
          <w:rFonts w:hint="eastAsia" w:ascii="宋体" w:hAnsi="宋体" w:cs="宋体"/>
          <w:color w:val="auto"/>
          <w:szCs w:val="21"/>
          <w:highlight w:val="none"/>
        </w:rPr>
        <w:t>文件中有专门标注的某关联点，并要求供应商在电子投标系统中作出</w:t>
      </w:r>
      <w:r>
        <w:rPr>
          <w:rFonts w:hint="eastAsia" w:ascii="宋体" w:hAnsi="宋体" w:cs="宋体"/>
          <w:color w:val="auto"/>
          <w:szCs w:val="21"/>
          <w:highlight w:val="none"/>
          <w:lang w:val="en-US" w:eastAsia="zh-CN"/>
        </w:rPr>
        <w:t>竞</w:t>
      </w:r>
      <w:r>
        <w:rPr>
          <w:rFonts w:hint="eastAsia" w:ascii="宋体" w:hAnsi="宋体" w:cs="宋体"/>
          <w:color w:val="auto"/>
          <w:szCs w:val="21"/>
          <w:highlight w:val="none"/>
        </w:rPr>
        <w:t>标响应的，如供应商未对关联点进行响应或者在</w:t>
      </w:r>
      <w:r>
        <w:rPr>
          <w:rFonts w:hint="eastAsia" w:ascii="宋体" w:hAnsi="宋体" w:cs="宋体"/>
          <w:color w:val="auto"/>
          <w:szCs w:val="21"/>
          <w:highlight w:val="none"/>
          <w:lang w:val="en-US" w:eastAsia="zh-CN"/>
        </w:rPr>
        <w:t>响应</w:t>
      </w:r>
      <w:r>
        <w:rPr>
          <w:rFonts w:hint="eastAsia" w:ascii="宋体" w:hAnsi="宋体" w:cs="宋体"/>
          <w:color w:val="auto"/>
          <w:szCs w:val="21"/>
          <w:highlight w:val="none"/>
        </w:rPr>
        <w:t>文件其它内容进行描述，造成电子评审不能查询的责任由供应商自行承担。</w:t>
      </w:r>
    </w:p>
    <w:p w14:paraId="5045717D">
      <w:pPr>
        <w:pageBreakBefore w:val="0"/>
        <w:kinsoku/>
        <w:wordWrap/>
        <w:topLinePunct w:val="0"/>
        <w:bidi w:val="0"/>
        <w:spacing w:line="312" w:lineRule="auto"/>
        <w:ind w:firstLine="420" w:firstLineChars="200"/>
        <w:rPr>
          <w:rFonts w:hint="eastAsia"/>
          <w:color w:val="auto"/>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 xml:space="preserve">3 </w:t>
      </w:r>
      <w:r>
        <w:rPr>
          <w:rFonts w:hint="eastAsia" w:ascii="宋体" w:hAnsi="宋体" w:cs="宋体"/>
          <w:color w:val="auto"/>
          <w:szCs w:val="21"/>
          <w:highlight w:val="none"/>
        </w:rPr>
        <w:t>CA签章上目前没有法人(负责人)或授权代表签字信息，供应商在</w:t>
      </w:r>
      <w:r>
        <w:rPr>
          <w:rFonts w:hint="eastAsia" w:ascii="宋体" w:hAnsi="宋体" w:cs="宋体"/>
          <w:color w:val="auto"/>
          <w:szCs w:val="21"/>
          <w:highlight w:val="none"/>
          <w:lang w:val="en-US" w:eastAsia="zh-CN"/>
        </w:rPr>
        <w:t>响应</w:t>
      </w:r>
      <w:r>
        <w:rPr>
          <w:rFonts w:hint="eastAsia" w:ascii="宋体" w:hAnsi="宋体" w:cs="宋体"/>
          <w:color w:val="auto"/>
          <w:szCs w:val="21"/>
          <w:highlight w:val="none"/>
        </w:rPr>
        <w:t>文件中涉及到签字的位置线下签好字然后扫描或者拍照做成PDF的格式亦可。</w:t>
      </w:r>
      <w:r>
        <w:rPr>
          <w:rFonts w:hint="eastAsia" w:ascii="宋体" w:hAnsi="宋体" w:cs="宋体"/>
          <w:color w:val="auto"/>
          <w:szCs w:val="21"/>
          <w:highlight w:val="none"/>
          <w:lang w:val="en-US" w:eastAsia="zh-CN"/>
        </w:rPr>
        <w:t>响应</w:t>
      </w:r>
      <w:r>
        <w:rPr>
          <w:rFonts w:hint="eastAsia" w:ascii="宋体" w:hAnsi="宋体" w:cs="宋体"/>
          <w:color w:val="auto"/>
          <w:szCs w:val="21"/>
          <w:highlight w:val="none"/>
        </w:rPr>
        <w:t>文件中涉及到签字的位置未按要求签字的，提供的材料视为无效。</w:t>
      </w:r>
    </w:p>
    <w:p w14:paraId="3087244E">
      <w:pPr>
        <w:pageBreakBefore w:val="0"/>
        <w:kinsoku/>
        <w:wordWrap/>
        <w:topLinePunct w:val="0"/>
        <w:bidi w:val="0"/>
        <w:spacing w:line="312"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13.计量单位</w:t>
      </w:r>
    </w:p>
    <w:p w14:paraId="402A1FE3">
      <w:pPr>
        <w:pageBreakBefore w:val="0"/>
        <w:kinsoku/>
        <w:wordWrap/>
        <w:topLinePunct w:val="0"/>
        <w:bidi w:val="0"/>
        <w:spacing w:line="312"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磋商文件已有明确规定的，使用磋商文件规定的计量单位；磋商文件没有规定的，应采用中华人民共和国法定计量单位，货币种类为人民币，否则视同未响应。</w:t>
      </w:r>
    </w:p>
    <w:p w14:paraId="7D39150F">
      <w:pPr>
        <w:pageBreakBefore w:val="0"/>
        <w:kinsoku/>
        <w:wordWrap/>
        <w:topLinePunct w:val="0"/>
        <w:bidi w:val="0"/>
        <w:spacing w:line="312"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14.竞标的风险</w:t>
      </w:r>
    </w:p>
    <w:p w14:paraId="35D1348E">
      <w:pPr>
        <w:pageBreakBefore w:val="0"/>
        <w:kinsoku/>
        <w:wordWrap/>
        <w:topLinePunct w:val="0"/>
        <w:bidi w:val="0"/>
        <w:spacing w:line="312"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供应商没有按照磋商文件要求提供全部资料，或者供应商没有对磋商文件在各方面作出实质性响应可能导致其响应无效，是供应商应当考虑的风险。</w:t>
      </w:r>
    </w:p>
    <w:p w14:paraId="44632F38">
      <w:pPr>
        <w:pageBreakBefore w:val="0"/>
        <w:kinsoku/>
        <w:wordWrap/>
        <w:topLinePunct w:val="0"/>
        <w:bidi w:val="0"/>
        <w:spacing w:line="312"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15.竞标报价要求和构成</w:t>
      </w:r>
    </w:p>
    <w:p w14:paraId="59414C4D">
      <w:pPr>
        <w:pageBreakBefore w:val="0"/>
        <w:tabs>
          <w:tab w:val="left" w:pos="2492"/>
        </w:tabs>
        <w:kinsoku/>
        <w:wordWrap/>
        <w:topLinePunct w:val="0"/>
        <w:bidi w:val="0"/>
        <w:spacing w:line="312"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15.1竞标报价应按磋商文件中“竞标报价表”格式填写。</w:t>
      </w:r>
    </w:p>
    <w:p w14:paraId="34D40497">
      <w:pPr>
        <w:pageBreakBefore w:val="0"/>
        <w:tabs>
          <w:tab w:val="left" w:pos="2492"/>
        </w:tabs>
        <w:kinsoku/>
        <w:wordWrap/>
        <w:topLinePunct w:val="0"/>
        <w:bidi w:val="0"/>
        <w:spacing w:line="312"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15.2竞标报价的价格构成见“供应商须知前附表”。</w:t>
      </w:r>
    </w:p>
    <w:p w14:paraId="0858D5D2">
      <w:pPr>
        <w:pageBreakBefore w:val="0"/>
        <w:kinsoku/>
        <w:wordWrap/>
        <w:topLinePunct w:val="0"/>
        <w:bidi w:val="0"/>
        <w:spacing w:line="312" w:lineRule="auto"/>
        <w:ind w:left="426" w:leftChars="203"/>
        <w:rPr>
          <w:rFonts w:hint="eastAsia" w:ascii="宋体" w:hAnsi="宋体" w:cs="宋体"/>
          <w:color w:val="auto"/>
          <w:szCs w:val="21"/>
          <w:highlight w:val="none"/>
        </w:rPr>
      </w:pPr>
      <w:r>
        <w:rPr>
          <w:rFonts w:hint="eastAsia" w:ascii="宋体" w:hAnsi="宋体" w:cs="宋体"/>
          <w:color w:val="auto"/>
          <w:szCs w:val="21"/>
          <w:highlight w:val="none"/>
        </w:rPr>
        <w:t>15.3竞标报价要求</w:t>
      </w:r>
    </w:p>
    <w:p w14:paraId="415BB078">
      <w:pPr>
        <w:pageBreakBefore w:val="0"/>
        <w:kinsoku/>
        <w:wordWrap/>
        <w:topLinePunct w:val="0"/>
        <w:bidi w:val="0"/>
        <w:spacing w:line="312"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5.3.1</w:t>
      </w:r>
      <w:r>
        <w:rPr>
          <w:rFonts w:hint="eastAsia" w:ascii="宋体" w:hAnsi="宋体" w:cs="宋体"/>
          <w:color w:val="auto"/>
          <w:szCs w:val="21"/>
          <w:highlight w:val="none"/>
        </w:rPr>
        <w:t>供应商的竞标报价应符合以下要求，否则响应文件按无效响应处理：</w:t>
      </w:r>
    </w:p>
    <w:p w14:paraId="10B258DD">
      <w:pPr>
        <w:pageBreakBefore w:val="0"/>
        <w:kinsoku/>
        <w:wordWrap/>
        <w:topLinePunct w:val="0"/>
        <w:bidi w:val="0"/>
        <w:spacing w:line="312" w:lineRule="auto"/>
        <w:ind w:left="420" w:leftChars="200"/>
        <w:rPr>
          <w:rFonts w:ascii="宋体" w:hAnsi="宋体" w:cs="宋体"/>
          <w:color w:val="auto"/>
          <w:szCs w:val="21"/>
          <w:highlight w:val="none"/>
        </w:rPr>
      </w:pPr>
      <w:r>
        <w:rPr>
          <w:rFonts w:hint="eastAsia" w:ascii="宋体" w:hAnsi="宋体" w:cs="宋体"/>
          <w:color w:val="auto"/>
          <w:szCs w:val="21"/>
          <w:highlight w:val="none"/>
        </w:rPr>
        <w:t>（1）供应商必须就“采购需求”中所竞标的每个分标的全部内容分别作完整唯一总价报价，</w:t>
      </w:r>
    </w:p>
    <w:p w14:paraId="67105E58">
      <w:pPr>
        <w:pageBreakBefore w:val="0"/>
        <w:kinsoku/>
        <w:wordWrap/>
        <w:topLinePunct w:val="0"/>
        <w:bidi w:val="0"/>
        <w:spacing w:line="312" w:lineRule="auto"/>
        <w:rPr>
          <w:rFonts w:ascii="宋体" w:hAnsi="宋体" w:cs="宋体"/>
          <w:color w:val="auto"/>
          <w:szCs w:val="21"/>
          <w:highlight w:val="none"/>
        </w:rPr>
      </w:pPr>
      <w:r>
        <w:rPr>
          <w:rFonts w:hint="eastAsia" w:ascii="宋体" w:hAnsi="宋体" w:cs="宋体"/>
          <w:color w:val="auto"/>
          <w:szCs w:val="21"/>
          <w:highlight w:val="none"/>
        </w:rPr>
        <w:t>不得存在漏项报价；</w:t>
      </w:r>
    </w:p>
    <w:p w14:paraId="44A5DCDC">
      <w:pPr>
        <w:pageBreakBefore w:val="0"/>
        <w:kinsoku/>
        <w:wordWrap/>
        <w:topLinePunct w:val="0"/>
        <w:bidi w:val="0"/>
        <w:spacing w:line="312"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）供应商必须就所竞标的分标的单项内容作唯一报价。</w:t>
      </w:r>
    </w:p>
    <w:p w14:paraId="5E92E574">
      <w:pPr>
        <w:pageBreakBefore w:val="0"/>
        <w:kinsoku/>
        <w:wordWrap/>
        <w:topLinePunct w:val="0"/>
        <w:bidi w:val="0"/>
        <w:spacing w:line="312"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15.3.</w:t>
      </w:r>
      <w:r>
        <w:rPr>
          <w:rFonts w:ascii="宋体" w:hAnsi="宋体" w:cs="宋体"/>
          <w:color w:val="auto"/>
          <w:szCs w:val="21"/>
          <w:highlight w:val="none"/>
        </w:rPr>
        <w:t>2</w:t>
      </w:r>
      <w:r>
        <w:rPr>
          <w:rFonts w:hint="eastAsia" w:ascii="宋体" w:hAnsi="宋体" w:cs="宋体"/>
          <w:color w:val="auto"/>
          <w:szCs w:val="21"/>
          <w:highlight w:val="none"/>
        </w:rPr>
        <w:t>竞标报价（包含首次报价、最后报价）超过所竞标分标规定的采购预算金额或者最高限价的，其响应文件将作无效处理。</w:t>
      </w:r>
    </w:p>
    <w:p w14:paraId="13D7D74A">
      <w:pPr>
        <w:pageBreakBefore w:val="0"/>
        <w:kinsoku/>
        <w:wordWrap/>
        <w:topLinePunct w:val="0"/>
        <w:bidi w:val="0"/>
        <w:spacing w:line="312"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15.3.</w:t>
      </w:r>
      <w:r>
        <w:rPr>
          <w:rFonts w:ascii="宋体" w:hAnsi="宋体" w:cs="宋体"/>
          <w:color w:val="auto"/>
          <w:szCs w:val="21"/>
          <w:highlight w:val="none"/>
        </w:rPr>
        <w:t>3</w:t>
      </w:r>
      <w:bookmarkStart w:id="72" w:name="_Hlk42592874"/>
      <w:r>
        <w:rPr>
          <w:rFonts w:hint="eastAsia" w:ascii="宋体" w:hAnsi="宋体" w:cs="宋体"/>
          <w:color w:val="auto"/>
          <w:szCs w:val="21"/>
          <w:highlight w:val="none"/>
        </w:rPr>
        <w:t>竞标报价（包含首次报价、最后报价）超过分项采购预算金额或者最高限价的，其响应文件将作无效处理。</w:t>
      </w:r>
    </w:p>
    <w:bookmarkEnd w:id="72"/>
    <w:p w14:paraId="40D31004">
      <w:pPr>
        <w:pageBreakBefore w:val="0"/>
        <w:kinsoku/>
        <w:wordWrap/>
        <w:topLinePunct w:val="0"/>
        <w:bidi w:val="0"/>
        <w:spacing w:line="312"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16.竞标有效期</w:t>
      </w:r>
    </w:p>
    <w:p w14:paraId="0294F022">
      <w:pPr>
        <w:pageBreakBefore w:val="0"/>
        <w:kinsoku/>
        <w:wordWrap/>
        <w:topLinePunct w:val="0"/>
        <w:bidi w:val="0"/>
        <w:spacing w:line="312"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14:paraId="08FE7A8C">
      <w:pPr>
        <w:pageBreakBefore w:val="0"/>
        <w:kinsoku/>
        <w:wordWrap/>
        <w:topLinePunct w:val="0"/>
        <w:bidi w:val="0"/>
        <w:spacing w:line="312"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16.2 竞标有效期应由供应商按“供应商须知前附表”规定的期限作出响应。</w:t>
      </w:r>
    </w:p>
    <w:p w14:paraId="103D7C85">
      <w:pPr>
        <w:pageBreakBefore w:val="0"/>
        <w:kinsoku/>
        <w:wordWrap/>
        <w:topLinePunct w:val="0"/>
        <w:bidi w:val="0"/>
        <w:spacing w:line="312"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16.3供应商的响应文件在竞标有效期内均保持有效。</w:t>
      </w:r>
    </w:p>
    <w:p w14:paraId="34345473">
      <w:pPr>
        <w:pageBreakBefore w:val="0"/>
        <w:kinsoku/>
        <w:wordWrap/>
        <w:topLinePunct w:val="0"/>
        <w:bidi w:val="0"/>
        <w:spacing w:line="312"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17.磋商保证金</w:t>
      </w:r>
    </w:p>
    <w:p w14:paraId="140F0EBE">
      <w:pPr>
        <w:pageBreakBefore w:val="0"/>
        <w:kinsoku/>
        <w:wordWrap/>
        <w:topLinePunct w:val="0"/>
        <w:bidi w:val="0"/>
        <w:spacing w:line="312" w:lineRule="auto"/>
        <w:ind w:left="420" w:leftChars="200"/>
        <w:rPr>
          <w:rFonts w:hint="eastAsia" w:ascii="宋体" w:hAnsi="宋体" w:cs="宋体"/>
          <w:color w:val="auto"/>
          <w:szCs w:val="21"/>
          <w:highlight w:val="none"/>
        </w:rPr>
      </w:pPr>
      <w:r>
        <w:rPr>
          <w:rFonts w:hint="eastAsia" w:ascii="宋体" w:hAnsi="宋体" w:cs="宋体"/>
          <w:color w:val="auto"/>
          <w:szCs w:val="21"/>
          <w:highlight w:val="none"/>
        </w:rPr>
        <w:t>17.1供应商须按“供应商须知前附表”的规定提交磋商保证金</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如有</w:t>
      </w:r>
      <w:r>
        <w:rPr>
          <w:rFonts w:hint="eastAsia" w:ascii="宋体" w:hAnsi="宋体" w:cs="宋体"/>
          <w:color w:val="auto"/>
          <w:szCs w:val="21"/>
          <w:highlight w:val="none"/>
          <w:lang w:eastAsia="zh-CN"/>
        </w:rPr>
        <w:t>）</w:t>
      </w:r>
      <w:r>
        <w:rPr>
          <w:rFonts w:hint="eastAsia" w:ascii="宋体" w:hAnsi="宋体" w:cs="宋体"/>
          <w:color w:val="auto"/>
          <w:szCs w:val="21"/>
          <w:highlight w:val="none"/>
        </w:rPr>
        <w:t>。</w:t>
      </w:r>
    </w:p>
    <w:p w14:paraId="42AC535D">
      <w:pPr>
        <w:pageBreakBefore w:val="0"/>
        <w:kinsoku/>
        <w:wordWrap/>
        <w:topLinePunct w:val="0"/>
        <w:bidi w:val="0"/>
        <w:spacing w:line="312" w:lineRule="auto"/>
        <w:ind w:left="420" w:leftChars="200"/>
        <w:rPr>
          <w:rFonts w:hint="eastAsia" w:ascii="宋体" w:hAnsi="宋体" w:cs="宋体"/>
          <w:color w:val="auto"/>
          <w:szCs w:val="21"/>
          <w:highlight w:val="none"/>
        </w:rPr>
      </w:pPr>
      <w:r>
        <w:rPr>
          <w:rFonts w:hint="eastAsia" w:ascii="宋体" w:hAnsi="宋体" w:cs="宋体"/>
          <w:color w:val="auto"/>
          <w:szCs w:val="21"/>
          <w:highlight w:val="none"/>
        </w:rPr>
        <w:t>17.2磋商保证金的退还</w:t>
      </w:r>
    </w:p>
    <w:p w14:paraId="7CDDFF36">
      <w:pPr>
        <w:pageBreakBefore w:val="0"/>
        <w:kinsoku/>
        <w:wordWrap/>
        <w:topLinePunct w:val="0"/>
        <w:bidi w:val="0"/>
        <w:spacing w:line="312" w:lineRule="auto"/>
        <w:ind w:firstLine="420" w:firstLineChars="200"/>
        <w:rPr>
          <w:rFonts w:hint="eastAsia" w:ascii="宋体" w:hAnsi="宋体" w:cs="宋体"/>
          <w:color w:val="auto"/>
          <w:szCs w:val="21"/>
          <w:highlight w:val="none"/>
        </w:rPr>
      </w:pPr>
      <w:bookmarkStart w:id="73" w:name="_Hlk66782243"/>
      <w:r>
        <w:rPr>
          <w:rFonts w:hint="eastAsia" w:ascii="宋体" w:hAnsi="宋体" w:cs="宋体"/>
          <w:color w:val="auto"/>
          <w:szCs w:val="21"/>
          <w:highlight w:val="none"/>
        </w:rPr>
        <w:t>未</w:t>
      </w:r>
      <w:r>
        <w:rPr>
          <w:rFonts w:hint="eastAsia" w:ascii="宋体" w:hAnsi="宋体" w:cs="宋体"/>
          <w:color w:val="auto"/>
          <w:spacing w:val="-6"/>
          <w:szCs w:val="21"/>
          <w:highlight w:val="none"/>
        </w:rPr>
        <w:t>成交供应商的竞标保证金自成交通知书发出之日起5个工作日内退还；</w:t>
      </w:r>
      <w:r>
        <w:rPr>
          <w:rFonts w:hint="eastAsia" w:ascii="宋体" w:hAnsi="宋体" w:cs="宋体"/>
          <w:color w:val="auto"/>
          <w:szCs w:val="21"/>
          <w:highlight w:val="none"/>
        </w:rPr>
        <w:t>成交供应商的磋商保证金自签订合同之日起5个工作日内退还。</w:t>
      </w:r>
      <w:bookmarkEnd w:id="73"/>
      <w:r>
        <w:rPr>
          <w:rFonts w:hint="eastAsia" w:ascii="宋体" w:hAnsi="宋体" w:cs="宋体"/>
          <w:color w:val="auto"/>
          <w:szCs w:val="21"/>
          <w:highlight w:val="none"/>
        </w:rPr>
        <w:t xml:space="preserve"> </w:t>
      </w:r>
    </w:p>
    <w:p w14:paraId="53475937">
      <w:pPr>
        <w:pageBreakBefore w:val="0"/>
        <w:kinsoku/>
        <w:wordWrap/>
        <w:topLinePunct w:val="0"/>
        <w:bidi w:val="0"/>
        <w:spacing w:line="312" w:lineRule="auto"/>
        <w:ind w:left="420" w:leftChars="200"/>
        <w:rPr>
          <w:rFonts w:hint="eastAsia" w:ascii="宋体" w:hAnsi="宋体" w:cs="宋体"/>
          <w:color w:val="auto"/>
          <w:szCs w:val="21"/>
          <w:highlight w:val="none"/>
        </w:rPr>
      </w:pPr>
      <w:r>
        <w:rPr>
          <w:rFonts w:hint="eastAsia" w:ascii="宋体" w:hAnsi="宋体" w:cs="宋体"/>
          <w:color w:val="auto"/>
          <w:szCs w:val="21"/>
          <w:highlight w:val="none"/>
        </w:rPr>
        <w:t>17.3磋商保证金不计息。</w:t>
      </w:r>
    </w:p>
    <w:p w14:paraId="7321606D">
      <w:pPr>
        <w:pageBreakBefore w:val="0"/>
        <w:kinsoku/>
        <w:wordWrap/>
        <w:topLinePunct w:val="0"/>
        <w:bidi w:val="0"/>
        <w:spacing w:line="312" w:lineRule="auto"/>
        <w:ind w:left="420" w:leftChars="200"/>
        <w:rPr>
          <w:rFonts w:hint="eastAsia" w:ascii="宋体" w:hAnsi="宋体" w:cs="宋体"/>
          <w:color w:val="auto"/>
          <w:szCs w:val="21"/>
          <w:highlight w:val="none"/>
        </w:rPr>
      </w:pPr>
      <w:r>
        <w:rPr>
          <w:rFonts w:hint="eastAsia" w:ascii="宋体" w:hAnsi="宋体" w:cs="宋体"/>
          <w:color w:val="auto"/>
          <w:szCs w:val="21"/>
          <w:highlight w:val="none"/>
        </w:rPr>
        <w:t xml:space="preserve">17.4供应商有下列情形之一的，磋商保证金将不予退还： </w:t>
      </w:r>
    </w:p>
    <w:p w14:paraId="25EF879A">
      <w:pPr>
        <w:pageBreakBefore w:val="0"/>
        <w:kinsoku/>
        <w:wordWrap/>
        <w:topLinePunct w:val="0"/>
        <w:bidi w:val="0"/>
        <w:spacing w:line="312" w:lineRule="auto"/>
        <w:ind w:left="420" w:leftChars="200"/>
        <w:rPr>
          <w:rFonts w:hint="eastAsia" w:ascii="宋体" w:hAnsi="宋体" w:cs="宋体"/>
          <w:color w:val="auto"/>
          <w:szCs w:val="21"/>
          <w:highlight w:val="none"/>
        </w:rPr>
      </w:pPr>
      <w:r>
        <w:rPr>
          <w:rFonts w:hint="eastAsia" w:ascii="宋体" w:hAnsi="宋体" w:cs="宋体"/>
          <w:color w:val="auto"/>
          <w:szCs w:val="21"/>
          <w:highlight w:val="none"/>
        </w:rPr>
        <w:t>（1）供应商在提交响应文件截止时间后撤回响应文件的；</w:t>
      </w:r>
    </w:p>
    <w:p w14:paraId="61B8D784">
      <w:pPr>
        <w:pageBreakBefore w:val="0"/>
        <w:kinsoku/>
        <w:wordWrap/>
        <w:topLinePunct w:val="0"/>
        <w:bidi w:val="0"/>
        <w:spacing w:line="312" w:lineRule="auto"/>
        <w:ind w:left="420" w:leftChars="200"/>
        <w:rPr>
          <w:rFonts w:hint="eastAsia" w:ascii="宋体" w:hAnsi="宋体" w:cs="宋体"/>
          <w:color w:val="auto"/>
          <w:szCs w:val="21"/>
          <w:highlight w:val="none"/>
        </w:rPr>
      </w:pPr>
      <w:r>
        <w:rPr>
          <w:rFonts w:hint="eastAsia" w:ascii="宋体" w:hAnsi="宋体" w:cs="宋体"/>
          <w:color w:val="auto"/>
          <w:szCs w:val="21"/>
          <w:highlight w:val="none"/>
        </w:rPr>
        <w:t>（2）未按规定提交履约保证金的；</w:t>
      </w:r>
    </w:p>
    <w:p w14:paraId="71562C98">
      <w:pPr>
        <w:pageBreakBefore w:val="0"/>
        <w:kinsoku/>
        <w:wordWrap/>
        <w:topLinePunct w:val="0"/>
        <w:bidi w:val="0"/>
        <w:spacing w:line="312" w:lineRule="auto"/>
        <w:ind w:left="420" w:leftChars="200"/>
        <w:rPr>
          <w:rFonts w:hint="eastAsia" w:ascii="宋体" w:hAnsi="宋体" w:cs="宋体"/>
          <w:color w:val="auto"/>
          <w:szCs w:val="21"/>
          <w:highlight w:val="none"/>
        </w:rPr>
      </w:pPr>
      <w:r>
        <w:rPr>
          <w:rFonts w:hint="eastAsia" w:ascii="宋体" w:hAnsi="宋体" w:cs="宋体"/>
          <w:color w:val="auto"/>
          <w:szCs w:val="21"/>
          <w:highlight w:val="none"/>
        </w:rPr>
        <w:t>（3）供应商在响应文件中提供虚假材料的；</w:t>
      </w:r>
    </w:p>
    <w:p w14:paraId="4A79C9BB">
      <w:pPr>
        <w:pageBreakBefore w:val="0"/>
        <w:kinsoku/>
        <w:wordWrap/>
        <w:topLinePunct w:val="0"/>
        <w:bidi w:val="0"/>
        <w:spacing w:line="312" w:lineRule="auto"/>
        <w:ind w:left="420" w:leftChars="200"/>
        <w:rPr>
          <w:rFonts w:hint="eastAsia" w:ascii="宋体" w:hAnsi="宋体" w:cs="宋体"/>
          <w:color w:val="auto"/>
          <w:szCs w:val="21"/>
          <w:highlight w:val="none"/>
        </w:rPr>
      </w:pPr>
      <w:r>
        <w:rPr>
          <w:rFonts w:hint="eastAsia" w:ascii="宋体" w:hAnsi="宋体" w:cs="宋体"/>
          <w:color w:val="auto"/>
          <w:szCs w:val="21"/>
          <w:highlight w:val="none"/>
        </w:rPr>
        <w:t>（4）除因不可抗力或者磋商文件认可的情形以外，成交供应商不与采购人签订合同的；</w:t>
      </w:r>
    </w:p>
    <w:p w14:paraId="6D02C817">
      <w:pPr>
        <w:pageBreakBefore w:val="0"/>
        <w:kinsoku/>
        <w:wordWrap/>
        <w:topLinePunct w:val="0"/>
        <w:bidi w:val="0"/>
        <w:spacing w:line="312" w:lineRule="auto"/>
        <w:ind w:left="420" w:leftChars="200"/>
        <w:rPr>
          <w:rFonts w:hint="eastAsia" w:ascii="宋体" w:hAnsi="宋体" w:cs="宋体"/>
          <w:color w:val="auto"/>
          <w:szCs w:val="21"/>
          <w:highlight w:val="none"/>
        </w:rPr>
      </w:pPr>
      <w:r>
        <w:rPr>
          <w:rFonts w:hint="eastAsia" w:ascii="宋体" w:hAnsi="宋体" w:cs="宋体"/>
          <w:color w:val="auto"/>
          <w:szCs w:val="21"/>
          <w:highlight w:val="none"/>
        </w:rPr>
        <w:t>（5）供应商与采购人、其他供应商或者采购代理机构恶意串通的；</w:t>
      </w:r>
    </w:p>
    <w:p w14:paraId="79D931E8">
      <w:pPr>
        <w:pageBreakBefore w:val="0"/>
        <w:kinsoku/>
        <w:wordWrap/>
        <w:topLinePunct w:val="0"/>
        <w:bidi w:val="0"/>
        <w:spacing w:line="312" w:lineRule="auto"/>
        <w:ind w:left="420" w:leftChars="200"/>
        <w:rPr>
          <w:rFonts w:hint="eastAsia" w:ascii="宋体" w:hAnsi="宋体" w:cs="宋体"/>
          <w:color w:val="auto"/>
          <w:szCs w:val="21"/>
          <w:highlight w:val="none"/>
        </w:rPr>
      </w:pPr>
      <w:r>
        <w:rPr>
          <w:rFonts w:hint="eastAsia" w:ascii="宋体" w:hAnsi="宋体" w:cs="宋体"/>
          <w:color w:val="auto"/>
          <w:szCs w:val="21"/>
          <w:highlight w:val="none"/>
        </w:rPr>
        <w:t>（6）法律法规规定的其他情形。</w:t>
      </w:r>
    </w:p>
    <w:p w14:paraId="32576073">
      <w:pPr>
        <w:pageBreakBefore w:val="0"/>
        <w:kinsoku/>
        <w:wordWrap/>
        <w:topLinePunct w:val="0"/>
        <w:bidi w:val="0"/>
        <w:spacing w:line="312"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18.响应文件编制的要求</w:t>
      </w:r>
    </w:p>
    <w:p w14:paraId="7AD2BC19">
      <w:pPr>
        <w:pageBreakBefore w:val="0"/>
        <w:kinsoku/>
        <w:wordWrap/>
        <w:topLinePunct w:val="0"/>
        <w:bidi w:val="0"/>
        <w:spacing w:line="312" w:lineRule="auto"/>
        <w:ind w:firstLine="420" w:firstLineChars="200"/>
        <w:contextualSpacing/>
        <w:rPr>
          <w:rFonts w:hint="eastAsia" w:asciiTheme="minorEastAsia" w:hAnsiTheme="minorEastAsia" w:eastAsiaTheme="minorEastAsia" w:cstheme="minorEastAsia"/>
          <w:color w:val="000000"/>
          <w:szCs w:val="21"/>
          <w:highlight w:val="none"/>
        </w:rPr>
      </w:pPr>
      <w:bookmarkStart w:id="74" w:name="_Hlk45702405"/>
      <w:r>
        <w:rPr>
          <w:rFonts w:hint="eastAsia" w:asciiTheme="minorEastAsia" w:hAnsiTheme="minorEastAsia" w:eastAsiaTheme="minorEastAsia" w:cstheme="minorEastAsia"/>
          <w:color w:val="000000"/>
          <w:szCs w:val="21"/>
          <w:highlight w:val="none"/>
        </w:rPr>
        <w:t>18.1电子响应文件中须加盖供应商公章部分均采用 CA 签章，并根据“政府采购项目电子交易管理操作指南-供应商” 及本</w:t>
      </w:r>
      <w:r>
        <w:rPr>
          <w:rFonts w:hint="eastAsia" w:asciiTheme="minorEastAsia" w:hAnsiTheme="minorEastAsia" w:eastAsiaTheme="minorEastAsia" w:cstheme="minorEastAsia"/>
          <w:color w:val="000000"/>
          <w:szCs w:val="21"/>
          <w:highlight w:val="none"/>
          <w:lang w:eastAsia="zh-CN"/>
        </w:rPr>
        <w:t>竞争性磋商文件</w:t>
      </w:r>
      <w:r>
        <w:rPr>
          <w:rFonts w:hint="eastAsia" w:asciiTheme="minorEastAsia" w:hAnsiTheme="minorEastAsia" w:eastAsiaTheme="minorEastAsia" w:cstheme="minorEastAsia"/>
          <w:color w:val="000000"/>
          <w:szCs w:val="21"/>
          <w:highlight w:val="none"/>
        </w:rPr>
        <w:t>规定的格式和顺序编制电子响应文件并进行关联定位，以便</w:t>
      </w:r>
      <w:r>
        <w:rPr>
          <w:rFonts w:hint="eastAsia" w:asciiTheme="minorEastAsia" w:hAnsiTheme="minorEastAsia" w:eastAsiaTheme="minorEastAsia" w:cstheme="minorEastAsia"/>
          <w:color w:val="000000"/>
          <w:szCs w:val="21"/>
          <w:highlight w:val="none"/>
          <w:lang w:eastAsia="zh-CN"/>
        </w:rPr>
        <w:t>磋商小组</w:t>
      </w:r>
      <w:r>
        <w:rPr>
          <w:rFonts w:hint="eastAsia" w:asciiTheme="minorEastAsia" w:hAnsiTheme="minorEastAsia" w:eastAsiaTheme="minorEastAsia" w:cstheme="minorEastAsia"/>
          <w:color w:val="000000"/>
          <w:szCs w:val="21"/>
          <w:highlight w:val="none"/>
        </w:rPr>
        <w:t>在评审时，点击评分项可直接定位到该评分项内容。如对</w:t>
      </w:r>
      <w:r>
        <w:rPr>
          <w:rFonts w:hint="eastAsia" w:asciiTheme="minorEastAsia" w:hAnsiTheme="minorEastAsia" w:eastAsiaTheme="minorEastAsia" w:cstheme="minorEastAsia"/>
          <w:color w:val="000000"/>
          <w:szCs w:val="21"/>
          <w:highlight w:val="none"/>
          <w:lang w:eastAsia="zh-CN"/>
        </w:rPr>
        <w:t>竞争性磋商文件</w:t>
      </w:r>
      <w:r>
        <w:rPr>
          <w:rFonts w:hint="eastAsia" w:asciiTheme="minorEastAsia" w:hAnsiTheme="minorEastAsia" w:eastAsiaTheme="minorEastAsia" w:cstheme="minorEastAsia"/>
          <w:color w:val="000000"/>
          <w:szCs w:val="21"/>
          <w:highlight w:val="none"/>
        </w:rPr>
        <w:t>的某项要求，供应商的电子响应文件未能关联定位提供相应的内容与其对应，则</w:t>
      </w:r>
      <w:r>
        <w:rPr>
          <w:rFonts w:hint="eastAsia" w:asciiTheme="minorEastAsia" w:hAnsiTheme="minorEastAsia" w:eastAsiaTheme="minorEastAsia" w:cstheme="minorEastAsia"/>
          <w:color w:val="000000"/>
          <w:szCs w:val="21"/>
          <w:highlight w:val="none"/>
          <w:lang w:eastAsia="zh-CN"/>
        </w:rPr>
        <w:t>磋商小组</w:t>
      </w:r>
      <w:r>
        <w:rPr>
          <w:rFonts w:hint="eastAsia" w:asciiTheme="minorEastAsia" w:hAnsiTheme="minorEastAsia" w:eastAsiaTheme="minorEastAsia" w:cstheme="minorEastAsia"/>
          <w:color w:val="000000"/>
          <w:szCs w:val="21"/>
          <w:highlight w:val="none"/>
        </w:rPr>
        <w:t>在评审时如做出对供应商不利的评审由供应商自行承担。电子响应文件如内容不完整、编排混乱导致电子响应文件被误读、 漏读，或者在按采购文件规定的部位查找不到相关内容的，由供应商自行承担</w:t>
      </w:r>
      <w:r>
        <w:rPr>
          <w:rFonts w:hint="eastAsia" w:asciiTheme="minorEastAsia" w:hAnsiTheme="minorEastAsia" w:eastAsiaTheme="minorEastAsia" w:cstheme="minorEastAsia"/>
          <w:color w:val="000000"/>
          <w:spacing w:val="-6"/>
          <w:szCs w:val="21"/>
          <w:highlight w:val="none"/>
        </w:rPr>
        <w:t>。</w:t>
      </w:r>
    </w:p>
    <w:p w14:paraId="1C319B3F">
      <w:pPr>
        <w:pageBreakBefore w:val="0"/>
        <w:kinsoku/>
        <w:wordWrap/>
        <w:topLinePunct w:val="0"/>
        <w:bidi w:val="0"/>
        <w:spacing w:line="312" w:lineRule="auto"/>
        <w:ind w:firstLine="420" w:firstLineChars="200"/>
        <w:contextualSpacing/>
        <w:rPr>
          <w:rFonts w:hint="eastAsia" w:asciiTheme="minorEastAsia" w:hAnsiTheme="minorEastAsia" w:eastAsiaTheme="minorEastAsia" w:cstheme="minorEastAsia"/>
          <w:color w:val="000000"/>
          <w:szCs w:val="21"/>
          <w:highlight w:val="none"/>
        </w:rPr>
      </w:pPr>
      <w:r>
        <w:rPr>
          <w:rFonts w:hint="eastAsia" w:asciiTheme="minorEastAsia" w:hAnsiTheme="minorEastAsia" w:eastAsiaTheme="minorEastAsia" w:cstheme="minorEastAsia"/>
          <w:color w:val="000000"/>
          <w:szCs w:val="21"/>
          <w:highlight w:val="none"/>
        </w:rPr>
        <w:t>18.2 CA 签章上目前没有</w:t>
      </w:r>
      <w:r>
        <w:rPr>
          <w:rFonts w:hint="eastAsia" w:asciiTheme="minorEastAsia" w:hAnsiTheme="minorEastAsia" w:eastAsiaTheme="minorEastAsia" w:cstheme="minorEastAsia"/>
          <w:color w:val="000000"/>
          <w:szCs w:val="21"/>
          <w:highlight w:val="none"/>
          <w:lang w:eastAsia="zh-CN"/>
        </w:rPr>
        <w:t>法定代表人</w:t>
      </w:r>
      <w:r>
        <w:rPr>
          <w:rFonts w:hint="eastAsia" w:asciiTheme="minorEastAsia" w:hAnsiTheme="minorEastAsia" w:eastAsiaTheme="minorEastAsia" w:cstheme="minorEastAsia"/>
          <w:color w:val="000000"/>
          <w:szCs w:val="21"/>
          <w:highlight w:val="none"/>
        </w:rPr>
        <w:t>（负责人）或授权代表签字信息，供应商在响应文件中涉及到签字的位置线下签好字然后扫描或者拍照做成PDF的格式即可。</w:t>
      </w:r>
    </w:p>
    <w:p w14:paraId="533AB7E4">
      <w:pPr>
        <w:pageBreakBefore w:val="0"/>
        <w:kinsoku/>
        <w:wordWrap/>
        <w:topLinePunct w:val="0"/>
        <w:bidi w:val="0"/>
        <w:spacing w:line="312" w:lineRule="auto"/>
        <w:ind w:firstLine="420" w:firstLineChars="200"/>
        <w:contextualSpacing/>
        <w:rPr>
          <w:rFonts w:hint="eastAsia" w:asciiTheme="minorEastAsia" w:hAnsiTheme="minorEastAsia" w:eastAsiaTheme="minorEastAsia" w:cstheme="minorEastAsia"/>
          <w:color w:val="000000"/>
          <w:szCs w:val="21"/>
          <w:highlight w:val="none"/>
        </w:rPr>
      </w:pPr>
      <w:r>
        <w:rPr>
          <w:rFonts w:hint="eastAsia" w:asciiTheme="minorEastAsia" w:hAnsiTheme="minorEastAsia" w:eastAsiaTheme="minorEastAsia" w:cstheme="minorEastAsia"/>
          <w:color w:val="000000"/>
          <w:szCs w:val="21"/>
          <w:highlight w:val="none"/>
        </w:rPr>
        <w:t>18.</w:t>
      </w:r>
      <w:r>
        <w:rPr>
          <w:rFonts w:hint="eastAsia" w:asciiTheme="minorEastAsia" w:hAnsiTheme="minorEastAsia" w:eastAsiaTheme="minorEastAsia" w:cstheme="minorEastAsia"/>
          <w:color w:val="000000"/>
          <w:szCs w:val="21"/>
          <w:highlight w:val="none"/>
          <w:lang w:val="en-US" w:eastAsia="zh-CN"/>
        </w:rPr>
        <w:t>3</w:t>
      </w:r>
      <w:r>
        <w:rPr>
          <w:rFonts w:hint="eastAsia" w:asciiTheme="minorEastAsia" w:hAnsiTheme="minorEastAsia" w:eastAsiaTheme="minorEastAsia" w:cstheme="minorEastAsia"/>
          <w:color w:val="000000"/>
          <w:szCs w:val="21"/>
          <w:highlight w:val="none"/>
        </w:rPr>
        <w:t>响应文件中标注的供应商名称应与营业执照（事业单位法人证书、执业许可证、自然人身份证）及公章一致，否则其响应文件按无效响应处理。</w:t>
      </w:r>
    </w:p>
    <w:p w14:paraId="1E16FDDA">
      <w:pPr>
        <w:spacing w:line="360" w:lineRule="auto"/>
        <w:ind w:firstLine="422" w:firstLineChars="200"/>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18.</w:t>
      </w:r>
      <w:r>
        <w:rPr>
          <w:rFonts w:hint="eastAsia" w:asciiTheme="minorEastAsia" w:hAnsiTheme="minorEastAsia" w:eastAsiaTheme="minorEastAsia" w:cstheme="minorEastAsia"/>
          <w:b/>
          <w:bCs/>
          <w:color w:val="auto"/>
          <w:szCs w:val="21"/>
          <w:highlight w:val="none"/>
          <w:lang w:val="en-US" w:eastAsia="zh-CN"/>
        </w:rPr>
        <w:t>4</w:t>
      </w:r>
      <w:r>
        <w:rPr>
          <w:rFonts w:hint="eastAsia" w:asciiTheme="minorEastAsia" w:hAnsiTheme="minorEastAsia" w:eastAsiaTheme="minorEastAsia" w:cstheme="minorEastAsia"/>
          <w:b/>
          <w:bCs/>
          <w:color w:val="auto"/>
          <w:szCs w:val="21"/>
          <w:highlight w:val="none"/>
        </w:rPr>
        <w:t xml:space="preserve"> 投标文件不得涂改，若有修改错漏处，须法定代表人（负责人）或授权委托人签字（或个人CA签章）。投标文件因字迹潦草或表达不清所引起的后果由</w:t>
      </w:r>
      <w:r>
        <w:rPr>
          <w:rFonts w:hint="eastAsia" w:asciiTheme="minorEastAsia" w:hAnsiTheme="minorEastAsia" w:eastAsiaTheme="minorEastAsia" w:cstheme="minorEastAsia"/>
          <w:b/>
          <w:bCs/>
          <w:color w:val="auto"/>
          <w:szCs w:val="21"/>
          <w:highlight w:val="none"/>
          <w:lang w:eastAsia="zh-CN"/>
        </w:rPr>
        <w:t>供应商</w:t>
      </w:r>
      <w:r>
        <w:rPr>
          <w:rFonts w:hint="eastAsia" w:asciiTheme="minorEastAsia" w:hAnsiTheme="minorEastAsia" w:eastAsiaTheme="minorEastAsia" w:cstheme="minorEastAsia"/>
          <w:b/>
          <w:bCs/>
          <w:color w:val="auto"/>
          <w:szCs w:val="21"/>
          <w:highlight w:val="none"/>
        </w:rPr>
        <w:t>负责。</w:t>
      </w:r>
    </w:p>
    <w:p w14:paraId="08B251D1">
      <w:pPr>
        <w:spacing w:line="360" w:lineRule="auto"/>
        <w:ind w:firstLine="422" w:firstLineChars="200"/>
        <w:outlineLvl w:val="9"/>
        <w:rPr>
          <w:rFonts w:hint="eastAsia" w:asciiTheme="minorEastAsia" w:hAnsiTheme="minorEastAsia" w:eastAsiaTheme="minorEastAsia" w:cstheme="minorEastAsia"/>
          <w:b/>
          <w:bCs/>
          <w:color w:val="auto"/>
          <w:szCs w:val="21"/>
          <w:highlight w:val="none"/>
          <w:lang w:val="en-US" w:eastAsia="zh-CN"/>
        </w:rPr>
      </w:pPr>
      <w:r>
        <w:rPr>
          <w:rFonts w:hint="eastAsia" w:asciiTheme="minorEastAsia" w:hAnsiTheme="minorEastAsia" w:eastAsiaTheme="minorEastAsia" w:cstheme="minorEastAsia"/>
          <w:b/>
          <w:bCs/>
          <w:color w:val="auto"/>
          <w:szCs w:val="21"/>
          <w:highlight w:val="none"/>
        </w:rPr>
        <w:t>18.</w:t>
      </w:r>
      <w:r>
        <w:rPr>
          <w:rFonts w:hint="eastAsia" w:asciiTheme="minorEastAsia" w:hAnsiTheme="minorEastAsia" w:eastAsiaTheme="minorEastAsia" w:cstheme="minorEastAsia"/>
          <w:b/>
          <w:bCs/>
          <w:color w:val="auto"/>
          <w:szCs w:val="21"/>
          <w:highlight w:val="none"/>
          <w:lang w:val="en-US" w:eastAsia="zh-CN"/>
        </w:rPr>
        <w:t>5</w:t>
      </w:r>
      <w:r>
        <w:rPr>
          <w:rFonts w:hint="eastAsia" w:asciiTheme="minorEastAsia" w:hAnsiTheme="minorEastAsia" w:eastAsiaTheme="minorEastAsia" w:cstheme="minorEastAsia"/>
          <w:b/>
          <w:bCs/>
          <w:color w:val="auto"/>
          <w:szCs w:val="21"/>
          <w:highlight w:val="none"/>
        </w:rPr>
        <w:t xml:space="preserve">评审前准备 </w:t>
      </w:r>
      <w:r>
        <w:rPr>
          <w:rFonts w:hint="eastAsia" w:asciiTheme="minorEastAsia" w:hAnsiTheme="minorEastAsia" w:eastAsiaTheme="minorEastAsia" w:cstheme="minorEastAsia"/>
          <w:b/>
          <w:bCs/>
          <w:color w:val="auto"/>
          <w:szCs w:val="21"/>
          <w:highlight w:val="none"/>
          <w:lang w:val="en-US" w:eastAsia="zh-CN"/>
        </w:rPr>
        <w:t xml:space="preserve"> </w:t>
      </w:r>
    </w:p>
    <w:p w14:paraId="6E623D54">
      <w:pPr>
        <w:spacing w:line="360" w:lineRule="auto"/>
        <w:ind w:firstLine="422" w:firstLineChars="200"/>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18.</w:t>
      </w:r>
      <w:r>
        <w:rPr>
          <w:rFonts w:hint="eastAsia" w:asciiTheme="minorEastAsia" w:hAnsiTheme="minorEastAsia" w:eastAsiaTheme="minorEastAsia" w:cstheme="minorEastAsia"/>
          <w:b/>
          <w:bCs/>
          <w:color w:val="auto"/>
          <w:szCs w:val="21"/>
          <w:highlight w:val="none"/>
          <w:lang w:val="en-US" w:eastAsia="zh-CN"/>
        </w:rPr>
        <w:t>5</w:t>
      </w:r>
      <w:r>
        <w:rPr>
          <w:rFonts w:hint="eastAsia" w:asciiTheme="minorEastAsia" w:hAnsiTheme="minorEastAsia" w:eastAsiaTheme="minorEastAsia" w:cstheme="minorEastAsia"/>
          <w:b/>
          <w:bCs/>
          <w:color w:val="auto"/>
          <w:szCs w:val="21"/>
          <w:highlight w:val="none"/>
        </w:rPr>
        <w:t>.1本项目实行网上评审，采用电子投标响应文件；若</w:t>
      </w:r>
      <w:r>
        <w:rPr>
          <w:rFonts w:hint="eastAsia" w:asciiTheme="minorEastAsia" w:hAnsiTheme="minorEastAsia" w:eastAsiaTheme="minorEastAsia" w:cstheme="minorEastAsia"/>
          <w:b/>
          <w:bCs/>
          <w:color w:val="auto"/>
          <w:szCs w:val="21"/>
          <w:highlight w:val="none"/>
          <w:lang w:eastAsia="zh-CN"/>
        </w:rPr>
        <w:t>供应商</w:t>
      </w:r>
      <w:r>
        <w:rPr>
          <w:rFonts w:hint="eastAsia" w:asciiTheme="minorEastAsia" w:hAnsiTheme="minorEastAsia" w:eastAsiaTheme="minorEastAsia" w:cstheme="minorEastAsia"/>
          <w:b/>
          <w:bCs/>
          <w:color w:val="auto"/>
          <w:szCs w:val="21"/>
          <w:highlight w:val="none"/>
        </w:rPr>
        <w:t xml:space="preserve">参与投标，自行承担投标一切费用。 </w:t>
      </w:r>
    </w:p>
    <w:p w14:paraId="7F08E009">
      <w:pPr>
        <w:spacing w:line="360" w:lineRule="auto"/>
        <w:ind w:firstLine="422" w:firstLineChars="200"/>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18.</w:t>
      </w:r>
      <w:r>
        <w:rPr>
          <w:rFonts w:hint="eastAsia" w:asciiTheme="minorEastAsia" w:hAnsiTheme="minorEastAsia" w:eastAsiaTheme="minorEastAsia" w:cstheme="minorEastAsia"/>
          <w:b/>
          <w:bCs/>
          <w:color w:val="auto"/>
          <w:szCs w:val="21"/>
          <w:highlight w:val="none"/>
          <w:lang w:val="en-US" w:eastAsia="zh-CN"/>
        </w:rPr>
        <w:t>5</w:t>
      </w:r>
      <w:r>
        <w:rPr>
          <w:rFonts w:hint="eastAsia" w:asciiTheme="minorEastAsia" w:hAnsiTheme="minorEastAsia" w:eastAsiaTheme="minorEastAsia" w:cstheme="minorEastAsia"/>
          <w:b/>
          <w:bCs/>
          <w:color w:val="auto"/>
          <w:szCs w:val="21"/>
          <w:highlight w:val="none"/>
        </w:rPr>
        <w:t>.2各</w:t>
      </w:r>
      <w:r>
        <w:rPr>
          <w:rFonts w:hint="eastAsia" w:asciiTheme="minorEastAsia" w:hAnsiTheme="minorEastAsia" w:eastAsiaTheme="minorEastAsia" w:cstheme="minorEastAsia"/>
          <w:b/>
          <w:bCs/>
          <w:color w:val="auto"/>
          <w:szCs w:val="21"/>
          <w:highlight w:val="none"/>
          <w:lang w:eastAsia="zh-CN"/>
        </w:rPr>
        <w:t>供应商</w:t>
      </w:r>
      <w:r>
        <w:rPr>
          <w:rFonts w:hint="eastAsia" w:asciiTheme="minorEastAsia" w:hAnsiTheme="minorEastAsia" w:eastAsiaTheme="minorEastAsia" w:cstheme="minorEastAsia"/>
          <w:b/>
          <w:bCs/>
          <w:color w:val="auto"/>
          <w:szCs w:val="21"/>
          <w:highlight w:val="none"/>
        </w:rPr>
        <w:t>在截标前应确保成为</w:t>
      </w:r>
      <w:r>
        <w:rPr>
          <w:rFonts w:hint="eastAsia" w:asciiTheme="minorEastAsia" w:hAnsiTheme="minorEastAsia" w:eastAsiaTheme="minorEastAsia" w:cstheme="minorEastAsia"/>
          <w:b/>
          <w:bCs/>
          <w:color w:val="auto"/>
          <w:szCs w:val="21"/>
          <w:highlight w:val="none"/>
          <w:lang w:eastAsia="zh-CN"/>
        </w:rPr>
        <w:t>广西政府采购云平台</w:t>
      </w:r>
      <w:r>
        <w:rPr>
          <w:rFonts w:hint="eastAsia" w:asciiTheme="minorEastAsia" w:hAnsiTheme="minorEastAsia" w:eastAsiaTheme="minorEastAsia" w:cstheme="minorEastAsia"/>
          <w:b/>
          <w:bCs/>
          <w:color w:val="auto"/>
          <w:szCs w:val="21"/>
          <w:highlight w:val="none"/>
        </w:rPr>
        <w:t>正式注册入库</w:t>
      </w:r>
      <w:r>
        <w:rPr>
          <w:rFonts w:hint="eastAsia" w:asciiTheme="minorEastAsia" w:hAnsiTheme="minorEastAsia" w:eastAsiaTheme="minorEastAsia" w:cstheme="minorEastAsia"/>
          <w:b/>
          <w:bCs/>
          <w:color w:val="auto"/>
          <w:szCs w:val="21"/>
          <w:highlight w:val="none"/>
          <w:lang w:eastAsia="zh-CN"/>
        </w:rPr>
        <w:t>供应商</w:t>
      </w:r>
      <w:r>
        <w:rPr>
          <w:rFonts w:hint="eastAsia" w:asciiTheme="minorEastAsia" w:hAnsiTheme="minorEastAsia" w:eastAsiaTheme="minorEastAsia" w:cstheme="minorEastAsia"/>
          <w:b/>
          <w:bCs/>
          <w:color w:val="auto"/>
          <w:szCs w:val="21"/>
          <w:highlight w:val="none"/>
        </w:rPr>
        <w:t>，并完成 CA 数字证书申领。因未注册入库、未办理 CA 数字证书等原因造成无法投标或投标失败等后果由</w:t>
      </w:r>
      <w:r>
        <w:rPr>
          <w:rFonts w:hint="eastAsia" w:asciiTheme="minorEastAsia" w:hAnsiTheme="minorEastAsia" w:eastAsiaTheme="minorEastAsia" w:cstheme="minorEastAsia"/>
          <w:b/>
          <w:bCs/>
          <w:color w:val="auto"/>
          <w:szCs w:val="21"/>
          <w:highlight w:val="none"/>
          <w:lang w:eastAsia="zh-CN"/>
        </w:rPr>
        <w:t>供应商</w:t>
      </w:r>
      <w:r>
        <w:rPr>
          <w:rFonts w:hint="eastAsia" w:asciiTheme="minorEastAsia" w:hAnsiTheme="minorEastAsia" w:eastAsiaTheme="minorEastAsia" w:cstheme="minorEastAsia"/>
          <w:b/>
          <w:bCs/>
          <w:color w:val="auto"/>
          <w:szCs w:val="21"/>
          <w:highlight w:val="none"/>
        </w:rPr>
        <w:t xml:space="preserve">自行承担。 </w:t>
      </w:r>
    </w:p>
    <w:p w14:paraId="7A606BAB">
      <w:pPr>
        <w:spacing w:line="360" w:lineRule="auto"/>
        <w:ind w:firstLine="422"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bCs/>
          <w:color w:val="auto"/>
          <w:szCs w:val="21"/>
          <w:highlight w:val="none"/>
        </w:rPr>
        <w:t>18.</w:t>
      </w:r>
      <w:r>
        <w:rPr>
          <w:rFonts w:hint="eastAsia" w:asciiTheme="minorEastAsia" w:hAnsiTheme="minorEastAsia" w:eastAsiaTheme="minorEastAsia" w:cstheme="minorEastAsia"/>
          <w:b/>
          <w:bCs/>
          <w:color w:val="auto"/>
          <w:szCs w:val="21"/>
          <w:highlight w:val="none"/>
          <w:lang w:val="en-US" w:eastAsia="zh-CN"/>
        </w:rPr>
        <w:t>5</w:t>
      </w:r>
      <w:r>
        <w:rPr>
          <w:rFonts w:hint="eastAsia" w:asciiTheme="minorEastAsia" w:hAnsiTheme="minorEastAsia" w:eastAsiaTheme="minorEastAsia" w:cstheme="minorEastAsia"/>
          <w:b/>
          <w:bCs/>
          <w:color w:val="auto"/>
          <w:szCs w:val="21"/>
          <w:highlight w:val="none"/>
        </w:rPr>
        <w:t>.3</w:t>
      </w:r>
      <w:r>
        <w:rPr>
          <w:rFonts w:hint="eastAsia" w:asciiTheme="minorEastAsia" w:hAnsiTheme="minorEastAsia" w:eastAsiaTheme="minorEastAsia" w:cstheme="minorEastAsia"/>
          <w:b/>
          <w:bCs/>
          <w:color w:val="auto"/>
          <w:szCs w:val="21"/>
          <w:highlight w:val="none"/>
          <w:lang w:eastAsia="zh-CN"/>
        </w:rPr>
        <w:t>供应商</w:t>
      </w:r>
      <w:r>
        <w:rPr>
          <w:rFonts w:hint="eastAsia" w:asciiTheme="minorEastAsia" w:hAnsiTheme="minorEastAsia" w:eastAsiaTheme="minorEastAsia" w:cstheme="minorEastAsia"/>
          <w:b/>
          <w:bCs/>
          <w:color w:val="auto"/>
          <w:szCs w:val="21"/>
          <w:highlight w:val="none"/>
        </w:rPr>
        <w:t>将</w:t>
      </w:r>
      <w:r>
        <w:rPr>
          <w:rFonts w:hint="eastAsia" w:asciiTheme="minorEastAsia" w:hAnsiTheme="minorEastAsia" w:eastAsiaTheme="minorEastAsia" w:cstheme="minorEastAsia"/>
          <w:b/>
          <w:bCs/>
          <w:color w:val="auto"/>
          <w:szCs w:val="21"/>
          <w:highlight w:val="none"/>
          <w:lang w:eastAsia="zh-CN"/>
        </w:rPr>
        <w:t>广西政府采购云平台电子交易客户端</w:t>
      </w:r>
      <w:r>
        <w:rPr>
          <w:rFonts w:hint="eastAsia" w:asciiTheme="minorEastAsia" w:hAnsiTheme="minorEastAsia" w:eastAsiaTheme="minorEastAsia" w:cstheme="minorEastAsia"/>
          <w:b/>
          <w:bCs/>
          <w:color w:val="auto"/>
          <w:szCs w:val="21"/>
          <w:highlight w:val="none"/>
        </w:rPr>
        <w:t>下载、安装完成后，可通过账号密码或 CA 登录客户端进行投标文件制作。客户端请至网站下载专区查看，如有问题可拨打</w:t>
      </w:r>
      <w:r>
        <w:rPr>
          <w:rFonts w:hint="eastAsia" w:asciiTheme="minorEastAsia" w:hAnsiTheme="minorEastAsia" w:eastAsiaTheme="minorEastAsia" w:cstheme="minorEastAsia"/>
          <w:b/>
          <w:bCs/>
          <w:color w:val="auto"/>
          <w:szCs w:val="21"/>
          <w:highlight w:val="none"/>
          <w:lang w:eastAsia="zh-CN"/>
        </w:rPr>
        <w:t>广西政府采购云平台</w:t>
      </w:r>
      <w:r>
        <w:rPr>
          <w:rFonts w:hint="eastAsia" w:asciiTheme="minorEastAsia" w:hAnsiTheme="minorEastAsia" w:eastAsiaTheme="minorEastAsia" w:cstheme="minorEastAsia"/>
          <w:b/>
          <w:bCs/>
          <w:color w:val="auto"/>
          <w:szCs w:val="21"/>
          <w:highlight w:val="none"/>
        </w:rPr>
        <w:t>客户服务热线 95763 进行咨询。</w:t>
      </w:r>
    </w:p>
    <w:p w14:paraId="1B2A891F">
      <w:pPr>
        <w:pageBreakBefore w:val="0"/>
        <w:kinsoku/>
        <w:wordWrap/>
        <w:topLinePunct w:val="0"/>
        <w:bidi w:val="0"/>
        <w:spacing w:line="312"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19.电子备份响应文件</w:t>
      </w:r>
    </w:p>
    <w:p w14:paraId="0C4205C4">
      <w:pPr>
        <w:pageBreakBefore w:val="0"/>
        <w:kinsoku/>
        <w:wordWrap/>
        <w:topLinePunct w:val="0"/>
        <w:bidi w:val="0"/>
        <w:spacing w:line="312" w:lineRule="auto"/>
        <w:ind w:firstLine="420" w:firstLineChars="200"/>
        <w:rPr>
          <w:rFonts w:hint="eastAsia" w:ascii="宋体" w:hAnsi="宋体" w:eastAsia="宋体" w:cs="宋体"/>
          <w:b/>
          <w:bCs/>
          <w:color w:val="000000"/>
          <w:sz w:val="24"/>
          <w:highlight w:val="none"/>
        </w:rPr>
      </w:pPr>
      <w:r>
        <w:rPr>
          <w:rFonts w:hint="eastAsia" w:ascii="宋体" w:hAnsi="宋体" w:eastAsia="宋体" w:cs="宋体"/>
          <w:b w:val="0"/>
          <w:color w:val="000000"/>
          <w:sz w:val="21"/>
          <w:szCs w:val="21"/>
          <w:highlight w:val="none"/>
          <w:lang w:eastAsia="zh-CN"/>
        </w:rPr>
        <w:t>电子备份响应文件是指通过在线编制生成且后缀名为“bfbs”的文件，是否接受电子备份响应文件详见在“供应商须知前附表”。</w:t>
      </w:r>
    </w:p>
    <w:p w14:paraId="682D2CE4">
      <w:pPr>
        <w:pageBreakBefore w:val="0"/>
        <w:kinsoku/>
        <w:wordWrap/>
        <w:topLinePunct w:val="0"/>
        <w:bidi w:val="0"/>
        <w:spacing w:line="312"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20.响应文件的提交</w:t>
      </w:r>
    </w:p>
    <w:p w14:paraId="2C6BF14C">
      <w:pPr>
        <w:pageBreakBefore w:val="0"/>
        <w:kinsoku/>
        <w:wordWrap/>
        <w:topLinePunct w:val="0"/>
        <w:bidi w:val="0"/>
        <w:spacing w:line="312"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 xml:space="preserve">20.1供应商必须按“供应商须知前附表”规定的时间及地点提交响应文件。电子响应文件应在制作完成后，在提交响应文件截止时间前通过有效数字证书（CA认证锁）进行电子签章、加密，然后通过网络将加密的电子响应文件提交至广西政府采购云平台。  </w:t>
      </w:r>
    </w:p>
    <w:p w14:paraId="65FD5686">
      <w:pPr>
        <w:pageBreakBefore w:val="0"/>
        <w:kinsoku/>
        <w:wordWrap/>
        <w:topLinePunct w:val="0"/>
        <w:bidi w:val="0"/>
        <w:spacing w:line="312" w:lineRule="auto"/>
        <w:ind w:firstLine="420" w:firstLineChars="200"/>
        <w:outlineLvl w:val="9"/>
        <w:rPr>
          <w:rFonts w:hint="eastAsia" w:ascii="宋体" w:hAnsi="宋体" w:eastAsia="宋体" w:cs="宋体"/>
          <w:b/>
          <w:bCs/>
          <w:color w:val="000000"/>
          <w:sz w:val="24"/>
          <w:highlight w:val="none"/>
        </w:rPr>
      </w:pPr>
      <w:r>
        <w:rPr>
          <w:rFonts w:hint="eastAsia" w:ascii="宋体" w:hAnsi="宋体" w:eastAsia="宋体" w:cs="宋体"/>
          <w:color w:val="000000"/>
          <w:szCs w:val="21"/>
          <w:highlight w:val="none"/>
        </w:rPr>
        <w:t>20.2未在规定时间内提交或者未按照磋商文件要求加密的电子响应文件，广西政府采购云平台将拒收。</w:t>
      </w:r>
    </w:p>
    <w:p w14:paraId="58565CCF">
      <w:pPr>
        <w:pageBreakBefore w:val="0"/>
        <w:kinsoku/>
        <w:wordWrap/>
        <w:topLinePunct w:val="0"/>
        <w:bidi w:val="0"/>
        <w:spacing w:line="312"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21.首次响应文件的补充、修改与撤回</w:t>
      </w:r>
    </w:p>
    <w:p w14:paraId="2909A4F4">
      <w:pPr>
        <w:pageBreakBefore w:val="0"/>
        <w:kinsoku/>
        <w:wordWrap/>
        <w:topLinePunct w:val="0"/>
        <w:bidi w:val="0"/>
        <w:spacing w:line="312" w:lineRule="auto"/>
        <w:ind w:firstLine="420" w:firstLineChars="200"/>
        <w:rPr>
          <w:rFonts w:hint="eastAsia" w:asciiTheme="minorEastAsia" w:hAnsiTheme="minorEastAsia" w:eastAsiaTheme="minorEastAsia" w:cstheme="minorEastAsia"/>
          <w:color w:val="000000"/>
          <w:szCs w:val="21"/>
          <w:highlight w:val="none"/>
        </w:rPr>
      </w:pPr>
      <w:bookmarkStart w:id="75" w:name="_Toc254970543"/>
      <w:bookmarkStart w:id="76" w:name="_Toc254970684"/>
      <w:r>
        <w:rPr>
          <w:rFonts w:hint="eastAsia" w:asciiTheme="minorEastAsia" w:hAnsiTheme="minorEastAsia" w:eastAsiaTheme="minorEastAsia" w:cstheme="minorEastAsia"/>
          <w:color w:val="000000"/>
          <w:szCs w:val="21"/>
          <w:highlight w:val="none"/>
        </w:rPr>
        <w:t>21.1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注：补充、修改或者撤回方式可登录广西政府采购云平台，进入“服务中心”中查看 “电子投标文件制作与投送教程”）</w:t>
      </w:r>
    </w:p>
    <w:bookmarkEnd w:id="75"/>
    <w:bookmarkEnd w:id="76"/>
    <w:p w14:paraId="4FDD611A">
      <w:pPr>
        <w:pageBreakBefore w:val="0"/>
        <w:kinsoku/>
        <w:wordWrap/>
        <w:topLinePunct w:val="0"/>
        <w:bidi w:val="0"/>
        <w:spacing w:line="312" w:lineRule="auto"/>
        <w:ind w:firstLine="420" w:firstLineChars="200"/>
        <w:rPr>
          <w:rFonts w:hint="eastAsia" w:asciiTheme="minorEastAsia" w:hAnsiTheme="minorEastAsia" w:eastAsiaTheme="minorEastAsia" w:cstheme="minorEastAsia"/>
          <w:color w:val="000000"/>
          <w:szCs w:val="21"/>
          <w:highlight w:val="none"/>
        </w:rPr>
      </w:pPr>
      <w:r>
        <w:rPr>
          <w:rFonts w:hint="eastAsia" w:asciiTheme="minorEastAsia" w:hAnsiTheme="minorEastAsia" w:eastAsiaTheme="minorEastAsia" w:cstheme="minorEastAsia"/>
          <w:color w:val="000000"/>
          <w:szCs w:val="21"/>
          <w:highlight w:val="none"/>
        </w:rPr>
        <w:t>21.2在提交响应文件截止时间前，除供应商补充、修改或者撤回响应文件外，任何单位和个人不得解密或提取响应文件。</w:t>
      </w:r>
    </w:p>
    <w:p w14:paraId="176A7B68">
      <w:pPr>
        <w:pageBreakBefore w:val="0"/>
        <w:kinsoku/>
        <w:wordWrap/>
        <w:topLinePunct w:val="0"/>
        <w:bidi w:val="0"/>
        <w:spacing w:line="312"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22. 首次响应文件的退回</w:t>
      </w:r>
    </w:p>
    <w:p w14:paraId="56B5F21A">
      <w:pPr>
        <w:pageBreakBefore w:val="0"/>
        <w:kinsoku/>
        <w:wordWrap/>
        <w:topLinePunct w:val="0"/>
        <w:bidi w:val="0"/>
        <w:spacing w:line="312" w:lineRule="auto"/>
        <w:ind w:firstLine="420" w:firstLineChars="200"/>
        <w:rPr>
          <w:rFonts w:hint="eastAsia" w:asciiTheme="minorEastAsia" w:hAnsiTheme="minorEastAsia" w:eastAsiaTheme="minorEastAsia" w:cstheme="minorEastAsia"/>
          <w:color w:val="000000"/>
          <w:szCs w:val="21"/>
          <w:highlight w:val="yellow"/>
        </w:rPr>
      </w:pPr>
      <w:r>
        <w:rPr>
          <w:rFonts w:hint="eastAsia" w:asciiTheme="minorEastAsia" w:hAnsiTheme="minorEastAsia" w:eastAsiaTheme="minorEastAsia" w:cstheme="minorEastAsia"/>
          <w:b w:val="0"/>
          <w:bCs w:val="0"/>
          <w:color w:val="000000"/>
          <w:szCs w:val="21"/>
          <w:highlight w:val="none"/>
          <w:lang w:eastAsia="zh-CN"/>
        </w:rPr>
        <w:t>采购人和采购代理机构对已提交的响应文件概不退回。</w:t>
      </w:r>
    </w:p>
    <w:p w14:paraId="1103CE87">
      <w:pPr>
        <w:pageBreakBefore w:val="0"/>
        <w:kinsoku/>
        <w:wordWrap/>
        <w:topLinePunct w:val="0"/>
        <w:bidi w:val="0"/>
        <w:spacing w:line="312"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23. 截止时间后的撤回</w:t>
      </w:r>
    </w:p>
    <w:p w14:paraId="4C48996B">
      <w:pPr>
        <w:pageBreakBefore w:val="0"/>
        <w:kinsoku/>
        <w:wordWrap/>
        <w:topLinePunct w:val="0"/>
        <w:bidi w:val="0"/>
        <w:spacing w:line="312"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000000"/>
          <w:szCs w:val="21"/>
          <w:highlight w:val="none"/>
        </w:rPr>
        <w:t>供应商在首次响应文件提交截止时间后向采购人、采购代理机构书面申请撤回响应文件的，将根据本须知正文17.4的规定不予退还其磋商保证金</w:t>
      </w:r>
      <w:r>
        <w:rPr>
          <w:rFonts w:hint="eastAsia" w:asciiTheme="minorEastAsia" w:hAnsiTheme="minorEastAsia" w:eastAsiaTheme="minorEastAsia" w:cstheme="minorEastAsia"/>
          <w:color w:val="auto"/>
          <w:szCs w:val="21"/>
          <w:highlight w:val="none"/>
        </w:rPr>
        <w:t>。</w:t>
      </w:r>
    </w:p>
    <w:bookmarkEnd w:id="74"/>
    <w:p w14:paraId="5527CBE9">
      <w:pPr>
        <w:pageBreakBefore w:val="0"/>
        <w:kinsoku/>
        <w:wordWrap/>
        <w:topLinePunct w:val="0"/>
        <w:bidi w:val="0"/>
        <w:spacing w:line="312" w:lineRule="auto"/>
        <w:rPr>
          <w:rFonts w:hint="eastAsia" w:ascii="宋体" w:hAnsi="宋体"/>
          <w:color w:val="auto"/>
          <w:szCs w:val="21"/>
          <w:highlight w:val="none"/>
        </w:rPr>
      </w:pPr>
    </w:p>
    <w:p w14:paraId="60DE63E4">
      <w:pPr>
        <w:pageBreakBefore w:val="0"/>
        <w:kinsoku/>
        <w:wordWrap/>
        <w:topLinePunct w:val="0"/>
        <w:bidi w:val="0"/>
        <w:spacing w:line="312" w:lineRule="auto"/>
        <w:ind w:left="420" w:leftChars="0" w:firstLine="420" w:firstLineChars="0"/>
        <w:jc w:val="center"/>
        <w:outlineLvl w:val="0"/>
        <w:rPr>
          <w:rFonts w:hint="eastAsia" w:ascii="宋体" w:hAnsi="宋体"/>
          <w:b/>
          <w:bCs/>
          <w:color w:val="auto"/>
          <w:sz w:val="32"/>
          <w:szCs w:val="32"/>
          <w:highlight w:val="none"/>
        </w:rPr>
      </w:pPr>
      <w:bookmarkStart w:id="77" w:name="_Toc1609"/>
      <w:r>
        <w:rPr>
          <w:rFonts w:hint="eastAsia" w:ascii="宋体" w:hAnsi="宋体"/>
          <w:b/>
          <w:bCs/>
          <w:color w:val="auto"/>
          <w:sz w:val="32"/>
          <w:szCs w:val="32"/>
          <w:highlight w:val="none"/>
        </w:rPr>
        <w:t>四、评审及磋商</w:t>
      </w:r>
      <w:bookmarkEnd w:id="77"/>
    </w:p>
    <w:p w14:paraId="19DFF654">
      <w:pPr>
        <w:pageBreakBefore w:val="0"/>
        <w:kinsoku/>
        <w:wordWrap/>
        <w:topLinePunct w:val="0"/>
        <w:bidi w:val="0"/>
        <w:spacing w:line="312" w:lineRule="auto"/>
        <w:ind w:left="420" w:firstLine="420"/>
        <w:rPr>
          <w:rFonts w:hint="eastAsia" w:ascii="宋体" w:hAnsi="宋体"/>
          <w:color w:val="auto"/>
          <w:szCs w:val="21"/>
          <w:highlight w:val="none"/>
        </w:rPr>
      </w:pPr>
    </w:p>
    <w:p w14:paraId="71066C71">
      <w:pPr>
        <w:pageBreakBefore w:val="0"/>
        <w:kinsoku/>
        <w:wordWrap/>
        <w:topLinePunct w:val="0"/>
        <w:bidi w:val="0"/>
        <w:spacing w:line="312"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w:t>
      </w:r>
      <w:r>
        <w:rPr>
          <w:rFonts w:hint="eastAsia" w:ascii="黑体" w:hAnsi="黑体" w:eastAsia="黑体" w:cs="宋体"/>
          <w:b/>
          <w:bCs/>
          <w:color w:val="auto"/>
          <w:sz w:val="24"/>
          <w:highlight w:val="none"/>
          <w:lang w:val="en-US" w:eastAsia="zh-CN"/>
        </w:rPr>
        <w:t>4</w:t>
      </w:r>
      <w:r>
        <w:rPr>
          <w:rFonts w:hint="eastAsia" w:ascii="黑体" w:hAnsi="黑体" w:eastAsia="黑体" w:cs="宋体"/>
          <w:b/>
          <w:bCs/>
          <w:color w:val="auto"/>
          <w:sz w:val="24"/>
          <w:highlight w:val="none"/>
        </w:rPr>
        <w:t>.磋商小组成立</w:t>
      </w:r>
    </w:p>
    <w:p w14:paraId="29BFA261">
      <w:pPr>
        <w:pageBreakBefore w:val="0"/>
        <w:kinsoku/>
        <w:wordWrap/>
        <w:topLinePunct w:val="0"/>
        <w:bidi w:val="0"/>
        <w:spacing w:line="312"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24.1磋商小组由采购人代表和评审专家共3人以上单数组成，具体人数见“供应商须知前附表”，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54C6BA41">
      <w:pPr>
        <w:pageBreakBefore w:val="0"/>
        <w:kinsoku/>
        <w:wordWrap/>
        <w:topLinePunct w:val="0"/>
        <w:bidi w:val="0"/>
        <w:spacing w:line="312"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388CFE7B">
      <w:pPr>
        <w:pageBreakBefore w:val="0"/>
        <w:kinsoku/>
        <w:wordWrap/>
        <w:topLinePunct w:val="0"/>
        <w:bidi w:val="0"/>
        <w:spacing w:line="312"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24.3采购代理机构应当基于广西政府采购云平台抽（选）取评审专家。</w:t>
      </w:r>
    </w:p>
    <w:p w14:paraId="3A89C7EE">
      <w:pPr>
        <w:pageBreakBefore w:val="0"/>
        <w:kinsoku/>
        <w:wordWrap/>
        <w:topLinePunct w:val="0"/>
        <w:bidi w:val="0"/>
        <w:spacing w:line="312"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000000"/>
          <w:szCs w:val="21"/>
          <w:highlight w:val="none"/>
        </w:rPr>
        <w:t>24.4参加过采购项目前期咨询论证的专家，不得参加该采购项目的评审活动</w:t>
      </w:r>
      <w:r>
        <w:rPr>
          <w:rFonts w:hint="eastAsia" w:ascii="宋体" w:hAnsi="宋体" w:eastAsia="宋体" w:cs="宋体"/>
          <w:color w:val="auto"/>
          <w:szCs w:val="21"/>
          <w:highlight w:val="none"/>
        </w:rPr>
        <w:t>。</w:t>
      </w:r>
    </w:p>
    <w:p w14:paraId="3F9FDC27">
      <w:pPr>
        <w:pageBreakBefore w:val="0"/>
        <w:kinsoku/>
        <w:wordWrap/>
        <w:topLinePunct w:val="0"/>
        <w:bidi w:val="0"/>
        <w:spacing w:line="312"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25.首次响应文件的开启</w:t>
      </w:r>
    </w:p>
    <w:p w14:paraId="55912033">
      <w:pPr>
        <w:pageBreakBefore w:val="0"/>
        <w:kinsoku/>
        <w:wordWrap/>
        <w:topLinePunct w:val="0"/>
        <w:bidi w:val="0"/>
        <w:spacing w:line="312"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采购代理机构将在“供应商须知前附表”规定的时间通过电子交易平台组织响应文件开启，供应商的法定代表人或其委托代理人须携带加密时所用的CA锁，按平台提示和磋商文件的规定登录到广西政府采购云平台电子开标大厅签到，采购代理机构依托广西政府采购云平台向各供应商发出电子加密响应文件【开始解密】通知，由供应商按“供应商须知前附表”规定的时间内自行进行响应文件解密。</w:t>
      </w:r>
      <w:r>
        <w:rPr>
          <w:rFonts w:hint="eastAsia" w:ascii="宋体" w:hAnsi="宋体" w:eastAsia="宋体" w:cs="宋体"/>
          <w:b/>
          <w:bCs/>
          <w:color w:val="000000"/>
          <w:szCs w:val="21"/>
          <w:highlight w:val="none"/>
        </w:rPr>
        <w:t>供应商未在规定的时间内解密响应文件或者解密失败的，供应商的响应文件按无效处理。</w:t>
      </w:r>
    </w:p>
    <w:p w14:paraId="6FEE1DE6">
      <w:pPr>
        <w:pageBreakBefore w:val="0"/>
        <w:kinsoku/>
        <w:wordWrap/>
        <w:topLinePunct w:val="0"/>
        <w:bidi w:val="0"/>
        <w:spacing w:line="312"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26.评审程序、评审方法和评审标准</w:t>
      </w:r>
    </w:p>
    <w:p w14:paraId="60163A7C">
      <w:pPr>
        <w:pageBreakBefore w:val="0"/>
        <w:kinsoku/>
        <w:wordWrap/>
        <w:topLinePunct w:val="0"/>
        <w:bidi w:val="0"/>
        <w:spacing w:line="312"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26.1本项目的评审方法为综合评分法。</w:t>
      </w:r>
    </w:p>
    <w:p w14:paraId="46C67EB5">
      <w:pPr>
        <w:pageBreakBefore w:val="0"/>
        <w:kinsoku/>
        <w:wordWrap/>
        <w:topLinePunct w:val="0"/>
        <w:bidi w:val="0"/>
        <w:spacing w:line="312"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26.2磋商小组按照“第四章 评审程序、评审方法和评审标准”规定的方法、评审因素、标准和程序对响应文件进行评审并推荐成交候选供应商。</w:t>
      </w:r>
    </w:p>
    <w:p w14:paraId="3025CBD5">
      <w:pPr>
        <w:pageBreakBefore w:val="0"/>
        <w:kinsoku/>
        <w:wordWrap/>
        <w:topLinePunct w:val="0"/>
        <w:bidi w:val="0"/>
        <w:spacing w:line="312"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26.3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14:paraId="45606C28">
      <w:pPr>
        <w:pageBreakBefore w:val="0"/>
        <w:kinsoku/>
        <w:wordWrap/>
        <w:topLinePunct w:val="0"/>
        <w:bidi w:val="0"/>
        <w:spacing w:line="312"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26.4电子交易活动的中止。采购过程中出现以下情形，导致电子交易平台无法正常运行，或者无法保证电子交易的公平、公正和安全时，采购机构可中止电子交易活动：</w:t>
      </w:r>
    </w:p>
    <w:p w14:paraId="0781615C">
      <w:pPr>
        <w:pageBreakBefore w:val="0"/>
        <w:kinsoku/>
        <w:wordWrap/>
        <w:topLinePunct w:val="0"/>
        <w:bidi w:val="0"/>
        <w:spacing w:line="312"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 xml:space="preserve">（1）电子交易平台发生故障而无法登录访问的； </w:t>
      </w:r>
    </w:p>
    <w:p w14:paraId="39AD973C">
      <w:pPr>
        <w:pageBreakBefore w:val="0"/>
        <w:kinsoku/>
        <w:wordWrap/>
        <w:topLinePunct w:val="0"/>
        <w:bidi w:val="0"/>
        <w:spacing w:line="312"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（2）电子交易平台应用或数据库出现错误，不能进行正常操作的；</w:t>
      </w:r>
    </w:p>
    <w:p w14:paraId="346FA3C4">
      <w:pPr>
        <w:pageBreakBefore w:val="0"/>
        <w:kinsoku/>
        <w:wordWrap/>
        <w:topLinePunct w:val="0"/>
        <w:bidi w:val="0"/>
        <w:spacing w:line="312"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（3）电子交易平台发现严重安全漏洞，有潜在泄密危险的；</w:t>
      </w:r>
    </w:p>
    <w:p w14:paraId="2C8F6663">
      <w:pPr>
        <w:pageBreakBefore w:val="0"/>
        <w:kinsoku/>
        <w:wordWrap/>
        <w:topLinePunct w:val="0"/>
        <w:bidi w:val="0"/>
        <w:spacing w:line="312"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 xml:space="preserve">（4）病毒发作导致不能进行正常操作的； </w:t>
      </w:r>
    </w:p>
    <w:p w14:paraId="30E026CE">
      <w:pPr>
        <w:pageBreakBefore w:val="0"/>
        <w:kinsoku/>
        <w:wordWrap/>
        <w:topLinePunct w:val="0"/>
        <w:bidi w:val="0"/>
        <w:spacing w:line="312"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（5）其他无法保证电子交易的公平、公正和安全的情况。</w:t>
      </w:r>
    </w:p>
    <w:p w14:paraId="0C4B545B">
      <w:pPr>
        <w:pageBreakBefore w:val="0"/>
        <w:kinsoku/>
        <w:wordWrap/>
        <w:topLinePunct w:val="0"/>
        <w:bidi w:val="0"/>
        <w:spacing w:line="312" w:lineRule="auto"/>
        <w:ind w:firstLine="420" w:firstLineChars="200"/>
        <w:rPr>
          <w:rFonts w:hint="eastAsia" w:ascii="宋体" w:hAnsi="宋体" w:eastAsia="宋体" w:cs="宋体"/>
          <w:b/>
          <w:bCs/>
          <w:color w:val="000000"/>
          <w:szCs w:val="21"/>
          <w:highlight w:val="none"/>
        </w:rPr>
      </w:pPr>
      <w:r>
        <w:rPr>
          <w:rFonts w:hint="eastAsia" w:ascii="宋体" w:hAnsi="宋体" w:eastAsia="宋体" w:cs="宋体"/>
          <w:color w:val="000000"/>
          <w:szCs w:val="21"/>
          <w:highlight w:val="none"/>
        </w:rPr>
        <w:t>26.5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作出妥善保密处理，并报财政部门备案。</w:t>
      </w:r>
    </w:p>
    <w:p w14:paraId="17417069">
      <w:pPr>
        <w:pageBreakBefore w:val="0"/>
        <w:kinsoku/>
        <w:wordWrap/>
        <w:topLinePunct w:val="0"/>
        <w:bidi w:val="0"/>
        <w:spacing w:line="312"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27.确定成交供应商及结果公告</w:t>
      </w:r>
    </w:p>
    <w:p w14:paraId="0140F20F">
      <w:pPr>
        <w:pageBreakBefore w:val="0"/>
        <w:kinsoku/>
        <w:wordWrap/>
        <w:topLinePunct w:val="0"/>
        <w:bidi w:val="0"/>
        <w:spacing w:line="312"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27.1</w:t>
      </w:r>
      <w:r>
        <w:rPr>
          <w:rFonts w:hint="eastAsia" w:ascii="宋体" w:hAnsi="宋体" w:eastAsia="宋体" w:cs="宋体"/>
          <w:color w:val="000000"/>
          <w:kern w:val="0"/>
          <w:szCs w:val="21"/>
          <w:highlight w:val="none"/>
        </w:rPr>
        <w:t xml:space="preserve"> </w:t>
      </w:r>
      <w:r>
        <w:rPr>
          <w:rFonts w:hint="eastAsia" w:ascii="宋体" w:hAnsi="宋体" w:eastAsia="宋体" w:cs="宋体"/>
          <w:color w:val="000000"/>
          <w:szCs w:val="21"/>
          <w:highlight w:val="none"/>
        </w:rPr>
        <w:t>采购代理机构应当在评审结束后2个工作日内将评审报告送采购人确认。采购人应当在收到评审报告后5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66C6C438">
      <w:pPr>
        <w:pageBreakBefore w:val="0"/>
        <w:kinsoku/>
        <w:wordWrap/>
        <w:topLinePunct w:val="0"/>
        <w:bidi w:val="0"/>
        <w:spacing w:line="312"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27.2采购代理机构应当在</w:t>
      </w:r>
      <w:r>
        <w:rPr>
          <w:rFonts w:hint="eastAsia" w:ascii="宋体" w:hAnsi="宋体" w:eastAsia="宋体" w:cs="宋体"/>
          <w:color w:val="000000"/>
          <w:kern w:val="0"/>
          <w:szCs w:val="21"/>
          <w:highlight w:val="none"/>
        </w:rPr>
        <w:t>成交</w:t>
      </w:r>
      <w:r>
        <w:rPr>
          <w:rFonts w:hint="eastAsia" w:ascii="宋体" w:hAnsi="宋体" w:eastAsia="宋体" w:cs="宋体"/>
          <w:color w:val="000000"/>
          <w:szCs w:val="21"/>
          <w:highlight w:val="none"/>
        </w:rPr>
        <w:t>供应商确定后2个工作日内，在省级以上财政部门指定的媒体上公告成交结果，同时向成交供应商发出成交通知书。采购人或者采购代理机构发出成交通知书前，应当对成交供应商信用进行查询，对列入失信被执行人、重大税收违法案件当事人名单、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磋商文件一并保存。</w:t>
      </w:r>
      <w:bookmarkStart w:id="78" w:name="_Hlk66782294"/>
      <w:r>
        <w:rPr>
          <w:rFonts w:hint="eastAsia" w:ascii="宋体" w:hAnsi="宋体" w:eastAsia="宋体" w:cs="宋体"/>
          <w:color w:val="000000"/>
          <w:szCs w:val="21"/>
          <w:highlight w:val="none"/>
        </w:rPr>
        <w:t>成交供应商享受《政府采购促进中小企业发展管理办法》（财库〔2020〕46号）规定的中小企业扶持政策的，采购人、采购代理机构应当随成交结果公开成交供应商的《中小企业声明函》。</w:t>
      </w:r>
      <w:bookmarkEnd w:id="78"/>
    </w:p>
    <w:p w14:paraId="62D5A44C">
      <w:pPr>
        <w:pageBreakBefore w:val="0"/>
        <w:kinsoku/>
        <w:wordWrap/>
        <w:topLinePunct w:val="0"/>
        <w:bidi w:val="0"/>
        <w:spacing w:line="312"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27.3出现下列情形之一的，采购人或者采购代理机构应当终止竞争性磋商采购活动，发布项目终止公告并说明原因，重新开展采购活动：</w:t>
      </w:r>
    </w:p>
    <w:p w14:paraId="5D31C0D1">
      <w:pPr>
        <w:pageBreakBefore w:val="0"/>
        <w:kinsoku/>
        <w:wordWrap/>
        <w:topLinePunct w:val="0"/>
        <w:bidi w:val="0"/>
        <w:spacing w:line="312"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（1）因情况变化，不再符合规定的竞争性磋商采购方式适用情形的；</w:t>
      </w:r>
    </w:p>
    <w:p w14:paraId="57AB9F61">
      <w:pPr>
        <w:pageBreakBefore w:val="0"/>
        <w:kinsoku/>
        <w:wordWrap/>
        <w:topLinePunct w:val="0"/>
        <w:bidi w:val="0"/>
        <w:spacing w:line="312"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（2）出现影响采购公正的违法、违规行为的；</w:t>
      </w:r>
    </w:p>
    <w:p w14:paraId="257BFAFA">
      <w:pPr>
        <w:pageBreakBefore w:val="0"/>
        <w:kinsoku/>
        <w:wordWrap/>
        <w:topLinePunct w:val="0"/>
        <w:bidi w:val="0"/>
        <w:spacing w:line="312"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（3）除“第四章 评审程序、评审方法和评审标准”第4.3条规定的情形外，在采购过程中符合要求的供应商或者报价未超过采购预算的供应商不足3家的。</w:t>
      </w:r>
    </w:p>
    <w:p w14:paraId="647B0572">
      <w:pPr>
        <w:pageBreakBefore w:val="0"/>
        <w:kinsoku/>
        <w:wordWrap/>
        <w:topLinePunct w:val="0"/>
        <w:bidi w:val="0"/>
        <w:spacing w:line="312"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27.4 在采购活动中因重大变故，采购任务取消的，采购人或者采购代理机构应当终止采购活动，通知所有参加采购活动的供应商，并将项目实施情况和采购任务取消原因报送本级财政部门</w:t>
      </w:r>
      <w:r>
        <w:rPr>
          <w:rFonts w:hint="eastAsia" w:ascii="宋体" w:hAnsi="宋体" w:eastAsia="宋体" w:cs="宋体"/>
          <w:bCs/>
          <w:color w:val="000000"/>
          <w:szCs w:val="21"/>
          <w:highlight w:val="none"/>
        </w:rPr>
        <w:t>。</w:t>
      </w:r>
    </w:p>
    <w:p w14:paraId="364560C2">
      <w:pPr>
        <w:pageBreakBefore w:val="0"/>
        <w:kinsoku/>
        <w:wordWrap/>
        <w:topLinePunct w:val="0"/>
        <w:bidi w:val="0"/>
        <w:spacing w:line="312"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28.履约保证金</w:t>
      </w:r>
    </w:p>
    <w:p w14:paraId="2E3FD005">
      <w:pPr>
        <w:pageBreakBefore w:val="0"/>
        <w:kinsoku/>
        <w:wordWrap/>
        <w:topLinePunct w:val="0"/>
        <w:bidi w:val="0"/>
        <w:spacing w:line="312" w:lineRule="auto"/>
        <w:ind w:firstLine="424" w:firstLineChars="202"/>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28.1 履约保证金的金额、提交方式、退付的时间和条件详见 “供应商须知前附表”。成交供应商未按规定提交履约保证金的，视为拒绝</w:t>
      </w:r>
      <w:r>
        <w:rPr>
          <w:rFonts w:hint="eastAsia" w:ascii="宋体" w:hAnsi="宋体" w:eastAsia="宋体" w:cs="宋体"/>
          <w:color w:val="000000"/>
          <w:highlight w:val="none"/>
        </w:rPr>
        <w:t>与采购人</w:t>
      </w:r>
      <w:r>
        <w:rPr>
          <w:rFonts w:hint="eastAsia" w:ascii="宋体" w:hAnsi="宋体" w:eastAsia="宋体" w:cs="宋体"/>
          <w:color w:val="000000"/>
          <w:szCs w:val="21"/>
          <w:highlight w:val="none"/>
        </w:rPr>
        <w:t>签订合同，采购人可以按照评审报告推荐的成交候选人名单排序，确定下一候选人为成交供应商，也可以重新开展政府采购活动。</w:t>
      </w:r>
    </w:p>
    <w:p w14:paraId="086E58BB">
      <w:pPr>
        <w:pageBreakBefore w:val="0"/>
        <w:kinsoku/>
        <w:wordWrap/>
        <w:topLinePunct w:val="0"/>
        <w:bidi w:val="0"/>
        <w:spacing w:line="312" w:lineRule="auto"/>
        <w:ind w:firstLine="424" w:firstLineChars="202"/>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28.2签订合同后，如成交供应商不按双方签订的合同规定履约，则没收其全部履约保证金，履约保证金不足以赔偿损失的，按实际损失赔偿。</w:t>
      </w:r>
    </w:p>
    <w:p w14:paraId="1646DF1F">
      <w:pPr>
        <w:pageBreakBefore w:val="0"/>
        <w:kinsoku/>
        <w:wordWrap/>
        <w:topLinePunct w:val="0"/>
        <w:bidi w:val="0"/>
        <w:spacing w:line="312" w:lineRule="auto"/>
        <w:ind w:firstLine="424" w:firstLineChars="202"/>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28.3在履约保证金退还日期前，若成交供应商的开户名称、开户银行、帐号有变动的，请以书面形式通知履约保证金收取单位，否则由此产生的后果由成交供应商自行承担。</w:t>
      </w:r>
    </w:p>
    <w:p w14:paraId="4B9C1862">
      <w:pPr>
        <w:pageBreakBefore w:val="0"/>
        <w:kinsoku/>
        <w:wordWrap/>
        <w:topLinePunct w:val="0"/>
        <w:bidi w:val="0"/>
        <w:spacing w:line="312"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29.签订合同</w:t>
      </w:r>
    </w:p>
    <w:p w14:paraId="1A92C696">
      <w:pPr>
        <w:pageBreakBefore w:val="0"/>
        <w:kinsoku/>
        <w:wordWrap/>
        <w:topLinePunct w:val="0"/>
        <w:bidi w:val="0"/>
        <w:spacing w:line="312" w:lineRule="auto"/>
        <w:ind w:firstLine="424" w:firstLineChars="202"/>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29.1签订电子采购合同：成交供应商领取电子成交通知书后，在</w:t>
      </w:r>
      <w:r>
        <w:rPr>
          <w:rFonts w:hint="eastAsia" w:ascii="宋体" w:hAnsi="宋体" w:eastAsia="宋体" w:cs="宋体"/>
          <w:color w:val="000000"/>
          <w:szCs w:val="21"/>
          <w:highlight w:val="none"/>
          <w:lang w:val="zh-CN"/>
        </w:rPr>
        <w:t>规定的日期、时间、地点，由法定代表人或其授权代表与采购人代表签订电子采购合同。如成交供应商为联合体的，由联合体成员各方法定代表人或其授权代表与采购人代表签订合同。</w:t>
      </w:r>
    </w:p>
    <w:p w14:paraId="44750C51">
      <w:pPr>
        <w:pageBreakBefore w:val="0"/>
        <w:kinsoku/>
        <w:wordWrap/>
        <w:topLinePunct w:val="0"/>
        <w:bidi w:val="0"/>
        <w:spacing w:line="312" w:lineRule="auto"/>
        <w:ind w:firstLine="424" w:firstLineChars="202"/>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线下签订纸质合同：供应商领取成交通知书后，按“供应商须知前附表”规定向采购人出示相关证明材料，经采购人核验合格后方可签订合同。</w:t>
      </w:r>
    </w:p>
    <w:p w14:paraId="4766A209">
      <w:pPr>
        <w:pageBreakBefore w:val="0"/>
        <w:kinsoku/>
        <w:wordWrap/>
        <w:topLinePunct w:val="0"/>
        <w:bidi w:val="0"/>
        <w:spacing w:line="312" w:lineRule="auto"/>
        <w:ind w:firstLine="424" w:firstLineChars="202"/>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29.2签订合同时间：按成交通知书规定的时间与采购人签订合同。</w:t>
      </w:r>
    </w:p>
    <w:p w14:paraId="5052C536">
      <w:pPr>
        <w:pageBreakBefore w:val="0"/>
        <w:kinsoku/>
        <w:wordWrap/>
        <w:topLinePunct w:val="0"/>
        <w:bidi w:val="0"/>
        <w:spacing w:line="312" w:lineRule="auto"/>
        <w:ind w:firstLine="424" w:firstLineChars="202"/>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29.3成交供应商拒绝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给成交供应商造成损失的，成交供应商可追究采购人承担相应的法律责任。</w:t>
      </w:r>
    </w:p>
    <w:p w14:paraId="7A43ABEC">
      <w:pPr>
        <w:pageBreakBefore w:val="0"/>
        <w:kinsoku/>
        <w:wordWrap/>
        <w:topLinePunct w:val="0"/>
        <w:bidi w:val="0"/>
        <w:spacing w:line="312" w:lineRule="auto"/>
        <w:ind w:firstLine="424" w:firstLineChars="202"/>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29.4政府采购合同是政府采购项目验收的依据，成交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3D1705D1">
      <w:pPr>
        <w:pageBreakBefore w:val="0"/>
        <w:kinsoku/>
        <w:wordWrap/>
        <w:topLinePunct w:val="0"/>
        <w:bidi w:val="0"/>
        <w:spacing w:line="312" w:lineRule="auto"/>
        <w:ind w:firstLine="424" w:firstLineChars="202"/>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29.5采购人或成交供应商不得单方面向合同另一方提出任何磋商文件没有约定的条件或不合理的要求，作为签订合同的条件；也不得协商另行订立背离磋商文件和合同实质性内容的协议。</w:t>
      </w:r>
    </w:p>
    <w:p w14:paraId="6D8C9463">
      <w:pPr>
        <w:pageBreakBefore w:val="0"/>
        <w:kinsoku/>
        <w:wordWrap/>
        <w:topLinePunct w:val="0"/>
        <w:bidi w:val="0"/>
        <w:spacing w:line="312" w:lineRule="auto"/>
        <w:ind w:firstLine="424" w:firstLineChars="202"/>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29.6如签订合同并生效后，供应商无故拒绝或延期，除按照合同条款处理外，将承担相应的法律责任。</w:t>
      </w:r>
    </w:p>
    <w:p w14:paraId="6E2FD110">
      <w:pPr>
        <w:pageBreakBefore w:val="0"/>
        <w:kinsoku/>
        <w:wordWrap/>
        <w:topLinePunct w:val="0"/>
        <w:bidi w:val="0"/>
        <w:spacing w:line="312" w:lineRule="auto"/>
        <w:ind w:firstLine="424" w:firstLineChars="202"/>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29.7政府采购合同履行中，采购人需追加与合同标的相同的货物、工程或者服务的，在不改变合同其他条款的前提下，可以与供应商协商签订补充合同，但所有补充合同的采购金额不得超过原合同采购金额的10%。</w:t>
      </w:r>
    </w:p>
    <w:p w14:paraId="6D903E55">
      <w:pPr>
        <w:pageBreakBefore w:val="0"/>
        <w:kinsoku/>
        <w:wordWrap/>
        <w:topLinePunct w:val="0"/>
        <w:bidi w:val="0"/>
        <w:spacing w:line="312"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30.政府采购合同公告</w:t>
      </w:r>
    </w:p>
    <w:p w14:paraId="1D284425">
      <w:pPr>
        <w:pageBreakBefore w:val="0"/>
        <w:kinsoku/>
        <w:wordWrap/>
        <w:topLinePunct w:val="0"/>
        <w:bidi w:val="0"/>
        <w:spacing w:line="312"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3BAC1B2B">
      <w:pPr>
        <w:pageBreakBefore w:val="0"/>
        <w:kinsoku/>
        <w:wordWrap/>
        <w:topLinePunct w:val="0"/>
        <w:bidi w:val="0"/>
        <w:spacing w:line="312"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31. 询问、质疑和投诉</w:t>
      </w:r>
    </w:p>
    <w:p w14:paraId="0A4FEF94">
      <w:pPr>
        <w:pageBreakBefore w:val="0"/>
        <w:kinsoku/>
        <w:wordWrap/>
        <w:topLinePunct w:val="0"/>
        <w:bidi w:val="0"/>
        <w:spacing w:line="312"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31.1供应商对政府采购活动事项有疑问的，可以向采购人、采购代理机构提出询问，采购人或者采购代理机构应当在3个工作日内对供应商依法提出的询问作出答复，</w:t>
      </w:r>
      <w:r>
        <w:rPr>
          <w:rFonts w:hint="eastAsia" w:ascii="宋体" w:hAnsi="宋体" w:eastAsia="宋体" w:cs="宋体"/>
          <w:color w:val="000000"/>
          <w:szCs w:val="21"/>
          <w:highlight w:val="none"/>
        </w:rPr>
        <w:t>但答复的内容不得涉及商业秘密</w:t>
      </w:r>
      <w:r>
        <w:rPr>
          <w:rFonts w:hint="eastAsia" w:ascii="宋体" w:hAnsi="宋体" w:eastAsia="宋体" w:cs="宋体"/>
          <w:color w:val="000000"/>
          <w:highlight w:val="none"/>
        </w:rPr>
        <w:t>。</w:t>
      </w:r>
    </w:p>
    <w:p w14:paraId="2C091C51">
      <w:pPr>
        <w:pageBreakBefore w:val="0"/>
        <w:kinsoku/>
        <w:wordWrap/>
        <w:topLinePunct w:val="0"/>
        <w:bidi w:val="0"/>
        <w:spacing w:line="312"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31.2供应商认为磋商文件、采购过程或者成交结果使自己的合法权益受到损害的，应当在知道或者应知其权益受到损害之日起7个工作日内，以书面形式向采购人、采购代理机构提出质疑，</w:t>
      </w:r>
      <w:r>
        <w:rPr>
          <w:rFonts w:hint="eastAsia" w:ascii="宋体" w:hAnsi="宋体" w:eastAsia="宋体" w:cs="宋体"/>
          <w:color w:val="000000"/>
          <w:highlight w:val="none"/>
          <w:shd w:val="clear" w:color="auto" w:fill="FFFFFF"/>
        </w:rPr>
        <w:t>接收质疑函的方式、联系部门、联系电话和通讯地址等信息详见</w:t>
      </w:r>
      <w:r>
        <w:rPr>
          <w:rFonts w:hint="eastAsia" w:ascii="宋体" w:hAnsi="宋体" w:eastAsia="宋体" w:cs="宋体"/>
          <w:color w:val="000000"/>
          <w:szCs w:val="21"/>
          <w:highlight w:val="none"/>
        </w:rPr>
        <w:t>“供应商须知前附表”</w:t>
      </w:r>
      <w:r>
        <w:rPr>
          <w:rFonts w:hint="eastAsia" w:ascii="宋体" w:hAnsi="宋体" w:eastAsia="宋体" w:cs="宋体"/>
          <w:color w:val="000000"/>
          <w:highlight w:val="none"/>
        </w:rPr>
        <w:t>。具体质疑起算时间如下：</w:t>
      </w:r>
    </w:p>
    <w:p w14:paraId="36310677">
      <w:pPr>
        <w:pageBreakBefore w:val="0"/>
        <w:kinsoku/>
        <w:wordWrap/>
        <w:topLinePunct w:val="0"/>
        <w:bidi w:val="0"/>
        <w:spacing w:line="312"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（1）对可以质疑的磋商文件提出质疑的，为收到磋商文件之日或者竞争性磋商公告期限届满之日；</w:t>
      </w:r>
    </w:p>
    <w:p w14:paraId="7DF90D1F">
      <w:pPr>
        <w:pageBreakBefore w:val="0"/>
        <w:kinsoku/>
        <w:wordWrap/>
        <w:topLinePunct w:val="0"/>
        <w:bidi w:val="0"/>
        <w:spacing w:line="312"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（2）对采购过程提出质疑的，为各采购程序环节结束之日；</w:t>
      </w:r>
    </w:p>
    <w:p w14:paraId="78E3AC8B">
      <w:pPr>
        <w:pageBreakBefore w:val="0"/>
        <w:kinsoku/>
        <w:wordWrap/>
        <w:topLinePunct w:val="0"/>
        <w:bidi w:val="0"/>
        <w:spacing w:line="312"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（3）对成交结果提出质疑的，为成交结果公告期限届满之日。</w:t>
      </w:r>
    </w:p>
    <w:p w14:paraId="3CBA3DDD">
      <w:pPr>
        <w:pageBreakBefore w:val="0"/>
        <w:kinsoku/>
        <w:wordWrap/>
        <w:topLinePunct w:val="0"/>
        <w:bidi w:val="0"/>
        <w:spacing w:line="312"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61EA08C1">
      <w:pPr>
        <w:pageBreakBefore w:val="0"/>
        <w:kinsoku/>
        <w:wordWrap/>
        <w:topLinePunct w:val="0"/>
        <w:bidi w:val="0"/>
        <w:spacing w:line="312"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31.4 供应商提出质疑应当提交质疑函和必要的证明材料，针对同一采购程序环节的质疑必须在法定质疑期内一次性提出。质疑函应当包括下列内容</w:t>
      </w:r>
      <w:r>
        <w:rPr>
          <w:rFonts w:hint="eastAsia" w:ascii="宋体" w:hAnsi="宋体" w:eastAsia="宋体" w:cs="宋体"/>
          <w:bCs/>
          <w:color w:val="000000"/>
          <w:highlight w:val="none"/>
        </w:rPr>
        <w:t>（质疑函格式后附）</w:t>
      </w:r>
      <w:r>
        <w:rPr>
          <w:rFonts w:hint="eastAsia" w:ascii="宋体" w:hAnsi="宋体" w:eastAsia="宋体" w:cs="宋体"/>
          <w:color w:val="000000"/>
          <w:highlight w:val="none"/>
        </w:rPr>
        <w:t>：</w:t>
      </w:r>
    </w:p>
    <w:p w14:paraId="165F4E67">
      <w:pPr>
        <w:pageBreakBefore w:val="0"/>
        <w:kinsoku/>
        <w:wordWrap/>
        <w:topLinePunct w:val="0"/>
        <w:bidi w:val="0"/>
        <w:spacing w:line="312"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（1）供应商的姓名或者名称、地址、邮编、联系人及联系电话；</w:t>
      </w:r>
    </w:p>
    <w:p w14:paraId="168155E4">
      <w:pPr>
        <w:pageBreakBefore w:val="0"/>
        <w:kinsoku/>
        <w:wordWrap/>
        <w:topLinePunct w:val="0"/>
        <w:bidi w:val="0"/>
        <w:spacing w:line="312"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（2）质疑项目的名称、编号；</w:t>
      </w:r>
    </w:p>
    <w:p w14:paraId="709887A9">
      <w:pPr>
        <w:pageBreakBefore w:val="0"/>
        <w:kinsoku/>
        <w:wordWrap/>
        <w:topLinePunct w:val="0"/>
        <w:bidi w:val="0"/>
        <w:spacing w:line="312"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（3）具体、明确的质疑事项和与质疑事项相关的请求；</w:t>
      </w:r>
    </w:p>
    <w:p w14:paraId="2437CC7A">
      <w:pPr>
        <w:pageBreakBefore w:val="0"/>
        <w:kinsoku/>
        <w:wordWrap/>
        <w:topLinePunct w:val="0"/>
        <w:bidi w:val="0"/>
        <w:spacing w:line="312"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（4）事实依据；</w:t>
      </w:r>
    </w:p>
    <w:p w14:paraId="1935F17C">
      <w:pPr>
        <w:pageBreakBefore w:val="0"/>
        <w:kinsoku/>
        <w:wordWrap/>
        <w:topLinePunct w:val="0"/>
        <w:bidi w:val="0"/>
        <w:spacing w:line="312"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（5）必要的法律依据；</w:t>
      </w:r>
    </w:p>
    <w:p w14:paraId="2352FE0E">
      <w:pPr>
        <w:pageBreakBefore w:val="0"/>
        <w:kinsoku/>
        <w:wordWrap/>
        <w:topLinePunct w:val="0"/>
        <w:bidi w:val="0"/>
        <w:spacing w:line="312"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（6）提出质疑的日期。</w:t>
      </w:r>
    </w:p>
    <w:p w14:paraId="5F275058">
      <w:pPr>
        <w:pageBreakBefore w:val="0"/>
        <w:kinsoku/>
        <w:wordWrap/>
        <w:topLinePunct w:val="0"/>
        <w:bidi w:val="0"/>
        <w:spacing w:line="312"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供应商为自然人的，应当由本人签字；供应商为法人或者其他组织的，应当由法定代表人、主要负责人，或者其委托代理人签字或者盖章，并加盖公章。</w:t>
      </w:r>
    </w:p>
    <w:p w14:paraId="0260B98C">
      <w:pPr>
        <w:pageBreakBefore w:val="0"/>
        <w:kinsoku/>
        <w:wordWrap/>
        <w:topLinePunct w:val="0"/>
        <w:bidi w:val="0"/>
        <w:spacing w:line="312"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31.5采购人、采购代理机构认为供应商质疑不成立，或者成立但未对成交结果构成影响的，继续开展采购活动；认为供应商质疑成立且影响或者可能影响成交结果的，按照下列情况处理：</w:t>
      </w:r>
    </w:p>
    <w:p w14:paraId="7D1BA108">
      <w:pPr>
        <w:pageBreakBefore w:val="0"/>
        <w:kinsoku/>
        <w:wordWrap/>
        <w:topLinePunct w:val="0"/>
        <w:bidi w:val="0"/>
        <w:spacing w:line="312"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（一）对采购文件提出的质疑，依法通过澄清或者修改可以继续开展采购活动的，澄清或者修改采购文件后继续开展采购活动；否则应当修改采购文件后重新开展采购活动。</w:t>
      </w:r>
    </w:p>
    <w:p w14:paraId="574806DF">
      <w:pPr>
        <w:pageBreakBefore w:val="0"/>
        <w:kinsoku/>
        <w:wordWrap/>
        <w:topLinePunct w:val="0"/>
        <w:bidi w:val="0"/>
        <w:spacing w:line="312"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（二）对采购过程或者成交结果提出的质疑，合格供应商符合法定数量时，可以从合格的成交候选人中另行确定成交供应商的，应当依法另行确定成交供应商；否则应当重新开展采购活动。</w:t>
      </w:r>
    </w:p>
    <w:p w14:paraId="5A29589F">
      <w:pPr>
        <w:pageBreakBefore w:val="0"/>
        <w:kinsoku/>
        <w:wordWrap/>
        <w:topLinePunct w:val="0"/>
        <w:bidi w:val="0"/>
        <w:spacing w:line="312"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质疑答复导致成交结果改变的，采购人或者采购代理机构应当将有关情况书面报告本级财政部门。</w:t>
      </w:r>
    </w:p>
    <w:p w14:paraId="7131F1D0">
      <w:pPr>
        <w:pageBreakBefore w:val="0"/>
        <w:kinsoku/>
        <w:wordWrap/>
        <w:topLinePunct w:val="0"/>
        <w:bidi w:val="0"/>
        <w:spacing w:line="312"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highlight w:val="none"/>
        </w:rPr>
        <w:t>31.6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52829FD6">
      <w:pPr>
        <w:pageBreakBefore w:val="0"/>
        <w:kinsoku/>
        <w:wordWrap/>
        <w:topLinePunct w:val="0"/>
        <w:bidi w:val="0"/>
        <w:spacing w:line="312"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32.其他内容</w:t>
      </w:r>
    </w:p>
    <w:p w14:paraId="7685B694">
      <w:pPr>
        <w:pageBreakBefore w:val="0"/>
        <w:tabs>
          <w:tab w:val="left" w:pos="2835"/>
        </w:tabs>
        <w:kinsoku/>
        <w:wordWrap/>
        <w:topLinePunct w:val="0"/>
        <w:bidi w:val="0"/>
        <w:spacing w:line="312" w:lineRule="auto"/>
        <w:ind w:firstLine="420" w:firstLineChars="200"/>
        <w:rPr>
          <w:rFonts w:hint="eastAsia" w:asciiTheme="minorEastAsia" w:hAnsiTheme="minorEastAsia" w:eastAsiaTheme="minorEastAsia" w:cstheme="minorEastAsia"/>
          <w:color w:val="000000"/>
          <w:szCs w:val="21"/>
          <w:highlight w:val="none"/>
        </w:rPr>
      </w:pPr>
      <w:r>
        <w:rPr>
          <w:rFonts w:hint="eastAsia" w:asciiTheme="minorEastAsia" w:hAnsiTheme="minorEastAsia" w:eastAsiaTheme="minorEastAsia" w:cstheme="minorEastAsia"/>
          <w:color w:val="000000"/>
          <w:szCs w:val="21"/>
          <w:highlight w:val="none"/>
        </w:rPr>
        <w:t>32.1代理服务收费标准及缴费账户详见“供应商须知前附表”，供应商为联合体的，可以由联合体中的一方或者多方共同交纳代理服务费。</w:t>
      </w:r>
    </w:p>
    <w:p w14:paraId="6AEDD0E6">
      <w:pPr>
        <w:pageBreakBefore w:val="0"/>
        <w:tabs>
          <w:tab w:val="left" w:pos="2835"/>
        </w:tabs>
        <w:kinsoku/>
        <w:wordWrap/>
        <w:topLinePunct w:val="0"/>
        <w:bidi w:val="0"/>
        <w:spacing w:line="312"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000000"/>
          <w:szCs w:val="21"/>
          <w:highlight w:val="none"/>
        </w:rPr>
        <w:t>32.2代理服务费收费计算标准：</w:t>
      </w:r>
    </w:p>
    <w:tbl>
      <w:tblPr>
        <w:tblStyle w:val="30"/>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532"/>
        <w:gridCol w:w="1546"/>
      </w:tblGrid>
      <w:tr w14:paraId="1F705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l2br w:val="single" w:color="auto" w:sz="4" w:space="0"/>
            </w:tcBorders>
            <w:noWrap w:val="0"/>
            <w:vAlign w:val="top"/>
          </w:tcPr>
          <w:p w14:paraId="0651B15E">
            <w:pPr>
              <w:keepNext w:val="0"/>
              <w:keepLines w:val="0"/>
              <w:pageBreakBefore w:val="0"/>
              <w:suppressLineNumbers w:val="0"/>
              <w:kinsoku/>
              <w:wordWrap/>
              <w:topLinePunct w:val="0"/>
              <w:bidi w:val="0"/>
              <w:spacing w:before="0" w:beforeAutospacing="0" w:after="0" w:afterAutospacing="0" w:line="312" w:lineRule="auto"/>
              <w:ind w:left="0" w:right="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               费率</w:t>
            </w:r>
          </w:p>
          <w:p w14:paraId="60B0A4A4">
            <w:pPr>
              <w:keepNext w:val="0"/>
              <w:keepLines w:val="0"/>
              <w:pageBreakBefore w:val="0"/>
              <w:suppressLineNumbers w:val="0"/>
              <w:kinsoku/>
              <w:wordWrap/>
              <w:topLinePunct w:val="0"/>
              <w:bidi w:val="0"/>
              <w:spacing w:before="0" w:beforeAutospacing="0" w:after="0" w:afterAutospacing="0" w:line="312" w:lineRule="auto"/>
              <w:ind w:left="0" w:right="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金额</w:t>
            </w:r>
          </w:p>
        </w:tc>
        <w:tc>
          <w:tcPr>
            <w:tcW w:w="1659" w:type="dxa"/>
            <w:noWrap w:val="0"/>
            <w:vAlign w:val="center"/>
          </w:tcPr>
          <w:p w14:paraId="18225835">
            <w:pPr>
              <w:keepNext w:val="0"/>
              <w:keepLines w:val="0"/>
              <w:pageBreakBefore w:val="0"/>
              <w:suppressLineNumbers w:val="0"/>
              <w:kinsoku/>
              <w:wordWrap/>
              <w:topLinePunct w:val="0"/>
              <w:bidi w:val="0"/>
              <w:spacing w:before="0" w:beforeAutospacing="0" w:after="0" w:afterAutospacing="0" w:line="312" w:lineRule="auto"/>
              <w:ind w:left="0" w:right="0" w:firstLine="105" w:firstLineChars="50"/>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货物类</w:t>
            </w:r>
          </w:p>
        </w:tc>
        <w:tc>
          <w:tcPr>
            <w:tcW w:w="1532" w:type="dxa"/>
            <w:noWrap w:val="0"/>
            <w:vAlign w:val="center"/>
          </w:tcPr>
          <w:p w14:paraId="075AF4E5">
            <w:pPr>
              <w:keepNext w:val="0"/>
              <w:keepLines w:val="0"/>
              <w:pageBreakBefore w:val="0"/>
              <w:suppressLineNumbers w:val="0"/>
              <w:kinsoku/>
              <w:wordWrap/>
              <w:topLinePunct w:val="0"/>
              <w:bidi w:val="0"/>
              <w:spacing w:before="0" w:beforeAutospacing="0" w:after="0" w:afterAutospacing="0" w:line="312" w:lineRule="auto"/>
              <w:ind w:left="0" w:right="0"/>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服务类</w:t>
            </w:r>
          </w:p>
        </w:tc>
        <w:tc>
          <w:tcPr>
            <w:tcW w:w="1546" w:type="dxa"/>
            <w:noWrap w:val="0"/>
            <w:vAlign w:val="center"/>
          </w:tcPr>
          <w:p w14:paraId="1CB84257">
            <w:pPr>
              <w:keepNext w:val="0"/>
              <w:keepLines w:val="0"/>
              <w:pageBreakBefore w:val="0"/>
              <w:suppressLineNumbers w:val="0"/>
              <w:kinsoku/>
              <w:wordWrap/>
              <w:topLinePunct w:val="0"/>
              <w:bidi w:val="0"/>
              <w:spacing w:before="0" w:beforeAutospacing="0" w:after="0" w:afterAutospacing="0" w:line="312" w:lineRule="auto"/>
              <w:ind w:left="0" w:right="0"/>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工程类</w:t>
            </w:r>
          </w:p>
        </w:tc>
      </w:tr>
      <w:tr w14:paraId="2FA3A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0B2FF593">
            <w:pPr>
              <w:keepNext w:val="0"/>
              <w:keepLines w:val="0"/>
              <w:pageBreakBefore w:val="0"/>
              <w:suppressLineNumbers w:val="0"/>
              <w:kinsoku/>
              <w:wordWrap/>
              <w:topLinePunct w:val="0"/>
              <w:bidi w:val="0"/>
              <w:spacing w:before="0" w:beforeAutospacing="0" w:after="0" w:afterAutospacing="0" w:line="312" w:lineRule="auto"/>
              <w:ind w:left="0" w:right="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100万元以下</w:t>
            </w:r>
          </w:p>
        </w:tc>
        <w:tc>
          <w:tcPr>
            <w:tcW w:w="1659" w:type="dxa"/>
            <w:noWrap w:val="0"/>
            <w:vAlign w:val="top"/>
          </w:tcPr>
          <w:p w14:paraId="2F583AD3">
            <w:pPr>
              <w:keepNext w:val="0"/>
              <w:keepLines w:val="0"/>
              <w:pageBreakBefore w:val="0"/>
              <w:suppressLineNumbers w:val="0"/>
              <w:kinsoku/>
              <w:wordWrap/>
              <w:topLinePunct w:val="0"/>
              <w:bidi w:val="0"/>
              <w:spacing w:before="0" w:beforeAutospacing="0" w:after="0" w:afterAutospacing="0" w:line="312" w:lineRule="auto"/>
              <w:ind w:left="0" w:right="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 xml:space="preserve">  1.5%                </w:t>
            </w:r>
          </w:p>
        </w:tc>
        <w:tc>
          <w:tcPr>
            <w:tcW w:w="1532" w:type="dxa"/>
            <w:noWrap w:val="0"/>
            <w:vAlign w:val="top"/>
          </w:tcPr>
          <w:p w14:paraId="789EA117">
            <w:pPr>
              <w:keepNext w:val="0"/>
              <w:keepLines w:val="0"/>
              <w:pageBreakBefore w:val="0"/>
              <w:suppressLineNumbers w:val="0"/>
              <w:kinsoku/>
              <w:wordWrap/>
              <w:topLinePunct w:val="0"/>
              <w:bidi w:val="0"/>
              <w:spacing w:before="0" w:beforeAutospacing="0" w:after="0" w:afterAutospacing="0" w:line="312" w:lineRule="auto"/>
              <w:ind w:left="0" w:right="0" w:firstLine="210" w:firstLineChars="1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1.5%</w:t>
            </w:r>
          </w:p>
        </w:tc>
        <w:tc>
          <w:tcPr>
            <w:tcW w:w="1546" w:type="dxa"/>
            <w:noWrap w:val="0"/>
            <w:vAlign w:val="top"/>
          </w:tcPr>
          <w:p w14:paraId="215B8CE8">
            <w:pPr>
              <w:keepNext w:val="0"/>
              <w:keepLines w:val="0"/>
              <w:pageBreakBefore w:val="0"/>
              <w:suppressLineNumbers w:val="0"/>
              <w:kinsoku/>
              <w:wordWrap/>
              <w:topLinePunct w:val="0"/>
              <w:bidi w:val="0"/>
              <w:spacing w:before="0" w:beforeAutospacing="0" w:after="0" w:afterAutospacing="0" w:line="312" w:lineRule="auto"/>
              <w:ind w:left="0" w:right="0" w:firstLine="210" w:firstLineChars="1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 xml:space="preserve">1.0% </w:t>
            </w:r>
          </w:p>
        </w:tc>
      </w:tr>
      <w:tr w14:paraId="29534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78855246">
            <w:pPr>
              <w:keepNext w:val="0"/>
              <w:keepLines w:val="0"/>
              <w:pageBreakBefore w:val="0"/>
              <w:suppressLineNumbers w:val="0"/>
              <w:kinsoku/>
              <w:wordWrap/>
              <w:topLinePunct w:val="0"/>
              <w:bidi w:val="0"/>
              <w:spacing w:before="0" w:beforeAutospacing="0" w:after="0" w:afterAutospacing="0" w:line="312" w:lineRule="auto"/>
              <w:ind w:left="0" w:right="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100～500万元</w:t>
            </w:r>
          </w:p>
        </w:tc>
        <w:tc>
          <w:tcPr>
            <w:tcW w:w="1659" w:type="dxa"/>
            <w:noWrap w:val="0"/>
            <w:vAlign w:val="top"/>
          </w:tcPr>
          <w:p w14:paraId="33FCEB9B">
            <w:pPr>
              <w:keepNext w:val="0"/>
              <w:keepLines w:val="0"/>
              <w:pageBreakBefore w:val="0"/>
              <w:suppressLineNumbers w:val="0"/>
              <w:kinsoku/>
              <w:wordWrap/>
              <w:topLinePunct w:val="0"/>
              <w:bidi w:val="0"/>
              <w:spacing w:before="0" w:beforeAutospacing="0" w:after="0" w:afterAutospacing="0" w:line="312" w:lineRule="auto"/>
              <w:ind w:left="0" w:right="0" w:firstLine="210" w:firstLineChars="1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 xml:space="preserve">1.1%                 </w:t>
            </w:r>
          </w:p>
        </w:tc>
        <w:tc>
          <w:tcPr>
            <w:tcW w:w="1532" w:type="dxa"/>
            <w:noWrap w:val="0"/>
            <w:vAlign w:val="top"/>
          </w:tcPr>
          <w:p w14:paraId="649F391D">
            <w:pPr>
              <w:keepNext w:val="0"/>
              <w:keepLines w:val="0"/>
              <w:pageBreakBefore w:val="0"/>
              <w:suppressLineNumbers w:val="0"/>
              <w:kinsoku/>
              <w:wordWrap/>
              <w:topLinePunct w:val="0"/>
              <w:bidi w:val="0"/>
              <w:spacing w:before="0" w:beforeAutospacing="0" w:after="0" w:afterAutospacing="0" w:line="312" w:lineRule="auto"/>
              <w:ind w:left="0" w:right="0" w:firstLine="210" w:firstLineChars="1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0.8%</w:t>
            </w:r>
          </w:p>
        </w:tc>
        <w:tc>
          <w:tcPr>
            <w:tcW w:w="1546" w:type="dxa"/>
            <w:noWrap w:val="0"/>
            <w:vAlign w:val="top"/>
          </w:tcPr>
          <w:p w14:paraId="2F91853D">
            <w:pPr>
              <w:keepNext w:val="0"/>
              <w:keepLines w:val="0"/>
              <w:pageBreakBefore w:val="0"/>
              <w:suppressLineNumbers w:val="0"/>
              <w:kinsoku/>
              <w:wordWrap/>
              <w:topLinePunct w:val="0"/>
              <w:bidi w:val="0"/>
              <w:spacing w:before="0" w:beforeAutospacing="0" w:after="0" w:afterAutospacing="0" w:line="312" w:lineRule="auto"/>
              <w:ind w:left="0" w:right="0" w:firstLine="210" w:firstLineChars="1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 xml:space="preserve">0.7% </w:t>
            </w:r>
          </w:p>
        </w:tc>
      </w:tr>
      <w:tr w14:paraId="5BFF0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56281DD3">
            <w:pPr>
              <w:keepNext w:val="0"/>
              <w:keepLines w:val="0"/>
              <w:pageBreakBefore w:val="0"/>
              <w:suppressLineNumbers w:val="0"/>
              <w:kinsoku/>
              <w:wordWrap/>
              <w:topLinePunct w:val="0"/>
              <w:bidi w:val="0"/>
              <w:spacing w:before="0" w:beforeAutospacing="0" w:after="0" w:afterAutospacing="0" w:line="312" w:lineRule="auto"/>
              <w:ind w:left="0" w:right="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500～1000万元</w:t>
            </w:r>
          </w:p>
        </w:tc>
        <w:tc>
          <w:tcPr>
            <w:tcW w:w="1659" w:type="dxa"/>
            <w:noWrap w:val="0"/>
            <w:vAlign w:val="top"/>
          </w:tcPr>
          <w:p w14:paraId="69A10850">
            <w:pPr>
              <w:keepNext w:val="0"/>
              <w:keepLines w:val="0"/>
              <w:pageBreakBefore w:val="0"/>
              <w:suppressLineNumbers w:val="0"/>
              <w:kinsoku/>
              <w:wordWrap/>
              <w:topLinePunct w:val="0"/>
              <w:bidi w:val="0"/>
              <w:spacing w:before="0" w:beforeAutospacing="0" w:after="0" w:afterAutospacing="0" w:line="312" w:lineRule="auto"/>
              <w:ind w:left="0" w:right="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 xml:space="preserve">  0.8%                </w:t>
            </w:r>
          </w:p>
        </w:tc>
        <w:tc>
          <w:tcPr>
            <w:tcW w:w="1532" w:type="dxa"/>
            <w:noWrap w:val="0"/>
            <w:vAlign w:val="top"/>
          </w:tcPr>
          <w:p w14:paraId="7C9BE36B">
            <w:pPr>
              <w:keepNext w:val="0"/>
              <w:keepLines w:val="0"/>
              <w:pageBreakBefore w:val="0"/>
              <w:suppressLineNumbers w:val="0"/>
              <w:kinsoku/>
              <w:wordWrap/>
              <w:topLinePunct w:val="0"/>
              <w:bidi w:val="0"/>
              <w:spacing w:before="0" w:beforeAutospacing="0" w:after="0" w:afterAutospacing="0" w:line="312" w:lineRule="auto"/>
              <w:ind w:left="0" w:right="0" w:firstLine="210" w:firstLineChars="1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0.45%</w:t>
            </w:r>
          </w:p>
        </w:tc>
        <w:tc>
          <w:tcPr>
            <w:tcW w:w="1546" w:type="dxa"/>
            <w:noWrap w:val="0"/>
            <w:vAlign w:val="top"/>
          </w:tcPr>
          <w:p w14:paraId="13006345">
            <w:pPr>
              <w:keepNext w:val="0"/>
              <w:keepLines w:val="0"/>
              <w:pageBreakBefore w:val="0"/>
              <w:suppressLineNumbers w:val="0"/>
              <w:kinsoku/>
              <w:wordWrap/>
              <w:topLinePunct w:val="0"/>
              <w:bidi w:val="0"/>
              <w:spacing w:before="0" w:beforeAutospacing="0" w:after="0" w:afterAutospacing="0" w:line="312" w:lineRule="auto"/>
              <w:ind w:left="0" w:right="0" w:firstLine="210" w:firstLineChars="1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0.55%</w:t>
            </w:r>
          </w:p>
        </w:tc>
      </w:tr>
      <w:tr w14:paraId="5426A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53155C01">
            <w:pPr>
              <w:keepNext w:val="0"/>
              <w:keepLines w:val="0"/>
              <w:pageBreakBefore w:val="0"/>
              <w:suppressLineNumbers w:val="0"/>
              <w:kinsoku/>
              <w:wordWrap/>
              <w:topLinePunct w:val="0"/>
              <w:bidi w:val="0"/>
              <w:spacing w:before="0" w:beforeAutospacing="0" w:after="0" w:afterAutospacing="0" w:line="312" w:lineRule="auto"/>
              <w:ind w:left="0" w:right="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1000～5000万元</w:t>
            </w:r>
          </w:p>
        </w:tc>
        <w:tc>
          <w:tcPr>
            <w:tcW w:w="1659" w:type="dxa"/>
            <w:noWrap w:val="0"/>
            <w:vAlign w:val="top"/>
          </w:tcPr>
          <w:p w14:paraId="706DF38C">
            <w:pPr>
              <w:keepNext w:val="0"/>
              <w:keepLines w:val="0"/>
              <w:pageBreakBefore w:val="0"/>
              <w:suppressLineNumbers w:val="0"/>
              <w:kinsoku/>
              <w:wordWrap/>
              <w:topLinePunct w:val="0"/>
              <w:bidi w:val="0"/>
              <w:spacing w:before="0" w:beforeAutospacing="0" w:after="0" w:afterAutospacing="0" w:line="312" w:lineRule="auto"/>
              <w:ind w:left="0" w:right="0" w:firstLine="210" w:firstLineChars="1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 xml:space="preserve">0.5%                </w:t>
            </w:r>
          </w:p>
        </w:tc>
        <w:tc>
          <w:tcPr>
            <w:tcW w:w="1532" w:type="dxa"/>
            <w:noWrap w:val="0"/>
            <w:vAlign w:val="top"/>
          </w:tcPr>
          <w:p w14:paraId="2EBE67F2">
            <w:pPr>
              <w:keepNext w:val="0"/>
              <w:keepLines w:val="0"/>
              <w:pageBreakBefore w:val="0"/>
              <w:suppressLineNumbers w:val="0"/>
              <w:kinsoku/>
              <w:wordWrap/>
              <w:topLinePunct w:val="0"/>
              <w:bidi w:val="0"/>
              <w:spacing w:before="0" w:beforeAutospacing="0" w:after="0" w:afterAutospacing="0" w:line="312" w:lineRule="auto"/>
              <w:ind w:left="0" w:right="0" w:firstLine="210" w:firstLineChars="1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0.25%</w:t>
            </w:r>
          </w:p>
        </w:tc>
        <w:tc>
          <w:tcPr>
            <w:tcW w:w="1546" w:type="dxa"/>
            <w:noWrap w:val="0"/>
            <w:vAlign w:val="top"/>
          </w:tcPr>
          <w:p w14:paraId="6CCB9F4F">
            <w:pPr>
              <w:keepNext w:val="0"/>
              <w:keepLines w:val="0"/>
              <w:pageBreakBefore w:val="0"/>
              <w:suppressLineNumbers w:val="0"/>
              <w:kinsoku/>
              <w:wordWrap/>
              <w:topLinePunct w:val="0"/>
              <w:bidi w:val="0"/>
              <w:spacing w:before="0" w:beforeAutospacing="0" w:after="0" w:afterAutospacing="0" w:line="312" w:lineRule="auto"/>
              <w:ind w:left="0" w:right="0" w:firstLine="210" w:firstLineChars="1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 xml:space="preserve">0.35% </w:t>
            </w:r>
          </w:p>
        </w:tc>
      </w:tr>
      <w:tr w14:paraId="003BD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0DD3F105">
            <w:pPr>
              <w:keepNext w:val="0"/>
              <w:keepLines w:val="0"/>
              <w:pageBreakBefore w:val="0"/>
              <w:suppressLineNumbers w:val="0"/>
              <w:kinsoku/>
              <w:wordWrap/>
              <w:topLinePunct w:val="0"/>
              <w:bidi w:val="0"/>
              <w:spacing w:before="0" w:beforeAutospacing="0" w:after="0" w:afterAutospacing="0" w:line="312" w:lineRule="auto"/>
              <w:ind w:left="0" w:right="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5000万元～1亿元</w:t>
            </w:r>
          </w:p>
        </w:tc>
        <w:tc>
          <w:tcPr>
            <w:tcW w:w="1659" w:type="dxa"/>
            <w:noWrap w:val="0"/>
            <w:vAlign w:val="top"/>
          </w:tcPr>
          <w:p w14:paraId="32E7778C">
            <w:pPr>
              <w:keepNext w:val="0"/>
              <w:keepLines w:val="0"/>
              <w:pageBreakBefore w:val="0"/>
              <w:suppressLineNumbers w:val="0"/>
              <w:kinsoku/>
              <w:wordWrap/>
              <w:topLinePunct w:val="0"/>
              <w:bidi w:val="0"/>
              <w:spacing w:before="0" w:beforeAutospacing="0" w:after="0" w:afterAutospacing="0" w:line="312" w:lineRule="auto"/>
              <w:ind w:left="0" w:right="0" w:firstLine="210" w:firstLineChars="1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 xml:space="preserve">0.25%                 </w:t>
            </w:r>
          </w:p>
        </w:tc>
        <w:tc>
          <w:tcPr>
            <w:tcW w:w="1532" w:type="dxa"/>
            <w:noWrap w:val="0"/>
            <w:vAlign w:val="top"/>
          </w:tcPr>
          <w:p w14:paraId="34476F40">
            <w:pPr>
              <w:keepNext w:val="0"/>
              <w:keepLines w:val="0"/>
              <w:pageBreakBefore w:val="0"/>
              <w:suppressLineNumbers w:val="0"/>
              <w:kinsoku/>
              <w:wordWrap/>
              <w:topLinePunct w:val="0"/>
              <w:bidi w:val="0"/>
              <w:spacing w:before="0" w:beforeAutospacing="0" w:after="0" w:afterAutospacing="0" w:line="312" w:lineRule="auto"/>
              <w:ind w:left="0" w:right="0" w:firstLine="210" w:firstLineChars="1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0.1%</w:t>
            </w:r>
          </w:p>
        </w:tc>
        <w:tc>
          <w:tcPr>
            <w:tcW w:w="1546" w:type="dxa"/>
            <w:noWrap w:val="0"/>
            <w:vAlign w:val="top"/>
          </w:tcPr>
          <w:p w14:paraId="007A5424">
            <w:pPr>
              <w:keepNext w:val="0"/>
              <w:keepLines w:val="0"/>
              <w:pageBreakBefore w:val="0"/>
              <w:suppressLineNumbers w:val="0"/>
              <w:kinsoku/>
              <w:wordWrap/>
              <w:topLinePunct w:val="0"/>
              <w:bidi w:val="0"/>
              <w:spacing w:before="0" w:beforeAutospacing="0" w:after="0" w:afterAutospacing="0" w:line="312" w:lineRule="auto"/>
              <w:ind w:left="0" w:right="0" w:firstLine="210" w:firstLineChars="1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0.2%</w:t>
            </w:r>
          </w:p>
        </w:tc>
      </w:tr>
      <w:tr w14:paraId="0A2E9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70D21E8E">
            <w:pPr>
              <w:keepNext w:val="0"/>
              <w:keepLines w:val="0"/>
              <w:pageBreakBefore w:val="0"/>
              <w:suppressLineNumbers w:val="0"/>
              <w:kinsoku/>
              <w:wordWrap/>
              <w:topLinePunct w:val="0"/>
              <w:bidi w:val="0"/>
              <w:spacing w:before="0" w:beforeAutospacing="0" w:after="0" w:afterAutospacing="0" w:line="312" w:lineRule="auto"/>
              <w:ind w:left="0" w:right="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1～5亿元</w:t>
            </w:r>
          </w:p>
        </w:tc>
        <w:tc>
          <w:tcPr>
            <w:tcW w:w="1659" w:type="dxa"/>
            <w:noWrap w:val="0"/>
            <w:vAlign w:val="top"/>
          </w:tcPr>
          <w:p w14:paraId="319F11A2">
            <w:pPr>
              <w:keepNext w:val="0"/>
              <w:keepLines w:val="0"/>
              <w:pageBreakBefore w:val="0"/>
              <w:suppressLineNumbers w:val="0"/>
              <w:kinsoku/>
              <w:wordWrap/>
              <w:topLinePunct w:val="0"/>
              <w:bidi w:val="0"/>
              <w:spacing w:before="0" w:beforeAutospacing="0" w:after="0" w:afterAutospacing="0" w:line="312" w:lineRule="auto"/>
              <w:ind w:left="0" w:right="0" w:firstLine="210" w:firstLineChars="1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0.05%</w:t>
            </w:r>
          </w:p>
        </w:tc>
        <w:tc>
          <w:tcPr>
            <w:tcW w:w="1532" w:type="dxa"/>
            <w:noWrap w:val="0"/>
            <w:vAlign w:val="top"/>
          </w:tcPr>
          <w:p w14:paraId="5BC68B8B">
            <w:pPr>
              <w:keepNext w:val="0"/>
              <w:keepLines w:val="0"/>
              <w:pageBreakBefore w:val="0"/>
              <w:suppressLineNumbers w:val="0"/>
              <w:kinsoku/>
              <w:wordWrap/>
              <w:topLinePunct w:val="0"/>
              <w:bidi w:val="0"/>
              <w:spacing w:before="0" w:beforeAutospacing="0" w:after="0" w:afterAutospacing="0" w:line="312" w:lineRule="auto"/>
              <w:ind w:left="0" w:right="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  0.05%</w:t>
            </w:r>
          </w:p>
        </w:tc>
        <w:tc>
          <w:tcPr>
            <w:tcW w:w="1546" w:type="dxa"/>
            <w:noWrap w:val="0"/>
            <w:vAlign w:val="top"/>
          </w:tcPr>
          <w:p w14:paraId="3C2AAB35">
            <w:pPr>
              <w:keepNext w:val="0"/>
              <w:keepLines w:val="0"/>
              <w:pageBreakBefore w:val="0"/>
              <w:suppressLineNumbers w:val="0"/>
              <w:kinsoku/>
              <w:wordWrap/>
              <w:topLinePunct w:val="0"/>
              <w:bidi w:val="0"/>
              <w:spacing w:before="0" w:beforeAutospacing="0" w:after="0" w:afterAutospacing="0" w:line="312" w:lineRule="auto"/>
              <w:ind w:left="0" w:right="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  0.05%</w:t>
            </w:r>
          </w:p>
        </w:tc>
      </w:tr>
      <w:tr w14:paraId="1BFF8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3802FACC">
            <w:pPr>
              <w:keepNext w:val="0"/>
              <w:keepLines w:val="0"/>
              <w:pageBreakBefore w:val="0"/>
              <w:suppressLineNumbers w:val="0"/>
              <w:kinsoku/>
              <w:wordWrap/>
              <w:topLinePunct w:val="0"/>
              <w:bidi w:val="0"/>
              <w:spacing w:before="0" w:beforeAutospacing="0" w:after="0" w:afterAutospacing="0" w:line="312" w:lineRule="auto"/>
              <w:ind w:left="0" w:right="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5～10亿元</w:t>
            </w:r>
          </w:p>
        </w:tc>
        <w:tc>
          <w:tcPr>
            <w:tcW w:w="1659" w:type="dxa"/>
            <w:noWrap w:val="0"/>
            <w:vAlign w:val="top"/>
          </w:tcPr>
          <w:p w14:paraId="486849F2">
            <w:pPr>
              <w:keepNext w:val="0"/>
              <w:keepLines w:val="0"/>
              <w:pageBreakBefore w:val="0"/>
              <w:suppressLineNumbers w:val="0"/>
              <w:kinsoku/>
              <w:wordWrap/>
              <w:topLinePunct w:val="0"/>
              <w:bidi w:val="0"/>
              <w:spacing w:before="0" w:beforeAutospacing="0" w:after="0" w:afterAutospacing="0" w:line="312" w:lineRule="auto"/>
              <w:ind w:left="0" w:right="0" w:firstLine="105" w:firstLineChars="5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0.035%</w:t>
            </w:r>
          </w:p>
        </w:tc>
        <w:tc>
          <w:tcPr>
            <w:tcW w:w="1532" w:type="dxa"/>
            <w:noWrap w:val="0"/>
            <w:vAlign w:val="top"/>
          </w:tcPr>
          <w:p w14:paraId="55BF3629">
            <w:pPr>
              <w:keepNext w:val="0"/>
              <w:keepLines w:val="0"/>
              <w:pageBreakBefore w:val="0"/>
              <w:suppressLineNumbers w:val="0"/>
              <w:kinsoku/>
              <w:wordWrap/>
              <w:topLinePunct w:val="0"/>
              <w:bidi w:val="0"/>
              <w:spacing w:before="0" w:beforeAutospacing="0" w:after="0" w:afterAutospacing="0" w:line="312" w:lineRule="auto"/>
              <w:ind w:left="0" w:right="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  0.035%</w:t>
            </w:r>
          </w:p>
        </w:tc>
        <w:tc>
          <w:tcPr>
            <w:tcW w:w="1546" w:type="dxa"/>
            <w:noWrap w:val="0"/>
            <w:vAlign w:val="top"/>
          </w:tcPr>
          <w:p w14:paraId="790434E7">
            <w:pPr>
              <w:keepNext w:val="0"/>
              <w:keepLines w:val="0"/>
              <w:pageBreakBefore w:val="0"/>
              <w:suppressLineNumbers w:val="0"/>
              <w:kinsoku/>
              <w:wordWrap/>
              <w:topLinePunct w:val="0"/>
              <w:bidi w:val="0"/>
              <w:spacing w:before="0" w:beforeAutospacing="0" w:after="0" w:afterAutospacing="0" w:line="312" w:lineRule="auto"/>
              <w:ind w:left="0" w:right="0" w:firstLine="105" w:firstLineChars="5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0.035%</w:t>
            </w:r>
          </w:p>
        </w:tc>
      </w:tr>
      <w:tr w14:paraId="579C4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257EC26B">
            <w:pPr>
              <w:keepNext w:val="0"/>
              <w:keepLines w:val="0"/>
              <w:pageBreakBefore w:val="0"/>
              <w:suppressLineNumbers w:val="0"/>
              <w:kinsoku/>
              <w:wordWrap/>
              <w:topLinePunct w:val="0"/>
              <w:bidi w:val="0"/>
              <w:spacing w:before="0" w:beforeAutospacing="0" w:after="0" w:afterAutospacing="0" w:line="312" w:lineRule="auto"/>
              <w:ind w:left="0" w:right="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10～50亿元</w:t>
            </w:r>
          </w:p>
        </w:tc>
        <w:tc>
          <w:tcPr>
            <w:tcW w:w="1659" w:type="dxa"/>
            <w:noWrap w:val="0"/>
            <w:vAlign w:val="top"/>
          </w:tcPr>
          <w:p w14:paraId="0FAEDB42">
            <w:pPr>
              <w:keepNext w:val="0"/>
              <w:keepLines w:val="0"/>
              <w:pageBreakBefore w:val="0"/>
              <w:suppressLineNumbers w:val="0"/>
              <w:kinsoku/>
              <w:wordWrap/>
              <w:topLinePunct w:val="0"/>
              <w:bidi w:val="0"/>
              <w:spacing w:before="0" w:beforeAutospacing="0" w:after="0" w:afterAutospacing="0" w:line="312" w:lineRule="auto"/>
              <w:ind w:left="0" w:right="0" w:firstLine="105" w:firstLineChars="5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0.008%</w:t>
            </w:r>
          </w:p>
        </w:tc>
        <w:tc>
          <w:tcPr>
            <w:tcW w:w="1532" w:type="dxa"/>
            <w:noWrap w:val="0"/>
            <w:vAlign w:val="top"/>
          </w:tcPr>
          <w:p w14:paraId="74B80C43">
            <w:pPr>
              <w:keepNext w:val="0"/>
              <w:keepLines w:val="0"/>
              <w:pageBreakBefore w:val="0"/>
              <w:suppressLineNumbers w:val="0"/>
              <w:kinsoku/>
              <w:wordWrap/>
              <w:topLinePunct w:val="0"/>
              <w:bidi w:val="0"/>
              <w:spacing w:before="0" w:beforeAutospacing="0" w:after="0" w:afterAutospacing="0" w:line="312" w:lineRule="auto"/>
              <w:ind w:left="0" w:right="0" w:firstLine="210" w:firstLineChars="1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0.008%</w:t>
            </w:r>
          </w:p>
        </w:tc>
        <w:tc>
          <w:tcPr>
            <w:tcW w:w="1546" w:type="dxa"/>
            <w:noWrap w:val="0"/>
            <w:vAlign w:val="top"/>
          </w:tcPr>
          <w:p w14:paraId="07206A37">
            <w:pPr>
              <w:keepNext w:val="0"/>
              <w:keepLines w:val="0"/>
              <w:pageBreakBefore w:val="0"/>
              <w:suppressLineNumbers w:val="0"/>
              <w:kinsoku/>
              <w:wordWrap/>
              <w:topLinePunct w:val="0"/>
              <w:bidi w:val="0"/>
              <w:spacing w:before="0" w:beforeAutospacing="0" w:after="0" w:afterAutospacing="0" w:line="312" w:lineRule="auto"/>
              <w:ind w:left="0" w:right="0" w:firstLine="105" w:firstLineChars="5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0.008%</w:t>
            </w:r>
          </w:p>
        </w:tc>
      </w:tr>
      <w:tr w14:paraId="161D5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702C2C93">
            <w:pPr>
              <w:keepNext w:val="0"/>
              <w:keepLines w:val="0"/>
              <w:pageBreakBefore w:val="0"/>
              <w:suppressLineNumbers w:val="0"/>
              <w:kinsoku/>
              <w:wordWrap/>
              <w:topLinePunct w:val="0"/>
              <w:bidi w:val="0"/>
              <w:spacing w:before="0" w:beforeAutospacing="0" w:after="0" w:afterAutospacing="0" w:line="312" w:lineRule="auto"/>
              <w:ind w:left="0" w:right="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50～100亿元</w:t>
            </w:r>
          </w:p>
        </w:tc>
        <w:tc>
          <w:tcPr>
            <w:tcW w:w="1659" w:type="dxa"/>
            <w:noWrap w:val="0"/>
            <w:vAlign w:val="top"/>
          </w:tcPr>
          <w:p w14:paraId="350E538C">
            <w:pPr>
              <w:keepNext w:val="0"/>
              <w:keepLines w:val="0"/>
              <w:pageBreakBefore w:val="0"/>
              <w:suppressLineNumbers w:val="0"/>
              <w:kinsoku/>
              <w:wordWrap/>
              <w:topLinePunct w:val="0"/>
              <w:bidi w:val="0"/>
              <w:spacing w:before="0" w:beforeAutospacing="0" w:after="0" w:afterAutospacing="0" w:line="312" w:lineRule="auto"/>
              <w:ind w:left="0" w:right="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 0.006%</w:t>
            </w:r>
          </w:p>
        </w:tc>
        <w:tc>
          <w:tcPr>
            <w:tcW w:w="1532" w:type="dxa"/>
            <w:noWrap w:val="0"/>
            <w:vAlign w:val="top"/>
          </w:tcPr>
          <w:p w14:paraId="457EA0EB">
            <w:pPr>
              <w:keepNext w:val="0"/>
              <w:keepLines w:val="0"/>
              <w:pageBreakBefore w:val="0"/>
              <w:suppressLineNumbers w:val="0"/>
              <w:kinsoku/>
              <w:wordWrap/>
              <w:topLinePunct w:val="0"/>
              <w:bidi w:val="0"/>
              <w:spacing w:before="0" w:beforeAutospacing="0" w:after="0" w:afterAutospacing="0" w:line="312" w:lineRule="auto"/>
              <w:ind w:left="0" w:right="0" w:firstLine="210" w:firstLineChars="1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0.006%</w:t>
            </w:r>
          </w:p>
        </w:tc>
        <w:tc>
          <w:tcPr>
            <w:tcW w:w="1546" w:type="dxa"/>
            <w:noWrap w:val="0"/>
            <w:vAlign w:val="top"/>
          </w:tcPr>
          <w:p w14:paraId="48051838">
            <w:pPr>
              <w:keepNext w:val="0"/>
              <w:keepLines w:val="0"/>
              <w:pageBreakBefore w:val="0"/>
              <w:suppressLineNumbers w:val="0"/>
              <w:kinsoku/>
              <w:wordWrap/>
              <w:topLinePunct w:val="0"/>
              <w:bidi w:val="0"/>
              <w:spacing w:before="0" w:beforeAutospacing="0" w:after="0" w:afterAutospacing="0" w:line="312" w:lineRule="auto"/>
              <w:ind w:left="0" w:right="0" w:firstLine="105" w:firstLineChars="5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0.006%</w:t>
            </w:r>
          </w:p>
        </w:tc>
      </w:tr>
      <w:tr w14:paraId="47253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78CBD0E1">
            <w:pPr>
              <w:keepNext w:val="0"/>
              <w:keepLines w:val="0"/>
              <w:pageBreakBefore w:val="0"/>
              <w:suppressLineNumbers w:val="0"/>
              <w:kinsoku/>
              <w:wordWrap/>
              <w:topLinePunct w:val="0"/>
              <w:bidi w:val="0"/>
              <w:spacing w:before="0" w:beforeAutospacing="0" w:after="0" w:afterAutospacing="0" w:line="312" w:lineRule="auto"/>
              <w:ind w:left="0" w:right="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100亿以上</w:t>
            </w:r>
          </w:p>
        </w:tc>
        <w:tc>
          <w:tcPr>
            <w:tcW w:w="1659" w:type="dxa"/>
            <w:noWrap w:val="0"/>
            <w:vAlign w:val="top"/>
          </w:tcPr>
          <w:p w14:paraId="0EE608D8">
            <w:pPr>
              <w:keepNext w:val="0"/>
              <w:keepLines w:val="0"/>
              <w:pageBreakBefore w:val="0"/>
              <w:suppressLineNumbers w:val="0"/>
              <w:kinsoku/>
              <w:wordWrap/>
              <w:topLinePunct w:val="0"/>
              <w:bidi w:val="0"/>
              <w:spacing w:before="0" w:beforeAutospacing="0" w:after="0" w:afterAutospacing="0" w:line="312" w:lineRule="auto"/>
              <w:ind w:left="0" w:right="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 0.004%</w:t>
            </w:r>
          </w:p>
        </w:tc>
        <w:tc>
          <w:tcPr>
            <w:tcW w:w="1532" w:type="dxa"/>
            <w:noWrap w:val="0"/>
            <w:vAlign w:val="top"/>
          </w:tcPr>
          <w:p w14:paraId="2CD98944">
            <w:pPr>
              <w:keepNext w:val="0"/>
              <w:keepLines w:val="0"/>
              <w:pageBreakBefore w:val="0"/>
              <w:suppressLineNumbers w:val="0"/>
              <w:kinsoku/>
              <w:wordWrap/>
              <w:topLinePunct w:val="0"/>
              <w:bidi w:val="0"/>
              <w:spacing w:before="0" w:beforeAutospacing="0" w:after="0" w:afterAutospacing="0" w:line="312" w:lineRule="auto"/>
              <w:ind w:left="0" w:right="0" w:firstLine="210" w:firstLineChars="1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0.004%</w:t>
            </w:r>
          </w:p>
        </w:tc>
        <w:tc>
          <w:tcPr>
            <w:tcW w:w="1546" w:type="dxa"/>
            <w:noWrap w:val="0"/>
            <w:vAlign w:val="top"/>
          </w:tcPr>
          <w:p w14:paraId="5B2E380F">
            <w:pPr>
              <w:keepNext w:val="0"/>
              <w:keepLines w:val="0"/>
              <w:pageBreakBefore w:val="0"/>
              <w:suppressLineNumbers w:val="0"/>
              <w:kinsoku/>
              <w:wordWrap/>
              <w:topLinePunct w:val="0"/>
              <w:bidi w:val="0"/>
              <w:spacing w:before="0" w:beforeAutospacing="0" w:after="0" w:afterAutospacing="0" w:line="312" w:lineRule="auto"/>
              <w:ind w:left="0" w:right="0" w:firstLine="105" w:firstLineChars="5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0.004%</w:t>
            </w:r>
          </w:p>
        </w:tc>
      </w:tr>
    </w:tbl>
    <w:p w14:paraId="11106BD0">
      <w:pPr>
        <w:pageBreakBefore w:val="0"/>
        <w:kinsoku/>
        <w:wordWrap/>
        <w:topLinePunct w:val="0"/>
        <w:bidi w:val="0"/>
        <w:spacing w:line="312"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注：</w:t>
      </w:r>
    </w:p>
    <w:p w14:paraId="082B7160">
      <w:pPr>
        <w:pageBreakBefore w:val="0"/>
        <w:kinsoku/>
        <w:wordWrap/>
        <w:topLinePunct w:val="0"/>
        <w:bidi w:val="0"/>
        <w:spacing w:line="312"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（1）按本表费率计算的收费为采购代理的收费基准价格；</w:t>
      </w:r>
    </w:p>
    <w:p w14:paraId="402FEDB2">
      <w:pPr>
        <w:pageBreakBefore w:val="0"/>
        <w:kinsoku/>
        <w:wordWrap/>
        <w:topLinePunct w:val="0"/>
        <w:bidi w:val="0"/>
        <w:spacing w:line="312"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（2）采购代理收费按差额定率累进法计算。</w:t>
      </w:r>
    </w:p>
    <w:p w14:paraId="56BF7D99">
      <w:pPr>
        <w:pageBreakBefore w:val="0"/>
        <w:kinsoku/>
        <w:wordWrap/>
        <w:topLinePunct w:val="0"/>
        <w:bidi w:val="0"/>
        <w:spacing w:line="312"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例如：某服务采购代理业务成交金额或者暂定价为</w:t>
      </w:r>
      <w:r>
        <w:rPr>
          <w:rFonts w:hint="eastAsia" w:asciiTheme="minorEastAsia" w:hAnsiTheme="minorEastAsia" w:eastAsiaTheme="minorEastAsia" w:cstheme="minorEastAsia"/>
          <w:color w:val="auto"/>
          <w:highlight w:val="none"/>
          <w:lang w:val="en-US" w:eastAsia="zh-CN"/>
        </w:rPr>
        <w:t>20</w:t>
      </w:r>
      <w:r>
        <w:rPr>
          <w:rFonts w:hint="eastAsia" w:asciiTheme="minorEastAsia" w:hAnsiTheme="minorEastAsia" w:eastAsiaTheme="minorEastAsia" w:cstheme="minorEastAsia"/>
          <w:color w:val="auto"/>
          <w:highlight w:val="none"/>
        </w:rPr>
        <w:t>0万元，计算采购代理收费额如下：</w:t>
      </w:r>
    </w:p>
    <w:p w14:paraId="6B9E2D03">
      <w:pPr>
        <w:pageBreakBefore w:val="0"/>
        <w:kinsoku/>
        <w:wordWrap/>
        <w:topLinePunct w:val="0"/>
        <w:bidi w:val="0"/>
        <w:spacing w:line="312"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100 万元 ×l.5 %＝ 1.5 万元</w:t>
      </w:r>
    </w:p>
    <w:p w14:paraId="039D7F60">
      <w:pPr>
        <w:pageBreakBefore w:val="0"/>
        <w:kinsoku/>
        <w:wordWrap/>
        <w:topLinePunct w:val="0"/>
        <w:bidi w:val="0"/>
        <w:spacing w:line="312"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 </w:t>
      </w:r>
      <w:r>
        <w:rPr>
          <w:rFonts w:hint="eastAsia" w:asciiTheme="minorEastAsia" w:hAnsiTheme="minorEastAsia" w:eastAsiaTheme="minorEastAsia" w:cstheme="minorEastAsia"/>
          <w:color w:val="auto"/>
          <w:highlight w:val="none"/>
          <w:lang w:val="en-US" w:eastAsia="zh-CN"/>
        </w:rPr>
        <w:t>20</w:t>
      </w:r>
      <w:r>
        <w:rPr>
          <w:rFonts w:hint="eastAsia" w:asciiTheme="minorEastAsia" w:hAnsiTheme="minorEastAsia" w:eastAsiaTheme="minorEastAsia" w:cstheme="minorEastAsia"/>
          <w:color w:val="auto"/>
          <w:highlight w:val="none"/>
        </w:rPr>
        <w:t>0 － 100 ）万元 ×0.8%＝ 0.</w:t>
      </w:r>
      <w:r>
        <w:rPr>
          <w:rFonts w:hint="eastAsia" w:asciiTheme="minorEastAsia" w:hAnsiTheme="minorEastAsia" w:eastAsiaTheme="minorEastAsia" w:cstheme="minorEastAsia"/>
          <w:color w:val="auto"/>
          <w:highlight w:val="none"/>
          <w:lang w:val="en-US" w:eastAsia="zh-CN"/>
        </w:rPr>
        <w:t>8</w:t>
      </w:r>
      <w:r>
        <w:rPr>
          <w:rFonts w:hint="eastAsia" w:asciiTheme="minorEastAsia" w:hAnsiTheme="minorEastAsia" w:eastAsiaTheme="minorEastAsia" w:cstheme="minorEastAsia"/>
          <w:color w:val="auto"/>
          <w:highlight w:val="none"/>
        </w:rPr>
        <w:t>万元</w:t>
      </w:r>
    </w:p>
    <w:p w14:paraId="13FBA376">
      <w:pPr>
        <w:pageBreakBefore w:val="0"/>
        <w:kinsoku/>
        <w:wordWrap/>
        <w:topLinePunct w:val="0"/>
        <w:bidi w:val="0"/>
        <w:spacing w:line="312"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合计收费＝ 1.5 ＋ 0.</w:t>
      </w:r>
      <w:r>
        <w:rPr>
          <w:rFonts w:hint="eastAsia" w:asciiTheme="minorEastAsia" w:hAnsiTheme="minorEastAsia" w:eastAsiaTheme="minorEastAsia" w:cstheme="minorEastAsia"/>
          <w:color w:val="auto"/>
          <w:highlight w:val="none"/>
          <w:lang w:val="en-US" w:eastAsia="zh-CN"/>
        </w:rPr>
        <w:t>8</w:t>
      </w:r>
      <w:r>
        <w:rPr>
          <w:rFonts w:hint="eastAsia" w:asciiTheme="minorEastAsia" w:hAnsiTheme="minorEastAsia" w:eastAsiaTheme="minorEastAsia" w:cstheme="minorEastAsia"/>
          <w:color w:val="auto"/>
          <w:highlight w:val="none"/>
        </w:rPr>
        <w:t xml:space="preserve">＝ </w:t>
      </w:r>
      <w:r>
        <w:rPr>
          <w:rFonts w:hint="eastAsia" w:asciiTheme="minorEastAsia" w:hAnsiTheme="minorEastAsia" w:eastAsiaTheme="minorEastAsia" w:cstheme="minorEastAsia"/>
          <w:color w:val="auto"/>
          <w:highlight w:val="none"/>
          <w:lang w:val="en-US" w:eastAsia="zh-CN"/>
        </w:rPr>
        <w:t>2.3</w:t>
      </w:r>
      <w:r>
        <w:rPr>
          <w:rFonts w:hint="eastAsia" w:asciiTheme="minorEastAsia" w:hAnsiTheme="minorEastAsia" w:eastAsiaTheme="minorEastAsia" w:cstheme="minorEastAsia"/>
          <w:color w:val="auto"/>
          <w:highlight w:val="none"/>
        </w:rPr>
        <w:t xml:space="preserve"> 万元</w:t>
      </w:r>
    </w:p>
    <w:p w14:paraId="61675B2F">
      <w:pPr>
        <w:pageBreakBefore w:val="0"/>
        <w:kinsoku/>
        <w:wordWrap/>
        <w:topLinePunct w:val="0"/>
        <w:bidi w:val="0"/>
        <w:spacing w:line="312"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33.需要补充的其他内容</w:t>
      </w:r>
    </w:p>
    <w:p w14:paraId="5CF7401E">
      <w:pPr>
        <w:pStyle w:val="17"/>
        <w:keepNext w:val="0"/>
        <w:keepLines w:val="0"/>
        <w:pageBreakBefore w:val="0"/>
        <w:widowControl w:val="0"/>
        <w:kinsoku/>
        <w:wordWrap/>
        <w:overflowPunct/>
        <w:topLinePunct w:val="0"/>
        <w:autoSpaceDE/>
        <w:autoSpaceDN/>
        <w:bidi w:val="0"/>
        <w:adjustRightInd/>
        <w:snapToGrid w:val="0"/>
        <w:spacing w:line="300" w:lineRule="auto"/>
        <w:ind w:firstLine="420" w:firstLineChars="200"/>
        <w:textAlignment w:val="center"/>
        <w:rPr>
          <w:rFonts w:hint="eastAsia" w:asciiTheme="minorEastAsia" w:hAnsiTheme="minorEastAsia" w:eastAsiaTheme="minorEastAsia" w:cstheme="minorEastAsia"/>
          <w:color w:val="000000"/>
          <w:kern w:val="2"/>
          <w:sz w:val="21"/>
          <w:highlight w:val="none"/>
          <w:lang w:val="en-US" w:eastAsia="zh-CN"/>
        </w:rPr>
      </w:pPr>
      <w:r>
        <w:rPr>
          <w:rFonts w:hint="eastAsia" w:asciiTheme="minorEastAsia" w:hAnsiTheme="minorEastAsia" w:eastAsiaTheme="minorEastAsia" w:cstheme="minorEastAsia"/>
          <w:color w:val="000000"/>
          <w:kern w:val="2"/>
          <w:sz w:val="21"/>
          <w:highlight w:val="none"/>
          <w:lang w:val="en-US" w:eastAsia="zh-CN"/>
        </w:rPr>
        <w:t>33.1本磋商文件解释规则详见“供应商须知前附表”。</w:t>
      </w:r>
    </w:p>
    <w:p w14:paraId="61D6BF65">
      <w:pPr>
        <w:pStyle w:val="17"/>
        <w:keepNext w:val="0"/>
        <w:keepLines w:val="0"/>
        <w:pageBreakBefore w:val="0"/>
        <w:widowControl w:val="0"/>
        <w:kinsoku/>
        <w:wordWrap/>
        <w:overflowPunct/>
        <w:topLinePunct w:val="0"/>
        <w:autoSpaceDE/>
        <w:autoSpaceDN/>
        <w:bidi w:val="0"/>
        <w:adjustRightInd/>
        <w:snapToGrid w:val="0"/>
        <w:spacing w:line="300" w:lineRule="auto"/>
        <w:ind w:firstLine="420" w:firstLineChars="200"/>
        <w:textAlignment w:val="center"/>
        <w:rPr>
          <w:rFonts w:hint="eastAsia" w:asciiTheme="minorEastAsia" w:hAnsiTheme="minorEastAsia" w:eastAsiaTheme="minorEastAsia" w:cstheme="minorEastAsia"/>
          <w:color w:val="000000"/>
          <w:kern w:val="2"/>
          <w:sz w:val="21"/>
          <w:highlight w:val="none"/>
          <w:lang w:val="en-US" w:eastAsia="zh-CN"/>
        </w:rPr>
      </w:pPr>
      <w:r>
        <w:rPr>
          <w:rFonts w:hint="eastAsia" w:asciiTheme="minorEastAsia" w:hAnsiTheme="minorEastAsia" w:eastAsiaTheme="minorEastAsia" w:cstheme="minorEastAsia"/>
          <w:color w:val="000000"/>
          <w:kern w:val="2"/>
          <w:sz w:val="21"/>
          <w:highlight w:val="none"/>
          <w:lang w:val="en-US" w:eastAsia="zh-CN"/>
        </w:rPr>
        <w:t>33.2 其他事项详见“供应商须知前附表”。</w:t>
      </w:r>
    </w:p>
    <w:p w14:paraId="4B15E585">
      <w:pPr>
        <w:pStyle w:val="17"/>
        <w:keepNext w:val="0"/>
        <w:keepLines w:val="0"/>
        <w:pageBreakBefore w:val="0"/>
        <w:widowControl w:val="0"/>
        <w:kinsoku/>
        <w:wordWrap/>
        <w:overflowPunct/>
        <w:topLinePunct w:val="0"/>
        <w:autoSpaceDE/>
        <w:autoSpaceDN/>
        <w:bidi w:val="0"/>
        <w:adjustRightInd/>
        <w:snapToGrid w:val="0"/>
        <w:spacing w:line="300" w:lineRule="auto"/>
        <w:ind w:firstLine="420" w:firstLineChars="200"/>
        <w:textAlignment w:val="center"/>
        <w:rPr>
          <w:rFonts w:hint="eastAsia" w:asciiTheme="minorEastAsia" w:hAnsiTheme="minorEastAsia" w:eastAsiaTheme="minorEastAsia" w:cstheme="minorEastAsia"/>
          <w:color w:val="000000"/>
          <w:kern w:val="2"/>
          <w:sz w:val="21"/>
          <w:highlight w:val="none"/>
        </w:rPr>
      </w:pPr>
      <w:r>
        <w:rPr>
          <w:rFonts w:hint="eastAsia" w:asciiTheme="minorEastAsia" w:hAnsiTheme="minorEastAsia" w:eastAsiaTheme="minorEastAsia" w:cstheme="minorEastAsia"/>
          <w:color w:val="000000"/>
          <w:kern w:val="2"/>
          <w:sz w:val="21"/>
          <w:highlight w:val="none"/>
          <w:lang w:val="en-US" w:eastAsia="zh-CN"/>
        </w:rPr>
        <w:t>33.3</w:t>
      </w:r>
      <w:r>
        <w:rPr>
          <w:rFonts w:hint="eastAsia" w:asciiTheme="minorEastAsia" w:hAnsiTheme="minorEastAsia" w:eastAsiaTheme="minorEastAsia" w:cstheme="minorEastAsia"/>
          <w:color w:val="000000"/>
          <w:kern w:val="2"/>
          <w:sz w:val="21"/>
          <w:highlight w:val="none"/>
        </w:rPr>
        <w:t>本磋商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磋商文件规定的中小企业扶持政策：</w:t>
      </w:r>
    </w:p>
    <w:p w14:paraId="7F0CF97C">
      <w:pPr>
        <w:pStyle w:val="17"/>
        <w:keepNext w:val="0"/>
        <w:keepLines w:val="0"/>
        <w:pageBreakBefore w:val="0"/>
        <w:widowControl w:val="0"/>
        <w:kinsoku/>
        <w:wordWrap/>
        <w:overflowPunct/>
        <w:topLinePunct w:val="0"/>
        <w:autoSpaceDE/>
        <w:autoSpaceDN/>
        <w:bidi w:val="0"/>
        <w:adjustRightInd/>
        <w:snapToGrid w:val="0"/>
        <w:spacing w:line="300" w:lineRule="auto"/>
        <w:ind w:firstLine="420" w:firstLineChars="200"/>
        <w:contextualSpacing/>
        <w:rPr>
          <w:rFonts w:hint="eastAsia" w:asciiTheme="minorEastAsia" w:hAnsiTheme="minorEastAsia" w:eastAsiaTheme="minorEastAsia" w:cstheme="minorEastAsia"/>
          <w:color w:val="000000"/>
          <w:sz w:val="21"/>
          <w:highlight w:val="none"/>
        </w:rPr>
      </w:pPr>
      <w:r>
        <w:rPr>
          <w:rFonts w:hint="eastAsia" w:asciiTheme="minorEastAsia" w:hAnsiTheme="minorEastAsia" w:eastAsiaTheme="minorEastAsia" w:cstheme="minorEastAsia"/>
          <w:color w:val="000000"/>
          <w:sz w:val="21"/>
          <w:highlight w:val="none"/>
        </w:rPr>
        <w:t>（1）在货物采购项目中，货物由中小企业制造，即货物由中小企业生产且使用该中小企业商号或者注册商标，不对其中涉及的工程承建商和服务的承接商作出要求；</w:t>
      </w:r>
    </w:p>
    <w:p w14:paraId="51DD35A4">
      <w:pPr>
        <w:pStyle w:val="17"/>
        <w:keepNext w:val="0"/>
        <w:keepLines w:val="0"/>
        <w:pageBreakBefore w:val="0"/>
        <w:widowControl w:val="0"/>
        <w:kinsoku/>
        <w:wordWrap/>
        <w:overflowPunct/>
        <w:topLinePunct w:val="0"/>
        <w:autoSpaceDE/>
        <w:autoSpaceDN/>
        <w:bidi w:val="0"/>
        <w:adjustRightInd/>
        <w:snapToGrid w:val="0"/>
        <w:spacing w:line="300" w:lineRule="auto"/>
        <w:ind w:firstLine="420" w:firstLineChars="200"/>
        <w:contextualSpacing/>
        <w:rPr>
          <w:rFonts w:hint="eastAsia" w:asciiTheme="minorEastAsia" w:hAnsiTheme="minorEastAsia" w:eastAsiaTheme="minorEastAsia" w:cstheme="minorEastAsia"/>
          <w:color w:val="000000"/>
          <w:sz w:val="21"/>
          <w:highlight w:val="none"/>
        </w:rPr>
      </w:pPr>
      <w:r>
        <w:rPr>
          <w:rFonts w:hint="eastAsia" w:asciiTheme="minorEastAsia" w:hAnsiTheme="minorEastAsia" w:eastAsiaTheme="minorEastAsia" w:cstheme="minorEastAsia"/>
          <w:color w:val="000000"/>
          <w:sz w:val="21"/>
          <w:highlight w:val="none"/>
        </w:rPr>
        <w:t>（2）在工程采购项目中，工程由中小企业承建，即工程施工单位为中小企业，不对其中涉及的货物的制造商和服务的承接商作出要求；</w:t>
      </w:r>
    </w:p>
    <w:p w14:paraId="361BE196">
      <w:pPr>
        <w:pStyle w:val="17"/>
        <w:keepNext w:val="0"/>
        <w:keepLines w:val="0"/>
        <w:pageBreakBefore w:val="0"/>
        <w:widowControl w:val="0"/>
        <w:kinsoku/>
        <w:wordWrap/>
        <w:overflowPunct/>
        <w:topLinePunct w:val="0"/>
        <w:autoSpaceDE/>
        <w:autoSpaceDN/>
        <w:bidi w:val="0"/>
        <w:adjustRightInd/>
        <w:snapToGrid w:val="0"/>
        <w:spacing w:line="300" w:lineRule="auto"/>
        <w:ind w:firstLine="420" w:firstLineChars="200"/>
        <w:contextualSpacing/>
        <w:rPr>
          <w:rFonts w:hint="eastAsia" w:asciiTheme="minorEastAsia" w:hAnsiTheme="minorEastAsia" w:eastAsiaTheme="minorEastAsia" w:cstheme="minorEastAsia"/>
          <w:color w:val="000000"/>
          <w:sz w:val="21"/>
          <w:highlight w:val="none"/>
        </w:rPr>
      </w:pPr>
      <w:r>
        <w:rPr>
          <w:rFonts w:hint="eastAsia" w:asciiTheme="minorEastAsia" w:hAnsiTheme="minorEastAsia" w:eastAsiaTheme="minorEastAsia" w:cstheme="minorEastAsia"/>
          <w:color w:val="000000"/>
          <w:sz w:val="21"/>
          <w:highlight w:val="none"/>
        </w:rPr>
        <w:t>（3）在服务采购项目中，服务由中小企业承接，即提供服务的人员为中小企业依照《中华人民共和国劳动合同法》订立劳动合同的从业人员，不对其中涉及的货物的制造商和工程承建商作出要求。</w:t>
      </w:r>
    </w:p>
    <w:p w14:paraId="55BF7CEA">
      <w:pPr>
        <w:pStyle w:val="17"/>
        <w:keepNext w:val="0"/>
        <w:keepLines w:val="0"/>
        <w:pageBreakBefore w:val="0"/>
        <w:widowControl w:val="0"/>
        <w:kinsoku/>
        <w:wordWrap/>
        <w:overflowPunct/>
        <w:topLinePunct w:val="0"/>
        <w:autoSpaceDE/>
        <w:autoSpaceDN/>
        <w:bidi w:val="0"/>
        <w:adjustRightInd/>
        <w:snapToGrid w:val="0"/>
        <w:spacing w:line="300" w:lineRule="auto"/>
        <w:ind w:firstLine="420" w:firstLineChars="200"/>
        <w:textAlignment w:val="center"/>
        <w:rPr>
          <w:rFonts w:hint="eastAsia" w:asciiTheme="minorEastAsia" w:hAnsiTheme="minorEastAsia" w:eastAsiaTheme="minorEastAsia" w:cstheme="minorEastAsia"/>
          <w:color w:val="000000"/>
          <w:kern w:val="2"/>
          <w:sz w:val="21"/>
          <w:highlight w:val="none"/>
        </w:rPr>
      </w:pPr>
      <w:r>
        <w:rPr>
          <w:rFonts w:hint="eastAsia" w:asciiTheme="minorEastAsia" w:hAnsiTheme="minorEastAsia" w:eastAsiaTheme="minorEastAsia" w:cstheme="minorEastAsia"/>
          <w:color w:val="000000"/>
          <w:kern w:val="2"/>
          <w:sz w:val="21"/>
          <w:highlight w:val="none"/>
        </w:rPr>
        <w:t>在货物采购项目中，供应商提供的货物既有中小企业制造货物，也有大型企业制造货物的，不享受本磋商文件规定的中小企业扶持政策。以联合体形式参加政府采购活动，联合体各方均为中小企业的，联合体视同中小企业。其中，联合体各方均为小微企业的，联合体视同小微企业。</w:t>
      </w:r>
    </w:p>
    <w:p w14:paraId="0A63A251">
      <w:pPr>
        <w:pStyle w:val="17"/>
        <w:pageBreakBefore w:val="0"/>
        <w:kinsoku/>
        <w:wordWrap/>
        <w:topLinePunct w:val="0"/>
        <w:bidi w:val="0"/>
        <w:spacing w:line="312" w:lineRule="auto"/>
        <w:ind w:firstLine="420" w:firstLineChars="200"/>
        <w:textAlignment w:val="center"/>
        <w:rPr>
          <w:rFonts w:hint="eastAsia" w:asciiTheme="minorEastAsia" w:hAnsiTheme="minorEastAsia" w:eastAsiaTheme="minorEastAsia" w:cstheme="minorEastAsia"/>
          <w:color w:val="auto"/>
          <w:kern w:val="2"/>
          <w:sz w:val="21"/>
          <w:highlight w:val="none"/>
          <w:lang w:val="en-US" w:eastAsia="zh-CN"/>
        </w:rPr>
      </w:pPr>
      <w:r>
        <w:rPr>
          <w:rFonts w:hint="eastAsia" w:asciiTheme="minorEastAsia" w:hAnsiTheme="minorEastAsia" w:eastAsiaTheme="minorEastAsia" w:cstheme="minorEastAsia"/>
          <w:color w:val="000000"/>
          <w:kern w:val="2"/>
          <w:sz w:val="21"/>
          <w:highlight w:val="none"/>
        </w:rPr>
        <w:t>依据本磋商文件规定享受扶持政策获得政府采购合同的，小微企业不得将合同分包给大中型企业，中型企业不得将合同分包给大型企业</w:t>
      </w:r>
      <w:r>
        <w:rPr>
          <w:rFonts w:hint="eastAsia" w:asciiTheme="minorEastAsia" w:hAnsiTheme="minorEastAsia" w:eastAsiaTheme="minorEastAsia" w:cstheme="minorEastAsia"/>
          <w:color w:val="auto"/>
          <w:kern w:val="2"/>
          <w:sz w:val="21"/>
          <w:highlight w:val="none"/>
          <w:lang w:val="en-US" w:eastAsia="zh-CN"/>
        </w:rPr>
        <w:t>。</w:t>
      </w:r>
    </w:p>
    <w:p w14:paraId="70B5B822">
      <w:pPr>
        <w:rPr>
          <w:rFonts w:hAnsi="宋体"/>
          <w:b/>
          <w:color w:val="auto"/>
          <w:highlight w:val="none"/>
        </w:rPr>
      </w:pPr>
      <w:r>
        <w:rPr>
          <w:rFonts w:hAnsi="宋体"/>
          <w:b/>
          <w:color w:val="auto"/>
          <w:highlight w:val="none"/>
        </w:rPr>
        <w:br w:type="page"/>
      </w:r>
    </w:p>
    <w:p w14:paraId="147E4D89">
      <w:pPr>
        <w:pStyle w:val="3"/>
        <w:pageBreakBefore w:val="0"/>
        <w:numPr>
          <w:ilvl w:val="0"/>
          <w:numId w:val="2"/>
        </w:numPr>
        <w:kinsoku/>
        <w:wordWrap/>
        <w:topLinePunct w:val="0"/>
        <w:bidi w:val="0"/>
        <w:spacing w:line="312" w:lineRule="auto"/>
        <w:jc w:val="center"/>
        <w:outlineLvl w:val="0"/>
        <w:rPr>
          <w:rFonts w:hint="eastAsia"/>
          <w:color w:val="auto"/>
          <w:highlight w:val="none"/>
        </w:rPr>
      </w:pPr>
      <w:bookmarkStart w:id="79" w:name="_Toc876"/>
      <w:bookmarkStart w:id="80" w:name="_Toc2920"/>
      <w:r>
        <w:rPr>
          <w:rFonts w:hint="eastAsia"/>
          <w:color w:val="auto"/>
          <w:highlight w:val="none"/>
        </w:rPr>
        <w:t>采购需求</w:t>
      </w:r>
      <w:bookmarkEnd w:id="79"/>
      <w:bookmarkEnd w:id="80"/>
    </w:p>
    <w:p w14:paraId="1DC886DA">
      <w:pPr>
        <w:pageBreakBefore w:val="0"/>
        <w:kinsoku/>
        <w:wordWrap/>
        <w:topLinePunct w:val="0"/>
        <w:bidi w:val="0"/>
        <w:spacing w:line="312" w:lineRule="auto"/>
        <w:jc w:val="left"/>
        <w:rPr>
          <w:rFonts w:hint="eastAsia" w:ascii="宋体" w:hAnsi="宋体" w:cs="宋体"/>
          <w:color w:val="auto"/>
          <w:szCs w:val="21"/>
          <w:highlight w:val="none"/>
        </w:rPr>
      </w:pPr>
      <w:bookmarkStart w:id="81" w:name="_Toc254970490"/>
      <w:bookmarkStart w:id="82" w:name="_Toc254970631"/>
      <w:r>
        <w:rPr>
          <w:rFonts w:hint="eastAsia" w:ascii="宋体" w:hAnsi="宋体" w:cs="宋体"/>
          <w:color w:val="auto"/>
          <w:szCs w:val="21"/>
          <w:highlight w:val="none"/>
        </w:rPr>
        <w:t>说明：</w:t>
      </w:r>
    </w:p>
    <w:p w14:paraId="46380F10">
      <w:pPr>
        <w:pageBreakBefore w:val="0"/>
        <w:kinsoku/>
        <w:wordWrap/>
        <w:topLinePunct w:val="0"/>
        <w:bidi w:val="0"/>
        <w:spacing w:line="312" w:lineRule="auto"/>
        <w:ind w:firstLine="420" w:firstLineChars="200"/>
        <w:jc w:val="left"/>
        <w:outlineLvl w:val="0"/>
        <w:rPr>
          <w:rFonts w:hint="eastAsia"/>
          <w:color w:val="auto"/>
          <w:highlight w:val="none"/>
        </w:rPr>
      </w:pPr>
      <w:bookmarkStart w:id="83" w:name="_Toc12979"/>
      <w:r>
        <w:rPr>
          <w:rFonts w:hint="eastAsia"/>
          <w:color w:val="auto"/>
          <w:highlight w:val="none"/>
        </w:rPr>
        <w:t>1. 为落实政府采购政策需满足的要求</w:t>
      </w:r>
      <w:bookmarkEnd w:id="83"/>
    </w:p>
    <w:p w14:paraId="4C4D646B">
      <w:pPr>
        <w:pageBreakBefore w:val="0"/>
        <w:kinsoku/>
        <w:wordWrap/>
        <w:topLinePunct w:val="0"/>
        <w:bidi w:val="0"/>
        <w:spacing w:line="312"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（1）本</w:t>
      </w:r>
      <w:r>
        <w:rPr>
          <w:rFonts w:hint="eastAsia" w:ascii="宋体" w:hAnsi="宋体" w:cs="宋体"/>
          <w:color w:val="auto"/>
          <w:szCs w:val="21"/>
          <w:highlight w:val="none"/>
          <w:lang w:eastAsia="zh-CN"/>
        </w:rPr>
        <w:t>磋商</w:t>
      </w:r>
      <w:r>
        <w:rPr>
          <w:rFonts w:hint="eastAsia" w:ascii="宋体" w:hAnsi="宋体" w:cs="宋体"/>
          <w:color w:val="auto"/>
          <w:szCs w:val="21"/>
          <w:highlight w:val="none"/>
        </w:rPr>
        <w:t>文件所称中小企业必须符合《政府采购促进中小企业发展管理办法》（财库〔2020〕46号）的规定。</w:t>
      </w:r>
    </w:p>
    <w:p w14:paraId="51CE3AA1">
      <w:pPr>
        <w:pageBreakBefore w:val="0"/>
        <w:kinsoku/>
        <w:wordWrap/>
        <w:topLinePunct w:val="0"/>
        <w:bidi w:val="0"/>
        <w:spacing w:line="312"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后附的节能产品政府采购品目清单），</w:t>
      </w:r>
      <w:r>
        <w:rPr>
          <w:rFonts w:hint="eastAsia" w:ascii="宋体" w:hAnsi="宋体" w:cs="宋体"/>
          <w:color w:val="auto"/>
          <w:szCs w:val="21"/>
          <w:highlight w:val="none"/>
          <w:lang w:eastAsia="zh-CN"/>
        </w:rPr>
        <w:t>服务商</w:t>
      </w:r>
      <w:r>
        <w:rPr>
          <w:rFonts w:hint="eastAsia" w:ascii="宋体" w:hAnsi="宋体" w:cs="宋体"/>
          <w:color w:val="auto"/>
          <w:szCs w:val="21"/>
          <w:highlight w:val="none"/>
        </w:rPr>
        <w:t>的投标货物必须使用政府强制采购的节能产品，</w:t>
      </w:r>
      <w:r>
        <w:rPr>
          <w:rFonts w:hint="eastAsia" w:ascii="宋体" w:hAnsi="宋体" w:cs="宋体"/>
          <w:color w:val="auto"/>
          <w:szCs w:val="21"/>
          <w:highlight w:val="none"/>
          <w:lang w:eastAsia="zh-CN"/>
        </w:rPr>
        <w:t>服务商</w:t>
      </w:r>
      <w:r>
        <w:rPr>
          <w:rFonts w:hint="eastAsia" w:ascii="宋体" w:hAnsi="宋体" w:cs="宋体"/>
          <w:color w:val="auto"/>
          <w:szCs w:val="21"/>
          <w:highlight w:val="none"/>
        </w:rPr>
        <w:t>必须在</w:t>
      </w:r>
      <w:r>
        <w:rPr>
          <w:rFonts w:hint="eastAsia" w:ascii="宋体" w:hAnsi="宋体" w:cs="宋体"/>
          <w:color w:val="auto"/>
          <w:szCs w:val="21"/>
          <w:highlight w:val="none"/>
          <w:lang w:eastAsia="zh-CN"/>
        </w:rPr>
        <w:t>响应</w:t>
      </w:r>
      <w:r>
        <w:rPr>
          <w:rFonts w:hint="eastAsia" w:ascii="宋体" w:hAnsi="宋体" w:cs="宋体"/>
          <w:color w:val="auto"/>
          <w:szCs w:val="21"/>
          <w:highlight w:val="none"/>
        </w:rPr>
        <w:t>文件中提供所投标产品的节能产品认证证书复印件（加盖</w:t>
      </w:r>
      <w:r>
        <w:rPr>
          <w:rFonts w:hint="eastAsia" w:ascii="宋体" w:hAnsi="宋体" w:cs="宋体"/>
          <w:color w:val="auto"/>
          <w:szCs w:val="21"/>
          <w:highlight w:val="none"/>
          <w:lang w:val="en-US" w:eastAsia="zh-CN"/>
        </w:rPr>
        <w:t>供应商电子</w:t>
      </w:r>
      <w:r>
        <w:rPr>
          <w:rFonts w:hint="eastAsia" w:ascii="宋体" w:hAnsi="宋体" w:cs="宋体"/>
          <w:color w:val="auto"/>
          <w:szCs w:val="21"/>
          <w:highlight w:val="none"/>
        </w:rPr>
        <w:t>公章），</w:t>
      </w:r>
      <w:r>
        <w:rPr>
          <w:rFonts w:hint="eastAsia" w:ascii="宋体" w:hAnsi="宋体" w:cs="宋体"/>
          <w:b/>
          <w:bCs/>
          <w:color w:val="auto"/>
          <w:szCs w:val="21"/>
          <w:highlight w:val="none"/>
        </w:rPr>
        <w:t>否则按无效投标处理</w:t>
      </w:r>
      <w:r>
        <w:rPr>
          <w:rFonts w:hint="eastAsia" w:ascii="宋体" w:hAnsi="宋体" w:cs="宋体"/>
          <w:color w:val="auto"/>
          <w:szCs w:val="21"/>
          <w:highlight w:val="none"/>
        </w:rPr>
        <w:t>。如本项目包含的货物属于品目清单内非标注“★”的产品时，应优先采购。</w:t>
      </w:r>
    </w:p>
    <w:p w14:paraId="3F4CF395">
      <w:pPr>
        <w:pageBreakBefore w:val="0"/>
        <w:kinsoku/>
        <w:wordWrap/>
        <w:topLinePunct w:val="0"/>
        <w:bidi w:val="0"/>
        <w:spacing w:line="312"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2.“实质性要求”是指招标文件中已经指明不满足则投标无效的条款，或者不能负偏离的条款，或者采购需求中带“▲”的条款。</w:t>
      </w:r>
    </w:p>
    <w:p w14:paraId="6C9EF433">
      <w:pPr>
        <w:pageBreakBefore w:val="0"/>
        <w:kinsoku/>
        <w:wordWrap/>
        <w:topLinePunct w:val="0"/>
        <w:bidi w:val="0"/>
        <w:spacing w:line="312" w:lineRule="auto"/>
        <w:ind w:firstLine="424" w:firstLineChars="202"/>
        <w:jc w:val="left"/>
        <w:rPr>
          <w:rStyle w:val="37"/>
          <w:color w:val="auto"/>
          <w:highlight w:val="none"/>
        </w:rPr>
      </w:pPr>
      <w:r>
        <w:rPr>
          <w:rFonts w:hint="eastAsia" w:ascii="宋体" w:hAnsi="宋体" w:cs="宋体"/>
          <w:color w:val="auto"/>
          <w:szCs w:val="21"/>
          <w:highlight w:val="none"/>
        </w:rPr>
        <w:t>3.</w:t>
      </w:r>
      <w:r>
        <w:rPr>
          <w:rFonts w:hint="eastAsia" w:ascii="宋体" w:hAnsi="宋体" w:eastAsia="宋体" w:cs="宋体"/>
          <w:color w:val="auto"/>
          <w:sz w:val="21"/>
          <w:szCs w:val="21"/>
          <w:highlight w:val="none"/>
        </w:rPr>
        <w:t>采购需求中出现的品牌、型号或生产供应商仅起参考作用，不属于指定品牌、型号或生产</w:t>
      </w:r>
      <w:r>
        <w:rPr>
          <w:rFonts w:hint="eastAsia" w:ascii="宋体" w:hAnsi="宋体" w:eastAsia="宋体" w:cs="宋体"/>
          <w:color w:val="auto"/>
          <w:sz w:val="21"/>
          <w:szCs w:val="21"/>
          <w:highlight w:val="none"/>
          <w:lang w:eastAsia="zh-CN"/>
        </w:rPr>
        <w:t>服务商</w:t>
      </w:r>
      <w:r>
        <w:rPr>
          <w:rFonts w:hint="eastAsia" w:ascii="宋体" w:hAnsi="宋体" w:eastAsia="宋体" w:cs="宋体"/>
          <w:color w:val="auto"/>
          <w:sz w:val="21"/>
          <w:szCs w:val="21"/>
          <w:highlight w:val="none"/>
        </w:rPr>
        <w:t>的情形。</w:t>
      </w:r>
      <w:r>
        <w:rPr>
          <w:rFonts w:hint="eastAsia" w:ascii="宋体" w:hAnsi="宋体" w:eastAsia="宋体" w:cs="宋体"/>
          <w:color w:val="auto"/>
          <w:sz w:val="21"/>
          <w:szCs w:val="21"/>
          <w:highlight w:val="none"/>
          <w:lang w:eastAsia="zh-CN"/>
        </w:rPr>
        <w:t>服务商</w:t>
      </w:r>
      <w:r>
        <w:rPr>
          <w:rFonts w:hint="eastAsia" w:ascii="宋体" w:hAnsi="宋体" w:eastAsia="宋体" w:cs="宋体"/>
          <w:color w:val="auto"/>
          <w:sz w:val="21"/>
          <w:szCs w:val="21"/>
          <w:highlight w:val="none"/>
        </w:rPr>
        <w:t>可参照或选用其他相当的品牌、型号或生产</w:t>
      </w:r>
      <w:r>
        <w:rPr>
          <w:rFonts w:hint="eastAsia" w:ascii="宋体" w:hAnsi="宋体" w:eastAsia="宋体" w:cs="宋体"/>
          <w:color w:val="auto"/>
          <w:sz w:val="21"/>
          <w:szCs w:val="21"/>
          <w:highlight w:val="none"/>
          <w:lang w:eastAsia="zh-CN"/>
        </w:rPr>
        <w:t>服务商</w:t>
      </w:r>
      <w:r>
        <w:rPr>
          <w:rFonts w:hint="eastAsia" w:ascii="宋体" w:hAnsi="宋体" w:eastAsia="宋体" w:cs="宋体"/>
          <w:color w:val="auto"/>
          <w:sz w:val="21"/>
          <w:szCs w:val="21"/>
          <w:highlight w:val="none"/>
        </w:rPr>
        <w:t>替代。采购需求中如涉及某项参数指标（尺寸、重量、数量等）、材质或服务要求未明确标记偏离区间时，均仅作为项目最低要求，验收时依据国家相关标准或规定（如有）要求通过即可。不再作额外要求。接受并鼓励对项目有实质性帮助的参数指标、材质或服务作为正偏离参与响应</w:t>
      </w:r>
      <w:r>
        <w:rPr>
          <w:rFonts w:hint="eastAsia"/>
          <w:color w:val="auto"/>
          <w:highlight w:val="none"/>
        </w:rPr>
        <w:t>。</w:t>
      </w:r>
    </w:p>
    <w:p w14:paraId="5C0535D5">
      <w:pPr>
        <w:pageBreakBefore w:val="0"/>
        <w:kinsoku/>
        <w:wordWrap/>
        <w:topLinePunct w:val="0"/>
        <w:bidi w:val="0"/>
        <w:spacing w:line="312" w:lineRule="auto"/>
        <w:ind w:firstLine="420" w:firstLineChars="200"/>
        <w:outlineLvl w:val="0"/>
        <w:rPr>
          <w:rFonts w:hint="eastAsia" w:ascii="宋体" w:hAnsi="宋体" w:eastAsia="宋体" w:cs="宋体"/>
          <w:color w:val="auto"/>
        </w:rPr>
      </w:pPr>
      <w:bookmarkStart w:id="84" w:name="_Toc6141"/>
      <w:r>
        <w:rPr>
          <w:rFonts w:hint="eastAsia" w:ascii="宋体" w:hAnsi="宋体" w:cs="宋体"/>
          <w:color w:val="auto"/>
          <w:szCs w:val="21"/>
          <w:highlight w:val="none"/>
          <w:lang w:val="en-US" w:eastAsia="zh-CN"/>
        </w:rPr>
        <w:t>4</w:t>
      </w:r>
      <w:r>
        <w:rPr>
          <w:rFonts w:ascii="宋体" w:hAnsi="宋体" w:cs="宋体"/>
          <w:color w:val="auto"/>
          <w:szCs w:val="21"/>
          <w:highlight w:val="none"/>
        </w:rPr>
        <w:t>.</w:t>
      </w:r>
      <w:r>
        <w:rPr>
          <w:rFonts w:hint="eastAsia"/>
          <w:color w:val="auto"/>
          <w:highlight w:val="none"/>
          <w:lang w:eastAsia="zh-CN"/>
        </w:rPr>
        <w:t>服务商</w:t>
      </w:r>
      <w:r>
        <w:rPr>
          <w:color w:val="auto"/>
          <w:highlight w:val="none"/>
        </w:rPr>
        <w:t>必须自行为其</w:t>
      </w:r>
      <w:r>
        <w:rPr>
          <w:rFonts w:hint="eastAsia"/>
          <w:color w:val="auto"/>
          <w:highlight w:val="none"/>
        </w:rPr>
        <w:t>投标</w:t>
      </w:r>
      <w:r>
        <w:rPr>
          <w:color w:val="auto"/>
          <w:highlight w:val="none"/>
        </w:rPr>
        <w:t>产品侵犯</w:t>
      </w:r>
      <w:r>
        <w:rPr>
          <w:rFonts w:hint="eastAsia"/>
          <w:color w:val="auto"/>
          <w:highlight w:val="none"/>
        </w:rPr>
        <w:t>他人的知识产权或者专利成果的行为</w:t>
      </w:r>
      <w:r>
        <w:rPr>
          <w:color w:val="auto"/>
          <w:highlight w:val="none"/>
        </w:rPr>
        <w:t>承担相应法律责任</w:t>
      </w:r>
      <w:r>
        <w:rPr>
          <w:rFonts w:hint="eastAsia"/>
          <w:color w:val="auto"/>
          <w:highlight w:val="none"/>
        </w:rPr>
        <w:t>。</w:t>
      </w:r>
      <w:bookmarkEnd w:id="84"/>
    </w:p>
    <w:p w14:paraId="797C45AF">
      <w:pPr>
        <w:rPr>
          <w:rFonts w:hint="eastAsia" w:ascii="宋体" w:hAnsi="宋体" w:eastAsia="宋体" w:cs="宋体"/>
          <w:color w:val="auto"/>
        </w:rPr>
      </w:pPr>
      <w:r>
        <w:rPr>
          <w:rFonts w:hint="eastAsia" w:ascii="宋体" w:hAnsi="宋体" w:eastAsia="宋体" w:cs="宋体"/>
          <w:color w:val="auto"/>
        </w:rPr>
        <w:br w:type="page"/>
      </w:r>
    </w:p>
    <w:bookmarkEnd w:id="81"/>
    <w:bookmarkEnd w:id="82"/>
    <w:tbl>
      <w:tblPr>
        <w:tblStyle w:val="30"/>
        <w:tblW w:w="93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413"/>
        <w:gridCol w:w="703"/>
        <w:gridCol w:w="1238"/>
        <w:gridCol w:w="5317"/>
      </w:tblGrid>
      <w:tr w14:paraId="16563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4" w:type="dxa"/>
            <w:noWrap w:val="0"/>
            <w:vAlign w:val="center"/>
          </w:tcPr>
          <w:p w14:paraId="61C79B4A">
            <w:pPr>
              <w:keepNext w:val="0"/>
              <w:keepLines w:val="0"/>
              <w:suppressLineNumbers w:val="0"/>
              <w:spacing w:before="0" w:beforeAutospacing="0" w:after="0" w:afterAutospacing="0" w:line="360" w:lineRule="auto"/>
              <w:ind w:left="0" w:right="0"/>
              <w:jc w:val="center"/>
              <w:rPr>
                <w:rFonts w:hint="eastAsia" w:asciiTheme="majorEastAsia" w:hAnsiTheme="majorEastAsia" w:eastAsiaTheme="majorEastAsia" w:cstheme="majorEastAsia"/>
                <w:color w:val="000000"/>
                <w:sz w:val="21"/>
                <w:szCs w:val="21"/>
                <w:highlight w:val="none"/>
              </w:rPr>
            </w:pPr>
            <w:r>
              <w:rPr>
                <w:rFonts w:hint="eastAsia" w:asciiTheme="majorEastAsia" w:hAnsiTheme="majorEastAsia" w:eastAsiaTheme="majorEastAsia" w:cstheme="majorEastAsia"/>
                <w:color w:val="000000"/>
                <w:sz w:val="21"/>
                <w:szCs w:val="21"/>
                <w:highlight w:val="none"/>
              </w:rPr>
              <w:t>序号</w:t>
            </w:r>
          </w:p>
        </w:tc>
        <w:tc>
          <w:tcPr>
            <w:tcW w:w="1413" w:type="dxa"/>
            <w:noWrap w:val="0"/>
            <w:vAlign w:val="center"/>
          </w:tcPr>
          <w:p w14:paraId="4405355A">
            <w:pPr>
              <w:keepNext w:val="0"/>
              <w:keepLines w:val="0"/>
              <w:suppressLineNumbers w:val="0"/>
              <w:spacing w:before="0" w:beforeAutospacing="0" w:after="0" w:afterAutospacing="0" w:line="360" w:lineRule="auto"/>
              <w:ind w:left="0" w:right="0"/>
              <w:jc w:val="center"/>
              <w:rPr>
                <w:rFonts w:hint="eastAsia" w:asciiTheme="majorEastAsia" w:hAnsiTheme="majorEastAsia" w:eastAsiaTheme="majorEastAsia" w:cstheme="majorEastAsia"/>
                <w:color w:val="000000"/>
                <w:sz w:val="21"/>
                <w:szCs w:val="21"/>
                <w:highlight w:val="none"/>
              </w:rPr>
            </w:pPr>
            <w:r>
              <w:rPr>
                <w:rFonts w:hint="eastAsia" w:asciiTheme="majorEastAsia" w:hAnsiTheme="majorEastAsia" w:eastAsiaTheme="majorEastAsia" w:cstheme="majorEastAsia"/>
                <w:kern w:val="0"/>
                <w:sz w:val="21"/>
                <w:szCs w:val="21"/>
                <w:highlight w:val="none"/>
              </w:rPr>
              <w:t>项目名称</w:t>
            </w:r>
          </w:p>
        </w:tc>
        <w:tc>
          <w:tcPr>
            <w:tcW w:w="703" w:type="dxa"/>
            <w:noWrap w:val="0"/>
            <w:vAlign w:val="center"/>
          </w:tcPr>
          <w:p w14:paraId="669C8BD8">
            <w:pPr>
              <w:keepNext w:val="0"/>
              <w:keepLines w:val="0"/>
              <w:suppressLineNumbers w:val="0"/>
              <w:spacing w:before="0" w:beforeAutospacing="0" w:after="0" w:afterAutospacing="0" w:line="360" w:lineRule="auto"/>
              <w:ind w:left="0" w:right="0"/>
              <w:jc w:val="center"/>
              <w:rPr>
                <w:rFonts w:hint="eastAsia" w:asciiTheme="majorEastAsia" w:hAnsiTheme="majorEastAsia" w:eastAsiaTheme="majorEastAsia" w:cstheme="majorEastAsia"/>
                <w:color w:val="000000"/>
                <w:sz w:val="21"/>
                <w:szCs w:val="21"/>
                <w:highlight w:val="none"/>
              </w:rPr>
            </w:pPr>
            <w:r>
              <w:rPr>
                <w:rFonts w:hint="eastAsia" w:asciiTheme="majorEastAsia" w:hAnsiTheme="majorEastAsia" w:eastAsiaTheme="majorEastAsia" w:cstheme="majorEastAsia"/>
                <w:kern w:val="0"/>
                <w:sz w:val="21"/>
                <w:szCs w:val="21"/>
                <w:highlight w:val="none"/>
              </w:rPr>
              <w:t>数量</w:t>
            </w:r>
          </w:p>
        </w:tc>
        <w:tc>
          <w:tcPr>
            <w:tcW w:w="1238" w:type="dxa"/>
            <w:noWrap w:val="0"/>
            <w:vAlign w:val="center"/>
          </w:tcPr>
          <w:p w14:paraId="3EB6F3D3">
            <w:pPr>
              <w:keepNext w:val="0"/>
              <w:keepLines w:val="0"/>
              <w:suppressLineNumbers w:val="0"/>
              <w:spacing w:before="0" w:beforeAutospacing="0" w:after="0" w:afterAutospacing="0" w:line="360" w:lineRule="auto"/>
              <w:ind w:left="0" w:right="0"/>
              <w:jc w:val="center"/>
              <w:rPr>
                <w:rFonts w:hint="eastAsia" w:asciiTheme="majorEastAsia" w:hAnsiTheme="majorEastAsia" w:eastAsiaTheme="majorEastAsia" w:cstheme="majorEastAsia"/>
                <w:kern w:val="0"/>
                <w:sz w:val="21"/>
                <w:szCs w:val="21"/>
                <w:highlight w:val="none"/>
              </w:rPr>
            </w:pPr>
            <w:r>
              <w:rPr>
                <w:rFonts w:hint="eastAsia" w:asciiTheme="majorEastAsia" w:hAnsiTheme="majorEastAsia" w:eastAsiaTheme="majorEastAsia" w:cstheme="majorEastAsia"/>
                <w:kern w:val="0"/>
                <w:sz w:val="21"/>
                <w:szCs w:val="21"/>
                <w:highlight w:val="none"/>
              </w:rPr>
              <w:t>所属</w:t>
            </w:r>
          </w:p>
          <w:p w14:paraId="4A8ABAF2">
            <w:pPr>
              <w:keepNext w:val="0"/>
              <w:keepLines w:val="0"/>
              <w:suppressLineNumbers w:val="0"/>
              <w:spacing w:before="0" w:beforeAutospacing="0" w:after="0" w:afterAutospacing="0" w:line="360" w:lineRule="auto"/>
              <w:ind w:left="0" w:right="0"/>
              <w:jc w:val="center"/>
              <w:rPr>
                <w:rFonts w:hint="eastAsia" w:asciiTheme="majorEastAsia" w:hAnsiTheme="majorEastAsia" w:eastAsiaTheme="majorEastAsia" w:cstheme="majorEastAsia"/>
                <w:kern w:val="0"/>
                <w:sz w:val="21"/>
                <w:szCs w:val="21"/>
                <w:highlight w:val="none"/>
              </w:rPr>
            </w:pPr>
            <w:r>
              <w:rPr>
                <w:rFonts w:hint="eastAsia" w:asciiTheme="majorEastAsia" w:hAnsiTheme="majorEastAsia" w:eastAsiaTheme="majorEastAsia" w:cstheme="majorEastAsia"/>
                <w:kern w:val="0"/>
                <w:sz w:val="21"/>
                <w:szCs w:val="21"/>
                <w:highlight w:val="none"/>
              </w:rPr>
              <w:t>行业</w:t>
            </w:r>
          </w:p>
        </w:tc>
        <w:tc>
          <w:tcPr>
            <w:tcW w:w="5317" w:type="dxa"/>
            <w:noWrap w:val="0"/>
            <w:vAlign w:val="center"/>
          </w:tcPr>
          <w:p w14:paraId="7DB00365">
            <w:pPr>
              <w:pStyle w:val="39"/>
              <w:keepNext w:val="0"/>
              <w:keepLines w:val="0"/>
              <w:suppressLineNumbers w:val="0"/>
              <w:spacing w:before="0" w:beforeAutospacing="0" w:after="0" w:afterAutospacing="0" w:line="360" w:lineRule="auto"/>
              <w:ind w:left="0" w:right="0"/>
              <w:jc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highlight w:val="none"/>
              </w:rPr>
              <w:t>项目概况</w:t>
            </w:r>
          </w:p>
        </w:tc>
      </w:tr>
      <w:tr w14:paraId="7B0C5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4" w:type="dxa"/>
            <w:noWrap w:val="0"/>
            <w:vAlign w:val="center"/>
          </w:tcPr>
          <w:p w14:paraId="6B0E32F8">
            <w:pPr>
              <w:keepNext w:val="0"/>
              <w:keepLines w:val="0"/>
              <w:suppressLineNumbers w:val="0"/>
              <w:spacing w:before="0" w:beforeAutospacing="0" w:after="0" w:afterAutospacing="0" w:line="360" w:lineRule="auto"/>
              <w:ind w:left="0" w:right="0"/>
              <w:jc w:val="center"/>
              <w:rPr>
                <w:rFonts w:hint="eastAsia" w:asciiTheme="majorEastAsia" w:hAnsiTheme="majorEastAsia" w:eastAsiaTheme="majorEastAsia" w:cstheme="majorEastAsia"/>
                <w:color w:val="000000"/>
                <w:sz w:val="21"/>
                <w:szCs w:val="21"/>
                <w:highlight w:val="none"/>
              </w:rPr>
            </w:pPr>
            <w:r>
              <w:rPr>
                <w:rFonts w:hint="eastAsia" w:asciiTheme="majorEastAsia" w:hAnsiTheme="majorEastAsia" w:eastAsiaTheme="majorEastAsia" w:cstheme="majorEastAsia"/>
                <w:color w:val="000000"/>
                <w:sz w:val="21"/>
                <w:szCs w:val="21"/>
                <w:highlight w:val="none"/>
              </w:rPr>
              <w:t>1</w:t>
            </w:r>
          </w:p>
        </w:tc>
        <w:tc>
          <w:tcPr>
            <w:tcW w:w="1413" w:type="dxa"/>
            <w:noWrap w:val="0"/>
            <w:vAlign w:val="center"/>
          </w:tcPr>
          <w:p w14:paraId="55627AFB">
            <w:pPr>
              <w:keepNext w:val="0"/>
              <w:keepLines w:val="0"/>
              <w:suppressLineNumbers w:val="0"/>
              <w:spacing w:before="0" w:beforeAutospacing="0" w:after="0" w:afterAutospacing="0" w:line="360" w:lineRule="auto"/>
              <w:ind w:left="0" w:right="0"/>
              <w:jc w:val="center"/>
              <w:rPr>
                <w:rFonts w:hint="eastAsia" w:asciiTheme="majorEastAsia" w:hAnsiTheme="majorEastAsia" w:eastAsiaTheme="majorEastAsia" w:cstheme="majorEastAsia"/>
                <w:color w:val="000000"/>
                <w:sz w:val="21"/>
                <w:szCs w:val="21"/>
                <w:highlight w:val="none"/>
                <w:lang w:eastAsia="zh-CN"/>
              </w:rPr>
            </w:pPr>
            <w:r>
              <w:rPr>
                <w:rFonts w:hint="eastAsia" w:asciiTheme="majorEastAsia" w:hAnsiTheme="majorEastAsia" w:eastAsiaTheme="majorEastAsia" w:cstheme="majorEastAsia"/>
                <w:color w:val="000000"/>
                <w:sz w:val="21"/>
                <w:szCs w:val="21"/>
                <w:highlight w:val="none"/>
                <w:lang w:eastAsia="zh-CN"/>
              </w:rPr>
              <w:t>2026年龙圩区松材线虫病疫情枯死树清理项目</w:t>
            </w:r>
          </w:p>
        </w:tc>
        <w:tc>
          <w:tcPr>
            <w:tcW w:w="703" w:type="dxa"/>
            <w:noWrap w:val="0"/>
            <w:vAlign w:val="center"/>
          </w:tcPr>
          <w:p w14:paraId="5755F4E1">
            <w:pPr>
              <w:keepNext w:val="0"/>
              <w:keepLines w:val="0"/>
              <w:suppressLineNumbers w:val="0"/>
              <w:spacing w:before="0" w:beforeAutospacing="0" w:after="0" w:afterAutospacing="0"/>
              <w:ind w:left="0" w:right="0"/>
              <w:jc w:val="center"/>
              <w:rPr>
                <w:rFonts w:hint="eastAsia" w:asciiTheme="majorEastAsia" w:hAnsiTheme="majorEastAsia" w:eastAsiaTheme="majorEastAsia" w:cstheme="majorEastAsia"/>
                <w:color w:val="000000"/>
                <w:sz w:val="21"/>
                <w:szCs w:val="21"/>
                <w:highlight w:val="none"/>
              </w:rPr>
            </w:pPr>
            <w:r>
              <w:rPr>
                <w:rFonts w:hint="eastAsia" w:asciiTheme="majorEastAsia" w:hAnsiTheme="majorEastAsia" w:eastAsiaTheme="majorEastAsia" w:cstheme="majorEastAsia"/>
                <w:color w:val="000000"/>
                <w:sz w:val="21"/>
                <w:szCs w:val="21"/>
                <w:highlight w:val="none"/>
              </w:rPr>
              <w:t>1项</w:t>
            </w:r>
          </w:p>
        </w:tc>
        <w:tc>
          <w:tcPr>
            <w:tcW w:w="1238" w:type="dxa"/>
            <w:noWrap w:val="0"/>
            <w:vAlign w:val="center"/>
          </w:tcPr>
          <w:p w14:paraId="0841E3D1">
            <w:pPr>
              <w:keepNext w:val="0"/>
              <w:keepLines w:val="0"/>
              <w:suppressLineNumbers w:val="0"/>
              <w:spacing w:before="0" w:beforeAutospacing="0" w:after="0" w:afterAutospacing="0"/>
              <w:ind w:left="0" w:right="0"/>
              <w:jc w:val="center"/>
              <w:rPr>
                <w:rFonts w:hint="eastAsia" w:asciiTheme="majorEastAsia" w:hAnsiTheme="majorEastAsia" w:eastAsiaTheme="majorEastAsia" w:cstheme="majorEastAsia"/>
                <w:color w:val="000000"/>
                <w:sz w:val="21"/>
                <w:szCs w:val="21"/>
                <w:highlight w:val="none"/>
              </w:rPr>
            </w:pPr>
            <w:r>
              <w:rPr>
                <w:rFonts w:hint="eastAsia" w:asciiTheme="majorEastAsia" w:hAnsiTheme="majorEastAsia" w:eastAsiaTheme="majorEastAsia" w:cstheme="majorEastAsia"/>
                <w:color w:val="000000"/>
                <w:sz w:val="21"/>
                <w:szCs w:val="21"/>
                <w:highlight w:val="none"/>
              </w:rPr>
              <w:t>农、林、牧、渔业</w:t>
            </w:r>
          </w:p>
        </w:tc>
        <w:tc>
          <w:tcPr>
            <w:tcW w:w="5317" w:type="dxa"/>
            <w:noWrap w:val="0"/>
            <w:vAlign w:val="center"/>
          </w:tcPr>
          <w:p w14:paraId="5637B8A6">
            <w:pPr>
              <w:keepNext w:val="0"/>
              <w:keepLines w:val="0"/>
              <w:suppressLineNumbers w:val="0"/>
              <w:spacing w:before="0" w:beforeAutospacing="0" w:after="0" w:afterAutospacing="0" w:line="360" w:lineRule="auto"/>
              <w:ind w:left="0" w:right="0"/>
              <w:rPr>
                <w:rFonts w:hint="eastAsia" w:asciiTheme="majorEastAsia" w:hAnsiTheme="majorEastAsia" w:eastAsiaTheme="majorEastAsia" w:cstheme="majorEastAsia"/>
                <w:sz w:val="21"/>
                <w:szCs w:val="21"/>
                <w:highlight w:val="none"/>
                <w:lang w:eastAsia="zh-CN"/>
              </w:rPr>
            </w:pPr>
            <w:r>
              <w:rPr>
                <w:rFonts w:hint="eastAsia" w:asciiTheme="majorEastAsia" w:hAnsiTheme="majorEastAsia" w:eastAsiaTheme="majorEastAsia" w:cstheme="majorEastAsia"/>
                <w:sz w:val="21"/>
                <w:szCs w:val="21"/>
                <w:highlight w:val="none"/>
              </w:rPr>
              <w:t>计划清理全区松材线虫病枯死木3000株</w:t>
            </w:r>
            <w:r>
              <w:rPr>
                <w:rFonts w:hint="eastAsia" w:asciiTheme="majorEastAsia" w:hAnsiTheme="majorEastAsia" w:eastAsiaTheme="majorEastAsia" w:cstheme="majorEastAsia"/>
                <w:sz w:val="21"/>
                <w:szCs w:val="21"/>
                <w:highlight w:val="none"/>
                <w:lang w:eastAsia="zh-CN"/>
              </w:rPr>
              <w:t>（</w:t>
            </w:r>
            <w:r>
              <w:rPr>
                <w:rFonts w:hint="eastAsia" w:asciiTheme="majorEastAsia" w:hAnsiTheme="majorEastAsia" w:eastAsiaTheme="majorEastAsia" w:cstheme="majorEastAsia"/>
                <w:sz w:val="21"/>
                <w:szCs w:val="21"/>
                <w:highlight w:val="none"/>
                <w:lang w:val="en-US" w:eastAsia="zh-CN"/>
              </w:rPr>
              <w:t>具体内容详见主要技术服务要求</w:t>
            </w:r>
            <w:r>
              <w:rPr>
                <w:rFonts w:hint="eastAsia" w:asciiTheme="majorEastAsia" w:hAnsiTheme="majorEastAsia" w:eastAsiaTheme="majorEastAsia" w:cstheme="majorEastAsia"/>
                <w:sz w:val="21"/>
                <w:szCs w:val="21"/>
                <w:highlight w:val="none"/>
                <w:lang w:eastAsia="zh-CN"/>
              </w:rPr>
              <w:t>）</w:t>
            </w:r>
          </w:p>
        </w:tc>
      </w:tr>
      <w:tr w14:paraId="56199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9375" w:type="dxa"/>
            <w:gridSpan w:val="5"/>
            <w:noWrap w:val="0"/>
            <w:vAlign w:val="center"/>
          </w:tcPr>
          <w:p w14:paraId="34042065">
            <w:pPr>
              <w:keepNext w:val="0"/>
              <w:keepLines w:val="0"/>
              <w:suppressLineNumbers w:val="0"/>
              <w:spacing w:before="0" w:beforeAutospacing="0" w:after="0" w:afterAutospacing="0" w:line="360" w:lineRule="auto"/>
              <w:ind w:left="0" w:right="0"/>
              <w:jc w:val="center"/>
              <w:rPr>
                <w:rFonts w:hint="eastAsia" w:asciiTheme="majorEastAsia" w:hAnsiTheme="majorEastAsia" w:eastAsiaTheme="majorEastAsia" w:cstheme="majorEastAsia"/>
                <w:color w:val="000000"/>
                <w:sz w:val="21"/>
                <w:szCs w:val="21"/>
                <w:highlight w:val="none"/>
              </w:rPr>
            </w:pPr>
            <w:r>
              <w:rPr>
                <w:rFonts w:hint="eastAsia" w:asciiTheme="majorEastAsia" w:hAnsiTheme="majorEastAsia" w:eastAsiaTheme="majorEastAsia" w:cstheme="majorEastAsia"/>
                <w:color w:val="000000"/>
                <w:sz w:val="21"/>
                <w:szCs w:val="21"/>
                <w:highlight w:val="none"/>
                <w:lang w:val="en-US" w:eastAsia="zh-CN"/>
              </w:rPr>
              <w:t>▲</w:t>
            </w:r>
            <w:r>
              <w:rPr>
                <w:rFonts w:hint="eastAsia" w:asciiTheme="majorEastAsia" w:hAnsiTheme="majorEastAsia" w:eastAsiaTheme="majorEastAsia" w:cstheme="majorEastAsia"/>
                <w:color w:val="000000"/>
                <w:sz w:val="21"/>
                <w:szCs w:val="21"/>
                <w:highlight w:val="none"/>
              </w:rPr>
              <w:t>商务条款</w:t>
            </w:r>
          </w:p>
        </w:tc>
      </w:tr>
      <w:tr w14:paraId="7499C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2117" w:type="dxa"/>
            <w:gridSpan w:val="2"/>
            <w:noWrap w:val="0"/>
            <w:vAlign w:val="center"/>
          </w:tcPr>
          <w:p w14:paraId="318DCE21">
            <w:pPr>
              <w:keepNext w:val="0"/>
              <w:keepLines w:val="0"/>
              <w:suppressLineNumbers w:val="0"/>
              <w:spacing w:before="0" w:beforeAutospacing="0" w:after="0" w:afterAutospacing="0" w:line="360" w:lineRule="auto"/>
              <w:ind w:left="0" w:right="0"/>
              <w:jc w:val="center"/>
              <w:rPr>
                <w:rFonts w:hint="eastAsia" w:asciiTheme="majorEastAsia" w:hAnsiTheme="majorEastAsia" w:eastAsiaTheme="majorEastAsia" w:cstheme="majorEastAsia"/>
                <w:color w:val="000000"/>
                <w:sz w:val="21"/>
                <w:szCs w:val="21"/>
                <w:highlight w:val="none"/>
              </w:rPr>
            </w:pPr>
            <w:r>
              <w:rPr>
                <w:rFonts w:hint="eastAsia" w:asciiTheme="majorEastAsia" w:hAnsiTheme="majorEastAsia" w:eastAsiaTheme="majorEastAsia" w:cstheme="majorEastAsia"/>
                <w:color w:val="000000"/>
                <w:sz w:val="21"/>
                <w:szCs w:val="21"/>
                <w:highlight w:val="none"/>
              </w:rPr>
              <w:t>合同签订</w:t>
            </w:r>
          </w:p>
        </w:tc>
        <w:tc>
          <w:tcPr>
            <w:tcW w:w="7258" w:type="dxa"/>
            <w:gridSpan w:val="3"/>
            <w:noWrap w:val="0"/>
            <w:vAlign w:val="center"/>
          </w:tcPr>
          <w:p w14:paraId="5A51147C">
            <w:pPr>
              <w:keepNext w:val="0"/>
              <w:keepLines w:val="0"/>
              <w:widowControl/>
              <w:suppressLineNumbers w:val="0"/>
              <w:spacing w:before="0" w:beforeAutospacing="0" w:after="0" w:afterAutospacing="0"/>
              <w:ind w:left="0" w:right="0"/>
              <w:jc w:val="left"/>
              <w:rPr>
                <w:rFonts w:hint="eastAsia" w:asciiTheme="majorEastAsia" w:hAnsiTheme="majorEastAsia" w:eastAsiaTheme="majorEastAsia" w:cstheme="majorEastAsia"/>
                <w:color w:val="000000"/>
                <w:sz w:val="21"/>
                <w:szCs w:val="21"/>
                <w:highlight w:val="none"/>
              </w:rPr>
            </w:pPr>
            <w:r>
              <w:rPr>
                <w:rFonts w:hint="eastAsia" w:asciiTheme="majorEastAsia" w:hAnsiTheme="majorEastAsia" w:eastAsiaTheme="majorEastAsia" w:cstheme="majorEastAsia"/>
                <w:color w:val="000000"/>
                <w:sz w:val="21"/>
                <w:szCs w:val="21"/>
                <w:highlight w:val="none"/>
              </w:rPr>
              <w:t>自成交通知书发出之日起25日内。</w:t>
            </w:r>
          </w:p>
        </w:tc>
      </w:tr>
      <w:tr w14:paraId="37EC1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2117" w:type="dxa"/>
            <w:gridSpan w:val="2"/>
            <w:noWrap w:val="0"/>
            <w:vAlign w:val="center"/>
          </w:tcPr>
          <w:p w14:paraId="1E41803F">
            <w:pPr>
              <w:keepNext w:val="0"/>
              <w:keepLines w:val="0"/>
              <w:suppressLineNumbers w:val="0"/>
              <w:spacing w:before="0" w:beforeAutospacing="0" w:after="0" w:afterAutospacing="0" w:line="360" w:lineRule="auto"/>
              <w:ind w:left="0" w:right="0"/>
              <w:jc w:val="center"/>
              <w:rPr>
                <w:rFonts w:hint="eastAsia" w:asciiTheme="majorEastAsia" w:hAnsiTheme="majorEastAsia" w:eastAsiaTheme="majorEastAsia" w:cstheme="majorEastAsia"/>
                <w:color w:val="000000"/>
                <w:sz w:val="21"/>
                <w:szCs w:val="21"/>
                <w:highlight w:val="none"/>
              </w:rPr>
            </w:pPr>
            <w:r>
              <w:rPr>
                <w:rFonts w:hint="eastAsia" w:asciiTheme="majorEastAsia" w:hAnsiTheme="majorEastAsia" w:eastAsiaTheme="majorEastAsia" w:cstheme="majorEastAsia"/>
                <w:color w:val="000000"/>
                <w:sz w:val="21"/>
                <w:szCs w:val="21"/>
                <w:highlight w:val="none"/>
              </w:rPr>
              <w:t>合同履约期限</w:t>
            </w:r>
          </w:p>
        </w:tc>
        <w:tc>
          <w:tcPr>
            <w:tcW w:w="7258" w:type="dxa"/>
            <w:gridSpan w:val="3"/>
            <w:noWrap w:val="0"/>
            <w:vAlign w:val="center"/>
          </w:tcPr>
          <w:p w14:paraId="3069879F">
            <w:pPr>
              <w:keepNext w:val="0"/>
              <w:keepLines w:val="0"/>
              <w:suppressLineNumbers w:val="0"/>
              <w:spacing w:before="0" w:beforeAutospacing="0" w:after="0" w:afterAutospacing="0" w:line="360" w:lineRule="auto"/>
              <w:ind w:left="0" w:right="0"/>
              <w:jc w:val="left"/>
              <w:rPr>
                <w:rFonts w:hint="eastAsia" w:asciiTheme="majorEastAsia" w:hAnsiTheme="majorEastAsia" w:eastAsiaTheme="majorEastAsia" w:cstheme="majorEastAsia"/>
                <w:color w:val="000000"/>
                <w:sz w:val="21"/>
                <w:szCs w:val="21"/>
                <w:highlight w:val="none"/>
                <w:lang w:val="en-US" w:eastAsia="zh-CN"/>
              </w:rPr>
            </w:pPr>
            <w:r>
              <w:rPr>
                <w:rFonts w:hint="eastAsia" w:asciiTheme="majorEastAsia" w:hAnsiTheme="majorEastAsia" w:eastAsiaTheme="majorEastAsia" w:cstheme="majorEastAsia"/>
                <w:color w:val="000000"/>
                <w:sz w:val="21"/>
                <w:szCs w:val="21"/>
                <w:highlight w:val="none"/>
                <w:lang w:val="en-US" w:eastAsia="zh-CN"/>
              </w:rPr>
              <w:t>在2026年09月30日前完成</w:t>
            </w:r>
          </w:p>
        </w:tc>
      </w:tr>
      <w:tr w14:paraId="7F49C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2117" w:type="dxa"/>
            <w:gridSpan w:val="2"/>
            <w:noWrap w:val="0"/>
            <w:vAlign w:val="center"/>
          </w:tcPr>
          <w:p w14:paraId="3AB32D14">
            <w:pPr>
              <w:keepNext w:val="0"/>
              <w:keepLines w:val="0"/>
              <w:suppressLineNumbers w:val="0"/>
              <w:spacing w:before="0" w:beforeAutospacing="0" w:after="0" w:afterAutospacing="0" w:line="360" w:lineRule="auto"/>
              <w:ind w:left="0" w:right="0"/>
              <w:jc w:val="center"/>
              <w:rPr>
                <w:rFonts w:hint="eastAsia" w:asciiTheme="majorEastAsia" w:hAnsiTheme="majorEastAsia" w:eastAsiaTheme="majorEastAsia" w:cstheme="majorEastAsia"/>
                <w:color w:val="000000"/>
                <w:sz w:val="21"/>
                <w:szCs w:val="21"/>
                <w:highlight w:val="none"/>
              </w:rPr>
            </w:pPr>
            <w:r>
              <w:rPr>
                <w:rFonts w:hint="eastAsia" w:asciiTheme="majorEastAsia" w:hAnsiTheme="majorEastAsia" w:eastAsiaTheme="majorEastAsia" w:cstheme="majorEastAsia"/>
                <w:color w:val="000000"/>
                <w:sz w:val="21"/>
                <w:szCs w:val="21"/>
                <w:highlight w:val="none"/>
              </w:rPr>
              <w:t>成果提交时间及地点</w:t>
            </w:r>
          </w:p>
        </w:tc>
        <w:tc>
          <w:tcPr>
            <w:tcW w:w="7258" w:type="dxa"/>
            <w:gridSpan w:val="3"/>
            <w:noWrap w:val="0"/>
            <w:vAlign w:val="center"/>
          </w:tcPr>
          <w:p w14:paraId="5A631EE9">
            <w:pPr>
              <w:keepNext w:val="0"/>
              <w:keepLines w:val="0"/>
              <w:suppressLineNumbers w:val="0"/>
              <w:spacing w:before="0" w:beforeAutospacing="0" w:after="0" w:afterAutospacing="0" w:line="360" w:lineRule="auto"/>
              <w:ind w:left="0" w:right="0"/>
              <w:jc w:val="left"/>
              <w:rPr>
                <w:rFonts w:hint="eastAsia" w:asciiTheme="majorEastAsia" w:hAnsiTheme="majorEastAsia" w:eastAsiaTheme="majorEastAsia" w:cstheme="majorEastAsia"/>
                <w:color w:val="000000"/>
                <w:sz w:val="21"/>
                <w:szCs w:val="21"/>
                <w:highlight w:val="none"/>
              </w:rPr>
            </w:pPr>
            <w:r>
              <w:rPr>
                <w:rFonts w:hint="eastAsia" w:asciiTheme="majorEastAsia" w:hAnsiTheme="majorEastAsia" w:eastAsiaTheme="majorEastAsia" w:cstheme="majorEastAsia"/>
                <w:color w:val="000000"/>
                <w:sz w:val="21"/>
                <w:szCs w:val="21"/>
                <w:highlight w:val="none"/>
              </w:rPr>
              <w:t>采购人指定时间及地点。</w:t>
            </w:r>
          </w:p>
        </w:tc>
      </w:tr>
      <w:tr w14:paraId="16FA2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2117" w:type="dxa"/>
            <w:gridSpan w:val="2"/>
            <w:noWrap w:val="0"/>
            <w:vAlign w:val="center"/>
          </w:tcPr>
          <w:p w14:paraId="2234116F">
            <w:pPr>
              <w:keepNext w:val="0"/>
              <w:keepLines w:val="0"/>
              <w:suppressLineNumbers w:val="0"/>
              <w:spacing w:before="0" w:beforeAutospacing="0" w:after="0" w:afterAutospacing="0" w:line="360" w:lineRule="auto"/>
              <w:ind w:left="0" w:right="0"/>
              <w:jc w:val="center"/>
              <w:rPr>
                <w:rFonts w:hint="eastAsia" w:asciiTheme="majorEastAsia" w:hAnsiTheme="majorEastAsia" w:eastAsiaTheme="majorEastAsia" w:cstheme="majorEastAsia"/>
                <w:color w:val="000000"/>
                <w:sz w:val="21"/>
                <w:szCs w:val="21"/>
                <w:highlight w:val="none"/>
                <w:lang w:eastAsia="zh-CN"/>
              </w:rPr>
            </w:pPr>
            <w:r>
              <w:rPr>
                <w:rFonts w:hint="eastAsia" w:asciiTheme="majorEastAsia" w:hAnsiTheme="majorEastAsia" w:eastAsiaTheme="majorEastAsia" w:cstheme="majorEastAsia"/>
                <w:color w:val="000000"/>
                <w:sz w:val="21"/>
                <w:szCs w:val="21"/>
                <w:highlight w:val="none"/>
                <w:lang w:val="en-US" w:eastAsia="zh-CN"/>
              </w:rPr>
              <w:t>实施依据</w:t>
            </w:r>
          </w:p>
        </w:tc>
        <w:tc>
          <w:tcPr>
            <w:tcW w:w="7258" w:type="dxa"/>
            <w:gridSpan w:val="3"/>
            <w:noWrap w:val="0"/>
            <w:vAlign w:val="center"/>
          </w:tcPr>
          <w:p w14:paraId="24213CE5">
            <w:pPr>
              <w:keepNext w:val="0"/>
              <w:keepLines w:val="0"/>
              <w:suppressLineNumbers w:val="0"/>
              <w:spacing w:before="84" w:beforeLines="26" w:beforeAutospacing="0" w:after="0" w:afterAutospacing="0" w:line="360" w:lineRule="auto"/>
              <w:ind w:left="0" w:right="0"/>
              <w:jc w:val="left"/>
              <w:rPr>
                <w:rFonts w:hint="eastAsia" w:asciiTheme="majorEastAsia" w:hAnsiTheme="majorEastAsia" w:eastAsiaTheme="majorEastAsia" w:cstheme="majorEastAsia"/>
                <w:color w:val="000000"/>
                <w:sz w:val="21"/>
                <w:szCs w:val="21"/>
                <w:highlight w:val="none"/>
                <w:lang w:val="en-US" w:eastAsia="zh-CN"/>
              </w:rPr>
            </w:pPr>
            <w:r>
              <w:rPr>
                <w:rFonts w:hint="eastAsia" w:asciiTheme="majorEastAsia" w:hAnsiTheme="majorEastAsia" w:eastAsiaTheme="majorEastAsia" w:cstheme="majorEastAsia"/>
                <w:color w:val="000000"/>
                <w:sz w:val="21"/>
                <w:szCs w:val="21"/>
                <w:highlight w:val="none"/>
                <w:lang w:val="en-US" w:eastAsia="zh-CN"/>
              </w:rPr>
              <w:t>1.《松材线虫病疫区和疫木管理办法》林生规〔2026〕3号；</w:t>
            </w:r>
          </w:p>
          <w:p w14:paraId="554C99A2">
            <w:pPr>
              <w:keepNext w:val="0"/>
              <w:keepLines w:val="0"/>
              <w:suppressLineNumbers w:val="0"/>
              <w:spacing w:before="0" w:beforeAutospacing="0" w:after="0" w:afterAutospacing="0" w:line="360" w:lineRule="auto"/>
              <w:ind w:left="0" w:right="0"/>
              <w:jc w:val="left"/>
              <w:rPr>
                <w:rFonts w:hint="eastAsia" w:asciiTheme="majorEastAsia" w:hAnsiTheme="majorEastAsia" w:eastAsiaTheme="majorEastAsia" w:cstheme="majorEastAsia"/>
                <w:color w:val="000000"/>
                <w:sz w:val="21"/>
                <w:szCs w:val="21"/>
                <w:highlight w:val="none"/>
                <w:lang w:val="en-US" w:eastAsia="zh-CN"/>
              </w:rPr>
            </w:pPr>
            <w:r>
              <w:rPr>
                <w:rFonts w:hint="eastAsia" w:asciiTheme="majorEastAsia" w:hAnsiTheme="majorEastAsia" w:eastAsiaTheme="majorEastAsia" w:cstheme="majorEastAsia"/>
                <w:color w:val="000000"/>
                <w:sz w:val="21"/>
                <w:szCs w:val="21"/>
                <w:highlight w:val="none"/>
                <w:lang w:val="en-US" w:eastAsia="zh-CN"/>
              </w:rPr>
              <w:t>2.《广西壮族自治区林业局关于印发广西松材线虫病防治技术方案的通知》桂林生发〔2025〕19 号；</w:t>
            </w:r>
          </w:p>
          <w:p w14:paraId="5316F5C7">
            <w:pPr>
              <w:keepNext w:val="0"/>
              <w:keepLines w:val="0"/>
              <w:suppressLineNumbers w:val="0"/>
              <w:spacing w:before="0" w:beforeAutospacing="0" w:after="0" w:afterAutospacing="0" w:line="360" w:lineRule="auto"/>
              <w:ind w:left="0" w:right="0"/>
              <w:jc w:val="left"/>
              <w:rPr>
                <w:rFonts w:hint="eastAsia" w:asciiTheme="majorEastAsia" w:hAnsiTheme="majorEastAsia" w:eastAsiaTheme="majorEastAsia" w:cstheme="majorEastAsia"/>
                <w:color w:val="000000"/>
                <w:sz w:val="21"/>
                <w:szCs w:val="21"/>
                <w:highlight w:val="none"/>
                <w:lang w:val="en-US" w:eastAsia="zh-CN"/>
              </w:rPr>
            </w:pPr>
            <w:r>
              <w:rPr>
                <w:rFonts w:hint="eastAsia" w:asciiTheme="majorEastAsia" w:hAnsiTheme="majorEastAsia" w:eastAsiaTheme="majorEastAsia" w:cstheme="majorEastAsia"/>
                <w:color w:val="000000"/>
                <w:sz w:val="21"/>
                <w:szCs w:val="21"/>
                <w:highlight w:val="none"/>
                <w:lang w:val="en-US" w:eastAsia="zh-CN"/>
              </w:rPr>
              <w:t>3、《广西壮族自治区林业局关于印发〈广西壮族自治区松材线虫病疫木清理质量抽查评估方法〉的通知》（桂林生发〔2023〕31 号）</w:t>
            </w:r>
          </w:p>
        </w:tc>
      </w:tr>
      <w:tr w14:paraId="45B59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2117" w:type="dxa"/>
            <w:gridSpan w:val="2"/>
            <w:noWrap w:val="0"/>
            <w:vAlign w:val="center"/>
          </w:tcPr>
          <w:p w14:paraId="6DD0AD9C">
            <w:pPr>
              <w:keepNext w:val="0"/>
              <w:keepLines w:val="0"/>
              <w:suppressLineNumbers w:val="0"/>
              <w:spacing w:before="58" w:beforeLines="18" w:beforeAutospacing="0" w:after="0" w:afterAutospacing="0" w:line="360" w:lineRule="auto"/>
              <w:ind w:left="0" w:right="0"/>
              <w:jc w:val="center"/>
              <w:rPr>
                <w:rFonts w:hint="eastAsia" w:asciiTheme="majorEastAsia" w:hAnsiTheme="majorEastAsia" w:eastAsiaTheme="majorEastAsia" w:cstheme="majorEastAsia"/>
                <w:color w:val="000000"/>
                <w:sz w:val="21"/>
                <w:szCs w:val="21"/>
                <w:highlight w:val="none"/>
              </w:rPr>
            </w:pPr>
            <w:r>
              <w:rPr>
                <w:rFonts w:hint="eastAsia" w:asciiTheme="majorEastAsia" w:hAnsiTheme="majorEastAsia" w:eastAsiaTheme="majorEastAsia" w:cstheme="majorEastAsia"/>
                <w:color w:val="000000"/>
                <w:sz w:val="21"/>
                <w:szCs w:val="21"/>
                <w:highlight w:val="none"/>
              </w:rPr>
              <w:t>规范标准</w:t>
            </w:r>
          </w:p>
        </w:tc>
        <w:tc>
          <w:tcPr>
            <w:tcW w:w="7258" w:type="dxa"/>
            <w:gridSpan w:val="3"/>
            <w:noWrap w:val="0"/>
            <w:vAlign w:val="center"/>
          </w:tcPr>
          <w:p w14:paraId="1CD63FC4">
            <w:pPr>
              <w:keepNext w:val="0"/>
              <w:keepLines w:val="0"/>
              <w:widowControl/>
              <w:suppressLineNumbers w:val="0"/>
              <w:spacing w:before="71" w:beforeLines="22" w:beforeAutospacing="0" w:after="0" w:afterAutospacing="0" w:line="360" w:lineRule="auto"/>
              <w:ind w:left="0" w:right="0"/>
              <w:jc w:val="left"/>
              <w:rPr>
                <w:rFonts w:hint="eastAsia" w:asciiTheme="majorEastAsia" w:hAnsiTheme="majorEastAsia" w:eastAsiaTheme="majorEastAsia" w:cstheme="majorEastAsia"/>
                <w:color w:val="000000"/>
                <w:sz w:val="21"/>
                <w:szCs w:val="21"/>
                <w:highlight w:val="none"/>
              </w:rPr>
            </w:pPr>
            <w:r>
              <w:rPr>
                <w:rFonts w:hint="eastAsia" w:asciiTheme="majorEastAsia" w:hAnsiTheme="majorEastAsia" w:eastAsiaTheme="majorEastAsia" w:cstheme="majorEastAsia"/>
                <w:color w:val="000000"/>
                <w:kern w:val="0"/>
                <w:sz w:val="21"/>
                <w:szCs w:val="21"/>
                <w:highlight w:val="none"/>
                <w:lang w:bidi="ar"/>
              </w:rPr>
              <w:t>采购标的需执行国家标准、行业标准、地方标准或者其他标准、规范。</w:t>
            </w:r>
          </w:p>
        </w:tc>
      </w:tr>
      <w:tr w14:paraId="255C5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2117" w:type="dxa"/>
            <w:gridSpan w:val="2"/>
            <w:noWrap w:val="0"/>
            <w:vAlign w:val="center"/>
          </w:tcPr>
          <w:p w14:paraId="3565BC2B">
            <w:pPr>
              <w:keepNext w:val="0"/>
              <w:keepLines w:val="0"/>
              <w:suppressLineNumbers w:val="0"/>
              <w:spacing w:before="0" w:beforeAutospacing="0" w:after="0" w:afterAutospacing="0" w:line="360" w:lineRule="auto"/>
              <w:ind w:left="0" w:right="0"/>
              <w:jc w:val="center"/>
              <w:rPr>
                <w:rFonts w:hint="eastAsia" w:asciiTheme="majorEastAsia" w:hAnsiTheme="majorEastAsia" w:eastAsiaTheme="majorEastAsia" w:cstheme="majorEastAsia"/>
                <w:color w:val="000000"/>
                <w:sz w:val="21"/>
                <w:szCs w:val="21"/>
                <w:highlight w:val="none"/>
              </w:rPr>
            </w:pPr>
            <w:r>
              <w:rPr>
                <w:rFonts w:hint="eastAsia" w:asciiTheme="majorEastAsia" w:hAnsiTheme="majorEastAsia" w:eastAsiaTheme="majorEastAsia" w:cstheme="majorEastAsia"/>
                <w:color w:val="000000"/>
                <w:sz w:val="21"/>
                <w:szCs w:val="21"/>
                <w:highlight w:val="none"/>
              </w:rPr>
              <w:t>验收条件及标准</w:t>
            </w:r>
          </w:p>
        </w:tc>
        <w:tc>
          <w:tcPr>
            <w:tcW w:w="7258" w:type="dxa"/>
            <w:gridSpan w:val="3"/>
            <w:shd w:val="clear" w:color="auto" w:fill="auto"/>
            <w:noWrap w:val="0"/>
            <w:vAlign w:val="top"/>
          </w:tcPr>
          <w:p w14:paraId="08CB780D">
            <w:pPr>
              <w:keepNext w:val="0"/>
              <w:keepLines w:val="0"/>
              <w:suppressLineNumbers w:val="0"/>
              <w:spacing w:before="57" w:beforeLines="18" w:beforeAutospacing="0" w:after="0" w:afterAutospacing="0" w:line="360" w:lineRule="auto"/>
              <w:ind w:left="0" w:right="0"/>
              <w:jc w:val="left"/>
              <w:rPr>
                <w:rFonts w:hint="eastAsia" w:asciiTheme="majorEastAsia" w:hAnsiTheme="majorEastAsia" w:eastAsiaTheme="majorEastAsia" w:cstheme="majorEastAsia"/>
                <w:color w:val="000000"/>
                <w:sz w:val="21"/>
                <w:szCs w:val="21"/>
                <w:highlight w:val="none"/>
                <w:lang w:val="en-US" w:eastAsia="zh-CN"/>
              </w:rPr>
            </w:pPr>
            <w:r>
              <w:rPr>
                <w:rFonts w:hint="eastAsia" w:asciiTheme="majorEastAsia" w:hAnsiTheme="majorEastAsia" w:eastAsiaTheme="majorEastAsia" w:cstheme="majorEastAsia"/>
                <w:b/>
                <w:bCs/>
                <w:color w:val="000000"/>
                <w:sz w:val="21"/>
                <w:szCs w:val="21"/>
                <w:highlight w:val="none"/>
                <w:lang w:val="en-US" w:eastAsia="zh-CN"/>
              </w:rPr>
              <w:t>验收抽样方法</w:t>
            </w:r>
            <w:r>
              <w:rPr>
                <w:rFonts w:hint="eastAsia" w:asciiTheme="majorEastAsia" w:hAnsiTheme="majorEastAsia" w:eastAsiaTheme="majorEastAsia" w:cstheme="majorEastAsia"/>
                <w:color w:val="000000"/>
                <w:sz w:val="21"/>
                <w:szCs w:val="21"/>
                <w:highlight w:val="none"/>
                <w:lang w:val="en-US" w:eastAsia="zh-CN"/>
              </w:rPr>
              <w:br w:type="textWrapping"/>
            </w:r>
            <w:r>
              <w:rPr>
                <w:rFonts w:hint="eastAsia" w:asciiTheme="majorEastAsia" w:hAnsiTheme="majorEastAsia" w:eastAsiaTheme="majorEastAsia" w:cstheme="majorEastAsia"/>
                <w:color w:val="000000"/>
                <w:sz w:val="21"/>
                <w:szCs w:val="21"/>
                <w:highlight w:val="none"/>
                <w:lang w:val="en-US" w:eastAsia="zh-CN"/>
              </w:rPr>
              <w:t>枯死树清理验收抽样方法按照《广西壮族自治区林业局关于印发〈广西壮族自治区松材线虫病疫木清理质量抽查评估方法〉的通知》（桂林生发〔2023〕31 号）文件规定进行抽样验收。</w:t>
            </w:r>
            <w:r>
              <w:rPr>
                <w:rFonts w:hint="eastAsia" w:asciiTheme="majorEastAsia" w:hAnsiTheme="majorEastAsia" w:eastAsiaTheme="majorEastAsia" w:cstheme="majorEastAsia"/>
                <w:color w:val="000000"/>
                <w:sz w:val="21"/>
                <w:szCs w:val="21"/>
                <w:highlight w:val="none"/>
                <w:lang w:val="en-US" w:eastAsia="zh-CN"/>
              </w:rPr>
              <w:br w:type="textWrapping"/>
            </w:r>
            <w:r>
              <w:rPr>
                <w:rFonts w:hint="eastAsia" w:asciiTheme="majorEastAsia" w:hAnsiTheme="majorEastAsia" w:eastAsiaTheme="majorEastAsia" w:cstheme="majorEastAsia"/>
                <w:color w:val="000000"/>
                <w:sz w:val="21"/>
                <w:szCs w:val="21"/>
                <w:highlight w:val="none"/>
                <w:lang w:val="en-US" w:eastAsia="zh-CN"/>
              </w:rPr>
              <w:t>（二）清理枯死树株数的验收按照验收抽样方法把抽中的清理株数、伐桩记录与施工方工作记录《松材线虫病枯死树清理记录表》进行复核，经纬度、伐桩记录、株数 100% 相符，并且与质量监理第三方认定的株数相符，全部认可施工方清理的株数； 如果验收的清理株数、伐桩记录、工作痕迹与施工方工作记录《松材线虫病枯死树清理记录表》和质量监理第三方认定的株数，不相符的，按相符率乘以施工方报的总株数，得出验收认定为清理总株数。</w:t>
            </w:r>
            <w:r>
              <w:rPr>
                <w:rFonts w:hint="eastAsia" w:asciiTheme="majorEastAsia" w:hAnsiTheme="majorEastAsia" w:eastAsiaTheme="majorEastAsia" w:cstheme="majorEastAsia"/>
                <w:color w:val="000000"/>
                <w:sz w:val="21"/>
                <w:szCs w:val="21"/>
                <w:highlight w:val="none"/>
                <w:lang w:val="en-US" w:eastAsia="zh-CN"/>
              </w:rPr>
              <w:br w:type="textWrapping"/>
            </w:r>
            <w:r>
              <w:rPr>
                <w:rFonts w:hint="eastAsia" w:asciiTheme="majorEastAsia" w:hAnsiTheme="majorEastAsia" w:eastAsiaTheme="majorEastAsia" w:cstheme="majorEastAsia"/>
                <w:color w:val="000000"/>
                <w:sz w:val="21"/>
                <w:szCs w:val="21"/>
                <w:highlight w:val="none"/>
                <w:lang w:val="en-US" w:eastAsia="zh-CN"/>
              </w:rPr>
              <w:t>（三）清理质量的验收</w:t>
            </w:r>
            <w:r>
              <w:rPr>
                <w:rFonts w:hint="eastAsia" w:asciiTheme="majorEastAsia" w:hAnsiTheme="majorEastAsia" w:eastAsiaTheme="majorEastAsia" w:cstheme="majorEastAsia"/>
                <w:color w:val="000000"/>
                <w:sz w:val="21"/>
                <w:szCs w:val="21"/>
                <w:highlight w:val="none"/>
                <w:lang w:val="en-US" w:eastAsia="zh-CN"/>
              </w:rPr>
              <w:br w:type="textWrapping"/>
            </w:r>
            <w:r>
              <w:rPr>
                <w:rFonts w:hint="eastAsia" w:asciiTheme="majorEastAsia" w:hAnsiTheme="majorEastAsia" w:eastAsiaTheme="majorEastAsia" w:cstheme="majorEastAsia"/>
                <w:color w:val="000000"/>
                <w:sz w:val="21"/>
                <w:szCs w:val="21"/>
                <w:highlight w:val="none"/>
                <w:lang w:val="en-US" w:eastAsia="zh-CN"/>
              </w:rPr>
              <w:t xml:space="preserve">1.除治区内残留有未经除害处理的树干，每发现一段扣 2 分。 </w:t>
            </w:r>
          </w:p>
          <w:p w14:paraId="43CD378E">
            <w:pPr>
              <w:keepNext w:val="0"/>
              <w:keepLines w:val="0"/>
              <w:suppressLineNumbers w:val="0"/>
              <w:spacing w:before="0" w:beforeAutospacing="0" w:after="0" w:afterAutospacing="0" w:line="360" w:lineRule="auto"/>
              <w:ind w:left="0" w:right="0"/>
              <w:jc w:val="left"/>
              <w:rPr>
                <w:rFonts w:hint="eastAsia" w:asciiTheme="majorEastAsia" w:hAnsiTheme="majorEastAsia" w:eastAsiaTheme="majorEastAsia" w:cstheme="majorEastAsia"/>
                <w:color w:val="000000"/>
                <w:sz w:val="21"/>
                <w:szCs w:val="21"/>
                <w:highlight w:val="none"/>
                <w:lang w:val="en-US" w:eastAsia="zh-CN"/>
              </w:rPr>
            </w:pPr>
            <w:r>
              <w:rPr>
                <w:rFonts w:hint="eastAsia" w:asciiTheme="majorEastAsia" w:hAnsiTheme="majorEastAsia" w:eastAsiaTheme="majorEastAsia" w:cstheme="majorEastAsia"/>
                <w:color w:val="000000"/>
                <w:sz w:val="21"/>
                <w:szCs w:val="21"/>
                <w:highlight w:val="none"/>
                <w:lang w:val="en-US" w:eastAsia="zh-CN"/>
              </w:rPr>
              <w:t>2.除治区内残留有1厘米以上的枝桠，每发现一处扣1分。</w:t>
            </w:r>
            <w:r>
              <w:rPr>
                <w:rFonts w:hint="eastAsia" w:asciiTheme="majorEastAsia" w:hAnsiTheme="majorEastAsia" w:eastAsiaTheme="majorEastAsia" w:cstheme="majorEastAsia"/>
                <w:color w:val="000000"/>
                <w:sz w:val="21"/>
                <w:szCs w:val="21"/>
                <w:highlight w:val="none"/>
                <w:lang w:val="en-US" w:eastAsia="zh-CN"/>
              </w:rPr>
              <w:br w:type="textWrapping"/>
            </w:r>
            <w:r>
              <w:rPr>
                <w:rFonts w:hint="eastAsia" w:asciiTheme="majorEastAsia" w:hAnsiTheme="majorEastAsia" w:eastAsiaTheme="majorEastAsia" w:cstheme="majorEastAsia"/>
                <w:color w:val="000000"/>
                <w:sz w:val="21"/>
                <w:szCs w:val="21"/>
                <w:highlight w:val="none"/>
                <w:lang w:val="en-US" w:eastAsia="zh-CN"/>
              </w:rPr>
              <w:t>3.焚烧处理，枝桠和树干碳化（没有活体线虫）未达到标准，每发现一处扣 2 分。</w:t>
            </w:r>
            <w:r>
              <w:rPr>
                <w:rFonts w:hint="eastAsia" w:asciiTheme="majorEastAsia" w:hAnsiTheme="majorEastAsia" w:eastAsiaTheme="majorEastAsia" w:cstheme="majorEastAsia"/>
                <w:color w:val="000000"/>
                <w:sz w:val="21"/>
                <w:szCs w:val="21"/>
                <w:highlight w:val="none"/>
                <w:lang w:val="en-US" w:eastAsia="zh-CN"/>
              </w:rPr>
              <w:br w:type="textWrapping"/>
            </w:r>
            <w:r>
              <w:rPr>
                <w:rFonts w:hint="eastAsia" w:asciiTheme="majorEastAsia" w:hAnsiTheme="majorEastAsia" w:eastAsiaTheme="majorEastAsia" w:cstheme="majorEastAsia"/>
                <w:color w:val="000000"/>
                <w:sz w:val="21"/>
                <w:szCs w:val="21"/>
                <w:highlight w:val="none"/>
                <w:lang w:val="en-US" w:eastAsia="zh-CN"/>
              </w:rPr>
              <w:t>4.在操作允许的条件下伐桩高度超过5cm，每发现1株扣 0.5 分；伐桩未覆土的，每发现1株扣0.5分。</w:t>
            </w:r>
            <w:r>
              <w:rPr>
                <w:rFonts w:hint="eastAsia" w:asciiTheme="majorEastAsia" w:hAnsiTheme="majorEastAsia" w:eastAsiaTheme="majorEastAsia" w:cstheme="majorEastAsia"/>
                <w:color w:val="000000"/>
                <w:sz w:val="21"/>
                <w:szCs w:val="21"/>
                <w:highlight w:val="none"/>
                <w:lang w:val="en-US" w:eastAsia="zh-CN"/>
              </w:rPr>
              <w:br w:type="textWrapping"/>
            </w:r>
            <w:r>
              <w:rPr>
                <w:rFonts w:hint="eastAsia" w:asciiTheme="majorEastAsia" w:hAnsiTheme="majorEastAsia" w:eastAsiaTheme="majorEastAsia" w:cstheme="majorEastAsia"/>
                <w:color w:val="000000"/>
                <w:sz w:val="21"/>
                <w:szCs w:val="21"/>
                <w:highlight w:val="none"/>
                <w:lang w:val="en-US" w:eastAsia="zh-CN"/>
              </w:rPr>
              <w:t>（四）施工方禁止将松木私自带出疫区作其他用途，每发现一次扣 10 分。</w:t>
            </w:r>
            <w:r>
              <w:rPr>
                <w:rFonts w:hint="eastAsia" w:asciiTheme="majorEastAsia" w:hAnsiTheme="majorEastAsia" w:eastAsiaTheme="majorEastAsia" w:cstheme="majorEastAsia"/>
                <w:color w:val="000000"/>
                <w:sz w:val="21"/>
                <w:szCs w:val="21"/>
                <w:highlight w:val="none"/>
                <w:lang w:val="en-US" w:eastAsia="zh-CN"/>
              </w:rPr>
              <w:br w:type="textWrapping"/>
            </w:r>
            <w:r>
              <w:rPr>
                <w:rFonts w:hint="eastAsia" w:asciiTheme="majorEastAsia" w:hAnsiTheme="majorEastAsia" w:eastAsiaTheme="majorEastAsia" w:cstheme="majorEastAsia"/>
                <w:color w:val="000000"/>
                <w:sz w:val="21"/>
                <w:szCs w:val="21"/>
                <w:highlight w:val="none"/>
                <w:lang w:val="en-US" w:eastAsia="zh-CN"/>
              </w:rPr>
              <w:t>（五）生产安全的验收：服务方负责民工的作业安全，对作业民工进行作业培训，并为每个作业民工购买人身保险，做到安全用火。如不培训扣 0.5 分；每个施工民工没按要求购买保险的，扣 0.5 分；火场无人值守，每发现一处扣0.5分；没有按要求配备防灭火设备，扣2分；作业施工造成的一切安全责任，包括民工的重大人身安全、药品使用安全、森林防火安全及其它安 全责任事故，每发生一次上述安全责任事故的扣 3 分。</w:t>
            </w:r>
            <w:r>
              <w:rPr>
                <w:rFonts w:hint="eastAsia" w:asciiTheme="majorEastAsia" w:hAnsiTheme="majorEastAsia" w:eastAsiaTheme="majorEastAsia" w:cstheme="majorEastAsia"/>
                <w:color w:val="000000"/>
                <w:sz w:val="21"/>
                <w:szCs w:val="21"/>
                <w:highlight w:val="none"/>
                <w:lang w:val="en-US" w:eastAsia="zh-CN"/>
              </w:rPr>
              <w:br w:type="textWrapping"/>
            </w:r>
            <w:r>
              <w:rPr>
                <w:rFonts w:hint="eastAsia" w:asciiTheme="majorEastAsia" w:hAnsiTheme="majorEastAsia" w:eastAsiaTheme="majorEastAsia" w:cstheme="majorEastAsia"/>
                <w:color w:val="000000"/>
                <w:sz w:val="21"/>
                <w:szCs w:val="21"/>
                <w:highlight w:val="none"/>
                <w:lang w:val="en-US" w:eastAsia="zh-CN"/>
              </w:rPr>
              <w:t>（六）枯死树清理结束没有及时提交装订成册的清理材料扣 3 分，提交材料不完善的扣 2 分。</w:t>
            </w:r>
            <w:r>
              <w:rPr>
                <w:rFonts w:hint="eastAsia" w:asciiTheme="majorEastAsia" w:hAnsiTheme="majorEastAsia" w:eastAsiaTheme="majorEastAsia" w:cstheme="majorEastAsia"/>
                <w:color w:val="000000"/>
                <w:sz w:val="21"/>
                <w:szCs w:val="21"/>
                <w:highlight w:val="none"/>
                <w:lang w:val="en-US" w:eastAsia="zh-CN"/>
              </w:rPr>
              <w:br w:type="textWrapping"/>
            </w:r>
            <w:r>
              <w:rPr>
                <w:rFonts w:hint="eastAsia" w:asciiTheme="majorEastAsia" w:hAnsiTheme="majorEastAsia" w:eastAsiaTheme="majorEastAsia" w:cstheme="majorEastAsia"/>
                <w:color w:val="000000"/>
                <w:sz w:val="21"/>
                <w:szCs w:val="21"/>
                <w:highlight w:val="none"/>
                <w:lang w:val="en-US" w:eastAsia="zh-CN"/>
              </w:rPr>
              <w:t>考评总分为 100 分,考评分数达到 90 分以上（含 90 分）为优秀，85-89 分（含 85 分）为良好，80-84 分（含 80 分）为合格，80 分以下为不合格。</w:t>
            </w:r>
          </w:p>
        </w:tc>
      </w:tr>
      <w:tr w14:paraId="0AD75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7" w:type="dxa"/>
            <w:gridSpan w:val="2"/>
            <w:noWrap w:val="0"/>
            <w:vAlign w:val="center"/>
          </w:tcPr>
          <w:p w14:paraId="00C7BD81">
            <w:pPr>
              <w:keepNext w:val="0"/>
              <w:keepLines w:val="0"/>
              <w:suppressLineNumbers w:val="0"/>
              <w:spacing w:before="0" w:beforeAutospacing="0" w:after="0" w:afterAutospacing="0" w:line="360" w:lineRule="auto"/>
              <w:ind w:left="0" w:right="0"/>
              <w:jc w:val="center"/>
              <w:rPr>
                <w:rFonts w:hint="eastAsia" w:asciiTheme="majorEastAsia" w:hAnsiTheme="majorEastAsia" w:eastAsiaTheme="majorEastAsia" w:cstheme="majorEastAsia"/>
                <w:color w:val="000000"/>
                <w:sz w:val="21"/>
                <w:szCs w:val="21"/>
                <w:highlight w:val="none"/>
              </w:rPr>
            </w:pPr>
            <w:r>
              <w:rPr>
                <w:rFonts w:hint="eastAsia" w:asciiTheme="majorEastAsia" w:hAnsiTheme="majorEastAsia" w:eastAsiaTheme="majorEastAsia" w:cstheme="majorEastAsia"/>
                <w:color w:val="000000"/>
                <w:sz w:val="21"/>
                <w:szCs w:val="21"/>
                <w:highlight w:val="none"/>
              </w:rPr>
              <w:t>支付方式</w:t>
            </w:r>
          </w:p>
        </w:tc>
        <w:tc>
          <w:tcPr>
            <w:tcW w:w="7258" w:type="dxa"/>
            <w:gridSpan w:val="3"/>
            <w:noWrap w:val="0"/>
            <w:vAlign w:val="center"/>
          </w:tcPr>
          <w:p w14:paraId="0544556D">
            <w:pPr>
              <w:keepNext w:val="0"/>
              <w:keepLines w:val="0"/>
              <w:widowControl/>
              <w:suppressLineNumbers w:val="0"/>
              <w:spacing w:before="0" w:beforeAutospacing="0" w:after="0" w:afterAutospacing="0" w:line="360" w:lineRule="auto"/>
              <w:ind w:left="0" w:right="0"/>
              <w:jc w:val="left"/>
              <w:rPr>
                <w:rFonts w:hint="eastAsia" w:asciiTheme="majorEastAsia" w:hAnsiTheme="majorEastAsia" w:eastAsiaTheme="majorEastAsia" w:cstheme="majorEastAsia"/>
                <w:color w:val="000000" w:themeColor="text1"/>
                <w:sz w:val="21"/>
                <w:szCs w:val="21"/>
                <w:highlight w:val="none"/>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1"/>
                <w:szCs w:val="21"/>
                <w:highlight w:val="none"/>
                <w:lang w:val="en-US" w:eastAsia="zh-CN"/>
                <w14:textFill>
                  <w14:solidFill>
                    <w14:schemeClr w14:val="tx1"/>
                  </w14:solidFill>
                </w14:textFill>
              </w:rPr>
              <w:t>1.</w:t>
            </w:r>
            <w:r>
              <w:rPr>
                <w:rFonts w:hint="eastAsia" w:asciiTheme="majorEastAsia" w:hAnsiTheme="majorEastAsia" w:eastAsiaTheme="majorEastAsia" w:cstheme="majorEastAsia"/>
                <w:b/>
                <w:bCs/>
                <w:color w:val="000000" w:themeColor="text1"/>
                <w:sz w:val="21"/>
                <w:szCs w:val="21"/>
                <w:highlight w:val="none"/>
                <w:lang w:val="en-US" w:eastAsia="zh-CN"/>
                <w14:textFill>
                  <w14:solidFill>
                    <w14:schemeClr w14:val="tx1"/>
                  </w14:solidFill>
                </w14:textFill>
              </w:rPr>
              <w:t>本项目无预付款</w:t>
            </w:r>
            <w:r>
              <w:rPr>
                <w:rFonts w:hint="eastAsia" w:asciiTheme="majorEastAsia" w:hAnsiTheme="majorEastAsia" w:eastAsiaTheme="majorEastAsia" w:cstheme="majorEastAsia"/>
                <w:color w:val="000000" w:themeColor="text1"/>
                <w:sz w:val="21"/>
                <w:szCs w:val="21"/>
                <w:highlight w:val="none"/>
                <w:lang w:val="en-US" w:eastAsia="zh-CN"/>
                <w14:textFill>
                  <w14:solidFill>
                    <w14:schemeClr w14:val="tx1"/>
                  </w14:solidFill>
                </w14:textFill>
              </w:rPr>
              <w:t>；</w:t>
            </w:r>
          </w:p>
          <w:p w14:paraId="60F4195B">
            <w:pPr>
              <w:keepNext w:val="0"/>
              <w:keepLines w:val="0"/>
              <w:widowControl/>
              <w:suppressLineNumbers w:val="0"/>
              <w:spacing w:before="0" w:beforeAutospacing="0" w:after="0" w:afterAutospacing="0" w:line="360" w:lineRule="auto"/>
              <w:ind w:left="0" w:right="0"/>
              <w:jc w:val="left"/>
              <w:rPr>
                <w:rFonts w:hint="eastAsia" w:asciiTheme="majorEastAsia" w:hAnsiTheme="majorEastAsia" w:eastAsiaTheme="majorEastAsia" w:cstheme="majorEastAsia"/>
                <w:color w:val="000000" w:themeColor="text1"/>
                <w:sz w:val="21"/>
                <w:szCs w:val="21"/>
                <w:highlight w:val="none"/>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1"/>
                <w:szCs w:val="21"/>
                <w:highlight w:val="none"/>
                <w:lang w:val="en-US" w:eastAsia="zh-CN"/>
                <w14:textFill>
                  <w14:solidFill>
                    <w14:schemeClr w14:val="tx1"/>
                  </w14:solidFill>
                </w14:textFill>
              </w:rPr>
              <w:t>2.按松材线虫病枯死树清理服务验收认可的株数结算。采购人在成交供应商项目完成后七个工作日内进行验收。待项目完成验收考评后，获得优秀等级的一次支付所有费用，良好等级的扣除所有费用10%，合格等级的扣除所有费用20%，不合格等级的扣除所有费用100%。成交供应商按验收后确认的金额向采购人出具正式的税务发票后10个工作日，采购人向成交供应商支付项目款项。</w:t>
            </w:r>
          </w:p>
          <w:p w14:paraId="1EFA5051">
            <w:pPr>
              <w:keepNext w:val="0"/>
              <w:keepLines w:val="0"/>
              <w:widowControl/>
              <w:suppressLineNumbers w:val="0"/>
              <w:spacing w:before="0" w:beforeAutospacing="0" w:after="0" w:afterAutospacing="0" w:line="360" w:lineRule="auto"/>
              <w:ind w:left="0" w:right="0"/>
              <w:jc w:val="left"/>
              <w:rPr>
                <w:rFonts w:hint="eastAsia" w:asciiTheme="majorEastAsia" w:hAnsiTheme="majorEastAsia" w:eastAsiaTheme="majorEastAsia" w:cstheme="majorEastAsia"/>
                <w:color w:val="000000" w:themeColor="text1"/>
                <w:sz w:val="21"/>
                <w:szCs w:val="21"/>
                <w:highlight w:val="none"/>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1"/>
                <w:szCs w:val="21"/>
                <w:highlight w:val="none"/>
                <w:lang w:val="en-US" w:eastAsia="zh-CN"/>
                <w14:textFill>
                  <w14:solidFill>
                    <w14:schemeClr w14:val="tx1"/>
                  </w14:solidFill>
                </w14:textFill>
              </w:rPr>
              <w:t>3.不合格等级的可在合同期内申请返工，然后再申请验收，重新验收费用由乙方承担，重新验收后根据验收等级兑付剩余验收通过的清理服务费。</w:t>
            </w:r>
          </w:p>
          <w:p w14:paraId="48E54582">
            <w:pPr>
              <w:keepNext w:val="0"/>
              <w:keepLines w:val="0"/>
              <w:widowControl/>
              <w:suppressLineNumbers w:val="0"/>
              <w:spacing w:before="0" w:beforeAutospacing="0" w:after="0" w:afterAutospacing="0" w:line="360" w:lineRule="auto"/>
              <w:ind w:left="0" w:right="0"/>
              <w:jc w:val="left"/>
              <w:rPr>
                <w:rFonts w:hint="eastAsia" w:asciiTheme="majorEastAsia" w:hAnsiTheme="majorEastAsia" w:eastAsiaTheme="majorEastAsia" w:cstheme="majorEastAsia"/>
                <w:color w:val="000000" w:themeColor="text1"/>
                <w:sz w:val="21"/>
                <w:szCs w:val="21"/>
                <w:highlight w:val="none"/>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1"/>
                <w:szCs w:val="21"/>
                <w:highlight w:val="none"/>
                <w:lang w:val="en-US" w:eastAsia="zh-CN"/>
                <w14:textFill>
                  <w14:solidFill>
                    <w14:schemeClr w14:val="tx1"/>
                  </w14:solidFill>
                </w14:textFill>
              </w:rPr>
              <w:t>注：结算的清理株数，按验收实际株数结算。按照验收抽样方法把抽中的清理株数、伐桩记录与施工方工作记录《松材线虫病枯死树清理记录表》进行复核，经纬度、伐桩记录、株数100%相符，并且与质量监理第三方认定的株数相符，全部认可施工方清理的株数；如果验收的清理株数、伐桩记录、工作痕迹与施工方工作记录《松材线虫病枯死树清理记录表》和质量监理第三方认定的株数，不相符的，按相符率乘以施工方报的总株数，得出验收认定为清理总株数。</w:t>
            </w:r>
          </w:p>
          <w:p w14:paraId="0595AF58">
            <w:pPr>
              <w:keepNext w:val="0"/>
              <w:keepLines w:val="0"/>
              <w:widowControl/>
              <w:suppressLineNumbers w:val="0"/>
              <w:spacing w:before="0" w:beforeAutospacing="0" w:after="0" w:afterAutospacing="0" w:line="360" w:lineRule="auto"/>
              <w:ind w:left="0" w:right="0"/>
              <w:jc w:val="left"/>
              <w:rPr>
                <w:rFonts w:hint="eastAsia" w:asciiTheme="majorEastAsia" w:hAnsiTheme="majorEastAsia" w:eastAsiaTheme="majorEastAsia" w:cstheme="majorEastAsia"/>
                <w:color w:val="000000" w:themeColor="text1"/>
                <w:sz w:val="21"/>
                <w:szCs w:val="21"/>
                <w:highlight w:val="none"/>
                <w14:textFill>
                  <w14:solidFill>
                    <w14:schemeClr w14:val="tx1"/>
                  </w14:solidFill>
                </w14:textFill>
              </w:rPr>
            </w:pPr>
            <w:r>
              <w:rPr>
                <w:rFonts w:hint="eastAsia" w:asciiTheme="majorEastAsia" w:hAnsiTheme="majorEastAsia" w:eastAsiaTheme="majorEastAsia" w:cstheme="majorEastAsia"/>
                <w:color w:val="000000" w:themeColor="text1"/>
                <w:sz w:val="21"/>
                <w:szCs w:val="21"/>
                <w:highlight w:val="none"/>
                <w:lang w:val="en-US" w:eastAsia="zh-CN"/>
                <w14:textFill>
                  <w14:solidFill>
                    <w14:schemeClr w14:val="tx1"/>
                  </w14:solidFill>
                </w14:textFill>
              </w:rPr>
              <w:t>乙方需出具正式的税务发票，本合同执行中相关的一切税费均由乙方负担。</w:t>
            </w:r>
          </w:p>
        </w:tc>
      </w:tr>
      <w:tr w14:paraId="69A59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2117" w:type="dxa"/>
            <w:gridSpan w:val="2"/>
            <w:noWrap w:val="0"/>
            <w:vAlign w:val="center"/>
          </w:tcPr>
          <w:p w14:paraId="4EF6DD0C">
            <w:pPr>
              <w:keepNext w:val="0"/>
              <w:keepLines w:val="0"/>
              <w:suppressLineNumbers w:val="0"/>
              <w:spacing w:before="0" w:beforeAutospacing="0" w:after="0" w:afterAutospacing="0" w:line="360" w:lineRule="auto"/>
              <w:ind w:left="0" w:right="0"/>
              <w:jc w:val="center"/>
              <w:rPr>
                <w:rFonts w:hint="eastAsia" w:asciiTheme="majorEastAsia" w:hAnsiTheme="majorEastAsia" w:eastAsiaTheme="majorEastAsia" w:cstheme="majorEastAsia"/>
                <w:color w:val="FF0000"/>
                <w:sz w:val="21"/>
                <w:szCs w:val="21"/>
                <w:highlight w:val="none"/>
                <w:lang w:val="en-US" w:eastAsia="zh-CN"/>
              </w:rPr>
            </w:pPr>
            <w:r>
              <w:rPr>
                <w:rFonts w:hint="eastAsia" w:asciiTheme="majorEastAsia" w:hAnsiTheme="majorEastAsia" w:eastAsiaTheme="majorEastAsia" w:cstheme="majorEastAsia"/>
                <w:color w:val="000000" w:themeColor="text1"/>
                <w:sz w:val="21"/>
                <w:szCs w:val="21"/>
                <w:highlight w:val="none"/>
                <w:lang w:val="en-US" w:eastAsia="zh-CN"/>
                <w14:textFill>
                  <w14:solidFill>
                    <w14:schemeClr w14:val="tx1"/>
                  </w14:solidFill>
                </w14:textFill>
              </w:rPr>
              <w:t>售后服务</w:t>
            </w:r>
          </w:p>
        </w:tc>
        <w:tc>
          <w:tcPr>
            <w:tcW w:w="7258" w:type="dxa"/>
            <w:gridSpan w:val="3"/>
            <w:noWrap w:val="0"/>
            <w:vAlign w:val="center"/>
          </w:tcPr>
          <w:p w14:paraId="337168E7">
            <w:pPr>
              <w:keepNext w:val="0"/>
              <w:keepLines w:val="0"/>
              <w:widowControl/>
              <w:numPr>
                <w:ilvl w:val="0"/>
                <w:numId w:val="0"/>
              </w:numPr>
              <w:suppressLineNumbers w:val="0"/>
              <w:spacing w:before="0" w:beforeAutospacing="0" w:after="0" w:afterAutospacing="0" w:line="360" w:lineRule="auto"/>
              <w:ind w:left="0" w:leftChars="0" w:right="0"/>
              <w:jc w:val="left"/>
              <w:rPr>
                <w:rFonts w:hint="eastAsia" w:asciiTheme="majorEastAsia" w:hAnsiTheme="majorEastAsia" w:eastAsiaTheme="majorEastAsia" w:cstheme="majorEastAsia"/>
                <w:color w:val="000000" w:themeColor="text1"/>
                <w:sz w:val="21"/>
                <w:szCs w:val="21"/>
                <w:highlight w:val="none"/>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1"/>
                <w:szCs w:val="21"/>
                <w:highlight w:val="none"/>
                <w:lang w:val="en-US" w:eastAsia="zh-CN"/>
                <w14:textFill>
                  <w14:solidFill>
                    <w14:schemeClr w14:val="tx1"/>
                  </w14:solidFill>
                </w14:textFill>
              </w:rPr>
              <w:t xml:space="preserve">1、处理问题响应时间：接到采购人问题通知后应在 4 小时内到达采购人指定现场及时处理。 </w:t>
            </w:r>
          </w:p>
          <w:p w14:paraId="503098CD">
            <w:pPr>
              <w:keepNext w:val="0"/>
              <w:keepLines w:val="0"/>
              <w:widowControl/>
              <w:numPr>
                <w:ilvl w:val="0"/>
                <w:numId w:val="0"/>
              </w:numPr>
              <w:suppressLineNumbers w:val="0"/>
              <w:spacing w:before="0" w:beforeAutospacing="0" w:after="0" w:afterAutospacing="0" w:line="360" w:lineRule="auto"/>
              <w:ind w:left="0" w:leftChars="0" w:right="0"/>
              <w:jc w:val="left"/>
              <w:rPr>
                <w:rFonts w:hint="eastAsia" w:asciiTheme="majorEastAsia" w:hAnsiTheme="majorEastAsia" w:eastAsiaTheme="majorEastAsia" w:cstheme="majorEastAsia"/>
                <w:color w:val="000000" w:themeColor="text1"/>
                <w:sz w:val="21"/>
                <w:szCs w:val="21"/>
                <w:highlight w:val="none"/>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1"/>
                <w:szCs w:val="21"/>
                <w:highlight w:val="none"/>
                <w:lang w:val="en-US" w:eastAsia="zh-CN"/>
                <w14:textFill>
                  <w14:solidFill>
                    <w14:schemeClr w14:val="tx1"/>
                  </w14:solidFill>
                </w14:textFill>
              </w:rPr>
              <w:t xml:space="preserve">2、其他： </w:t>
            </w:r>
          </w:p>
          <w:p w14:paraId="772EFCD6">
            <w:pPr>
              <w:keepNext w:val="0"/>
              <w:keepLines w:val="0"/>
              <w:widowControl/>
              <w:numPr>
                <w:ilvl w:val="0"/>
                <w:numId w:val="0"/>
              </w:numPr>
              <w:suppressLineNumbers w:val="0"/>
              <w:spacing w:before="0" w:beforeAutospacing="0" w:after="0" w:afterAutospacing="0" w:line="360" w:lineRule="auto"/>
              <w:ind w:left="0" w:leftChars="0" w:right="0"/>
              <w:jc w:val="left"/>
              <w:rPr>
                <w:rFonts w:hint="eastAsia" w:asciiTheme="majorEastAsia" w:hAnsiTheme="majorEastAsia" w:eastAsiaTheme="majorEastAsia" w:cstheme="majorEastAsia"/>
                <w:color w:val="000000" w:themeColor="text1"/>
                <w:sz w:val="21"/>
                <w:szCs w:val="21"/>
                <w:highlight w:val="none"/>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1"/>
                <w:szCs w:val="21"/>
                <w:highlight w:val="none"/>
                <w:lang w:val="en-US" w:eastAsia="zh-CN"/>
                <w14:textFill>
                  <w14:solidFill>
                    <w14:schemeClr w14:val="tx1"/>
                  </w14:solidFill>
                </w14:textFill>
              </w:rPr>
              <w:t xml:space="preserve">（1）服务期内发生质量问题由成交供应商负责，所产生的一切费用均由供应商承担。 </w:t>
            </w:r>
          </w:p>
          <w:p w14:paraId="6E09A020">
            <w:pPr>
              <w:keepNext w:val="0"/>
              <w:keepLines w:val="0"/>
              <w:widowControl/>
              <w:numPr>
                <w:ilvl w:val="0"/>
                <w:numId w:val="0"/>
              </w:numPr>
              <w:suppressLineNumbers w:val="0"/>
              <w:spacing w:before="0" w:beforeAutospacing="0" w:after="0" w:afterAutospacing="0" w:line="360" w:lineRule="auto"/>
              <w:ind w:left="0" w:leftChars="0" w:right="0"/>
              <w:jc w:val="left"/>
              <w:rPr>
                <w:rFonts w:hint="eastAsia" w:asciiTheme="majorEastAsia" w:hAnsiTheme="majorEastAsia" w:eastAsiaTheme="majorEastAsia" w:cstheme="majorEastAsia"/>
                <w:color w:val="000000" w:themeColor="text1"/>
                <w:sz w:val="21"/>
                <w:szCs w:val="21"/>
                <w:highlight w:val="none"/>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1"/>
                <w:szCs w:val="21"/>
                <w:highlight w:val="none"/>
                <w:lang w:val="en-US" w:eastAsia="zh-CN"/>
                <w14:textFill>
                  <w14:solidFill>
                    <w14:schemeClr w14:val="tx1"/>
                  </w14:solidFill>
                </w14:textFill>
              </w:rPr>
              <w:t>（2）成交人必须遵照采购人的管理及安排，所有的服务必须达到采购人的标准要求。</w:t>
            </w:r>
          </w:p>
        </w:tc>
      </w:tr>
      <w:tr w14:paraId="4231F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7" w:type="dxa"/>
            <w:gridSpan w:val="2"/>
            <w:noWrap w:val="0"/>
            <w:vAlign w:val="center"/>
          </w:tcPr>
          <w:p w14:paraId="61E58FF2">
            <w:pPr>
              <w:keepNext w:val="0"/>
              <w:keepLines w:val="0"/>
              <w:suppressLineNumbers w:val="0"/>
              <w:spacing w:before="0" w:beforeAutospacing="0" w:after="0" w:afterAutospacing="0" w:line="360" w:lineRule="auto"/>
              <w:ind w:left="0" w:right="0"/>
              <w:jc w:val="center"/>
              <w:rPr>
                <w:rFonts w:hint="eastAsia" w:asciiTheme="majorEastAsia" w:hAnsiTheme="majorEastAsia" w:eastAsiaTheme="majorEastAsia" w:cstheme="majorEastAsia"/>
                <w:color w:val="000000"/>
                <w:sz w:val="21"/>
                <w:szCs w:val="21"/>
                <w:highlight w:val="none"/>
              </w:rPr>
            </w:pPr>
            <w:r>
              <w:rPr>
                <w:rFonts w:hint="eastAsia" w:asciiTheme="majorEastAsia" w:hAnsiTheme="majorEastAsia" w:eastAsiaTheme="majorEastAsia" w:cstheme="majorEastAsia"/>
                <w:color w:val="000000"/>
                <w:sz w:val="21"/>
                <w:szCs w:val="21"/>
                <w:highlight w:val="none"/>
              </w:rPr>
              <w:t>其他要求</w:t>
            </w:r>
          </w:p>
        </w:tc>
        <w:tc>
          <w:tcPr>
            <w:tcW w:w="7258" w:type="dxa"/>
            <w:gridSpan w:val="3"/>
            <w:noWrap w:val="0"/>
            <w:vAlign w:val="center"/>
          </w:tcPr>
          <w:p w14:paraId="7E2C6A6C">
            <w:pPr>
              <w:pStyle w:val="2"/>
              <w:suppressLineNumbers w:val="0"/>
              <w:spacing w:before="0" w:beforeAutospacing="0" w:after="0" w:afterAutospacing="0" w:line="360" w:lineRule="auto"/>
              <w:ind w:left="0" w:right="0"/>
              <w:rPr>
                <w:rFonts w:hint="eastAsia" w:asciiTheme="majorEastAsia" w:hAnsiTheme="majorEastAsia" w:eastAsiaTheme="majorEastAsia" w:cstheme="majorEastAsia"/>
                <w:b w:val="0"/>
                <w:bCs w:val="0"/>
                <w:kern w:val="0"/>
                <w:sz w:val="21"/>
                <w:szCs w:val="21"/>
                <w:highlight w:val="none"/>
                <w:lang w:bidi="ar"/>
              </w:rPr>
            </w:pPr>
            <w:r>
              <w:rPr>
                <w:rFonts w:hint="eastAsia" w:asciiTheme="majorEastAsia" w:hAnsiTheme="majorEastAsia" w:eastAsiaTheme="majorEastAsia" w:cstheme="majorEastAsia"/>
                <w:b w:val="0"/>
                <w:bCs w:val="0"/>
                <w:kern w:val="0"/>
                <w:sz w:val="21"/>
                <w:szCs w:val="21"/>
                <w:highlight w:val="none"/>
                <w:lang w:bidi="ar"/>
              </w:rPr>
              <w:t>中标价格应包括完成项目实施所需的所有费用，包含但不限于数据流量服务费、运维服务费、安装调试费、系统更新升级、培训、技术支持、售后服务费、保险费用和各项税金等全部费用，完成本项目所需的一切工作内容而发生的所有直接费用、间接费用、其它费用，执行本次服务所需的人工、设备、交通、劳保等一切相关费用，采购人不再支付合同金额以外的任何费用。</w:t>
            </w:r>
          </w:p>
        </w:tc>
      </w:tr>
      <w:tr w14:paraId="29B4A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75" w:type="dxa"/>
            <w:gridSpan w:val="5"/>
            <w:noWrap w:val="0"/>
            <w:vAlign w:val="center"/>
          </w:tcPr>
          <w:p w14:paraId="3642AF0E">
            <w:pPr>
              <w:keepNext w:val="0"/>
              <w:keepLines w:val="0"/>
              <w:suppressLineNumbers w:val="0"/>
              <w:spacing w:before="0" w:beforeAutospacing="0" w:after="0" w:afterAutospacing="0" w:line="360" w:lineRule="auto"/>
              <w:ind w:left="0" w:right="0"/>
              <w:jc w:val="center"/>
              <w:rPr>
                <w:rFonts w:hint="default" w:asciiTheme="majorEastAsia" w:hAnsiTheme="majorEastAsia" w:eastAsiaTheme="majorEastAsia" w:cstheme="majorEastAsia"/>
                <w:color w:val="000000"/>
                <w:sz w:val="21"/>
                <w:szCs w:val="21"/>
                <w:highlight w:val="none"/>
                <w:lang w:val="en-US" w:eastAsia="zh-CN"/>
              </w:rPr>
            </w:pPr>
            <w:r>
              <w:rPr>
                <w:rFonts w:hint="eastAsia" w:asciiTheme="majorEastAsia" w:hAnsiTheme="majorEastAsia" w:eastAsiaTheme="majorEastAsia" w:cstheme="majorEastAsia"/>
                <w:color w:val="000000"/>
                <w:sz w:val="21"/>
                <w:szCs w:val="21"/>
                <w:highlight w:val="none"/>
                <w:lang w:val="en-US" w:eastAsia="zh-CN"/>
              </w:rPr>
              <w:t>▲技术需求</w:t>
            </w:r>
          </w:p>
        </w:tc>
      </w:tr>
      <w:tr w14:paraId="6270B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7" w:type="dxa"/>
            <w:gridSpan w:val="2"/>
            <w:noWrap w:val="0"/>
            <w:vAlign w:val="center"/>
          </w:tcPr>
          <w:p w14:paraId="7DF4D205">
            <w:pPr>
              <w:keepNext w:val="0"/>
              <w:keepLines w:val="0"/>
              <w:suppressLineNumbers w:val="0"/>
              <w:spacing w:before="0" w:beforeAutospacing="0" w:after="0" w:afterAutospacing="0" w:line="360" w:lineRule="auto"/>
              <w:ind w:left="0" w:right="0"/>
              <w:jc w:val="center"/>
              <w:rPr>
                <w:rFonts w:hint="eastAsia" w:asciiTheme="majorEastAsia" w:hAnsiTheme="majorEastAsia" w:eastAsiaTheme="majorEastAsia" w:cstheme="majorEastAsia"/>
                <w:color w:val="000000"/>
                <w:sz w:val="21"/>
                <w:szCs w:val="21"/>
                <w:highlight w:val="none"/>
              </w:rPr>
            </w:pPr>
            <w:r>
              <w:rPr>
                <w:rFonts w:hint="eastAsia" w:asciiTheme="majorEastAsia" w:hAnsiTheme="majorEastAsia" w:eastAsiaTheme="majorEastAsia" w:cstheme="majorEastAsia"/>
                <w:color w:val="000000"/>
                <w:sz w:val="21"/>
                <w:szCs w:val="21"/>
                <w:highlight w:val="none"/>
                <w:lang w:val="en-US" w:eastAsia="zh-CN"/>
              </w:rPr>
              <w:t>主要技术服务要求</w:t>
            </w:r>
          </w:p>
        </w:tc>
        <w:tc>
          <w:tcPr>
            <w:tcW w:w="7258" w:type="dxa"/>
            <w:gridSpan w:val="3"/>
            <w:noWrap w:val="0"/>
            <w:vAlign w:val="center"/>
          </w:tcPr>
          <w:p w14:paraId="7FB60BCB">
            <w:pPr>
              <w:keepNext w:val="0"/>
              <w:keepLines w:val="0"/>
              <w:suppressLineNumbers w:val="0"/>
              <w:spacing w:before="85" w:beforeLines="27" w:beforeAutospacing="0" w:after="0" w:afterAutospacing="0" w:line="360" w:lineRule="auto"/>
              <w:ind w:left="0" w:right="0"/>
              <w:jc w:val="left"/>
              <w:rPr>
                <w:rFonts w:hint="eastAsia" w:asciiTheme="majorEastAsia" w:hAnsiTheme="majorEastAsia" w:eastAsiaTheme="majorEastAsia" w:cstheme="majorEastAsia"/>
                <w:color w:val="000000"/>
                <w:sz w:val="21"/>
                <w:szCs w:val="21"/>
                <w:highlight w:val="none"/>
                <w:lang w:val="en-US" w:eastAsia="zh-CN"/>
              </w:rPr>
            </w:pPr>
            <w:r>
              <w:rPr>
                <w:rFonts w:hint="eastAsia" w:asciiTheme="majorEastAsia" w:hAnsiTheme="majorEastAsia" w:eastAsiaTheme="majorEastAsia" w:cstheme="majorEastAsia"/>
                <w:color w:val="000000"/>
                <w:sz w:val="21"/>
                <w:szCs w:val="21"/>
                <w:highlight w:val="none"/>
                <w:lang w:val="en-US" w:eastAsia="zh-CN"/>
              </w:rPr>
              <w:t>1.松材线虫病疫情枯死树清理范围计划清理梧州市龙圩区全区松材线虫病枯死木3000株；</w:t>
            </w:r>
          </w:p>
          <w:p w14:paraId="53D9920B">
            <w:pPr>
              <w:keepNext w:val="0"/>
              <w:keepLines w:val="0"/>
              <w:suppressLineNumbers w:val="0"/>
              <w:spacing w:before="0" w:beforeAutospacing="0" w:after="0" w:afterAutospacing="0" w:line="360" w:lineRule="auto"/>
              <w:ind w:left="0" w:right="0"/>
              <w:jc w:val="left"/>
              <w:rPr>
                <w:rFonts w:hint="eastAsia" w:asciiTheme="majorEastAsia" w:hAnsiTheme="majorEastAsia" w:eastAsiaTheme="majorEastAsia" w:cstheme="majorEastAsia"/>
                <w:color w:val="000000"/>
                <w:sz w:val="21"/>
                <w:szCs w:val="21"/>
                <w:highlight w:val="none"/>
                <w:lang w:val="en-US" w:eastAsia="zh-CN"/>
              </w:rPr>
            </w:pPr>
            <w:r>
              <w:rPr>
                <w:rFonts w:hint="eastAsia" w:asciiTheme="majorEastAsia" w:hAnsiTheme="majorEastAsia" w:eastAsiaTheme="majorEastAsia" w:cstheme="majorEastAsia"/>
                <w:color w:val="000000"/>
                <w:sz w:val="21"/>
                <w:szCs w:val="21"/>
                <w:highlight w:val="none"/>
                <w:lang w:val="en-US" w:eastAsia="zh-CN"/>
              </w:rPr>
              <w:t>2.为了便于及时发现及时清理、控制疫情往外扩散，对清理范围巡查要全覆盖无盲区。龙圩区枯死树清理期间要进行</w:t>
            </w:r>
            <w:r>
              <w:rPr>
                <w:rFonts w:hint="eastAsia" w:asciiTheme="majorEastAsia" w:hAnsiTheme="majorEastAsia" w:eastAsiaTheme="majorEastAsia" w:cstheme="majorEastAsia"/>
                <w:color w:val="000000" w:themeColor="text1"/>
                <w:sz w:val="21"/>
                <w:szCs w:val="21"/>
                <w:highlight w:val="none"/>
                <w:lang w:val="en-US" w:eastAsia="zh-CN"/>
                <w14:textFill>
                  <w14:solidFill>
                    <w14:schemeClr w14:val="tx1"/>
                  </w14:solidFill>
                </w14:textFill>
              </w:rPr>
              <w:t>8次巡查</w:t>
            </w:r>
            <w:r>
              <w:rPr>
                <w:rFonts w:hint="eastAsia" w:asciiTheme="majorEastAsia" w:hAnsiTheme="majorEastAsia" w:eastAsiaTheme="majorEastAsia" w:cstheme="majorEastAsia"/>
                <w:color w:val="000000"/>
                <w:sz w:val="21"/>
                <w:szCs w:val="21"/>
                <w:highlight w:val="none"/>
                <w:lang w:val="en-US" w:eastAsia="zh-CN"/>
              </w:rPr>
              <w:t>；</w:t>
            </w:r>
          </w:p>
          <w:p w14:paraId="30E5351F">
            <w:pPr>
              <w:keepNext w:val="0"/>
              <w:keepLines w:val="0"/>
              <w:suppressLineNumbers w:val="0"/>
              <w:spacing w:before="0" w:beforeAutospacing="0" w:after="0" w:afterAutospacing="0" w:line="360" w:lineRule="auto"/>
              <w:ind w:left="0" w:right="0"/>
              <w:jc w:val="left"/>
              <w:rPr>
                <w:rFonts w:hint="eastAsia" w:asciiTheme="majorEastAsia" w:hAnsiTheme="majorEastAsia" w:eastAsiaTheme="majorEastAsia" w:cstheme="majorEastAsia"/>
                <w:color w:val="000000"/>
                <w:sz w:val="21"/>
                <w:szCs w:val="21"/>
                <w:highlight w:val="none"/>
                <w:lang w:val="en-US" w:eastAsia="zh-CN"/>
              </w:rPr>
            </w:pPr>
            <w:r>
              <w:rPr>
                <w:rFonts w:hint="eastAsia" w:asciiTheme="majorEastAsia" w:hAnsiTheme="majorEastAsia" w:eastAsiaTheme="majorEastAsia" w:cstheme="majorEastAsia"/>
                <w:color w:val="000000"/>
                <w:sz w:val="21"/>
                <w:szCs w:val="21"/>
                <w:highlight w:val="none"/>
                <w:lang w:val="en-US" w:eastAsia="zh-CN"/>
              </w:rPr>
              <w:t>3.清理松树枯死木类型；</w:t>
            </w:r>
          </w:p>
          <w:p w14:paraId="30662B73">
            <w:pPr>
              <w:keepNext w:val="0"/>
              <w:keepLines w:val="0"/>
              <w:suppressLineNumbers w:val="0"/>
              <w:spacing w:before="0" w:beforeAutospacing="0" w:after="0" w:afterAutospacing="0" w:line="360" w:lineRule="auto"/>
              <w:ind w:left="0" w:right="0"/>
              <w:jc w:val="left"/>
              <w:rPr>
                <w:rFonts w:hint="eastAsia" w:asciiTheme="majorEastAsia" w:hAnsiTheme="majorEastAsia" w:eastAsiaTheme="majorEastAsia" w:cstheme="majorEastAsia"/>
                <w:color w:val="000000"/>
                <w:sz w:val="21"/>
                <w:szCs w:val="21"/>
                <w:highlight w:val="none"/>
                <w:lang w:val="en-US" w:eastAsia="zh-CN"/>
              </w:rPr>
            </w:pPr>
            <w:r>
              <w:rPr>
                <w:rFonts w:hint="eastAsia" w:asciiTheme="majorEastAsia" w:hAnsiTheme="majorEastAsia" w:eastAsiaTheme="majorEastAsia" w:cstheme="majorEastAsia"/>
                <w:color w:val="000000"/>
                <w:sz w:val="21"/>
                <w:szCs w:val="21"/>
                <w:highlight w:val="none"/>
                <w:lang w:val="en-US" w:eastAsia="zh-CN"/>
              </w:rPr>
              <w:t>清理松树枯死木类型按照《松材线虫病疫区和疫木管理办法》（林生规〔2026〕3号）文件规定，择伐清理对象枯死、濒死松树（不包括腐朽木、火烧引起的枯死树），还有采购人指定要砍伐清理的风倒木；</w:t>
            </w:r>
          </w:p>
          <w:p w14:paraId="37D1F1E1">
            <w:pPr>
              <w:keepNext w:val="0"/>
              <w:keepLines w:val="0"/>
              <w:suppressLineNumbers w:val="0"/>
              <w:spacing w:before="0" w:beforeAutospacing="0" w:after="0" w:afterAutospacing="0" w:line="360" w:lineRule="auto"/>
              <w:ind w:left="0" w:right="0"/>
              <w:jc w:val="left"/>
              <w:rPr>
                <w:rFonts w:hint="eastAsia" w:asciiTheme="majorEastAsia" w:hAnsiTheme="majorEastAsia" w:eastAsiaTheme="majorEastAsia" w:cstheme="majorEastAsia"/>
                <w:color w:val="000000"/>
                <w:sz w:val="21"/>
                <w:szCs w:val="21"/>
                <w:highlight w:val="none"/>
                <w:lang w:val="en-US" w:eastAsia="zh-CN"/>
              </w:rPr>
            </w:pPr>
            <w:r>
              <w:rPr>
                <w:rFonts w:hint="eastAsia" w:asciiTheme="majorEastAsia" w:hAnsiTheme="majorEastAsia" w:eastAsiaTheme="majorEastAsia" w:cstheme="majorEastAsia"/>
                <w:color w:val="000000"/>
                <w:sz w:val="21"/>
                <w:szCs w:val="21"/>
                <w:highlight w:val="none"/>
                <w:lang w:val="en-US" w:eastAsia="zh-CN"/>
              </w:rPr>
              <w:t>4. 清理作业量</w:t>
            </w:r>
          </w:p>
          <w:p w14:paraId="4E0B27C4">
            <w:pPr>
              <w:keepNext w:val="0"/>
              <w:keepLines w:val="0"/>
              <w:suppressLineNumbers w:val="0"/>
              <w:spacing w:before="0" w:beforeAutospacing="0" w:after="0" w:afterAutospacing="0" w:line="360" w:lineRule="auto"/>
              <w:ind w:left="0" w:right="0"/>
              <w:jc w:val="left"/>
              <w:rPr>
                <w:rFonts w:hint="eastAsia" w:asciiTheme="majorEastAsia" w:hAnsiTheme="majorEastAsia" w:eastAsiaTheme="majorEastAsia" w:cstheme="majorEastAsia"/>
                <w:color w:val="000000"/>
                <w:sz w:val="21"/>
                <w:szCs w:val="21"/>
                <w:highlight w:val="none"/>
                <w:lang w:val="en-US" w:eastAsia="zh-CN"/>
              </w:rPr>
            </w:pPr>
            <w:r>
              <w:rPr>
                <w:rFonts w:hint="eastAsia" w:asciiTheme="majorEastAsia" w:hAnsiTheme="majorEastAsia" w:eastAsiaTheme="majorEastAsia" w:cstheme="majorEastAsia"/>
                <w:color w:val="000000"/>
                <w:sz w:val="21"/>
                <w:szCs w:val="21"/>
                <w:highlight w:val="none"/>
                <w:lang w:val="en-US" w:eastAsia="zh-CN"/>
              </w:rPr>
              <w:t>界定标准：按每株计算；</w:t>
            </w:r>
          </w:p>
          <w:p w14:paraId="7DAB31CA">
            <w:pPr>
              <w:keepNext w:val="0"/>
              <w:keepLines w:val="0"/>
              <w:suppressLineNumbers w:val="0"/>
              <w:spacing w:before="0" w:beforeAutospacing="0" w:after="0" w:afterAutospacing="0" w:line="360" w:lineRule="auto"/>
              <w:ind w:left="0" w:right="0"/>
              <w:jc w:val="left"/>
              <w:rPr>
                <w:rFonts w:hint="eastAsia" w:asciiTheme="majorEastAsia" w:hAnsiTheme="majorEastAsia" w:eastAsiaTheme="majorEastAsia" w:cstheme="majorEastAsia"/>
                <w:color w:val="000000"/>
                <w:sz w:val="21"/>
                <w:szCs w:val="21"/>
                <w:highlight w:val="none"/>
                <w:lang w:val="en-US" w:eastAsia="zh-CN"/>
              </w:rPr>
            </w:pPr>
            <w:r>
              <w:rPr>
                <w:rFonts w:hint="eastAsia" w:asciiTheme="majorEastAsia" w:hAnsiTheme="majorEastAsia" w:eastAsiaTheme="majorEastAsia" w:cstheme="majorEastAsia"/>
                <w:color w:val="000000"/>
                <w:sz w:val="21"/>
                <w:szCs w:val="21"/>
                <w:highlight w:val="none"/>
                <w:lang w:val="en-US" w:eastAsia="zh-CN"/>
              </w:rPr>
              <w:t>5.时间要求</w:t>
            </w:r>
          </w:p>
          <w:p w14:paraId="39C8DD39">
            <w:pPr>
              <w:keepNext w:val="0"/>
              <w:keepLines w:val="0"/>
              <w:suppressLineNumbers w:val="0"/>
              <w:spacing w:before="0" w:beforeAutospacing="0" w:after="0" w:afterAutospacing="0" w:line="360" w:lineRule="auto"/>
              <w:ind w:left="0" w:right="0"/>
              <w:jc w:val="left"/>
              <w:rPr>
                <w:rFonts w:hint="eastAsia" w:asciiTheme="majorEastAsia" w:hAnsiTheme="majorEastAsia" w:eastAsiaTheme="majorEastAsia" w:cstheme="majorEastAsia"/>
                <w:color w:val="000000"/>
                <w:sz w:val="21"/>
                <w:szCs w:val="21"/>
                <w:highlight w:val="none"/>
                <w:lang w:val="en-US" w:eastAsia="zh-CN"/>
              </w:rPr>
            </w:pPr>
            <w:r>
              <w:rPr>
                <w:rFonts w:hint="eastAsia" w:asciiTheme="majorEastAsia" w:hAnsiTheme="majorEastAsia" w:eastAsiaTheme="majorEastAsia" w:cstheme="majorEastAsia"/>
                <w:color w:val="000000"/>
                <w:sz w:val="21"/>
                <w:szCs w:val="21"/>
                <w:highlight w:val="none"/>
                <w:lang w:val="en-US" w:eastAsia="zh-CN"/>
              </w:rPr>
              <w:t>松树枯死木清理工作必须在2026年09月30日前完成。</w:t>
            </w:r>
          </w:p>
          <w:p w14:paraId="0E23745E">
            <w:pPr>
              <w:keepNext w:val="0"/>
              <w:keepLines w:val="0"/>
              <w:suppressLineNumbers w:val="0"/>
              <w:spacing w:before="0" w:beforeAutospacing="0" w:after="0" w:afterAutospacing="0" w:line="360" w:lineRule="auto"/>
              <w:ind w:left="0" w:right="0"/>
              <w:jc w:val="left"/>
              <w:rPr>
                <w:rFonts w:hint="eastAsia" w:asciiTheme="majorEastAsia" w:hAnsiTheme="majorEastAsia" w:eastAsiaTheme="majorEastAsia" w:cstheme="majorEastAsia"/>
                <w:color w:val="000000"/>
                <w:sz w:val="21"/>
                <w:szCs w:val="21"/>
                <w:highlight w:val="none"/>
                <w:lang w:val="en-US" w:eastAsia="zh-CN"/>
              </w:rPr>
            </w:pPr>
            <w:r>
              <w:rPr>
                <w:rFonts w:hint="eastAsia" w:asciiTheme="majorEastAsia" w:hAnsiTheme="majorEastAsia" w:eastAsiaTheme="majorEastAsia" w:cstheme="majorEastAsia"/>
                <w:color w:val="000000"/>
                <w:sz w:val="21"/>
                <w:szCs w:val="21"/>
                <w:highlight w:val="none"/>
                <w:lang w:val="en-US" w:eastAsia="zh-CN"/>
              </w:rPr>
              <w:t>松材线虫病清理范围的所有松树枯死木要及时发现及时清理，发现一株，清除一株；</w:t>
            </w:r>
          </w:p>
          <w:p w14:paraId="5C242D11">
            <w:pPr>
              <w:keepNext w:val="0"/>
              <w:keepLines w:val="0"/>
              <w:suppressLineNumbers w:val="0"/>
              <w:spacing w:before="0" w:beforeAutospacing="0" w:after="0" w:afterAutospacing="0" w:line="360" w:lineRule="auto"/>
              <w:ind w:left="0" w:right="0"/>
              <w:jc w:val="left"/>
              <w:rPr>
                <w:rFonts w:hint="eastAsia" w:asciiTheme="majorEastAsia" w:hAnsiTheme="majorEastAsia" w:eastAsiaTheme="majorEastAsia" w:cstheme="majorEastAsia"/>
                <w:color w:val="000000"/>
                <w:sz w:val="21"/>
                <w:szCs w:val="21"/>
                <w:highlight w:val="none"/>
                <w:lang w:val="en-US" w:eastAsia="zh-CN"/>
              </w:rPr>
            </w:pPr>
            <w:r>
              <w:rPr>
                <w:rFonts w:hint="eastAsia" w:asciiTheme="majorEastAsia" w:hAnsiTheme="majorEastAsia" w:eastAsiaTheme="majorEastAsia" w:cstheme="majorEastAsia"/>
                <w:color w:val="000000"/>
                <w:sz w:val="21"/>
                <w:szCs w:val="21"/>
                <w:highlight w:val="none"/>
                <w:lang w:val="en-US" w:eastAsia="zh-CN"/>
              </w:rPr>
              <w:t xml:space="preserve">6. 技术要求 </w:t>
            </w:r>
          </w:p>
          <w:p w14:paraId="64433ED2">
            <w:pPr>
              <w:keepNext w:val="0"/>
              <w:keepLines w:val="0"/>
              <w:suppressLineNumbers w:val="0"/>
              <w:spacing w:before="0" w:beforeAutospacing="0" w:after="0" w:afterAutospacing="0" w:line="360" w:lineRule="auto"/>
              <w:ind w:left="0" w:right="0"/>
              <w:jc w:val="left"/>
              <w:rPr>
                <w:rFonts w:hint="eastAsia" w:asciiTheme="majorEastAsia" w:hAnsiTheme="majorEastAsia" w:eastAsiaTheme="majorEastAsia" w:cstheme="majorEastAsia"/>
                <w:color w:val="000000"/>
                <w:sz w:val="21"/>
                <w:szCs w:val="21"/>
                <w:highlight w:val="none"/>
                <w:lang w:val="en-US" w:eastAsia="zh-CN"/>
              </w:rPr>
            </w:pPr>
            <w:r>
              <w:rPr>
                <w:rFonts w:hint="eastAsia" w:asciiTheme="majorEastAsia" w:hAnsiTheme="majorEastAsia" w:eastAsiaTheme="majorEastAsia" w:cstheme="majorEastAsia"/>
                <w:color w:val="000000"/>
                <w:sz w:val="21"/>
                <w:szCs w:val="21"/>
                <w:highlight w:val="none"/>
                <w:lang w:val="en-US" w:eastAsia="zh-CN"/>
              </w:rPr>
              <w:t>（1）所有砍伐木按技术规范要求进行除害处理，伐除的松木木段及直径超过1厘米的枝条（包括清理伐桩周围3米范围内的风折枝条）；</w:t>
            </w:r>
          </w:p>
          <w:p w14:paraId="3265175F">
            <w:pPr>
              <w:keepNext w:val="0"/>
              <w:keepLines w:val="0"/>
              <w:suppressLineNumbers w:val="0"/>
              <w:spacing w:before="0" w:beforeAutospacing="0" w:after="0" w:afterAutospacing="0" w:line="360" w:lineRule="auto"/>
              <w:ind w:left="0" w:right="0"/>
              <w:jc w:val="left"/>
              <w:rPr>
                <w:rFonts w:hint="eastAsia" w:asciiTheme="majorEastAsia" w:hAnsiTheme="majorEastAsia" w:eastAsiaTheme="majorEastAsia" w:cstheme="majorEastAsia"/>
                <w:color w:val="000000"/>
                <w:sz w:val="21"/>
                <w:szCs w:val="21"/>
                <w:highlight w:val="none"/>
                <w:lang w:val="en-US" w:eastAsia="zh-CN"/>
              </w:rPr>
            </w:pPr>
            <w:r>
              <w:rPr>
                <w:rFonts w:hint="eastAsia" w:asciiTheme="majorEastAsia" w:hAnsiTheme="majorEastAsia" w:eastAsiaTheme="majorEastAsia" w:cstheme="majorEastAsia"/>
                <w:color w:val="000000"/>
                <w:sz w:val="21"/>
                <w:szCs w:val="21"/>
                <w:highlight w:val="none"/>
                <w:lang w:val="en-US" w:eastAsia="zh-CN"/>
              </w:rPr>
              <w:t>（2）伐桩处理，在操作允许的条件下，伐桩高度不得超过 5cm，可不做其他处理。</w:t>
            </w:r>
          </w:p>
          <w:p w14:paraId="38D670C5">
            <w:pPr>
              <w:keepNext w:val="0"/>
              <w:keepLines w:val="0"/>
              <w:suppressLineNumbers w:val="0"/>
              <w:spacing w:before="0" w:beforeAutospacing="0" w:after="0" w:afterAutospacing="0" w:line="360" w:lineRule="auto"/>
              <w:ind w:left="0" w:right="0"/>
              <w:jc w:val="left"/>
              <w:rPr>
                <w:rFonts w:hint="eastAsia" w:asciiTheme="majorEastAsia" w:hAnsiTheme="majorEastAsia" w:eastAsiaTheme="majorEastAsia" w:cstheme="majorEastAsia"/>
                <w:color w:val="000000"/>
                <w:sz w:val="21"/>
                <w:szCs w:val="21"/>
                <w:highlight w:val="none"/>
                <w:lang w:val="en-US" w:eastAsia="zh-CN"/>
              </w:rPr>
            </w:pPr>
            <w:r>
              <w:rPr>
                <w:rFonts w:hint="eastAsia" w:asciiTheme="majorEastAsia" w:hAnsiTheme="majorEastAsia" w:eastAsiaTheme="majorEastAsia" w:cstheme="majorEastAsia"/>
                <w:color w:val="000000"/>
                <w:sz w:val="21"/>
                <w:szCs w:val="21"/>
                <w:highlight w:val="none"/>
                <w:lang w:val="en-US" w:eastAsia="zh-CN"/>
              </w:rPr>
              <w:t>（3）清理中实行全过程现场监管，并摄像和拍照片存档。</w:t>
            </w:r>
          </w:p>
          <w:p w14:paraId="001FF05B">
            <w:pPr>
              <w:keepNext w:val="0"/>
              <w:keepLines w:val="0"/>
              <w:suppressLineNumbers w:val="0"/>
              <w:spacing w:before="0" w:beforeAutospacing="0" w:after="0" w:afterAutospacing="0" w:line="360" w:lineRule="auto"/>
              <w:ind w:left="0" w:right="0"/>
              <w:jc w:val="left"/>
              <w:rPr>
                <w:rFonts w:hint="eastAsia" w:asciiTheme="majorEastAsia" w:hAnsiTheme="majorEastAsia" w:eastAsiaTheme="majorEastAsia" w:cstheme="majorEastAsia"/>
                <w:color w:val="000000"/>
                <w:sz w:val="21"/>
                <w:szCs w:val="21"/>
                <w:highlight w:val="none"/>
                <w:lang w:val="en-US" w:eastAsia="zh-CN"/>
              </w:rPr>
            </w:pPr>
            <w:r>
              <w:rPr>
                <w:rFonts w:hint="eastAsia" w:asciiTheme="majorEastAsia" w:hAnsiTheme="majorEastAsia" w:eastAsiaTheme="majorEastAsia" w:cstheme="majorEastAsia"/>
                <w:color w:val="000000"/>
                <w:sz w:val="21"/>
                <w:szCs w:val="21"/>
                <w:highlight w:val="none"/>
                <w:lang w:val="en-US" w:eastAsia="zh-CN"/>
              </w:rPr>
              <w:t>7.枯死树清理完成，要提交以下材料</w:t>
            </w:r>
          </w:p>
          <w:p w14:paraId="3C21A190">
            <w:pPr>
              <w:keepNext w:val="0"/>
              <w:keepLines w:val="0"/>
              <w:suppressLineNumbers w:val="0"/>
              <w:spacing w:before="0" w:beforeAutospacing="0" w:after="0" w:afterAutospacing="0" w:line="360" w:lineRule="auto"/>
              <w:ind w:left="0" w:right="0"/>
              <w:jc w:val="left"/>
              <w:rPr>
                <w:rFonts w:hint="eastAsia" w:asciiTheme="majorEastAsia" w:hAnsiTheme="majorEastAsia" w:eastAsiaTheme="majorEastAsia" w:cstheme="majorEastAsia"/>
                <w:color w:val="000000"/>
                <w:sz w:val="21"/>
                <w:szCs w:val="21"/>
                <w:highlight w:val="none"/>
                <w:lang w:val="en-US" w:eastAsia="zh-CN"/>
              </w:rPr>
            </w:pPr>
            <w:r>
              <w:rPr>
                <w:rFonts w:hint="eastAsia" w:asciiTheme="majorEastAsia" w:hAnsiTheme="majorEastAsia" w:eastAsiaTheme="majorEastAsia" w:cstheme="majorEastAsia"/>
                <w:color w:val="000000"/>
                <w:sz w:val="21"/>
                <w:szCs w:val="21"/>
                <w:highlight w:val="none"/>
                <w:lang w:val="en-US" w:eastAsia="zh-CN"/>
              </w:rPr>
              <w:t>（1）清理前、后的现状林相照片。</w:t>
            </w:r>
          </w:p>
          <w:p w14:paraId="7FA6F667">
            <w:pPr>
              <w:keepNext w:val="0"/>
              <w:keepLines w:val="0"/>
              <w:suppressLineNumbers w:val="0"/>
              <w:spacing w:before="0" w:beforeAutospacing="0" w:after="0" w:afterAutospacing="0" w:line="360" w:lineRule="auto"/>
              <w:ind w:left="0" w:right="0"/>
              <w:jc w:val="left"/>
              <w:rPr>
                <w:rFonts w:hint="eastAsia" w:asciiTheme="majorEastAsia" w:hAnsiTheme="majorEastAsia" w:eastAsiaTheme="majorEastAsia" w:cstheme="majorEastAsia"/>
                <w:color w:val="000000"/>
                <w:sz w:val="21"/>
                <w:szCs w:val="21"/>
                <w:highlight w:val="none"/>
                <w:lang w:val="en-US" w:eastAsia="zh-CN"/>
              </w:rPr>
            </w:pPr>
            <w:r>
              <w:rPr>
                <w:rFonts w:hint="eastAsia" w:asciiTheme="majorEastAsia" w:hAnsiTheme="majorEastAsia" w:eastAsiaTheme="majorEastAsia" w:cstheme="majorEastAsia"/>
                <w:color w:val="000000"/>
                <w:sz w:val="21"/>
                <w:szCs w:val="21"/>
                <w:highlight w:val="none"/>
                <w:lang w:val="en-US" w:eastAsia="zh-CN"/>
              </w:rPr>
              <w:t>（2）巡查记录材料。</w:t>
            </w:r>
          </w:p>
          <w:p w14:paraId="5E3B53F1">
            <w:pPr>
              <w:keepNext w:val="0"/>
              <w:keepLines w:val="0"/>
              <w:suppressLineNumbers w:val="0"/>
              <w:spacing w:before="0" w:beforeAutospacing="0" w:after="0" w:afterAutospacing="0" w:line="360" w:lineRule="auto"/>
              <w:ind w:left="0" w:right="0"/>
              <w:jc w:val="left"/>
              <w:rPr>
                <w:rFonts w:hint="eastAsia" w:asciiTheme="majorEastAsia" w:hAnsiTheme="majorEastAsia" w:eastAsiaTheme="majorEastAsia" w:cstheme="majorEastAsia"/>
                <w:color w:val="000000"/>
                <w:sz w:val="21"/>
                <w:szCs w:val="21"/>
                <w:highlight w:val="none"/>
                <w:lang w:val="en-US" w:eastAsia="zh-CN"/>
              </w:rPr>
            </w:pPr>
            <w:r>
              <w:rPr>
                <w:rFonts w:hint="eastAsia" w:asciiTheme="majorEastAsia" w:hAnsiTheme="majorEastAsia" w:eastAsiaTheme="majorEastAsia" w:cstheme="majorEastAsia"/>
                <w:color w:val="000000"/>
                <w:sz w:val="21"/>
                <w:szCs w:val="21"/>
                <w:highlight w:val="none"/>
                <w:lang w:val="en-US" w:eastAsia="zh-CN"/>
              </w:rPr>
              <w:t>（3）枯死树清理过程的照片及影像。</w:t>
            </w:r>
          </w:p>
          <w:p w14:paraId="70D5275E">
            <w:pPr>
              <w:keepNext w:val="0"/>
              <w:keepLines w:val="0"/>
              <w:suppressLineNumbers w:val="0"/>
              <w:spacing w:before="0" w:beforeAutospacing="0" w:after="0" w:afterAutospacing="0" w:line="360" w:lineRule="auto"/>
              <w:ind w:left="0" w:right="0"/>
              <w:jc w:val="left"/>
              <w:rPr>
                <w:rFonts w:hint="eastAsia" w:asciiTheme="majorEastAsia" w:hAnsiTheme="majorEastAsia" w:eastAsiaTheme="majorEastAsia" w:cstheme="majorEastAsia"/>
                <w:color w:val="000000"/>
                <w:sz w:val="21"/>
                <w:szCs w:val="21"/>
                <w:highlight w:val="none"/>
                <w:lang w:val="en-US" w:eastAsia="zh-CN"/>
              </w:rPr>
            </w:pPr>
            <w:r>
              <w:rPr>
                <w:rFonts w:hint="eastAsia" w:asciiTheme="majorEastAsia" w:hAnsiTheme="majorEastAsia" w:eastAsiaTheme="majorEastAsia" w:cstheme="majorEastAsia"/>
                <w:color w:val="000000"/>
                <w:sz w:val="21"/>
                <w:szCs w:val="21"/>
                <w:highlight w:val="none"/>
                <w:lang w:val="en-US" w:eastAsia="zh-CN"/>
              </w:rPr>
              <w:t>（4）清理株数汇总表。</w:t>
            </w:r>
          </w:p>
          <w:p w14:paraId="4FD4CDFC">
            <w:pPr>
              <w:keepNext w:val="0"/>
              <w:keepLines w:val="0"/>
              <w:suppressLineNumbers w:val="0"/>
              <w:spacing w:before="0" w:beforeAutospacing="0" w:after="0" w:afterAutospacing="0" w:line="360" w:lineRule="auto"/>
              <w:ind w:left="0" w:right="0"/>
              <w:jc w:val="left"/>
              <w:rPr>
                <w:rFonts w:hint="eastAsia" w:asciiTheme="majorEastAsia" w:hAnsiTheme="majorEastAsia" w:eastAsiaTheme="majorEastAsia" w:cstheme="majorEastAsia"/>
                <w:color w:val="000000"/>
                <w:sz w:val="21"/>
                <w:szCs w:val="21"/>
                <w:highlight w:val="none"/>
                <w:lang w:val="en-US" w:eastAsia="zh-CN"/>
              </w:rPr>
            </w:pPr>
            <w:r>
              <w:rPr>
                <w:rFonts w:hint="eastAsia" w:asciiTheme="majorEastAsia" w:hAnsiTheme="majorEastAsia" w:eastAsiaTheme="majorEastAsia" w:cstheme="majorEastAsia"/>
                <w:color w:val="000000"/>
                <w:sz w:val="21"/>
                <w:szCs w:val="21"/>
                <w:highlight w:val="none"/>
                <w:lang w:val="en-US" w:eastAsia="zh-CN"/>
              </w:rPr>
              <w:t>（5）现场信息采集材料。</w:t>
            </w:r>
          </w:p>
          <w:p w14:paraId="60F5D78F">
            <w:pPr>
              <w:keepNext w:val="0"/>
              <w:keepLines w:val="0"/>
              <w:suppressLineNumbers w:val="0"/>
              <w:spacing w:before="0" w:beforeAutospacing="0" w:after="0" w:afterAutospacing="0" w:line="360" w:lineRule="auto"/>
              <w:ind w:left="0" w:right="0"/>
              <w:jc w:val="left"/>
              <w:rPr>
                <w:rFonts w:hint="eastAsia" w:asciiTheme="majorEastAsia" w:hAnsiTheme="majorEastAsia" w:eastAsiaTheme="majorEastAsia" w:cstheme="majorEastAsia"/>
                <w:color w:val="000000"/>
                <w:sz w:val="21"/>
                <w:szCs w:val="21"/>
                <w:highlight w:val="none"/>
                <w:lang w:val="en-US" w:eastAsia="zh-CN"/>
              </w:rPr>
            </w:pPr>
            <w:r>
              <w:rPr>
                <w:rFonts w:hint="eastAsia" w:asciiTheme="majorEastAsia" w:hAnsiTheme="majorEastAsia" w:eastAsiaTheme="majorEastAsia" w:cstheme="majorEastAsia"/>
                <w:color w:val="000000"/>
                <w:sz w:val="21"/>
                <w:szCs w:val="21"/>
                <w:highlight w:val="none"/>
                <w:lang w:val="en-US" w:eastAsia="zh-CN"/>
              </w:rPr>
              <w:t>（6）总结材料，效果分析文字材料。</w:t>
            </w:r>
          </w:p>
          <w:p w14:paraId="65596556">
            <w:pPr>
              <w:keepNext w:val="0"/>
              <w:keepLines w:val="0"/>
              <w:suppressLineNumbers w:val="0"/>
              <w:spacing w:before="0" w:beforeAutospacing="0" w:after="0" w:afterAutospacing="0" w:line="360" w:lineRule="auto"/>
              <w:ind w:left="0" w:right="0"/>
              <w:jc w:val="left"/>
              <w:rPr>
                <w:rFonts w:hint="eastAsia" w:asciiTheme="majorEastAsia" w:hAnsiTheme="majorEastAsia" w:eastAsiaTheme="majorEastAsia" w:cstheme="majorEastAsia"/>
                <w:color w:val="000000"/>
                <w:sz w:val="21"/>
                <w:szCs w:val="21"/>
                <w:highlight w:val="none"/>
                <w:lang w:val="en-US" w:eastAsia="zh-CN"/>
              </w:rPr>
            </w:pPr>
            <w:r>
              <w:rPr>
                <w:rFonts w:hint="eastAsia" w:asciiTheme="majorEastAsia" w:hAnsiTheme="majorEastAsia" w:eastAsiaTheme="majorEastAsia" w:cstheme="majorEastAsia"/>
                <w:color w:val="000000"/>
                <w:sz w:val="21"/>
                <w:szCs w:val="21"/>
                <w:highlight w:val="none"/>
                <w:lang w:val="en-US" w:eastAsia="zh-CN"/>
              </w:rPr>
              <w:t>（7）清理结束要及时将材料装订成册提交给甲方。</w:t>
            </w:r>
          </w:p>
          <w:p w14:paraId="1A46A290">
            <w:pPr>
              <w:keepNext w:val="0"/>
              <w:keepLines w:val="0"/>
              <w:suppressLineNumbers w:val="0"/>
              <w:spacing w:before="0" w:beforeAutospacing="0" w:after="0" w:afterAutospacing="0" w:line="360" w:lineRule="auto"/>
              <w:ind w:left="0" w:right="0"/>
              <w:jc w:val="left"/>
              <w:rPr>
                <w:rFonts w:hint="eastAsia" w:asciiTheme="majorEastAsia" w:hAnsiTheme="majorEastAsia" w:eastAsiaTheme="majorEastAsia" w:cstheme="majorEastAsia"/>
                <w:color w:val="000000"/>
                <w:sz w:val="21"/>
                <w:szCs w:val="21"/>
                <w:highlight w:val="none"/>
                <w:lang w:val="en-US" w:eastAsia="zh-CN"/>
              </w:rPr>
            </w:pPr>
            <w:r>
              <w:rPr>
                <w:rFonts w:hint="eastAsia" w:asciiTheme="majorEastAsia" w:hAnsiTheme="majorEastAsia" w:eastAsiaTheme="majorEastAsia" w:cstheme="majorEastAsia"/>
                <w:color w:val="000000"/>
                <w:sz w:val="21"/>
                <w:szCs w:val="21"/>
                <w:highlight w:val="none"/>
                <w:lang w:val="en-US" w:eastAsia="zh-CN"/>
              </w:rPr>
              <w:t>8.对疫木的除害处理</w:t>
            </w:r>
          </w:p>
          <w:p w14:paraId="0EFAC5E6">
            <w:pPr>
              <w:keepNext w:val="0"/>
              <w:keepLines w:val="0"/>
              <w:suppressLineNumbers w:val="0"/>
              <w:spacing w:before="0" w:beforeAutospacing="0" w:after="0" w:afterAutospacing="0" w:line="360" w:lineRule="auto"/>
              <w:ind w:left="0" w:right="0"/>
              <w:jc w:val="left"/>
              <w:rPr>
                <w:rFonts w:hint="eastAsia" w:asciiTheme="majorEastAsia" w:hAnsiTheme="majorEastAsia" w:eastAsiaTheme="majorEastAsia" w:cstheme="majorEastAsia"/>
                <w:color w:val="000000"/>
                <w:sz w:val="21"/>
                <w:szCs w:val="21"/>
                <w:highlight w:val="none"/>
                <w:lang w:val="en-US" w:eastAsia="zh-CN"/>
              </w:rPr>
            </w:pPr>
            <w:r>
              <w:rPr>
                <w:rFonts w:hint="eastAsia" w:asciiTheme="majorEastAsia" w:hAnsiTheme="majorEastAsia" w:eastAsiaTheme="majorEastAsia" w:cstheme="majorEastAsia"/>
                <w:color w:val="000000"/>
                <w:sz w:val="21"/>
                <w:szCs w:val="21"/>
                <w:highlight w:val="none"/>
                <w:lang w:val="en-US" w:eastAsia="zh-CN"/>
              </w:rPr>
              <w:t>可按下面两个方法进行处理：</w:t>
            </w:r>
          </w:p>
          <w:p w14:paraId="0129D034">
            <w:pPr>
              <w:keepNext w:val="0"/>
              <w:keepLines w:val="0"/>
              <w:suppressLineNumbers w:val="0"/>
              <w:spacing w:before="0" w:beforeAutospacing="0" w:after="0" w:afterAutospacing="0" w:line="360" w:lineRule="auto"/>
              <w:ind w:left="0" w:right="0"/>
              <w:jc w:val="left"/>
              <w:rPr>
                <w:rFonts w:hint="eastAsia" w:asciiTheme="majorEastAsia" w:hAnsiTheme="majorEastAsia" w:eastAsiaTheme="majorEastAsia" w:cstheme="majorEastAsia"/>
                <w:color w:val="000000"/>
                <w:sz w:val="21"/>
                <w:szCs w:val="21"/>
                <w:highlight w:val="none"/>
                <w:lang w:val="en-US" w:eastAsia="zh-CN"/>
              </w:rPr>
            </w:pPr>
            <w:r>
              <w:rPr>
                <w:rFonts w:hint="eastAsia" w:asciiTheme="majorEastAsia" w:hAnsiTheme="majorEastAsia" w:eastAsiaTheme="majorEastAsia" w:cstheme="majorEastAsia"/>
                <w:color w:val="000000"/>
                <w:sz w:val="21"/>
                <w:szCs w:val="21"/>
                <w:highlight w:val="none"/>
                <w:lang w:val="en-US" w:eastAsia="zh-CN"/>
              </w:rPr>
              <w:t>（1）钢丝网罩</w:t>
            </w:r>
          </w:p>
          <w:p w14:paraId="524B79AA">
            <w:pPr>
              <w:keepNext w:val="0"/>
              <w:keepLines w:val="0"/>
              <w:suppressLineNumbers w:val="0"/>
              <w:spacing w:before="0" w:beforeAutospacing="0" w:after="0" w:afterAutospacing="0" w:line="360" w:lineRule="auto"/>
              <w:ind w:left="0" w:right="0"/>
              <w:jc w:val="left"/>
              <w:rPr>
                <w:rFonts w:hint="eastAsia" w:asciiTheme="majorEastAsia" w:hAnsiTheme="majorEastAsia" w:eastAsiaTheme="majorEastAsia" w:cstheme="majorEastAsia"/>
                <w:color w:val="000000"/>
                <w:sz w:val="21"/>
                <w:szCs w:val="21"/>
                <w:highlight w:val="none"/>
                <w:lang w:val="en-US" w:eastAsia="zh-CN"/>
              </w:rPr>
            </w:pPr>
            <w:r>
              <w:rPr>
                <w:rFonts w:hint="eastAsia" w:asciiTheme="majorEastAsia" w:hAnsiTheme="majorEastAsia" w:eastAsiaTheme="majorEastAsia" w:cstheme="majorEastAsia"/>
                <w:color w:val="000000"/>
                <w:sz w:val="21"/>
                <w:szCs w:val="21"/>
                <w:highlight w:val="none"/>
                <w:lang w:val="en-US" w:eastAsia="zh-CN"/>
              </w:rPr>
              <w:t xml:space="preserve">适用范围：山高坡陡、人迹罕至，且不具备粉碎（削片）、 烧毁等除害处理条件的疫情除治区。 </w:t>
            </w:r>
          </w:p>
          <w:p w14:paraId="68CB0D02">
            <w:pPr>
              <w:keepNext w:val="0"/>
              <w:keepLines w:val="0"/>
              <w:suppressLineNumbers w:val="0"/>
              <w:spacing w:before="0" w:beforeAutospacing="0" w:after="0" w:afterAutospacing="0" w:line="360" w:lineRule="auto"/>
              <w:ind w:left="0" w:right="0"/>
              <w:jc w:val="left"/>
              <w:rPr>
                <w:rFonts w:hint="eastAsia" w:asciiTheme="majorEastAsia" w:hAnsiTheme="majorEastAsia" w:eastAsiaTheme="majorEastAsia" w:cstheme="majorEastAsia"/>
                <w:color w:val="000000"/>
                <w:sz w:val="21"/>
                <w:szCs w:val="21"/>
                <w:highlight w:val="none"/>
                <w:lang w:val="en-US" w:eastAsia="zh-CN"/>
              </w:rPr>
            </w:pPr>
            <w:r>
              <w:rPr>
                <w:rFonts w:hint="eastAsia" w:asciiTheme="majorEastAsia" w:hAnsiTheme="majorEastAsia" w:eastAsiaTheme="majorEastAsia" w:cstheme="majorEastAsia"/>
                <w:color w:val="000000"/>
                <w:sz w:val="21"/>
                <w:szCs w:val="21"/>
                <w:highlight w:val="none"/>
                <w:lang w:val="en-US" w:eastAsia="zh-CN"/>
              </w:rPr>
              <w:t>作业要求：树干应截短至 1m 以内以防流失，使用钢丝直径大于等于 0.17mm，网目数大于等于 16 目的锻压钢丝网罩严密包裹采伐清理的疫木及直径超过1cm 的枝桠，并进行严密锁边，不定期安排人员上山巡查。</w:t>
            </w:r>
          </w:p>
          <w:p w14:paraId="7F3F8829">
            <w:pPr>
              <w:keepNext w:val="0"/>
              <w:keepLines w:val="0"/>
              <w:suppressLineNumbers w:val="0"/>
              <w:spacing w:before="0" w:beforeAutospacing="0" w:after="0" w:afterAutospacing="0" w:line="360" w:lineRule="auto"/>
              <w:ind w:left="0" w:right="0"/>
              <w:jc w:val="left"/>
              <w:rPr>
                <w:rFonts w:hint="eastAsia" w:asciiTheme="majorEastAsia" w:hAnsiTheme="majorEastAsia" w:eastAsiaTheme="majorEastAsia" w:cstheme="majorEastAsia"/>
                <w:color w:val="000000"/>
                <w:sz w:val="21"/>
                <w:szCs w:val="21"/>
                <w:highlight w:val="none"/>
                <w:lang w:val="en-US" w:eastAsia="zh-CN"/>
              </w:rPr>
            </w:pPr>
            <w:r>
              <w:rPr>
                <w:rFonts w:hint="eastAsia" w:asciiTheme="majorEastAsia" w:hAnsiTheme="majorEastAsia" w:eastAsiaTheme="majorEastAsia" w:cstheme="majorEastAsia"/>
                <w:color w:val="000000"/>
                <w:sz w:val="21"/>
                <w:szCs w:val="21"/>
                <w:highlight w:val="none"/>
                <w:lang w:val="en-US" w:eastAsia="zh-CN"/>
              </w:rPr>
              <w:t>（2）焚烧处理</w:t>
            </w:r>
          </w:p>
          <w:p w14:paraId="1592C13C">
            <w:pPr>
              <w:keepNext w:val="0"/>
              <w:keepLines w:val="0"/>
              <w:suppressLineNumbers w:val="0"/>
              <w:spacing w:before="0" w:beforeAutospacing="0" w:after="0" w:afterAutospacing="0" w:line="360" w:lineRule="auto"/>
              <w:ind w:left="0" w:right="0"/>
              <w:jc w:val="left"/>
              <w:rPr>
                <w:rFonts w:hint="eastAsia" w:asciiTheme="majorEastAsia" w:hAnsiTheme="majorEastAsia" w:eastAsiaTheme="majorEastAsia" w:cstheme="majorEastAsia"/>
                <w:b w:val="0"/>
                <w:bCs w:val="0"/>
                <w:kern w:val="0"/>
                <w:sz w:val="21"/>
                <w:szCs w:val="21"/>
                <w:highlight w:val="none"/>
                <w:lang w:bidi="ar"/>
              </w:rPr>
            </w:pPr>
            <w:r>
              <w:rPr>
                <w:rFonts w:hint="eastAsia" w:asciiTheme="majorEastAsia" w:hAnsiTheme="majorEastAsia" w:eastAsiaTheme="majorEastAsia" w:cstheme="majorEastAsia"/>
                <w:color w:val="000000"/>
                <w:sz w:val="21"/>
                <w:szCs w:val="21"/>
                <w:highlight w:val="none"/>
                <w:lang w:val="en-US" w:eastAsia="zh-CN"/>
              </w:rPr>
              <w:t>作业要求：就地焚烧采伐清理的疫木及直径超过 1cm 的枝桠，应将疫木表层碳化至木质部 1cm 以上，无原色松木表皮或木质部裸露。选择火场应相对空旷并做好防火隔离措施，焚烧现场要实行全过程旁站式监管，确保用火安全并收集照片、数据等资料信息存档。在防火期内和可能存在火灾隐患的区域，要在严格遵守当地森林防火有关要求的前提下，采取焚烧处理。</w:t>
            </w:r>
          </w:p>
        </w:tc>
      </w:tr>
    </w:tbl>
    <w:p w14:paraId="3FD0D524">
      <w:pPr>
        <w:pStyle w:val="76"/>
        <w:rPr>
          <w:rFonts w:hint="eastAsia" w:ascii="宋体" w:hAnsi="宋体" w:eastAsia="宋体" w:cs="宋体"/>
          <w:sz w:val="21"/>
          <w:szCs w:val="21"/>
        </w:rPr>
      </w:pPr>
    </w:p>
    <w:p w14:paraId="68088B4A">
      <w:pPr>
        <w:keepNext w:val="0"/>
        <w:keepLines w:val="0"/>
        <w:pageBreakBefore w:val="0"/>
        <w:widowControl w:val="0"/>
        <w:kinsoku/>
        <w:wordWrap/>
        <w:overflowPunct/>
        <w:topLinePunct w:val="0"/>
        <w:autoSpaceDE/>
        <w:autoSpaceDN/>
        <w:bidi w:val="0"/>
        <w:adjustRightInd/>
        <w:snapToGrid/>
        <w:spacing w:line="312" w:lineRule="auto"/>
        <w:ind w:firstLine="420" w:firstLineChars="200"/>
        <w:jc w:val="both"/>
        <w:textAlignment w:val="auto"/>
        <w:rPr>
          <w:rFonts w:hint="eastAsia" w:ascii="宋体" w:hAnsi="宋体" w:eastAsia="宋体" w:cs="宋体"/>
          <w:color w:val="auto"/>
          <w:sz w:val="21"/>
          <w:szCs w:val="21"/>
          <w:highlight w:val="none"/>
        </w:rPr>
      </w:pPr>
    </w:p>
    <w:p w14:paraId="034BE062">
      <w:pPr>
        <w:pageBreakBefore w:val="0"/>
        <w:tabs>
          <w:tab w:val="left" w:pos="180"/>
          <w:tab w:val="left" w:pos="1620"/>
        </w:tabs>
        <w:kinsoku/>
        <w:wordWrap/>
        <w:topLinePunct w:val="0"/>
        <w:bidi w:val="0"/>
        <w:spacing w:line="312" w:lineRule="auto"/>
        <w:ind w:firstLine="422" w:firstLineChars="200"/>
        <w:rPr>
          <w:rFonts w:hint="eastAsia" w:ascii="宋体" w:hAnsi="宋体" w:cs="宋体"/>
          <w:b/>
          <w:bCs/>
          <w:color w:val="auto"/>
          <w:szCs w:val="21"/>
          <w:highlight w:val="none"/>
        </w:rPr>
      </w:pPr>
    </w:p>
    <w:p w14:paraId="6B459B5F">
      <w:pPr>
        <w:pageBreakBefore w:val="0"/>
        <w:kinsoku/>
        <w:wordWrap/>
        <w:topLinePunct w:val="0"/>
        <w:bidi w:val="0"/>
        <w:spacing w:line="312" w:lineRule="auto"/>
        <w:jc w:val="center"/>
        <w:outlineLvl w:val="0"/>
        <w:rPr>
          <w:rFonts w:hint="eastAsia" w:ascii="宋体" w:hAnsi="宋体" w:cs="宋体"/>
          <w:b w:val="0"/>
          <w:bCs w:val="0"/>
          <w:color w:val="auto"/>
          <w:szCs w:val="21"/>
          <w:highlight w:val="none"/>
        </w:rPr>
      </w:pPr>
    </w:p>
    <w:p w14:paraId="30458935">
      <w:pPr>
        <w:pageBreakBefore w:val="0"/>
        <w:kinsoku/>
        <w:wordWrap/>
        <w:topLinePunct w:val="0"/>
        <w:bidi w:val="0"/>
        <w:spacing w:line="312" w:lineRule="auto"/>
        <w:jc w:val="center"/>
        <w:outlineLvl w:val="0"/>
        <w:rPr>
          <w:rFonts w:hint="eastAsia" w:ascii="宋体" w:hAnsi="宋体" w:cs="宋体"/>
          <w:b w:val="0"/>
          <w:bCs w:val="0"/>
          <w:color w:val="auto"/>
          <w:szCs w:val="21"/>
          <w:highlight w:val="none"/>
        </w:rPr>
      </w:pPr>
    </w:p>
    <w:p w14:paraId="30840F08">
      <w:pPr>
        <w:pageBreakBefore w:val="0"/>
        <w:kinsoku/>
        <w:wordWrap/>
        <w:topLinePunct w:val="0"/>
        <w:bidi w:val="0"/>
        <w:spacing w:line="312" w:lineRule="auto"/>
        <w:jc w:val="center"/>
        <w:outlineLvl w:val="0"/>
        <w:rPr>
          <w:rFonts w:hint="eastAsia" w:ascii="宋体" w:hAnsi="宋体" w:cs="宋体"/>
          <w:b w:val="0"/>
          <w:bCs w:val="0"/>
          <w:color w:val="auto"/>
          <w:szCs w:val="21"/>
          <w:highlight w:val="none"/>
        </w:rPr>
      </w:pPr>
    </w:p>
    <w:p w14:paraId="10E9CA96">
      <w:pPr>
        <w:pageBreakBefore w:val="0"/>
        <w:kinsoku/>
        <w:wordWrap/>
        <w:topLinePunct w:val="0"/>
        <w:bidi w:val="0"/>
        <w:spacing w:line="312" w:lineRule="auto"/>
        <w:jc w:val="center"/>
        <w:outlineLvl w:val="0"/>
        <w:rPr>
          <w:rFonts w:hint="eastAsia" w:ascii="宋体" w:hAnsi="宋体" w:cs="宋体"/>
          <w:b w:val="0"/>
          <w:bCs w:val="0"/>
          <w:color w:val="auto"/>
          <w:szCs w:val="21"/>
          <w:highlight w:val="none"/>
        </w:rPr>
      </w:pPr>
    </w:p>
    <w:p w14:paraId="5819FEA7">
      <w:pPr>
        <w:pageBreakBefore w:val="0"/>
        <w:kinsoku/>
        <w:wordWrap/>
        <w:topLinePunct w:val="0"/>
        <w:bidi w:val="0"/>
        <w:spacing w:line="312" w:lineRule="auto"/>
        <w:jc w:val="center"/>
        <w:outlineLvl w:val="0"/>
        <w:rPr>
          <w:rFonts w:hint="eastAsia" w:ascii="宋体" w:hAnsi="宋体" w:cs="宋体"/>
          <w:b w:val="0"/>
          <w:bCs w:val="0"/>
          <w:color w:val="auto"/>
          <w:szCs w:val="21"/>
          <w:highlight w:val="none"/>
        </w:rPr>
      </w:pPr>
    </w:p>
    <w:p w14:paraId="02FBD25C">
      <w:pPr>
        <w:pageBreakBefore w:val="0"/>
        <w:kinsoku/>
        <w:wordWrap/>
        <w:topLinePunct w:val="0"/>
        <w:bidi w:val="0"/>
        <w:spacing w:line="312" w:lineRule="auto"/>
        <w:jc w:val="center"/>
        <w:outlineLvl w:val="0"/>
        <w:rPr>
          <w:rFonts w:hint="eastAsia" w:ascii="宋体" w:hAnsi="宋体" w:cs="宋体"/>
          <w:b w:val="0"/>
          <w:bCs w:val="0"/>
          <w:color w:val="auto"/>
          <w:szCs w:val="21"/>
          <w:highlight w:val="none"/>
        </w:rPr>
      </w:pPr>
    </w:p>
    <w:p w14:paraId="6A238822">
      <w:pPr>
        <w:pageBreakBefore w:val="0"/>
        <w:kinsoku/>
        <w:wordWrap/>
        <w:topLinePunct w:val="0"/>
        <w:bidi w:val="0"/>
        <w:spacing w:line="312" w:lineRule="auto"/>
        <w:jc w:val="center"/>
        <w:outlineLvl w:val="0"/>
        <w:rPr>
          <w:rFonts w:hint="eastAsia" w:ascii="宋体" w:hAnsi="宋体" w:cs="宋体"/>
          <w:b w:val="0"/>
          <w:bCs w:val="0"/>
          <w:color w:val="auto"/>
          <w:szCs w:val="21"/>
          <w:highlight w:val="none"/>
        </w:rPr>
      </w:pPr>
    </w:p>
    <w:p w14:paraId="1F3E838E">
      <w:pPr>
        <w:pageBreakBefore w:val="0"/>
        <w:kinsoku/>
        <w:wordWrap/>
        <w:topLinePunct w:val="0"/>
        <w:bidi w:val="0"/>
        <w:spacing w:line="312" w:lineRule="auto"/>
        <w:jc w:val="center"/>
        <w:outlineLvl w:val="0"/>
        <w:rPr>
          <w:rFonts w:hint="eastAsia" w:ascii="宋体" w:hAnsi="宋体" w:cs="宋体"/>
          <w:b w:val="0"/>
          <w:bCs w:val="0"/>
          <w:color w:val="auto"/>
          <w:szCs w:val="21"/>
          <w:highlight w:val="none"/>
        </w:rPr>
      </w:pPr>
    </w:p>
    <w:p w14:paraId="390946E7">
      <w:pPr>
        <w:pageBreakBefore w:val="0"/>
        <w:kinsoku/>
        <w:wordWrap/>
        <w:topLinePunct w:val="0"/>
        <w:bidi w:val="0"/>
        <w:spacing w:line="312" w:lineRule="auto"/>
        <w:jc w:val="center"/>
        <w:outlineLvl w:val="0"/>
        <w:rPr>
          <w:rFonts w:hint="eastAsia" w:ascii="宋体" w:hAnsi="宋体" w:cs="宋体"/>
          <w:b w:val="0"/>
          <w:bCs w:val="0"/>
          <w:color w:val="auto"/>
          <w:szCs w:val="21"/>
          <w:highlight w:val="none"/>
        </w:rPr>
      </w:pPr>
    </w:p>
    <w:p w14:paraId="192E5621">
      <w:pPr>
        <w:pageBreakBefore w:val="0"/>
        <w:kinsoku/>
        <w:wordWrap/>
        <w:topLinePunct w:val="0"/>
        <w:bidi w:val="0"/>
        <w:spacing w:line="312" w:lineRule="auto"/>
        <w:jc w:val="center"/>
        <w:outlineLvl w:val="0"/>
        <w:rPr>
          <w:rFonts w:hint="eastAsia" w:ascii="宋体" w:hAnsi="宋体" w:cs="宋体"/>
          <w:b w:val="0"/>
          <w:bCs w:val="0"/>
          <w:color w:val="auto"/>
          <w:szCs w:val="21"/>
          <w:highlight w:val="none"/>
        </w:rPr>
      </w:pPr>
    </w:p>
    <w:p w14:paraId="4F53CDF3">
      <w:pPr>
        <w:pageBreakBefore w:val="0"/>
        <w:kinsoku/>
        <w:wordWrap/>
        <w:topLinePunct w:val="0"/>
        <w:bidi w:val="0"/>
        <w:spacing w:line="312" w:lineRule="auto"/>
        <w:jc w:val="center"/>
        <w:outlineLvl w:val="0"/>
        <w:rPr>
          <w:rFonts w:hint="eastAsia" w:ascii="宋体" w:hAnsi="宋体" w:cs="宋体"/>
          <w:b w:val="0"/>
          <w:bCs w:val="0"/>
          <w:color w:val="auto"/>
          <w:szCs w:val="21"/>
          <w:highlight w:val="none"/>
        </w:rPr>
      </w:pPr>
    </w:p>
    <w:p w14:paraId="48743539">
      <w:pPr>
        <w:pageBreakBefore w:val="0"/>
        <w:kinsoku/>
        <w:wordWrap/>
        <w:topLinePunct w:val="0"/>
        <w:bidi w:val="0"/>
        <w:spacing w:line="312" w:lineRule="auto"/>
        <w:jc w:val="center"/>
        <w:outlineLvl w:val="0"/>
        <w:rPr>
          <w:rFonts w:hint="eastAsia" w:ascii="宋体" w:hAnsi="宋体" w:cs="宋体"/>
          <w:b w:val="0"/>
          <w:bCs w:val="0"/>
          <w:color w:val="auto"/>
          <w:szCs w:val="21"/>
          <w:highlight w:val="none"/>
        </w:rPr>
      </w:pPr>
    </w:p>
    <w:p w14:paraId="2BB76277">
      <w:pPr>
        <w:pageBreakBefore w:val="0"/>
        <w:kinsoku/>
        <w:wordWrap/>
        <w:topLinePunct w:val="0"/>
        <w:bidi w:val="0"/>
        <w:spacing w:line="312" w:lineRule="auto"/>
        <w:jc w:val="center"/>
        <w:outlineLvl w:val="0"/>
        <w:rPr>
          <w:rFonts w:hint="eastAsia" w:ascii="宋体" w:hAnsi="宋体" w:cs="宋体"/>
          <w:b w:val="0"/>
          <w:bCs w:val="0"/>
          <w:color w:val="auto"/>
          <w:szCs w:val="21"/>
          <w:highlight w:val="none"/>
        </w:rPr>
      </w:pPr>
    </w:p>
    <w:p w14:paraId="50212E27">
      <w:pPr>
        <w:pageBreakBefore w:val="0"/>
        <w:kinsoku/>
        <w:wordWrap/>
        <w:topLinePunct w:val="0"/>
        <w:bidi w:val="0"/>
        <w:spacing w:line="312" w:lineRule="auto"/>
        <w:jc w:val="center"/>
        <w:outlineLvl w:val="0"/>
        <w:rPr>
          <w:rFonts w:hint="eastAsia" w:ascii="宋体" w:hAnsi="宋体" w:cs="宋体"/>
          <w:b w:val="0"/>
          <w:bCs w:val="0"/>
          <w:color w:val="auto"/>
          <w:szCs w:val="21"/>
          <w:highlight w:val="none"/>
        </w:rPr>
      </w:pPr>
    </w:p>
    <w:p w14:paraId="22525048">
      <w:pPr>
        <w:pageBreakBefore w:val="0"/>
        <w:kinsoku/>
        <w:wordWrap/>
        <w:topLinePunct w:val="0"/>
        <w:bidi w:val="0"/>
        <w:spacing w:line="312" w:lineRule="auto"/>
        <w:jc w:val="center"/>
        <w:outlineLvl w:val="0"/>
        <w:rPr>
          <w:rFonts w:hint="eastAsia" w:ascii="宋体" w:hAnsi="宋体" w:cs="宋体"/>
          <w:b w:val="0"/>
          <w:bCs w:val="0"/>
          <w:color w:val="auto"/>
          <w:szCs w:val="21"/>
          <w:highlight w:val="none"/>
        </w:rPr>
      </w:pPr>
    </w:p>
    <w:p w14:paraId="57ED3898">
      <w:pPr>
        <w:pageBreakBefore w:val="0"/>
        <w:kinsoku/>
        <w:wordWrap/>
        <w:topLinePunct w:val="0"/>
        <w:bidi w:val="0"/>
        <w:spacing w:line="312" w:lineRule="auto"/>
        <w:jc w:val="center"/>
        <w:outlineLvl w:val="0"/>
        <w:rPr>
          <w:rFonts w:hint="eastAsia" w:ascii="宋体" w:hAnsi="宋体" w:cs="宋体"/>
          <w:b w:val="0"/>
          <w:bCs w:val="0"/>
          <w:color w:val="auto"/>
          <w:szCs w:val="21"/>
          <w:highlight w:val="none"/>
        </w:rPr>
      </w:pPr>
    </w:p>
    <w:p w14:paraId="5AFE1E00">
      <w:pPr>
        <w:pageBreakBefore w:val="0"/>
        <w:kinsoku/>
        <w:wordWrap/>
        <w:topLinePunct w:val="0"/>
        <w:bidi w:val="0"/>
        <w:spacing w:line="312" w:lineRule="auto"/>
        <w:jc w:val="center"/>
        <w:outlineLvl w:val="0"/>
        <w:rPr>
          <w:rFonts w:hint="eastAsia" w:ascii="宋体" w:hAnsi="宋体" w:cs="宋体"/>
          <w:b w:val="0"/>
          <w:bCs w:val="0"/>
          <w:color w:val="auto"/>
          <w:szCs w:val="21"/>
          <w:highlight w:val="none"/>
        </w:rPr>
      </w:pPr>
    </w:p>
    <w:p w14:paraId="63F1B9AC">
      <w:pPr>
        <w:pageBreakBefore w:val="0"/>
        <w:kinsoku/>
        <w:wordWrap/>
        <w:topLinePunct w:val="0"/>
        <w:bidi w:val="0"/>
        <w:spacing w:line="312" w:lineRule="auto"/>
        <w:jc w:val="center"/>
        <w:outlineLvl w:val="0"/>
        <w:rPr>
          <w:rFonts w:hint="eastAsia" w:ascii="宋体" w:hAnsi="宋体" w:cs="宋体"/>
          <w:b w:val="0"/>
          <w:bCs w:val="0"/>
          <w:color w:val="auto"/>
          <w:szCs w:val="21"/>
          <w:highlight w:val="none"/>
        </w:rPr>
      </w:pPr>
    </w:p>
    <w:p w14:paraId="4A84F504">
      <w:pPr>
        <w:pageBreakBefore w:val="0"/>
        <w:kinsoku/>
        <w:wordWrap/>
        <w:topLinePunct w:val="0"/>
        <w:bidi w:val="0"/>
        <w:spacing w:line="312" w:lineRule="auto"/>
        <w:jc w:val="center"/>
        <w:outlineLvl w:val="0"/>
        <w:rPr>
          <w:rFonts w:hint="eastAsia" w:ascii="宋体" w:hAnsi="宋体" w:cs="宋体"/>
          <w:b w:val="0"/>
          <w:bCs w:val="0"/>
          <w:color w:val="auto"/>
          <w:szCs w:val="21"/>
          <w:highlight w:val="none"/>
        </w:rPr>
      </w:pPr>
    </w:p>
    <w:p w14:paraId="7444C683">
      <w:pPr>
        <w:pageBreakBefore w:val="0"/>
        <w:kinsoku/>
        <w:wordWrap/>
        <w:topLinePunct w:val="0"/>
        <w:bidi w:val="0"/>
        <w:spacing w:line="312" w:lineRule="auto"/>
        <w:jc w:val="center"/>
        <w:outlineLvl w:val="0"/>
        <w:rPr>
          <w:rFonts w:hint="eastAsia" w:ascii="宋体" w:hAnsi="宋体" w:cs="宋体"/>
          <w:b w:val="0"/>
          <w:bCs w:val="0"/>
          <w:color w:val="auto"/>
          <w:szCs w:val="21"/>
          <w:highlight w:val="none"/>
        </w:rPr>
      </w:pPr>
    </w:p>
    <w:p w14:paraId="2B3E82BE">
      <w:pPr>
        <w:pageBreakBefore w:val="0"/>
        <w:kinsoku/>
        <w:wordWrap/>
        <w:topLinePunct w:val="0"/>
        <w:bidi w:val="0"/>
        <w:spacing w:line="312" w:lineRule="auto"/>
        <w:jc w:val="center"/>
        <w:outlineLvl w:val="0"/>
        <w:rPr>
          <w:rFonts w:hint="eastAsia" w:ascii="宋体" w:hAnsi="宋体" w:cs="宋体"/>
          <w:b w:val="0"/>
          <w:bCs w:val="0"/>
          <w:color w:val="auto"/>
          <w:szCs w:val="21"/>
          <w:highlight w:val="none"/>
        </w:rPr>
      </w:pPr>
    </w:p>
    <w:p w14:paraId="56166E26">
      <w:pPr>
        <w:spacing w:after="159" w:afterLines="50" w:afterAutospacing="0"/>
        <w:jc w:val="center"/>
        <w:rPr>
          <w:rFonts w:hint="eastAsia" w:asciiTheme="majorEastAsia" w:hAnsiTheme="majorEastAsia" w:eastAsiaTheme="majorEastAsia" w:cstheme="majorEastAsia"/>
          <w:b/>
          <w:bCs/>
          <w:color w:val="000000"/>
          <w:sz w:val="32"/>
          <w:szCs w:val="32"/>
          <w:highlight w:val="none"/>
        </w:rPr>
      </w:pPr>
      <w:bookmarkStart w:id="85" w:name="_Toc27365"/>
      <w:bookmarkStart w:id="86" w:name="_Toc6447"/>
      <w:bookmarkStart w:id="87" w:name="_Toc6856"/>
      <w:bookmarkStart w:id="88" w:name="_Toc14278"/>
      <w:bookmarkStart w:id="89" w:name="_Toc8228"/>
      <w:r>
        <w:rPr>
          <w:rFonts w:hint="eastAsia" w:asciiTheme="majorEastAsia" w:hAnsiTheme="majorEastAsia" w:eastAsiaTheme="majorEastAsia" w:cstheme="majorEastAsia"/>
          <w:b/>
          <w:bCs/>
          <w:color w:val="000000"/>
          <w:sz w:val="32"/>
          <w:szCs w:val="32"/>
          <w:highlight w:val="none"/>
        </w:rPr>
        <w:t>中小微企业划型标准</w:t>
      </w:r>
    </w:p>
    <w:tbl>
      <w:tblPr>
        <w:tblStyle w:val="30"/>
        <w:tblW w:w="9795" w:type="dxa"/>
        <w:tblInd w:w="-268" w:type="dxa"/>
        <w:tblLayout w:type="fixed"/>
        <w:tblCellMar>
          <w:top w:w="0" w:type="dxa"/>
          <w:left w:w="108" w:type="dxa"/>
          <w:bottom w:w="0" w:type="dxa"/>
          <w:right w:w="108" w:type="dxa"/>
        </w:tblCellMar>
      </w:tblPr>
      <w:tblGrid>
        <w:gridCol w:w="2106"/>
        <w:gridCol w:w="1794"/>
        <w:gridCol w:w="780"/>
        <w:gridCol w:w="2130"/>
        <w:gridCol w:w="1830"/>
        <w:gridCol w:w="1155"/>
      </w:tblGrid>
      <w:tr w14:paraId="592CDFFA">
        <w:tblPrEx>
          <w:tblCellMar>
            <w:top w:w="0" w:type="dxa"/>
            <w:left w:w="108" w:type="dxa"/>
            <w:bottom w:w="0" w:type="dxa"/>
            <w:right w:w="108" w:type="dxa"/>
          </w:tblCellMar>
        </w:tblPrEx>
        <w:trPr>
          <w:trHeight w:val="620" w:hRule="atLeast"/>
        </w:trPr>
        <w:tc>
          <w:tcPr>
            <w:tcW w:w="2106" w:type="dxa"/>
            <w:tcBorders>
              <w:top w:val="single" w:color="auto" w:sz="4" w:space="0"/>
              <w:left w:val="single" w:color="auto" w:sz="4" w:space="0"/>
              <w:bottom w:val="single" w:color="auto" w:sz="4" w:space="0"/>
              <w:right w:val="single" w:color="auto" w:sz="4" w:space="0"/>
            </w:tcBorders>
            <w:noWrap/>
            <w:vAlign w:val="center"/>
          </w:tcPr>
          <w:p w14:paraId="28AE7D9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b/>
                <w:bCs/>
                <w:color w:val="000000"/>
                <w:w w:val="99"/>
                <w:kern w:val="0"/>
                <w:sz w:val="21"/>
                <w:szCs w:val="21"/>
                <w:highlight w:val="none"/>
                <w:lang w:eastAsia="en-US"/>
              </w:rPr>
            </w:pPr>
            <w:r>
              <w:rPr>
                <w:rFonts w:hint="eastAsia" w:asciiTheme="majorEastAsia" w:hAnsiTheme="majorEastAsia" w:eastAsiaTheme="majorEastAsia" w:cstheme="majorEastAsia"/>
                <w:b/>
                <w:bCs/>
                <w:color w:val="000000"/>
                <w:w w:val="99"/>
                <w:kern w:val="0"/>
                <w:sz w:val="21"/>
                <w:szCs w:val="21"/>
                <w:highlight w:val="none"/>
                <w:lang w:eastAsia="en-US"/>
              </w:rPr>
              <w:t>行业名称</w:t>
            </w:r>
          </w:p>
        </w:tc>
        <w:tc>
          <w:tcPr>
            <w:tcW w:w="1794" w:type="dxa"/>
            <w:tcBorders>
              <w:top w:val="single" w:color="auto" w:sz="4" w:space="0"/>
              <w:left w:val="nil"/>
              <w:bottom w:val="single" w:color="auto" w:sz="4" w:space="0"/>
              <w:right w:val="single" w:color="auto" w:sz="4" w:space="0"/>
            </w:tcBorders>
            <w:noWrap/>
            <w:vAlign w:val="center"/>
          </w:tcPr>
          <w:p w14:paraId="623A878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b/>
                <w:bCs/>
                <w:color w:val="000000"/>
                <w:w w:val="99"/>
                <w:kern w:val="0"/>
                <w:sz w:val="21"/>
                <w:szCs w:val="21"/>
                <w:highlight w:val="none"/>
                <w:lang w:eastAsia="en-US"/>
              </w:rPr>
            </w:pPr>
            <w:r>
              <w:rPr>
                <w:rFonts w:hint="eastAsia" w:asciiTheme="majorEastAsia" w:hAnsiTheme="majorEastAsia" w:eastAsiaTheme="majorEastAsia" w:cstheme="majorEastAsia"/>
                <w:b/>
                <w:bCs/>
                <w:color w:val="000000"/>
                <w:w w:val="99"/>
                <w:kern w:val="0"/>
                <w:sz w:val="21"/>
                <w:szCs w:val="21"/>
                <w:highlight w:val="none"/>
                <w:lang w:eastAsia="en-US"/>
              </w:rPr>
              <w:t>指标名称</w:t>
            </w:r>
          </w:p>
        </w:tc>
        <w:tc>
          <w:tcPr>
            <w:tcW w:w="780" w:type="dxa"/>
            <w:tcBorders>
              <w:top w:val="single" w:color="auto" w:sz="4" w:space="0"/>
              <w:left w:val="nil"/>
              <w:bottom w:val="single" w:color="auto" w:sz="4" w:space="0"/>
              <w:right w:val="single" w:color="auto" w:sz="4" w:space="0"/>
            </w:tcBorders>
            <w:noWrap/>
            <w:vAlign w:val="center"/>
          </w:tcPr>
          <w:p w14:paraId="396A498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b/>
                <w:bCs/>
                <w:color w:val="000000"/>
                <w:w w:val="99"/>
                <w:kern w:val="0"/>
                <w:sz w:val="21"/>
                <w:szCs w:val="21"/>
                <w:highlight w:val="none"/>
                <w:lang w:eastAsia="en-US"/>
              </w:rPr>
            </w:pPr>
            <w:r>
              <w:rPr>
                <w:rFonts w:hint="eastAsia" w:asciiTheme="majorEastAsia" w:hAnsiTheme="majorEastAsia" w:eastAsiaTheme="majorEastAsia" w:cstheme="majorEastAsia"/>
                <w:b/>
                <w:bCs/>
                <w:color w:val="000000"/>
                <w:w w:val="99"/>
                <w:kern w:val="0"/>
                <w:sz w:val="21"/>
                <w:szCs w:val="21"/>
                <w:highlight w:val="none"/>
                <w:lang w:eastAsia="en-US"/>
              </w:rPr>
              <w:t>计量单位</w:t>
            </w:r>
          </w:p>
        </w:tc>
        <w:tc>
          <w:tcPr>
            <w:tcW w:w="2130" w:type="dxa"/>
            <w:tcBorders>
              <w:top w:val="single" w:color="auto" w:sz="4" w:space="0"/>
              <w:left w:val="nil"/>
              <w:bottom w:val="single" w:color="auto" w:sz="4" w:space="0"/>
              <w:right w:val="single" w:color="auto" w:sz="4" w:space="0"/>
            </w:tcBorders>
            <w:noWrap/>
            <w:vAlign w:val="center"/>
          </w:tcPr>
          <w:p w14:paraId="76B137D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b/>
                <w:bCs/>
                <w:color w:val="000000"/>
                <w:w w:val="99"/>
                <w:kern w:val="0"/>
                <w:sz w:val="21"/>
                <w:szCs w:val="21"/>
                <w:highlight w:val="none"/>
                <w:lang w:eastAsia="en-US"/>
              </w:rPr>
            </w:pPr>
            <w:r>
              <w:rPr>
                <w:rFonts w:hint="eastAsia" w:asciiTheme="majorEastAsia" w:hAnsiTheme="majorEastAsia" w:eastAsiaTheme="majorEastAsia" w:cstheme="majorEastAsia"/>
                <w:b/>
                <w:bCs/>
                <w:color w:val="000000"/>
                <w:w w:val="99"/>
                <w:kern w:val="0"/>
                <w:sz w:val="21"/>
                <w:szCs w:val="21"/>
                <w:highlight w:val="none"/>
                <w:lang w:eastAsia="en-US"/>
              </w:rPr>
              <w:t>中型</w:t>
            </w:r>
          </w:p>
        </w:tc>
        <w:tc>
          <w:tcPr>
            <w:tcW w:w="1830" w:type="dxa"/>
            <w:tcBorders>
              <w:top w:val="single" w:color="auto" w:sz="4" w:space="0"/>
              <w:left w:val="nil"/>
              <w:bottom w:val="single" w:color="auto" w:sz="4" w:space="0"/>
              <w:right w:val="single" w:color="auto" w:sz="4" w:space="0"/>
            </w:tcBorders>
            <w:noWrap/>
            <w:vAlign w:val="center"/>
          </w:tcPr>
          <w:p w14:paraId="4D588C1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b/>
                <w:bCs/>
                <w:color w:val="000000"/>
                <w:w w:val="99"/>
                <w:kern w:val="0"/>
                <w:sz w:val="21"/>
                <w:szCs w:val="21"/>
                <w:highlight w:val="none"/>
                <w:lang w:eastAsia="en-US"/>
              </w:rPr>
            </w:pPr>
            <w:r>
              <w:rPr>
                <w:rFonts w:hint="eastAsia" w:asciiTheme="majorEastAsia" w:hAnsiTheme="majorEastAsia" w:eastAsiaTheme="majorEastAsia" w:cstheme="majorEastAsia"/>
                <w:b/>
                <w:bCs/>
                <w:color w:val="000000"/>
                <w:w w:val="99"/>
                <w:kern w:val="0"/>
                <w:sz w:val="21"/>
                <w:szCs w:val="21"/>
                <w:highlight w:val="none"/>
                <w:lang w:eastAsia="en-US"/>
              </w:rPr>
              <w:t>小型</w:t>
            </w:r>
          </w:p>
        </w:tc>
        <w:tc>
          <w:tcPr>
            <w:tcW w:w="1155" w:type="dxa"/>
            <w:tcBorders>
              <w:top w:val="single" w:color="auto" w:sz="4" w:space="0"/>
              <w:left w:val="nil"/>
              <w:bottom w:val="single" w:color="auto" w:sz="4" w:space="0"/>
              <w:right w:val="single" w:color="auto" w:sz="4" w:space="0"/>
            </w:tcBorders>
            <w:noWrap/>
            <w:vAlign w:val="center"/>
          </w:tcPr>
          <w:p w14:paraId="4159D28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b/>
                <w:bCs/>
                <w:color w:val="000000"/>
                <w:w w:val="99"/>
                <w:kern w:val="0"/>
                <w:sz w:val="21"/>
                <w:szCs w:val="21"/>
                <w:highlight w:val="none"/>
                <w:lang w:eastAsia="en-US"/>
              </w:rPr>
            </w:pPr>
            <w:r>
              <w:rPr>
                <w:rFonts w:hint="eastAsia" w:asciiTheme="majorEastAsia" w:hAnsiTheme="majorEastAsia" w:eastAsiaTheme="majorEastAsia" w:cstheme="majorEastAsia"/>
                <w:b/>
                <w:bCs/>
                <w:color w:val="000000"/>
                <w:w w:val="99"/>
                <w:kern w:val="0"/>
                <w:sz w:val="21"/>
                <w:szCs w:val="21"/>
                <w:highlight w:val="none"/>
                <w:lang w:eastAsia="en-US"/>
              </w:rPr>
              <w:t>微型</w:t>
            </w:r>
          </w:p>
        </w:tc>
      </w:tr>
      <w:tr w14:paraId="7BF95BF2">
        <w:tblPrEx>
          <w:tblCellMar>
            <w:top w:w="0" w:type="dxa"/>
            <w:left w:w="108" w:type="dxa"/>
            <w:bottom w:w="0" w:type="dxa"/>
            <w:right w:w="108" w:type="dxa"/>
          </w:tblCellMar>
        </w:tblPrEx>
        <w:trPr>
          <w:trHeight w:val="225" w:hRule="atLeast"/>
        </w:trPr>
        <w:tc>
          <w:tcPr>
            <w:tcW w:w="2106" w:type="dxa"/>
            <w:tcBorders>
              <w:top w:val="nil"/>
              <w:left w:val="single" w:color="auto" w:sz="4" w:space="0"/>
              <w:bottom w:val="single" w:color="auto" w:sz="4" w:space="0"/>
              <w:right w:val="single" w:color="auto" w:sz="4" w:space="0"/>
            </w:tcBorders>
            <w:noWrap/>
            <w:vAlign w:val="center"/>
          </w:tcPr>
          <w:p w14:paraId="7D3964D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b/>
                <w:bCs/>
                <w:color w:val="000000"/>
                <w:w w:val="99"/>
                <w:kern w:val="0"/>
                <w:sz w:val="21"/>
                <w:szCs w:val="21"/>
                <w:highlight w:val="none"/>
                <w:lang w:eastAsia="en-US"/>
              </w:rPr>
            </w:pPr>
            <w:r>
              <w:rPr>
                <w:rFonts w:hint="eastAsia" w:asciiTheme="majorEastAsia" w:hAnsiTheme="majorEastAsia" w:eastAsiaTheme="majorEastAsia" w:cstheme="majorEastAsia"/>
                <w:b/>
                <w:bCs/>
                <w:color w:val="000000"/>
                <w:w w:val="99"/>
                <w:kern w:val="0"/>
                <w:sz w:val="21"/>
                <w:szCs w:val="21"/>
                <w:highlight w:val="none"/>
                <w:lang w:eastAsia="en-US"/>
              </w:rPr>
              <w:t>农、林、牧、渔</w:t>
            </w:r>
          </w:p>
        </w:tc>
        <w:tc>
          <w:tcPr>
            <w:tcW w:w="1794" w:type="dxa"/>
            <w:tcBorders>
              <w:top w:val="nil"/>
              <w:left w:val="nil"/>
              <w:bottom w:val="single" w:color="auto" w:sz="4" w:space="0"/>
              <w:right w:val="single" w:color="auto" w:sz="4" w:space="0"/>
            </w:tcBorders>
            <w:noWrap/>
            <w:vAlign w:val="center"/>
          </w:tcPr>
          <w:p w14:paraId="09B6794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营业收入（Y）</w:t>
            </w:r>
          </w:p>
        </w:tc>
        <w:tc>
          <w:tcPr>
            <w:tcW w:w="780" w:type="dxa"/>
            <w:tcBorders>
              <w:top w:val="nil"/>
              <w:left w:val="nil"/>
              <w:bottom w:val="single" w:color="auto" w:sz="4" w:space="0"/>
              <w:right w:val="single" w:color="auto" w:sz="4" w:space="0"/>
            </w:tcBorders>
            <w:noWrap/>
            <w:vAlign w:val="center"/>
          </w:tcPr>
          <w:p w14:paraId="71E9C45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万元</w:t>
            </w:r>
          </w:p>
        </w:tc>
        <w:tc>
          <w:tcPr>
            <w:tcW w:w="2130" w:type="dxa"/>
            <w:tcBorders>
              <w:top w:val="nil"/>
              <w:left w:val="nil"/>
              <w:bottom w:val="single" w:color="auto" w:sz="4" w:space="0"/>
              <w:right w:val="single" w:color="auto" w:sz="4" w:space="0"/>
            </w:tcBorders>
            <w:noWrap/>
            <w:vAlign w:val="center"/>
          </w:tcPr>
          <w:p w14:paraId="517E6EA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500≤Y＜20000</w:t>
            </w:r>
          </w:p>
        </w:tc>
        <w:tc>
          <w:tcPr>
            <w:tcW w:w="1830" w:type="dxa"/>
            <w:tcBorders>
              <w:top w:val="nil"/>
              <w:left w:val="nil"/>
              <w:bottom w:val="single" w:color="auto" w:sz="4" w:space="0"/>
              <w:right w:val="single" w:color="auto" w:sz="4" w:space="0"/>
            </w:tcBorders>
            <w:noWrap/>
            <w:vAlign w:val="center"/>
          </w:tcPr>
          <w:p w14:paraId="2B05983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50≤Y＜500</w:t>
            </w:r>
          </w:p>
        </w:tc>
        <w:tc>
          <w:tcPr>
            <w:tcW w:w="1155" w:type="dxa"/>
            <w:tcBorders>
              <w:top w:val="nil"/>
              <w:left w:val="nil"/>
              <w:bottom w:val="single" w:color="auto" w:sz="4" w:space="0"/>
              <w:right w:val="single" w:color="auto" w:sz="4" w:space="0"/>
            </w:tcBorders>
            <w:noWrap/>
            <w:vAlign w:val="center"/>
          </w:tcPr>
          <w:p w14:paraId="386FD8B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Y＜50</w:t>
            </w:r>
          </w:p>
        </w:tc>
      </w:tr>
      <w:tr w14:paraId="3FB1E887">
        <w:tblPrEx>
          <w:tblCellMar>
            <w:top w:w="0" w:type="dxa"/>
            <w:left w:w="108" w:type="dxa"/>
            <w:bottom w:w="0" w:type="dxa"/>
            <w:right w:w="108" w:type="dxa"/>
          </w:tblCellMar>
        </w:tblPrEx>
        <w:trPr>
          <w:trHeight w:val="225" w:hRule="atLeast"/>
        </w:trPr>
        <w:tc>
          <w:tcPr>
            <w:tcW w:w="2106" w:type="dxa"/>
            <w:vMerge w:val="restart"/>
            <w:tcBorders>
              <w:top w:val="nil"/>
              <w:left w:val="single" w:color="auto" w:sz="4" w:space="0"/>
              <w:bottom w:val="single" w:color="auto" w:sz="4" w:space="0"/>
              <w:right w:val="single" w:color="auto" w:sz="4" w:space="0"/>
            </w:tcBorders>
            <w:noWrap/>
            <w:vAlign w:val="center"/>
          </w:tcPr>
          <w:p w14:paraId="02C43A8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b/>
                <w:bCs/>
                <w:color w:val="000000"/>
                <w:w w:val="99"/>
                <w:kern w:val="0"/>
                <w:sz w:val="21"/>
                <w:szCs w:val="21"/>
                <w:highlight w:val="none"/>
                <w:lang w:eastAsia="en-US"/>
              </w:rPr>
            </w:pPr>
            <w:r>
              <w:rPr>
                <w:rFonts w:hint="eastAsia" w:asciiTheme="majorEastAsia" w:hAnsiTheme="majorEastAsia" w:eastAsiaTheme="majorEastAsia" w:cstheme="majorEastAsia"/>
                <w:b/>
                <w:bCs/>
                <w:color w:val="000000"/>
                <w:w w:val="99"/>
                <w:kern w:val="0"/>
                <w:sz w:val="21"/>
                <w:szCs w:val="21"/>
                <w:highlight w:val="none"/>
                <w:lang w:eastAsia="en-US"/>
              </w:rPr>
              <w:t>工业</w:t>
            </w:r>
          </w:p>
        </w:tc>
        <w:tc>
          <w:tcPr>
            <w:tcW w:w="1794" w:type="dxa"/>
            <w:tcBorders>
              <w:top w:val="nil"/>
              <w:left w:val="nil"/>
              <w:bottom w:val="single" w:color="auto" w:sz="4" w:space="0"/>
              <w:right w:val="single" w:color="auto" w:sz="4" w:space="0"/>
            </w:tcBorders>
            <w:noWrap/>
            <w:vAlign w:val="center"/>
          </w:tcPr>
          <w:p w14:paraId="0A949B2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从业人员（X）</w:t>
            </w:r>
          </w:p>
        </w:tc>
        <w:tc>
          <w:tcPr>
            <w:tcW w:w="780" w:type="dxa"/>
            <w:tcBorders>
              <w:top w:val="nil"/>
              <w:left w:val="nil"/>
              <w:bottom w:val="single" w:color="auto" w:sz="4" w:space="0"/>
              <w:right w:val="single" w:color="auto" w:sz="4" w:space="0"/>
            </w:tcBorders>
            <w:noWrap/>
            <w:vAlign w:val="center"/>
          </w:tcPr>
          <w:p w14:paraId="00AA380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人</w:t>
            </w:r>
          </w:p>
        </w:tc>
        <w:tc>
          <w:tcPr>
            <w:tcW w:w="2130" w:type="dxa"/>
            <w:tcBorders>
              <w:top w:val="nil"/>
              <w:left w:val="nil"/>
              <w:bottom w:val="single" w:color="auto" w:sz="4" w:space="0"/>
              <w:right w:val="single" w:color="auto" w:sz="4" w:space="0"/>
            </w:tcBorders>
            <w:noWrap/>
            <w:vAlign w:val="center"/>
          </w:tcPr>
          <w:p w14:paraId="56EF6D8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300≤X＜1000</w:t>
            </w:r>
          </w:p>
        </w:tc>
        <w:tc>
          <w:tcPr>
            <w:tcW w:w="1830" w:type="dxa"/>
            <w:tcBorders>
              <w:top w:val="nil"/>
              <w:left w:val="nil"/>
              <w:bottom w:val="single" w:color="auto" w:sz="4" w:space="0"/>
              <w:right w:val="single" w:color="auto" w:sz="4" w:space="0"/>
            </w:tcBorders>
            <w:noWrap/>
            <w:vAlign w:val="center"/>
          </w:tcPr>
          <w:p w14:paraId="56B8D53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20≤X＜300</w:t>
            </w:r>
          </w:p>
        </w:tc>
        <w:tc>
          <w:tcPr>
            <w:tcW w:w="1155" w:type="dxa"/>
            <w:tcBorders>
              <w:top w:val="nil"/>
              <w:left w:val="nil"/>
              <w:bottom w:val="single" w:color="auto" w:sz="4" w:space="0"/>
              <w:right w:val="single" w:color="auto" w:sz="4" w:space="0"/>
            </w:tcBorders>
            <w:noWrap/>
            <w:vAlign w:val="center"/>
          </w:tcPr>
          <w:p w14:paraId="678B626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X＜20</w:t>
            </w:r>
          </w:p>
        </w:tc>
      </w:tr>
      <w:tr w14:paraId="7085F396">
        <w:tblPrEx>
          <w:tblCellMar>
            <w:top w:w="0" w:type="dxa"/>
            <w:left w:w="108" w:type="dxa"/>
            <w:bottom w:w="0" w:type="dxa"/>
            <w:right w:w="108" w:type="dxa"/>
          </w:tblCellMar>
        </w:tblPrEx>
        <w:trPr>
          <w:trHeight w:val="225" w:hRule="atLeast"/>
        </w:trPr>
        <w:tc>
          <w:tcPr>
            <w:tcW w:w="2106" w:type="dxa"/>
            <w:vMerge w:val="continue"/>
            <w:tcBorders>
              <w:top w:val="nil"/>
              <w:left w:val="single" w:color="auto" w:sz="4" w:space="0"/>
              <w:bottom w:val="single" w:color="auto" w:sz="4" w:space="0"/>
              <w:right w:val="single" w:color="auto" w:sz="4" w:space="0"/>
            </w:tcBorders>
            <w:noWrap/>
            <w:vAlign w:val="center"/>
          </w:tcPr>
          <w:p w14:paraId="78CB585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b/>
                <w:bCs/>
                <w:color w:val="000000"/>
                <w:w w:val="99"/>
                <w:kern w:val="0"/>
                <w:sz w:val="21"/>
                <w:szCs w:val="21"/>
                <w:highlight w:val="none"/>
                <w:lang w:eastAsia="en-US"/>
              </w:rPr>
            </w:pPr>
          </w:p>
        </w:tc>
        <w:tc>
          <w:tcPr>
            <w:tcW w:w="1794" w:type="dxa"/>
            <w:tcBorders>
              <w:top w:val="nil"/>
              <w:left w:val="nil"/>
              <w:bottom w:val="single" w:color="auto" w:sz="4" w:space="0"/>
              <w:right w:val="single" w:color="auto" w:sz="4" w:space="0"/>
            </w:tcBorders>
            <w:noWrap/>
            <w:vAlign w:val="center"/>
          </w:tcPr>
          <w:p w14:paraId="5B85146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营业收入（Y）</w:t>
            </w:r>
          </w:p>
        </w:tc>
        <w:tc>
          <w:tcPr>
            <w:tcW w:w="780" w:type="dxa"/>
            <w:tcBorders>
              <w:top w:val="nil"/>
              <w:left w:val="nil"/>
              <w:bottom w:val="single" w:color="auto" w:sz="4" w:space="0"/>
              <w:right w:val="single" w:color="auto" w:sz="4" w:space="0"/>
            </w:tcBorders>
            <w:noWrap/>
            <w:vAlign w:val="center"/>
          </w:tcPr>
          <w:p w14:paraId="7B677BD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万元</w:t>
            </w:r>
          </w:p>
        </w:tc>
        <w:tc>
          <w:tcPr>
            <w:tcW w:w="2130" w:type="dxa"/>
            <w:tcBorders>
              <w:top w:val="nil"/>
              <w:left w:val="nil"/>
              <w:bottom w:val="single" w:color="auto" w:sz="4" w:space="0"/>
              <w:right w:val="single" w:color="auto" w:sz="4" w:space="0"/>
            </w:tcBorders>
            <w:noWrap/>
            <w:vAlign w:val="center"/>
          </w:tcPr>
          <w:p w14:paraId="4F1C1EC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2000≤Y＜40000</w:t>
            </w:r>
          </w:p>
        </w:tc>
        <w:tc>
          <w:tcPr>
            <w:tcW w:w="1830" w:type="dxa"/>
            <w:tcBorders>
              <w:top w:val="nil"/>
              <w:left w:val="nil"/>
              <w:bottom w:val="single" w:color="auto" w:sz="4" w:space="0"/>
              <w:right w:val="single" w:color="auto" w:sz="4" w:space="0"/>
            </w:tcBorders>
            <w:noWrap/>
            <w:vAlign w:val="center"/>
          </w:tcPr>
          <w:p w14:paraId="4EAB6E8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300≤Y＜2000</w:t>
            </w:r>
          </w:p>
        </w:tc>
        <w:tc>
          <w:tcPr>
            <w:tcW w:w="1155" w:type="dxa"/>
            <w:tcBorders>
              <w:top w:val="nil"/>
              <w:left w:val="nil"/>
              <w:bottom w:val="single" w:color="auto" w:sz="4" w:space="0"/>
              <w:right w:val="single" w:color="auto" w:sz="4" w:space="0"/>
            </w:tcBorders>
            <w:noWrap/>
            <w:vAlign w:val="center"/>
          </w:tcPr>
          <w:p w14:paraId="457271B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Y＜300</w:t>
            </w:r>
          </w:p>
        </w:tc>
      </w:tr>
      <w:tr w14:paraId="00008130">
        <w:tblPrEx>
          <w:tblCellMar>
            <w:top w:w="0" w:type="dxa"/>
            <w:left w:w="108" w:type="dxa"/>
            <w:bottom w:w="0" w:type="dxa"/>
            <w:right w:w="108" w:type="dxa"/>
          </w:tblCellMar>
        </w:tblPrEx>
        <w:trPr>
          <w:trHeight w:val="225" w:hRule="atLeast"/>
        </w:trPr>
        <w:tc>
          <w:tcPr>
            <w:tcW w:w="2106" w:type="dxa"/>
            <w:vMerge w:val="restart"/>
            <w:tcBorders>
              <w:top w:val="nil"/>
              <w:left w:val="single" w:color="auto" w:sz="4" w:space="0"/>
              <w:bottom w:val="single" w:color="auto" w:sz="4" w:space="0"/>
              <w:right w:val="single" w:color="auto" w:sz="4" w:space="0"/>
            </w:tcBorders>
            <w:noWrap/>
            <w:vAlign w:val="center"/>
          </w:tcPr>
          <w:p w14:paraId="5839864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b/>
                <w:bCs/>
                <w:color w:val="000000"/>
                <w:w w:val="99"/>
                <w:kern w:val="0"/>
                <w:sz w:val="21"/>
                <w:szCs w:val="21"/>
                <w:highlight w:val="none"/>
                <w:lang w:eastAsia="en-US"/>
              </w:rPr>
            </w:pPr>
            <w:r>
              <w:rPr>
                <w:rFonts w:hint="eastAsia" w:asciiTheme="majorEastAsia" w:hAnsiTheme="majorEastAsia" w:eastAsiaTheme="majorEastAsia" w:cstheme="majorEastAsia"/>
                <w:b/>
                <w:bCs/>
                <w:color w:val="000000"/>
                <w:w w:val="99"/>
                <w:kern w:val="0"/>
                <w:sz w:val="21"/>
                <w:szCs w:val="21"/>
                <w:highlight w:val="none"/>
                <w:lang w:eastAsia="en-US"/>
              </w:rPr>
              <w:t>建筑业</w:t>
            </w:r>
          </w:p>
        </w:tc>
        <w:tc>
          <w:tcPr>
            <w:tcW w:w="1794" w:type="dxa"/>
            <w:tcBorders>
              <w:top w:val="nil"/>
              <w:left w:val="nil"/>
              <w:bottom w:val="single" w:color="auto" w:sz="4" w:space="0"/>
              <w:right w:val="single" w:color="auto" w:sz="4" w:space="0"/>
            </w:tcBorders>
            <w:noWrap/>
            <w:vAlign w:val="center"/>
          </w:tcPr>
          <w:p w14:paraId="2274599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营业收入（Y）</w:t>
            </w:r>
          </w:p>
        </w:tc>
        <w:tc>
          <w:tcPr>
            <w:tcW w:w="780" w:type="dxa"/>
            <w:tcBorders>
              <w:top w:val="nil"/>
              <w:left w:val="nil"/>
              <w:bottom w:val="single" w:color="auto" w:sz="4" w:space="0"/>
              <w:right w:val="single" w:color="auto" w:sz="4" w:space="0"/>
            </w:tcBorders>
            <w:noWrap/>
            <w:vAlign w:val="center"/>
          </w:tcPr>
          <w:p w14:paraId="2A10C72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万元</w:t>
            </w:r>
          </w:p>
        </w:tc>
        <w:tc>
          <w:tcPr>
            <w:tcW w:w="2130" w:type="dxa"/>
            <w:tcBorders>
              <w:top w:val="nil"/>
              <w:left w:val="nil"/>
              <w:bottom w:val="single" w:color="auto" w:sz="4" w:space="0"/>
              <w:right w:val="single" w:color="auto" w:sz="4" w:space="0"/>
            </w:tcBorders>
            <w:noWrap/>
            <w:vAlign w:val="center"/>
          </w:tcPr>
          <w:p w14:paraId="4A176B5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6000≤Y＜80000</w:t>
            </w:r>
          </w:p>
        </w:tc>
        <w:tc>
          <w:tcPr>
            <w:tcW w:w="1830" w:type="dxa"/>
            <w:tcBorders>
              <w:top w:val="nil"/>
              <w:left w:val="nil"/>
              <w:bottom w:val="single" w:color="auto" w:sz="4" w:space="0"/>
              <w:right w:val="single" w:color="auto" w:sz="4" w:space="0"/>
            </w:tcBorders>
            <w:noWrap/>
            <w:vAlign w:val="center"/>
          </w:tcPr>
          <w:p w14:paraId="4DFBEBA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300≤Y＜6000</w:t>
            </w:r>
          </w:p>
        </w:tc>
        <w:tc>
          <w:tcPr>
            <w:tcW w:w="1155" w:type="dxa"/>
            <w:tcBorders>
              <w:top w:val="nil"/>
              <w:left w:val="nil"/>
              <w:bottom w:val="single" w:color="auto" w:sz="4" w:space="0"/>
              <w:right w:val="single" w:color="auto" w:sz="4" w:space="0"/>
            </w:tcBorders>
            <w:noWrap/>
            <w:vAlign w:val="center"/>
          </w:tcPr>
          <w:p w14:paraId="6BC41E5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Y＜300</w:t>
            </w:r>
          </w:p>
        </w:tc>
      </w:tr>
      <w:tr w14:paraId="5C5709EE">
        <w:tblPrEx>
          <w:tblCellMar>
            <w:top w:w="0" w:type="dxa"/>
            <w:left w:w="108" w:type="dxa"/>
            <w:bottom w:w="0" w:type="dxa"/>
            <w:right w:w="108" w:type="dxa"/>
          </w:tblCellMar>
        </w:tblPrEx>
        <w:trPr>
          <w:trHeight w:val="225" w:hRule="atLeast"/>
        </w:trPr>
        <w:tc>
          <w:tcPr>
            <w:tcW w:w="2106" w:type="dxa"/>
            <w:vMerge w:val="continue"/>
            <w:tcBorders>
              <w:top w:val="nil"/>
              <w:left w:val="single" w:color="auto" w:sz="4" w:space="0"/>
              <w:bottom w:val="single" w:color="auto" w:sz="4" w:space="0"/>
              <w:right w:val="single" w:color="auto" w:sz="4" w:space="0"/>
            </w:tcBorders>
            <w:noWrap/>
            <w:vAlign w:val="center"/>
          </w:tcPr>
          <w:p w14:paraId="6A7F518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b/>
                <w:bCs/>
                <w:color w:val="000000"/>
                <w:w w:val="99"/>
                <w:kern w:val="0"/>
                <w:sz w:val="21"/>
                <w:szCs w:val="21"/>
                <w:highlight w:val="none"/>
                <w:lang w:eastAsia="en-US"/>
              </w:rPr>
            </w:pPr>
          </w:p>
        </w:tc>
        <w:tc>
          <w:tcPr>
            <w:tcW w:w="1794" w:type="dxa"/>
            <w:tcBorders>
              <w:top w:val="nil"/>
              <w:left w:val="nil"/>
              <w:bottom w:val="single" w:color="auto" w:sz="4" w:space="0"/>
              <w:right w:val="single" w:color="auto" w:sz="4" w:space="0"/>
            </w:tcBorders>
            <w:noWrap/>
            <w:vAlign w:val="center"/>
          </w:tcPr>
          <w:p w14:paraId="21AAA24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资产总额（Z）</w:t>
            </w:r>
          </w:p>
        </w:tc>
        <w:tc>
          <w:tcPr>
            <w:tcW w:w="780" w:type="dxa"/>
            <w:tcBorders>
              <w:top w:val="nil"/>
              <w:left w:val="nil"/>
              <w:bottom w:val="single" w:color="auto" w:sz="4" w:space="0"/>
              <w:right w:val="single" w:color="auto" w:sz="4" w:space="0"/>
            </w:tcBorders>
            <w:noWrap/>
            <w:vAlign w:val="center"/>
          </w:tcPr>
          <w:p w14:paraId="7796D7F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万元</w:t>
            </w:r>
          </w:p>
        </w:tc>
        <w:tc>
          <w:tcPr>
            <w:tcW w:w="2130" w:type="dxa"/>
            <w:tcBorders>
              <w:top w:val="nil"/>
              <w:left w:val="nil"/>
              <w:bottom w:val="single" w:color="auto" w:sz="4" w:space="0"/>
              <w:right w:val="single" w:color="auto" w:sz="4" w:space="0"/>
            </w:tcBorders>
            <w:noWrap/>
            <w:vAlign w:val="center"/>
          </w:tcPr>
          <w:p w14:paraId="6C4F367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5000≤Z＜80000</w:t>
            </w:r>
          </w:p>
        </w:tc>
        <w:tc>
          <w:tcPr>
            <w:tcW w:w="1830" w:type="dxa"/>
            <w:tcBorders>
              <w:top w:val="nil"/>
              <w:left w:val="nil"/>
              <w:bottom w:val="single" w:color="auto" w:sz="4" w:space="0"/>
              <w:right w:val="single" w:color="auto" w:sz="4" w:space="0"/>
            </w:tcBorders>
            <w:noWrap/>
            <w:vAlign w:val="center"/>
          </w:tcPr>
          <w:p w14:paraId="78756DB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300≤Z＜5000</w:t>
            </w:r>
          </w:p>
        </w:tc>
        <w:tc>
          <w:tcPr>
            <w:tcW w:w="1155" w:type="dxa"/>
            <w:tcBorders>
              <w:top w:val="nil"/>
              <w:left w:val="nil"/>
              <w:bottom w:val="single" w:color="auto" w:sz="4" w:space="0"/>
              <w:right w:val="single" w:color="auto" w:sz="4" w:space="0"/>
            </w:tcBorders>
            <w:noWrap/>
            <w:vAlign w:val="center"/>
          </w:tcPr>
          <w:p w14:paraId="24E0C36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Z＜300</w:t>
            </w:r>
          </w:p>
        </w:tc>
      </w:tr>
      <w:tr w14:paraId="1B1DB804">
        <w:tblPrEx>
          <w:tblCellMar>
            <w:top w:w="0" w:type="dxa"/>
            <w:left w:w="108" w:type="dxa"/>
            <w:bottom w:w="0" w:type="dxa"/>
            <w:right w:w="108" w:type="dxa"/>
          </w:tblCellMar>
        </w:tblPrEx>
        <w:trPr>
          <w:trHeight w:val="225" w:hRule="atLeast"/>
        </w:trPr>
        <w:tc>
          <w:tcPr>
            <w:tcW w:w="2106" w:type="dxa"/>
            <w:vMerge w:val="restart"/>
            <w:tcBorders>
              <w:top w:val="nil"/>
              <w:left w:val="single" w:color="auto" w:sz="4" w:space="0"/>
              <w:bottom w:val="single" w:color="auto" w:sz="4" w:space="0"/>
              <w:right w:val="single" w:color="auto" w:sz="4" w:space="0"/>
            </w:tcBorders>
            <w:noWrap/>
            <w:vAlign w:val="center"/>
          </w:tcPr>
          <w:p w14:paraId="60D9382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b/>
                <w:bCs/>
                <w:color w:val="000000"/>
                <w:w w:val="99"/>
                <w:kern w:val="0"/>
                <w:sz w:val="21"/>
                <w:szCs w:val="21"/>
                <w:highlight w:val="none"/>
                <w:lang w:eastAsia="en-US"/>
              </w:rPr>
            </w:pPr>
            <w:r>
              <w:rPr>
                <w:rFonts w:hint="eastAsia" w:asciiTheme="majorEastAsia" w:hAnsiTheme="majorEastAsia" w:eastAsiaTheme="majorEastAsia" w:cstheme="majorEastAsia"/>
                <w:b/>
                <w:bCs/>
                <w:color w:val="000000"/>
                <w:w w:val="99"/>
                <w:kern w:val="0"/>
                <w:sz w:val="21"/>
                <w:szCs w:val="21"/>
                <w:highlight w:val="none"/>
                <w:lang w:eastAsia="en-US"/>
              </w:rPr>
              <w:t>批发业</w:t>
            </w:r>
          </w:p>
        </w:tc>
        <w:tc>
          <w:tcPr>
            <w:tcW w:w="1794" w:type="dxa"/>
            <w:tcBorders>
              <w:top w:val="nil"/>
              <w:left w:val="nil"/>
              <w:bottom w:val="single" w:color="auto" w:sz="4" w:space="0"/>
              <w:right w:val="single" w:color="auto" w:sz="4" w:space="0"/>
            </w:tcBorders>
            <w:noWrap/>
            <w:vAlign w:val="center"/>
          </w:tcPr>
          <w:p w14:paraId="60F5345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从业人员（X）</w:t>
            </w:r>
          </w:p>
        </w:tc>
        <w:tc>
          <w:tcPr>
            <w:tcW w:w="780" w:type="dxa"/>
            <w:tcBorders>
              <w:top w:val="nil"/>
              <w:left w:val="nil"/>
              <w:bottom w:val="single" w:color="auto" w:sz="4" w:space="0"/>
              <w:right w:val="single" w:color="auto" w:sz="4" w:space="0"/>
            </w:tcBorders>
            <w:noWrap/>
            <w:vAlign w:val="center"/>
          </w:tcPr>
          <w:p w14:paraId="220BB94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人</w:t>
            </w:r>
          </w:p>
        </w:tc>
        <w:tc>
          <w:tcPr>
            <w:tcW w:w="2130" w:type="dxa"/>
            <w:tcBorders>
              <w:top w:val="nil"/>
              <w:left w:val="nil"/>
              <w:bottom w:val="single" w:color="auto" w:sz="4" w:space="0"/>
              <w:right w:val="single" w:color="auto" w:sz="4" w:space="0"/>
            </w:tcBorders>
            <w:noWrap/>
            <w:vAlign w:val="center"/>
          </w:tcPr>
          <w:p w14:paraId="19A4DBD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20≤X＜200</w:t>
            </w:r>
          </w:p>
        </w:tc>
        <w:tc>
          <w:tcPr>
            <w:tcW w:w="1830" w:type="dxa"/>
            <w:tcBorders>
              <w:top w:val="nil"/>
              <w:left w:val="nil"/>
              <w:bottom w:val="single" w:color="auto" w:sz="4" w:space="0"/>
              <w:right w:val="single" w:color="auto" w:sz="4" w:space="0"/>
            </w:tcBorders>
            <w:noWrap/>
            <w:vAlign w:val="center"/>
          </w:tcPr>
          <w:p w14:paraId="575B960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5≤X＜20</w:t>
            </w:r>
          </w:p>
        </w:tc>
        <w:tc>
          <w:tcPr>
            <w:tcW w:w="1155" w:type="dxa"/>
            <w:tcBorders>
              <w:top w:val="nil"/>
              <w:left w:val="nil"/>
              <w:bottom w:val="single" w:color="auto" w:sz="4" w:space="0"/>
              <w:right w:val="single" w:color="auto" w:sz="4" w:space="0"/>
            </w:tcBorders>
            <w:noWrap/>
            <w:vAlign w:val="center"/>
          </w:tcPr>
          <w:p w14:paraId="02A5D8C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X＜5</w:t>
            </w:r>
          </w:p>
        </w:tc>
      </w:tr>
      <w:tr w14:paraId="227A1174">
        <w:tblPrEx>
          <w:tblCellMar>
            <w:top w:w="0" w:type="dxa"/>
            <w:left w:w="108" w:type="dxa"/>
            <w:bottom w:w="0" w:type="dxa"/>
            <w:right w:w="108" w:type="dxa"/>
          </w:tblCellMar>
        </w:tblPrEx>
        <w:trPr>
          <w:trHeight w:val="225" w:hRule="atLeast"/>
        </w:trPr>
        <w:tc>
          <w:tcPr>
            <w:tcW w:w="2106" w:type="dxa"/>
            <w:vMerge w:val="continue"/>
            <w:tcBorders>
              <w:top w:val="nil"/>
              <w:left w:val="single" w:color="auto" w:sz="4" w:space="0"/>
              <w:bottom w:val="single" w:color="auto" w:sz="4" w:space="0"/>
              <w:right w:val="single" w:color="auto" w:sz="4" w:space="0"/>
            </w:tcBorders>
            <w:noWrap/>
            <w:vAlign w:val="center"/>
          </w:tcPr>
          <w:p w14:paraId="3F9B38C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b/>
                <w:bCs/>
                <w:color w:val="000000"/>
                <w:w w:val="99"/>
                <w:kern w:val="0"/>
                <w:sz w:val="21"/>
                <w:szCs w:val="21"/>
                <w:highlight w:val="none"/>
                <w:lang w:eastAsia="en-US"/>
              </w:rPr>
            </w:pPr>
          </w:p>
        </w:tc>
        <w:tc>
          <w:tcPr>
            <w:tcW w:w="1794" w:type="dxa"/>
            <w:tcBorders>
              <w:top w:val="nil"/>
              <w:left w:val="nil"/>
              <w:bottom w:val="single" w:color="auto" w:sz="4" w:space="0"/>
              <w:right w:val="single" w:color="auto" w:sz="4" w:space="0"/>
            </w:tcBorders>
            <w:noWrap/>
            <w:vAlign w:val="center"/>
          </w:tcPr>
          <w:p w14:paraId="0B0BF27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营业收入（Y）</w:t>
            </w:r>
          </w:p>
        </w:tc>
        <w:tc>
          <w:tcPr>
            <w:tcW w:w="780" w:type="dxa"/>
            <w:tcBorders>
              <w:top w:val="nil"/>
              <w:left w:val="nil"/>
              <w:bottom w:val="single" w:color="auto" w:sz="4" w:space="0"/>
              <w:right w:val="single" w:color="auto" w:sz="4" w:space="0"/>
            </w:tcBorders>
            <w:noWrap/>
            <w:vAlign w:val="center"/>
          </w:tcPr>
          <w:p w14:paraId="65AEFA1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万元</w:t>
            </w:r>
          </w:p>
        </w:tc>
        <w:tc>
          <w:tcPr>
            <w:tcW w:w="2130" w:type="dxa"/>
            <w:tcBorders>
              <w:top w:val="nil"/>
              <w:left w:val="nil"/>
              <w:bottom w:val="single" w:color="auto" w:sz="4" w:space="0"/>
              <w:right w:val="single" w:color="auto" w:sz="4" w:space="0"/>
            </w:tcBorders>
            <w:noWrap/>
            <w:vAlign w:val="center"/>
          </w:tcPr>
          <w:p w14:paraId="42BD976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5000≤Y＜40000</w:t>
            </w:r>
          </w:p>
        </w:tc>
        <w:tc>
          <w:tcPr>
            <w:tcW w:w="1830" w:type="dxa"/>
            <w:tcBorders>
              <w:top w:val="nil"/>
              <w:left w:val="nil"/>
              <w:bottom w:val="single" w:color="auto" w:sz="4" w:space="0"/>
              <w:right w:val="single" w:color="auto" w:sz="4" w:space="0"/>
            </w:tcBorders>
            <w:noWrap/>
            <w:vAlign w:val="center"/>
          </w:tcPr>
          <w:p w14:paraId="06D4F69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1000≤Y＜5000</w:t>
            </w:r>
          </w:p>
        </w:tc>
        <w:tc>
          <w:tcPr>
            <w:tcW w:w="1155" w:type="dxa"/>
            <w:tcBorders>
              <w:top w:val="nil"/>
              <w:left w:val="nil"/>
              <w:bottom w:val="single" w:color="auto" w:sz="4" w:space="0"/>
              <w:right w:val="single" w:color="auto" w:sz="4" w:space="0"/>
            </w:tcBorders>
            <w:noWrap/>
            <w:vAlign w:val="center"/>
          </w:tcPr>
          <w:p w14:paraId="4A94122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Y＜1000</w:t>
            </w:r>
          </w:p>
        </w:tc>
      </w:tr>
      <w:tr w14:paraId="28009757">
        <w:tblPrEx>
          <w:tblCellMar>
            <w:top w:w="0" w:type="dxa"/>
            <w:left w:w="108" w:type="dxa"/>
            <w:bottom w:w="0" w:type="dxa"/>
            <w:right w:w="108" w:type="dxa"/>
          </w:tblCellMar>
        </w:tblPrEx>
        <w:trPr>
          <w:trHeight w:val="225" w:hRule="atLeast"/>
        </w:trPr>
        <w:tc>
          <w:tcPr>
            <w:tcW w:w="2106" w:type="dxa"/>
            <w:vMerge w:val="restart"/>
            <w:tcBorders>
              <w:top w:val="nil"/>
              <w:left w:val="single" w:color="auto" w:sz="4" w:space="0"/>
              <w:bottom w:val="single" w:color="auto" w:sz="4" w:space="0"/>
              <w:right w:val="single" w:color="auto" w:sz="4" w:space="0"/>
            </w:tcBorders>
            <w:noWrap/>
            <w:vAlign w:val="center"/>
          </w:tcPr>
          <w:p w14:paraId="2FF60C6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b/>
                <w:bCs/>
                <w:color w:val="000000"/>
                <w:w w:val="99"/>
                <w:kern w:val="0"/>
                <w:sz w:val="21"/>
                <w:szCs w:val="21"/>
                <w:highlight w:val="none"/>
                <w:lang w:eastAsia="en-US"/>
              </w:rPr>
            </w:pPr>
            <w:r>
              <w:rPr>
                <w:rFonts w:hint="eastAsia" w:asciiTheme="majorEastAsia" w:hAnsiTheme="majorEastAsia" w:eastAsiaTheme="majorEastAsia" w:cstheme="majorEastAsia"/>
                <w:b/>
                <w:bCs/>
                <w:color w:val="000000"/>
                <w:w w:val="99"/>
                <w:kern w:val="0"/>
                <w:sz w:val="21"/>
                <w:szCs w:val="21"/>
                <w:highlight w:val="none"/>
                <w:lang w:eastAsia="en-US"/>
              </w:rPr>
              <w:t>零售业</w:t>
            </w:r>
          </w:p>
        </w:tc>
        <w:tc>
          <w:tcPr>
            <w:tcW w:w="1794" w:type="dxa"/>
            <w:tcBorders>
              <w:top w:val="nil"/>
              <w:left w:val="nil"/>
              <w:bottom w:val="single" w:color="auto" w:sz="4" w:space="0"/>
              <w:right w:val="single" w:color="auto" w:sz="4" w:space="0"/>
            </w:tcBorders>
            <w:noWrap/>
            <w:vAlign w:val="center"/>
          </w:tcPr>
          <w:p w14:paraId="50B9AAB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从业人员（X）</w:t>
            </w:r>
          </w:p>
        </w:tc>
        <w:tc>
          <w:tcPr>
            <w:tcW w:w="780" w:type="dxa"/>
            <w:tcBorders>
              <w:top w:val="nil"/>
              <w:left w:val="nil"/>
              <w:bottom w:val="single" w:color="auto" w:sz="4" w:space="0"/>
              <w:right w:val="single" w:color="auto" w:sz="4" w:space="0"/>
            </w:tcBorders>
            <w:noWrap/>
            <w:vAlign w:val="center"/>
          </w:tcPr>
          <w:p w14:paraId="79E6FB3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人</w:t>
            </w:r>
          </w:p>
        </w:tc>
        <w:tc>
          <w:tcPr>
            <w:tcW w:w="2130" w:type="dxa"/>
            <w:tcBorders>
              <w:top w:val="nil"/>
              <w:left w:val="nil"/>
              <w:bottom w:val="single" w:color="auto" w:sz="4" w:space="0"/>
              <w:right w:val="single" w:color="auto" w:sz="4" w:space="0"/>
            </w:tcBorders>
            <w:noWrap/>
            <w:vAlign w:val="center"/>
          </w:tcPr>
          <w:p w14:paraId="7094CBE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50≤X＜300</w:t>
            </w:r>
          </w:p>
        </w:tc>
        <w:tc>
          <w:tcPr>
            <w:tcW w:w="1830" w:type="dxa"/>
            <w:tcBorders>
              <w:top w:val="nil"/>
              <w:left w:val="nil"/>
              <w:bottom w:val="single" w:color="auto" w:sz="4" w:space="0"/>
              <w:right w:val="single" w:color="auto" w:sz="4" w:space="0"/>
            </w:tcBorders>
            <w:noWrap/>
            <w:vAlign w:val="center"/>
          </w:tcPr>
          <w:p w14:paraId="23BC278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10≤X＜50</w:t>
            </w:r>
          </w:p>
        </w:tc>
        <w:tc>
          <w:tcPr>
            <w:tcW w:w="1155" w:type="dxa"/>
            <w:tcBorders>
              <w:top w:val="nil"/>
              <w:left w:val="nil"/>
              <w:bottom w:val="single" w:color="auto" w:sz="4" w:space="0"/>
              <w:right w:val="single" w:color="auto" w:sz="4" w:space="0"/>
            </w:tcBorders>
            <w:noWrap/>
            <w:vAlign w:val="center"/>
          </w:tcPr>
          <w:p w14:paraId="00384A7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X＜10</w:t>
            </w:r>
          </w:p>
        </w:tc>
      </w:tr>
      <w:tr w14:paraId="22216583">
        <w:tblPrEx>
          <w:tblCellMar>
            <w:top w:w="0" w:type="dxa"/>
            <w:left w:w="108" w:type="dxa"/>
            <w:bottom w:w="0" w:type="dxa"/>
            <w:right w:w="108" w:type="dxa"/>
          </w:tblCellMar>
        </w:tblPrEx>
        <w:trPr>
          <w:trHeight w:val="225" w:hRule="atLeast"/>
        </w:trPr>
        <w:tc>
          <w:tcPr>
            <w:tcW w:w="2106" w:type="dxa"/>
            <w:vMerge w:val="continue"/>
            <w:tcBorders>
              <w:top w:val="nil"/>
              <w:left w:val="single" w:color="auto" w:sz="4" w:space="0"/>
              <w:bottom w:val="single" w:color="auto" w:sz="4" w:space="0"/>
              <w:right w:val="single" w:color="auto" w:sz="4" w:space="0"/>
            </w:tcBorders>
            <w:noWrap/>
            <w:vAlign w:val="center"/>
          </w:tcPr>
          <w:p w14:paraId="53D0383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b/>
                <w:bCs/>
                <w:color w:val="000000"/>
                <w:w w:val="99"/>
                <w:kern w:val="0"/>
                <w:sz w:val="21"/>
                <w:szCs w:val="21"/>
                <w:highlight w:val="none"/>
                <w:lang w:eastAsia="en-US"/>
              </w:rPr>
            </w:pPr>
          </w:p>
        </w:tc>
        <w:tc>
          <w:tcPr>
            <w:tcW w:w="1794" w:type="dxa"/>
            <w:tcBorders>
              <w:top w:val="nil"/>
              <w:left w:val="nil"/>
              <w:bottom w:val="single" w:color="auto" w:sz="4" w:space="0"/>
              <w:right w:val="single" w:color="auto" w:sz="4" w:space="0"/>
            </w:tcBorders>
            <w:noWrap/>
            <w:vAlign w:val="center"/>
          </w:tcPr>
          <w:p w14:paraId="1CD2946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营业收入（Y）</w:t>
            </w:r>
          </w:p>
        </w:tc>
        <w:tc>
          <w:tcPr>
            <w:tcW w:w="780" w:type="dxa"/>
            <w:tcBorders>
              <w:top w:val="nil"/>
              <w:left w:val="nil"/>
              <w:bottom w:val="single" w:color="auto" w:sz="4" w:space="0"/>
              <w:right w:val="single" w:color="auto" w:sz="4" w:space="0"/>
            </w:tcBorders>
            <w:noWrap/>
            <w:vAlign w:val="center"/>
          </w:tcPr>
          <w:p w14:paraId="2E5E76C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万元</w:t>
            </w:r>
          </w:p>
        </w:tc>
        <w:tc>
          <w:tcPr>
            <w:tcW w:w="2130" w:type="dxa"/>
            <w:tcBorders>
              <w:top w:val="nil"/>
              <w:left w:val="nil"/>
              <w:bottom w:val="single" w:color="auto" w:sz="4" w:space="0"/>
              <w:right w:val="single" w:color="auto" w:sz="4" w:space="0"/>
            </w:tcBorders>
            <w:noWrap/>
            <w:vAlign w:val="center"/>
          </w:tcPr>
          <w:p w14:paraId="3936FC8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500≤Y＜20000</w:t>
            </w:r>
          </w:p>
        </w:tc>
        <w:tc>
          <w:tcPr>
            <w:tcW w:w="1830" w:type="dxa"/>
            <w:tcBorders>
              <w:top w:val="nil"/>
              <w:left w:val="nil"/>
              <w:bottom w:val="single" w:color="auto" w:sz="4" w:space="0"/>
              <w:right w:val="single" w:color="auto" w:sz="4" w:space="0"/>
            </w:tcBorders>
            <w:noWrap/>
            <w:vAlign w:val="center"/>
          </w:tcPr>
          <w:p w14:paraId="2212AB1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100≤Y＜500</w:t>
            </w:r>
          </w:p>
        </w:tc>
        <w:tc>
          <w:tcPr>
            <w:tcW w:w="1155" w:type="dxa"/>
            <w:tcBorders>
              <w:top w:val="nil"/>
              <w:left w:val="nil"/>
              <w:bottom w:val="single" w:color="auto" w:sz="4" w:space="0"/>
              <w:right w:val="single" w:color="auto" w:sz="4" w:space="0"/>
            </w:tcBorders>
            <w:noWrap/>
            <w:vAlign w:val="center"/>
          </w:tcPr>
          <w:p w14:paraId="18B5D83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Y＜100</w:t>
            </w:r>
          </w:p>
        </w:tc>
      </w:tr>
      <w:tr w14:paraId="34435327">
        <w:tblPrEx>
          <w:tblCellMar>
            <w:top w:w="0" w:type="dxa"/>
            <w:left w:w="108" w:type="dxa"/>
            <w:bottom w:w="0" w:type="dxa"/>
            <w:right w:w="108" w:type="dxa"/>
          </w:tblCellMar>
        </w:tblPrEx>
        <w:trPr>
          <w:trHeight w:val="225" w:hRule="atLeast"/>
        </w:trPr>
        <w:tc>
          <w:tcPr>
            <w:tcW w:w="2106" w:type="dxa"/>
            <w:vMerge w:val="restart"/>
            <w:tcBorders>
              <w:top w:val="nil"/>
              <w:left w:val="single" w:color="auto" w:sz="4" w:space="0"/>
              <w:bottom w:val="single" w:color="auto" w:sz="4" w:space="0"/>
              <w:right w:val="single" w:color="auto" w:sz="4" w:space="0"/>
            </w:tcBorders>
            <w:noWrap/>
            <w:vAlign w:val="center"/>
          </w:tcPr>
          <w:p w14:paraId="798818F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b/>
                <w:bCs/>
                <w:color w:val="000000"/>
                <w:w w:val="99"/>
                <w:kern w:val="0"/>
                <w:sz w:val="21"/>
                <w:szCs w:val="21"/>
                <w:highlight w:val="none"/>
                <w:lang w:eastAsia="en-US"/>
              </w:rPr>
            </w:pPr>
            <w:r>
              <w:rPr>
                <w:rFonts w:hint="eastAsia" w:asciiTheme="majorEastAsia" w:hAnsiTheme="majorEastAsia" w:eastAsiaTheme="majorEastAsia" w:cstheme="majorEastAsia"/>
                <w:b/>
                <w:bCs/>
                <w:color w:val="000000"/>
                <w:w w:val="99"/>
                <w:kern w:val="0"/>
                <w:sz w:val="21"/>
                <w:szCs w:val="21"/>
                <w:highlight w:val="none"/>
                <w:lang w:eastAsia="en-US"/>
              </w:rPr>
              <w:t>交通运输业</w:t>
            </w:r>
          </w:p>
        </w:tc>
        <w:tc>
          <w:tcPr>
            <w:tcW w:w="1794" w:type="dxa"/>
            <w:tcBorders>
              <w:top w:val="nil"/>
              <w:left w:val="nil"/>
              <w:bottom w:val="single" w:color="auto" w:sz="4" w:space="0"/>
              <w:right w:val="single" w:color="auto" w:sz="4" w:space="0"/>
            </w:tcBorders>
            <w:noWrap/>
            <w:vAlign w:val="center"/>
          </w:tcPr>
          <w:p w14:paraId="6EA3D8B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从业人员（X）</w:t>
            </w:r>
          </w:p>
        </w:tc>
        <w:tc>
          <w:tcPr>
            <w:tcW w:w="780" w:type="dxa"/>
            <w:tcBorders>
              <w:top w:val="nil"/>
              <w:left w:val="nil"/>
              <w:bottom w:val="single" w:color="auto" w:sz="4" w:space="0"/>
              <w:right w:val="single" w:color="auto" w:sz="4" w:space="0"/>
            </w:tcBorders>
            <w:noWrap/>
            <w:vAlign w:val="center"/>
          </w:tcPr>
          <w:p w14:paraId="05FAF6F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人</w:t>
            </w:r>
          </w:p>
        </w:tc>
        <w:tc>
          <w:tcPr>
            <w:tcW w:w="2130" w:type="dxa"/>
            <w:tcBorders>
              <w:top w:val="nil"/>
              <w:left w:val="nil"/>
              <w:bottom w:val="single" w:color="auto" w:sz="4" w:space="0"/>
              <w:right w:val="single" w:color="auto" w:sz="4" w:space="0"/>
            </w:tcBorders>
            <w:noWrap/>
            <w:vAlign w:val="center"/>
          </w:tcPr>
          <w:p w14:paraId="07A06E2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300≤X＜1000</w:t>
            </w:r>
          </w:p>
        </w:tc>
        <w:tc>
          <w:tcPr>
            <w:tcW w:w="1830" w:type="dxa"/>
            <w:tcBorders>
              <w:top w:val="nil"/>
              <w:left w:val="nil"/>
              <w:bottom w:val="single" w:color="auto" w:sz="4" w:space="0"/>
              <w:right w:val="single" w:color="auto" w:sz="4" w:space="0"/>
            </w:tcBorders>
            <w:noWrap/>
            <w:vAlign w:val="center"/>
          </w:tcPr>
          <w:p w14:paraId="73BC9D9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20≤X＜300</w:t>
            </w:r>
          </w:p>
        </w:tc>
        <w:tc>
          <w:tcPr>
            <w:tcW w:w="1155" w:type="dxa"/>
            <w:tcBorders>
              <w:top w:val="nil"/>
              <w:left w:val="nil"/>
              <w:bottom w:val="single" w:color="auto" w:sz="4" w:space="0"/>
              <w:right w:val="single" w:color="auto" w:sz="4" w:space="0"/>
            </w:tcBorders>
            <w:noWrap/>
            <w:vAlign w:val="center"/>
          </w:tcPr>
          <w:p w14:paraId="6ED9009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X＜20</w:t>
            </w:r>
          </w:p>
        </w:tc>
      </w:tr>
      <w:tr w14:paraId="7C5ECDE6">
        <w:tblPrEx>
          <w:tblCellMar>
            <w:top w:w="0" w:type="dxa"/>
            <w:left w:w="108" w:type="dxa"/>
            <w:bottom w:w="0" w:type="dxa"/>
            <w:right w:w="108" w:type="dxa"/>
          </w:tblCellMar>
        </w:tblPrEx>
        <w:trPr>
          <w:trHeight w:val="225" w:hRule="atLeast"/>
        </w:trPr>
        <w:tc>
          <w:tcPr>
            <w:tcW w:w="2106" w:type="dxa"/>
            <w:vMerge w:val="continue"/>
            <w:tcBorders>
              <w:top w:val="nil"/>
              <w:left w:val="single" w:color="auto" w:sz="4" w:space="0"/>
              <w:bottom w:val="single" w:color="auto" w:sz="4" w:space="0"/>
              <w:right w:val="single" w:color="auto" w:sz="4" w:space="0"/>
            </w:tcBorders>
            <w:noWrap/>
            <w:vAlign w:val="center"/>
          </w:tcPr>
          <w:p w14:paraId="45D726C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b/>
                <w:bCs/>
                <w:color w:val="000000"/>
                <w:w w:val="99"/>
                <w:kern w:val="0"/>
                <w:sz w:val="21"/>
                <w:szCs w:val="21"/>
                <w:highlight w:val="none"/>
                <w:lang w:eastAsia="en-US"/>
              </w:rPr>
            </w:pPr>
          </w:p>
        </w:tc>
        <w:tc>
          <w:tcPr>
            <w:tcW w:w="1794" w:type="dxa"/>
            <w:tcBorders>
              <w:top w:val="nil"/>
              <w:left w:val="nil"/>
              <w:bottom w:val="single" w:color="auto" w:sz="4" w:space="0"/>
              <w:right w:val="single" w:color="auto" w:sz="4" w:space="0"/>
            </w:tcBorders>
            <w:noWrap/>
            <w:vAlign w:val="center"/>
          </w:tcPr>
          <w:p w14:paraId="689FB12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营业收入（Y）</w:t>
            </w:r>
          </w:p>
        </w:tc>
        <w:tc>
          <w:tcPr>
            <w:tcW w:w="780" w:type="dxa"/>
            <w:tcBorders>
              <w:top w:val="nil"/>
              <w:left w:val="nil"/>
              <w:bottom w:val="single" w:color="auto" w:sz="4" w:space="0"/>
              <w:right w:val="single" w:color="auto" w:sz="4" w:space="0"/>
            </w:tcBorders>
            <w:noWrap/>
            <w:vAlign w:val="center"/>
          </w:tcPr>
          <w:p w14:paraId="6F97100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万元</w:t>
            </w:r>
          </w:p>
        </w:tc>
        <w:tc>
          <w:tcPr>
            <w:tcW w:w="2130" w:type="dxa"/>
            <w:tcBorders>
              <w:top w:val="nil"/>
              <w:left w:val="nil"/>
              <w:bottom w:val="single" w:color="auto" w:sz="4" w:space="0"/>
              <w:right w:val="single" w:color="auto" w:sz="4" w:space="0"/>
            </w:tcBorders>
            <w:noWrap/>
            <w:vAlign w:val="center"/>
          </w:tcPr>
          <w:p w14:paraId="5E7F1C4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3000≤Y＜30000</w:t>
            </w:r>
          </w:p>
        </w:tc>
        <w:tc>
          <w:tcPr>
            <w:tcW w:w="1830" w:type="dxa"/>
            <w:tcBorders>
              <w:top w:val="nil"/>
              <w:left w:val="nil"/>
              <w:bottom w:val="single" w:color="auto" w:sz="4" w:space="0"/>
              <w:right w:val="single" w:color="auto" w:sz="4" w:space="0"/>
            </w:tcBorders>
            <w:noWrap/>
            <w:vAlign w:val="center"/>
          </w:tcPr>
          <w:p w14:paraId="5678A50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200≤Y＜3000</w:t>
            </w:r>
          </w:p>
        </w:tc>
        <w:tc>
          <w:tcPr>
            <w:tcW w:w="1155" w:type="dxa"/>
            <w:tcBorders>
              <w:top w:val="nil"/>
              <w:left w:val="nil"/>
              <w:bottom w:val="single" w:color="auto" w:sz="4" w:space="0"/>
              <w:right w:val="single" w:color="auto" w:sz="4" w:space="0"/>
            </w:tcBorders>
            <w:noWrap/>
            <w:vAlign w:val="center"/>
          </w:tcPr>
          <w:p w14:paraId="197571B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Y＜200</w:t>
            </w:r>
          </w:p>
        </w:tc>
      </w:tr>
      <w:tr w14:paraId="608CE6A7">
        <w:tblPrEx>
          <w:tblCellMar>
            <w:top w:w="0" w:type="dxa"/>
            <w:left w:w="108" w:type="dxa"/>
            <w:bottom w:w="0" w:type="dxa"/>
            <w:right w:w="108" w:type="dxa"/>
          </w:tblCellMar>
        </w:tblPrEx>
        <w:trPr>
          <w:trHeight w:val="225" w:hRule="atLeast"/>
        </w:trPr>
        <w:tc>
          <w:tcPr>
            <w:tcW w:w="2106" w:type="dxa"/>
            <w:vMerge w:val="restart"/>
            <w:tcBorders>
              <w:top w:val="nil"/>
              <w:left w:val="single" w:color="auto" w:sz="4" w:space="0"/>
              <w:bottom w:val="single" w:color="auto" w:sz="4" w:space="0"/>
              <w:right w:val="single" w:color="auto" w:sz="4" w:space="0"/>
            </w:tcBorders>
            <w:noWrap/>
            <w:vAlign w:val="center"/>
          </w:tcPr>
          <w:p w14:paraId="17E4366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b/>
                <w:bCs/>
                <w:color w:val="000000"/>
                <w:w w:val="99"/>
                <w:kern w:val="0"/>
                <w:sz w:val="21"/>
                <w:szCs w:val="21"/>
                <w:highlight w:val="none"/>
                <w:lang w:eastAsia="en-US"/>
              </w:rPr>
            </w:pPr>
            <w:r>
              <w:rPr>
                <w:rFonts w:hint="eastAsia" w:asciiTheme="majorEastAsia" w:hAnsiTheme="majorEastAsia" w:eastAsiaTheme="majorEastAsia" w:cstheme="majorEastAsia"/>
                <w:b/>
                <w:bCs/>
                <w:color w:val="000000"/>
                <w:w w:val="99"/>
                <w:kern w:val="0"/>
                <w:sz w:val="21"/>
                <w:szCs w:val="21"/>
                <w:highlight w:val="none"/>
                <w:lang w:eastAsia="en-US"/>
              </w:rPr>
              <w:t>仓储业</w:t>
            </w:r>
          </w:p>
        </w:tc>
        <w:tc>
          <w:tcPr>
            <w:tcW w:w="1794" w:type="dxa"/>
            <w:tcBorders>
              <w:top w:val="nil"/>
              <w:left w:val="nil"/>
              <w:bottom w:val="single" w:color="auto" w:sz="4" w:space="0"/>
              <w:right w:val="single" w:color="auto" w:sz="4" w:space="0"/>
            </w:tcBorders>
            <w:noWrap/>
            <w:vAlign w:val="center"/>
          </w:tcPr>
          <w:p w14:paraId="378A593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从业人员（X）</w:t>
            </w:r>
          </w:p>
        </w:tc>
        <w:tc>
          <w:tcPr>
            <w:tcW w:w="780" w:type="dxa"/>
            <w:tcBorders>
              <w:top w:val="nil"/>
              <w:left w:val="nil"/>
              <w:bottom w:val="single" w:color="auto" w:sz="4" w:space="0"/>
              <w:right w:val="single" w:color="auto" w:sz="4" w:space="0"/>
            </w:tcBorders>
            <w:noWrap/>
            <w:vAlign w:val="center"/>
          </w:tcPr>
          <w:p w14:paraId="545045E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人</w:t>
            </w:r>
          </w:p>
        </w:tc>
        <w:tc>
          <w:tcPr>
            <w:tcW w:w="2130" w:type="dxa"/>
            <w:tcBorders>
              <w:top w:val="nil"/>
              <w:left w:val="nil"/>
              <w:bottom w:val="single" w:color="auto" w:sz="4" w:space="0"/>
              <w:right w:val="single" w:color="auto" w:sz="4" w:space="0"/>
            </w:tcBorders>
            <w:noWrap/>
            <w:vAlign w:val="center"/>
          </w:tcPr>
          <w:p w14:paraId="5834C5E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100≤X＜200</w:t>
            </w:r>
          </w:p>
        </w:tc>
        <w:tc>
          <w:tcPr>
            <w:tcW w:w="1830" w:type="dxa"/>
            <w:tcBorders>
              <w:top w:val="nil"/>
              <w:left w:val="nil"/>
              <w:bottom w:val="single" w:color="auto" w:sz="4" w:space="0"/>
              <w:right w:val="single" w:color="auto" w:sz="4" w:space="0"/>
            </w:tcBorders>
            <w:noWrap/>
            <w:vAlign w:val="center"/>
          </w:tcPr>
          <w:p w14:paraId="51C55F4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20≤X＜100</w:t>
            </w:r>
          </w:p>
        </w:tc>
        <w:tc>
          <w:tcPr>
            <w:tcW w:w="1155" w:type="dxa"/>
            <w:tcBorders>
              <w:top w:val="nil"/>
              <w:left w:val="nil"/>
              <w:bottom w:val="single" w:color="auto" w:sz="4" w:space="0"/>
              <w:right w:val="single" w:color="auto" w:sz="4" w:space="0"/>
            </w:tcBorders>
            <w:noWrap/>
            <w:vAlign w:val="center"/>
          </w:tcPr>
          <w:p w14:paraId="756475C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X＜20</w:t>
            </w:r>
          </w:p>
        </w:tc>
      </w:tr>
      <w:tr w14:paraId="68124617">
        <w:tblPrEx>
          <w:tblCellMar>
            <w:top w:w="0" w:type="dxa"/>
            <w:left w:w="108" w:type="dxa"/>
            <w:bottom w:w="0" w:type="dxa"/>
            <w:right w:w="108" w:type="dxa"/>
          </w:tblCellMar>
        </w:tblPrEx>
        <w:trPr>
          <w:trHeight w:val="225" w:hRule="atLeast"/>
        </w:trPr>
        <w:tc>
          <w:tcPr>
            <w:tcW w:w="2106" w:type="dxa"/>
            <w:vMerge w:val="continue"/>
            <w:tcBorders>
              <w:top w:val="nil"/>
              <w:left w:val="single" w:color="auto" w:sz="4" w:space="0"/>
              <w:bottom w:val="single" w:color="auto" w:sz="4" w:space="0"/>
              <w:right w:val="single" w:color="auto" w:sz="4" w:space="0"/>
            </w:tcBorders>
            <w:noWrap/>
            <w:vAlign w:val="center"/>
          </w:tcPr>
          <w:p w14:paraId="3C1699B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b/>
                <w:bCs/>
                <w:color w:val="000000"/>
                <w:w w:val="99"/>
                <w:kern w:val="0"/>
                <w:sz w:val="21"/>
                <w:szCs w:val="21"/>
                <w:highlight w:val="none"/>
                <w:lang w:eastAsia="en-US"/>
              </w:rPr>
            </w:pPr>
          </w:p>
        </w:tc>
        <w:tc>
          <w:tcPr>
            <w:tcW w:w="1794" w:type="dxa"/>
            <w:tcBorders>
              <w:top w:val="nil"/>
              <w:left w:val="nil"/>
              <w:bottom w:val="single" w:color="auto" w:sz="4" w:space="0"/>
              <w:right w:val="single" w:color="auto" w:sz="4" w:space="0"/>
            </w:tcBorders>
            <w:noWrap/>
            <w:vAlign w:val="center"/>
          </w:tcPr>
          <w:p w14:paraId="3B5D593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营业收入（Y）</w:t>
            </w:r>
          </w:p>
        </w:tc>
        <w:tc>
          <w:tcPr>
            <w:tcW w:w="780" w:type="dxa"/>
            <w:tcBorders>
              <w:top w:val="nil"/>
              <w:left w:val="nil"/>
              <w:bottom w:val="single" w:color="auto" w:sz="4" w:space="0"/>
              <w:right w:val="single" w:color="auto" w:sz="4" w:space="0"/>
            </w:tcBorders>
            <w:noWrap/>
            <w:vAlign w:val="center"/>
          </w:tcPr>
          <w:p w14:paraId="0472603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万元</w:t>
            </w:r>
          </w:p>
        </w:tc>
        <w:tc>
          <w:tcPr>
            <w:tcW w:w="2130" w:type="dxa"/>
            <w:tcBorders>
              <w:top w:val="nil"/>
              <w:left w:val="nil"/>
              <w:bottom w:val="single" w:color="auto" w:sz="4" w:space="0"/>
              <w:right w:val="single" w:color="auto" w:sz="4" w:space="0"/>
            </w:tcBorders>
            <w:noWrap/>
            <w:vAlign w:val="center"/>
          </w:tcPr>
          <w:p w14:paraId="27CD53E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1000≤Y＜30000</w:t>
            </w:r>
          </w:p>
        </w:tc>
        <w:tc>
          <w:tcPr>
            <w:tcW w:w="1830" w:type="dxa"/>
            <w:tcBorders>
              <w:top w:val="nil"/>
              <w:left w:val="nil"/>
              <w:bottom w:val="single" w:color="auto" w:sz="4" w:space="0"/>
              <w:right w:val="single" w:color="auto" w:sz="4" w:space="0"/>
            </w:tcBorders>
            <w:noWrap/>
            <w:vAlign w:val="center"/>
          </w:tcPr>
          <w:p w14:paraId="39158F7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100≤Y＜1000</w:t>
            </w:r>
          </w:p>
        </w:tc>
        <w:tc>
          <w:tcPr>
            <w:tcW w:w="1155" w:type="dxa"/>
            <w:tcBorders>
              <w:top w:val="nil"/>
              <w:left w:val="nil"/>
              <w:bottom w:val="single" w:color="auto" w:sz="4" w:space="0"/>
              <w:right w:val="single" w:color="auto" w:sz="4" w:space="0"/>
            </w:tcBorders>
            <w:noWrap/>
            <w:vAlign w:val="center"/>
          </w:tcPr>
          <w:p w14:paraId="2B59C02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Y＜100</w:t>
            </w:r>
          </w:p>
        </w:tc>
      </w:tr>
      <w:tr w14:paraId="6713DBB6">
        <w:tblPrEx>
          <w:tblCellMar>
            <w:top w:w="0" w:type="dxa"/>
            <w:left w:w="108" w:type="dxa"/>
            <w:bottom w:w="0" w:type="dxa"/>
            <w:right w:w="108" w:type="dxa"/>
          </w:tblCellMar>
        </w:tblPrEx>
        <w:trPr>
          <w:trHeight w:val="225" w:hRule="atLeast"/>
        </w:trPr>
        <w:tc>
          <w:tcPr>
            <w:tcW w:w="2106" w:type="dxa"/>
            <w:vMerge w:val="restart"/>
            <w:tcBorders>
              <w:top w:val="nil"/>
              <w:left w:val="single" w:color="auto" w:sz="4" w:space="0"/>
              <w:bottom w:val="single" w:color="auto" w:sz="4" w:space="0"/>
              <w:right w:val="single" w:color="auto" w:sz="4" w:space="0"/>
            </w:tcBorders>
            <w:noWrap/>
            <w:vAlign w:val="center"/>
          </w:tcPr>
          <w:p w14:paraId="6F72EC4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b/>
                <w:bCs/>
                <w:color w:val="000000"/>
                <w:w w:val="99"/>
                <w:kern w:val="0"/>
                <w:sz w:val="21"/>
                <w:szCs w:val="21"/>
                <w:highlight w:val="none"/>
                <w:lang w:eastAsia="en-US"/>
              </w:rPr>
            </w:pPr>
            <w:r>
              <w:rPr>
                <w:rFonts w:hint="eastAsia" w:asciiTheme="majorEastAsia" w:hAnsiTheme="majorEastAsia" w:eastAsiaTheme="majorEastAsia" w:cstheme="majorEastAsia"/>
                <w:b/>
                <w:bCs/>
                <w:color w:val="000000"/>
                <w:w w:val="99"/>
                <w:kern w:val="0"/>
                <w:sz w:val="21"/>
                <w:szCs w:val="21"/>
                <w:highlight w:val="none"/>
                <w:lang w:eastAsia="en-US"/>
              </w:rPr>
              <w:t>邮政业</w:t>
            </w:r>
          </w:p>
        </w:tc>
        <w:tc>
          <w:tcPr>
            <w:tcW w:w="1794" w:type="dxa"/>
            <w:tcBorders>
              <w:top w:val="nil"/>
              <w:left w:val="nil"/>
              <w:bottom w:val="single" w:color="auto" w:sz="4" w:space="0"/>
              <w:right w:val="single" w:color="auto" w:sz="4" w:space="0"/>
            </w:tcBorders>
            <w:noWrap/>
            <w:vAlign w:val="center"/>
          </w:tcPr>
          <w:p w14:paraId="5E51D7A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从业人员（X）</w:t>
            </w:r>
          </w:p>
        </w:tc>
        <w:tc>
          <w:tcPr>
            <w:tcW w:w="780" w:type="dxa"/>
            <w:tcBorders>
              <w:top w:val="nil"/>
              <w:left w:val="nil"/>
              <w:bottom w:val="single" w:color="auto" w:sz="4" w:space="0"/>
              <w:right w:val="single" w:color="auto" w:sz="4" w:space="0"/>
            </w:tcBorders>
            <w:noWrap/>
            <w:vAlign w:val="center"/>
          </w:tcPr>
          <w:p w14:paraId="5F332C4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人</w:t>
            </w:r>
          </w:p>
        </w:tc>
        <w:tc>
          <w:tcPr>
            <w:tcW w:w="2130" w:type="dxa"/>
            <w:tcBorders>
              <w:top w:val="nil"/>
              <w:left w:val="nil"/>
              <w:bottom w:val="single" w:color="auto" w:sz="4" w:space="0"/>
              <w:right w:val="single" w:color="auto" w:sz="4" w:space="0"/>
            </w:tcBorders>
            <w:noWrap/>
            <w:vAlign w:val="center"/>
          </w:tcPr>
          <w:p w14:paraId="0A63D5A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300≤X＜1000</w:t>
            </w:r>
          </w:p>
        </w:tc>
        <w:tc>
          <w:tcPr>
            <w:tcW w:w="1830" w:type="dxa"/>
            <w:tcBorders>
              <w:top w:val="nil"/>
              <w:left w:val="nil"/>
              <w:bottom w:val="single" w:color="auto" w:sz="4" w:space="0"/>
              <w:right w:val="single" w:color="auto" w:sz="4" w:space="0"/>
            </w:tcBorders>
            <w:noWrap/>
            <w:vAlign w:val="center"/>
          </w:tcPr>
          <w:p w14:paraId="0BBEA16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20≤X＜300</w:t>
            </w:r>
          </w:p>
        </w:tc>
        <w:tc>
          <w:tcPr>
            <w:tcW w:w="1155" w:type="dxa"/>
            <w:tcBorders>
              <w:top w:val="nil"/>
              <w:left w:val="nil"/>
              <w:bottom w:val="single" w:color="auto" w:sz="4" w:space="0"/>
              <w:right w:val="single" w:color="auto" w:sz="4" w:space="0"/>
            </w:tcBorders>
            <w:noWrap/>
            <w:vAlign w:val="center"/>
          </w:tcPr>
          <w:p w14:paraId="517C993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X＜20</w:t>
            </w:r>
          </w:p>
        </w:tc>
      </w:tr>
      <w:tr w14:paraId="30271560">
        <w:tblPrEx>
          <w:tblCellMar>
            <w:top w:w="0" w:type="dxa"/>
            <w:left w:w="108" w:type="dxa"/>
            <w:bottom w:w="0" w:type="dxa"/>
            <w:right w:w="108" w:type="dxa"/>
          </w:tblCellMar>
        </w:tblPrEx>
        <w:trPr>
          <w:trHeight w:val="225" w:hRule="atLeast"/>
        </w:trPr>
        <w:tc>
          <w:tcPr>
            <w:tcW w:w="2106" w:type="dxa"/>
            <w:vMerge w:val="continue"/>
            <w:tcBorders>
              <w:top w:val="nil"/>
              <w:left w:val="single" w:color="auto" w:sz="4" w:space="0"/>
              <w:bottom w:val="single" w:color="auto" w:sz="4" w:space="0"/>
              <w:right w:val="single" w:color="auto" w:sz="4" w:space="0"/>
            </w:tcBorders>
            <w:noWrap/>
            <w:vAlign w:val="center"/>
          </w:tcPr>
          <w:p w14:paraId="10AE19E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b/>
                <w:bCs/>
                <w:color w:val="000000"/>
                <w:w w:val="99"/>
                <w:kern w:val="0"/>
                <w:sz w:val="21"/>
                <w:szCs w:val="21"/>
                <w:highlight w:val="none"/>
                <w:lang w:eastAsia="en-US"/>
              </w:rPr>
            </w:pPr>
          </w:p>
        </w:tc>
        <w:tc>
          <w:tcPr>
            <w:tcW w:w="1794" w:type="dxa"/>
            <w:tcBorders>
              <w:top w:val="nil"/>
              <w:left w:val="nil"/>
              <w:bottom w:val="single" w:color="auto" w:sz="4" w:space="0"/>
              <w:right w:val="single" w:color="auto" w:sz="4" w:space="0"/>
            </w:tcBorders>
            <w:noWrap/>
            <w:vAlign w:val="center"/>
          </w:tcPr>
          <w:p w14:paraId="7EF71FE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营业收入（Y）</w:t>
            </w:r>
          </w:p>
        </w:tc>
        <w:tc>
          <w:tcPr>
            <w:tcW w:w="780" w:type="dxa"/>
            <w:tcBorders>
              <w:top w:val="nil"/>
              <w:left w:val="nil"/>
              <w:bottom w:val="single" w:color="auto" w:sz="4" w:space="0"/>
              <w:right w:val="single" w:color="auto" w:sz="4" w:space="0"/>
            </w:tcBorders>
            <w:noWrap/>
            <w:vAlign w:val="center"/>
          </w:tcPr>
          <w:p w14:paraId="59E0765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万元</w:t>
            </w:r>
          </w:p>
        </w:tc>
        <w:tc>
          <w:tcPr>
            <w:tcW w:w="2130" w:type="dxa"/>
            <w:tcBorders>
              <w:top w:val="nil"/>
              <w:left w:val="nil"/>
              <w:bottom w:val="single" w:color="auto" w:sz="4" w:space="0"/>
              <w:right w:val="single" w:color="auto" w:sz="4" w:space="0"/>
            </w:tcBorders>
            <w:noWrap/>
            <w:vAlign w:val="center"/>
          </w:tcPr>
          <w:p w14:paraId="767BDEA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2000≤Y＜30000</w:t>
            </w:r>
          </w:p>
        </w:tc>
        <w:tc>
          <w:tcPr>
            <w:tcW w:w="1830" w:type="dxa"/>
            <w:tcBorders>
              <w:top w:val="nil"/>
              <w:left w:val="nil"/>
              <w:bottom w:val="single" w:color="auto" w:sz="4" w:space="0"/>
              <w:right w:val="single" w:color="auto" w:sz="4" w:space="0"/>
            </w:tcBorders>
            <w:noWrap/>
            <w:vAlign w:val="center"/>
          </w:tcPr>
          <w:p w14:paraId="5115729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100≤Y＜2000</w:t>
            </w:r>
          </w:p>
        </w:tc>
        <w:tc>
          <w:tcPr>
            <w:tcW w:w="1155" w:type="dxa"/>
            <w:tcBorders>
              <w:top w:val="nil"/>
              <w:left w:val="nil"/>
              <w:bottom w:val="single" w:color="auto" w:sz="4" w:space="0"/>
              <w:right w:val="single" w:color="auto" w:sz="4" w:space="0"/>
            </w:tcBorders>
            <w:noWrap/>
            <w:vAlign w:val="center"/>
          </w:tcPr>
          <w:p w14:paraId="1ADD300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Y＜100</w:t>
            </w:r>
          </w:p>
        </w:tc>
      </w:tr>
      <w:tr w14:paraId="69F5CF3C">
        <w:tblPrEx>
          <w:tblCellMar>
            <w:top w:w="0" w:type="dxa"/>
            <w:left w:w="108" w:type="dxa"/>
            <w:bottom w:w="0" w:type="dxa"/>
            <w:right w:w="108" w:type="dxa"/>
          </w:tblCellMar>
        </w:tblPrEx>
        <w:trPr>
          <w:trHeight w:val="390" w:hRule="atLeast"/>
        </w:trPr>
        <w:tc>
          <w:tcPr>
            <w:tcW w:w="2106" w:type="dxa"/>
            <w:vMerge w:val="restart"/>
            <w:tcBorders>
              <w:top w:val="single" w:color="auto" w:sz="4" w:space="0"/>
              <w:left w:val="single" w:color="auto" w:sz="4" w:space="0"/>
              <w:bottom w:val="single" w:color="auto" w:sz="4" w:space="0"/>
              <w:right w:val="single" w:color="auto" w:sz="4" w:space="0"/>
            </w:tcBorders>
            <w:noWrap/>
            <w:vAlign w:val="center"/>
          </w:tcPr>
          <w:p w14:paraId="1EFC317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b/>
                <w:bCs/>
                <w:color w:val="000000"/>
                <w:w w:val="99"/>
                <w:kern w:val="0"/>
                <w:sz w:val="21"/>
                <w:szCs w:val="21"/>
                <w:highlight w:val="none"/>
                <w:lang w:eastAsia="en-US"/>
              </w:rPr>
            </w:pPr>
            <w:r>
              <w:rPr>
                <w:rFonts w:hint="eastAsia" w:asciiTheme="majorEastAsia" w:hAnsiTheme="majorEastAsia" w:eastAsiaTheme="majorEastAsia" w:cstheme="majorEastAsia"/>
                <w:b/>
                <w:bCs/>
                <w:color w:val="000000"/>
                <w:w w:val="99"/>
                <w:kern w:val="0"/>
                <w:sz w:val="21"/>
                <w:szCs w:val="21"/>
                <w:highlight w:val="none"/>
                <w:lang w:eastAsia="en-US"/>
              </w:rPr>
              <w:t>住宿业</w:t>
            </w:r>
          </w:p>
        </w:tc>
        <w:tc>
          <w:tcPr>
            <w:tcW w:w="1794" w:type="dxa"/>
            <w:tcBorders>
              <w:top w:val="single" w:color="auto" w:sz="4" w:space="0"/>
              <w:left w:val="nil"/>
              <w:bottom w:val="single" w:color="auto" w:sz="4" w:space="0"/>
              <w:right w:val="single" w:color="auto" w:sz="4" w:space="0"/>
            </w:tcBorders>
            <w:noWrap/>
            <w:vAlign w:val="center"/>
          </w:tcPr>
          <w:p w14:paraId="6471A9C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从业人员（X）</w:t>
            </w:r>
          </w:p>
        </w:tc>
        <w:tc>
          <w:tcPr>
            <w:tcW w:w="780" w:type="dxa"/>
            <w:tcBorders>
              <w:top w:val="single" w:color="auto" w:sz="4" w:space="0"/>
              <w:left w:val="nil"/>
              <w:bottom w:val="single" w:color="auto" w:sz="4" w:space="0"/>
              <w:right w:val="single" w:color="auto" w:sz="4" w:space="0"/>
            </w:tcBorders>
            <w:noWrap/>
            <w:vAlign w:val="center"/>
          </w:tcPr>
          <w:p w14:paraId="15A2FE3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人</w:t>
            </w:r>
          </w:p>
        </w:tc>
        <w:tc>
          <w:tcPr>
            <w:tcW w:w="2130" w:type="dxa"/>
            <w:tcBorders>
              <w:top w:val="single" w:color="auto" w:sz="4" w:space="0"/>
              <w:left w:val="nil"/>
              <w:bottom w:val="single" w:color="auto" w:sz="4" w:space="0"/>
              <w:right w:val="single" w:color="auto" w:sz="4" w:space="0"/>
            </w:tcBorders>
            <w:noWrap/>
            <w:vAlign w:val="center"/>
          </w:tcPr>
          <w:p w14:paraId="1124E85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100≤X＜300</w:t>
            </w:r>
          </w:p>
        </w:tc>
        <w:tc>
          <w:tcPr>
            <w:tcW w:w="1830" w:type="dxa"/>
            <w:tcBorders>
              <w:top w:val="single" w:color="auto" w:sz="4" w:space="0"/>
              <w:left w:val="nil"/>
              <w:bottom w:val="single" w:color="auto" w:sz="4" w:space="0"/>
              <w:right w:val="single" w:color="auto" w:sz="4" w:space="0"/>
            </w:tcBorders>
            <w:noWrap/>
            <w:vAlign w:val="center"/>
          </w:tcPr>
          <w:p w14:paraId="5174158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10≤X＜100</w:t>
            </w:r>
          </w:p>
        </w:tc>
        <w:tc>
          <w:tcPr>
            <w:tcW w:w="1155" w:type="dxa"/>
            <w:tcBorders>
              <w:top w:val="single" w:color="auto" w:sz="4" w:space="0"/>
              <w:left w:val="nil"/>
              <w:bottom w:val="single" w:color="auto" w:sz="4" w:space="0"/>
              <w:right w:val="single" w:color="auto" w:sz="4" w:space="0"/>
            </w:tcBorders>
            <w:noWrap/>
            <w:vAlign w:val="center"/>
          </w:tcPr>
          <w:p w14:paraId="6F8125C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X＜10</w:t>
            </w:r>
          </w:p>
        </w:tc>
      </w:tr>
      <w:tr w14:paraId="23C34D77">
        <w:tblPrEx>
          <w:tblCellMar>
            <w:top w:w="0" w:type="dxa"/>
            <w:left w:w="108" w:type="dxa"/>
            <w:bottom w:w="0" w:type="dxa"/>
            <w:right w:w="108" w:type="dxa"/>
          </w:tblCellMar>
        </w:tblPrEx>
        <w:trPr>
          <w:trHeight w:val="361" w:hRule="atLeast"/>
        </w:trPr>
        <w:tc>
          <w:tcPr>
            <w:tcW w:w="2106" w:type="dxa"/>
            <w:vMerge w:val="continue"/>
            <w:tcBorders>
              <w:top w:val="nil"/>
              <w:left w:val="single" w:color="auto" w:sz="4" w:space="0"/>
              <w:bottom w:val="single" w:color="auto" w:sz="4" w:space="0"/>
              <w:right w:val="single" w:color="auto" w:sz="4" w:space="0"/>
            </w:tcBorders>
            <w:noWrap/>
            <w:vAlign w:val="center"/>
          </w:tcPr>
          <w:p w14:paraId="0881B10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b/>
                <w:bCs/>
                <w:color w:val="000000"/>
                <w:w w:val="99"/>
                <w:kern w:val="0"/>
                <w:sz w:val="21"/>
                <w:szCs w:val="21"/>
                <w:highlight w:val="none"/>
                <w:lang w:eastAsia="en-US"/>
              </w:rPr>
            </w:pPr>
          </w:p>
        </w:tc>
        <w:tc>
          <w:tcPr>
            <w:tcW w:w="1794" w:type="dxa"/>
            <w:tcBorders>
              <w:top w:val="nil"/>
              <w:left w:val="nil"/>
              <w:bottom w:val="single" w:color="auto" w:sz="4" w:space="0"/>
              <w:right w:val="single" w:color="auto" w:sz="4" w:space="0"/>
            </w:tcBorders>
            <w:noWrap/>
            <w:vAlign w:val="center"/>
          </w:tcPr>
          <w:p w14:paraId="5DCBEFA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营业收入（Y）</w:t>
            </w:r>
          </w:p>
        </w:tc>
        <w:tc>
          <w:tcPr>
            <w:tcW w:w="780" w:type="dxa"/>
            <w:tcBorders>
              <w:top w:val="nil"/>
              <w:left w:val="nil"/>
              <w:bottom w:val="single" w:color="auto" w:sz="4" w:space="0"/>
              <w:right w:val="single" w:color="auto" w:sz="4" w:space="0"/>
            </w:tcBorders>
            <w:noWrap/>
            <w:vAlign w:val="center"/>
          </w:tcPr>
          <w:p w14:paraId="1E6D9DF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万元</w:t>
            </w:r>
          </w:p>
        </w:tc>
        <w:tc>
          <w:tcPr>
            <w:tcW w:w="2130" w:type="dxa"/>
            <w:tcBorders>
              <w:top w:val="nil"/>
              <w:left w:val="nil"/>
              <w:bottom w:val="single" w:color="auto" w:sz="4" w:space="0"/>
              <w:right w:val="single" w:color="auto" w:sz="4" w:space="0"/>
            </w:tcBorders>
            <w:noWrap/>
            <w:vAlign w:val="center"/>
          </w:tcPr>
          <w:p w14:paraId="3E7543F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2000≤Y＜10000</w:t>
            </w:r>
          </w:p>
        </w:tc>
        <w:tc>
          <w:tcPr>
            <w:tcW w:w="1830" w:type="dxa"/>
            <w:tcBorders>
              <w:top w:val="nil"/>
              <w:left w:val="nil"/>
              <w:bottom w:val="single" w:color="auto" w:sz="4" w:space="0"/>
              <w:right w:val="single" w:color="auto" w:sz="4" w:space="0"/>
            </w:tcBorders>
            <w:noWrap/>
            <w:vAlign w:val="center"/>
          </w:tcPr>
          <w:p w14:paraId="3D51004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100≤Y＜2000</w:t>
            </w:r>
          </w:p>
        </w:tc>
        <w:tc>
          <w:tcPr>
            <w:tcW w:w="1155" w:type="dxa"/>
            <w:tcBorders>
              <w:top w:val="nil"/>
              <w:left w:val="nil"/>
              <w:bottom w:val="single" w:color="auto" w:sz="4" w:space="0"/>
              <w:right w:val="single" w:color="auto" w:sz="4" w:space="0"/>
            </w:tcBorders>
            <w:noWrap/>
            <w:vAlign w:val="center"/>
          </w:tcPr>
          <w:p w14:paraId="3D6178B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Y＜100</w:t>
            </w:r>
          </w:p>
        </w:tc>
      </w:tr>
      <w:tr w14:paraId="0ED06C69">
        <w:tblPrEx>
          <w:tblCellMar>
            <w:top w:w="0" w:type="dxa"/>
            <w:left w:w="108" w:type="dxa"/>
            <w:bottom w:w="0" w:type="dxa"/>
            <w:right w:w="108" w:type="dxa"/>
          </w:tblCellMar>
        </w:tblPrEx>
        <w:trPr>
          <w:trHeight w:val="225" w:hRule="atLeast"/>
        </w:trPr>
        <w:tc>
          <w:tcPr>
            <w:tcW w:w="2106" w:type="dxa"/>
            <w:vMerge w:val="restart"/>
            <w:tcBorders>
              <w:top w:val="single" w:color="auto" w:sz="4" w:space="0"/>
              <w:left w:val="single" w:color="auto" w:sz="4" w:space="0"/>
              <w:bottom w:val="single" w:color="auto" w:sz="4" w:space="0"/>
              <w:right w:val="single" w:color="auto" w:sz="4" w:space="0"/>
            </w:tcBorders>
            <w:noWrap/>
            <w:vAlign w:val="center"/>
          </w:tcPr>
          <w:p w14:paraId="4EA272B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b/>
                <w:bCs/>
                <w:color w:val="000000"/>
                <w:w w:val="99"/>
                <w:kern w:val="0"/>
                <w:sz w:val="21"/>
                <w:szCs w:val="21"/>
                <w:highlight w:val="none"/>
                <w:lang w:eastAsia="en-US"/>
              </w:rPr>
            </w:pPr>
            <w:r>
              <w:rPr>
                <w:rFonts w:hint="eastAsia" w:asciiTheme="majorEastAsia" w:hAnsiTheme="majorEastAsia" w:eastAsiaTheme="majorEastAsia" w:cstheme="majorEastAsia"/>
                <w:b/>
                <w:bCs/>
                <w:color w:val="000000"/>
                <w:w w:val="99"/>
                <w:kern w:val="0"/>
                <w:sz w:val="21"/>
                <w:szCs w:val="21"/>
                <w:highlight w:val="none"/>
                <w:lang w:eastAsia="en-US"/>
              </w:rPr>
              <w:t>餐饮业</w:t>
            </w:r>
          </w:p>
        </w:tc>
        <w:tc>
          <w:tcPr>
            <w:tcW w:w="1794" w:type="dxa"/>
            <w:tcBorders>
              <w:top w:val="single" w:color="auto" w:sz="4" w:space="0"/>
              <w:left w:val="nil"/>
              <w:bottom w:val="single" w:color="auto" w:sz="4" w:space="0"/>
              <w:right w:val="single" w:color="auto" w:sz="4" w:space="0"/>
            </w:tcBorders>
            <w:noWrap/>
            <w:vAlign w:val="center"/>
          </w:tcPr>
          <w:p w14:paraId="43B0B7A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从业人员（X）</w:t>
            </w:r>
          </w:p>
        </w:tc>
        <w:tc>
          <w:tcPr>
            <w:tcW w:w="780" w:type="dxa"/>
            <w:tcBorders>
              <w:top w:val="single" w:color="auto" w:sz="4" w:space="0"/>
              <w:left w:val="nil"/>
              <w:bottom w:val="single" w:color="auto" w:sz="4" w:space="0"/>
              <w:right w:val="single" w:color="auto" w:sz="4" w:space="0"/>
            </w:tcBorders>
            <w:noWrap/>
            <w:vAlign w:val="center"/>
          </w:tcPr>
          <w:p w14:paraId="2C72101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人</w:t>
            </w:r>
          </w:p>
        </w:tc>
        <w:tc>
          <w:tcPr>
            <w:tcW w:w="2130" w:type="dxa"/>
            <w:tcBorders>
              <w:top w:val="single" w:color="auto" w:sz="4" w:space="0"/>
              <w:left w:val="nil"/>
              <w:bottom w:val="single" w:color="auto" w:sz="4" w:space="0"/>
              <w:right w:val="single" w:color="auto" w:sz="4" w:space="0"/>
            </w:tcBorders>
            <w:noWrap/>
            <w:vAlign w:val="center"/>
          </w:tcPr>
          <w:p w14:paraId="25510BC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100≤X＜300</w:t>
            </w:r>
          </w:p>
        </w:tc>
        <w:tc>
          <w:tcPr>
            <w:tcW w:w="1830" w:type="dxa"/>
            <w:tcBorders>
              <w:top w:val="single" w:color="auto" w:sz="4" w:space="0"/>
              <w:left w:val="nil"/>
              <w:bottom w:val="single" w:color="auto" w:sz="4" w:space="0"/>
              <w:right w:val="single" w:color="auto" w:sz="4" w:space="0"/>
            </w:tcBorders>
            <w:noWrap/>
            <w:vAlign w:val="center"/>
          </w:tcPr>
          <w:p w14:paraId="2BA1180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10≤X＜100</w:t>
            </w:r>
          </w:p>
        </w:tc>
        <w:tc>
          <w:tcPr>
            <w:tcW w:w="1155" w:type="dxa"/>
            <w:tcBorders>
              <w:top w:val="single" w:color="auto" w:sz="4" w:space="0"/>
              <w:left w:val="nil"/>
              <w:bottom w:val="single" w:color="auto" w:sz="4" w:space="0"/>
              <w:right w:val="single" w:color="auto" w:sz="4" w:space="0"/>
            </w:tcBorders>
            <w:noWrap/>
            <w:vAlign w:val="center"/>
          </w:tcPr>
          <w:p w14:paraId="449362B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X＜10</w:t>
            </w:r>
          </w:p>
        </w:tc>
      </w:tr>
      <w:tr w14:paraId="21C6B1D6">
        <w:tblPrEx>
          <w:tblCellMar>
            <w:top w:w="0" w:type="dxa"/>
            <w:left w:w="108" w:type="dxa"/>
            <w:bottom w:w="0" w:type="dxa"/>
            <w:right w:w="108" w:type="dxa"/>
          </w:tblCellMar>
        </w:tblPrEx>
        <w:trPr>
          <w:trHeight w:val="225" w:hRule="atLeast"/>
        </w:trPr>
        <w:tc>
          <w:tcPr>
            <w:tcW w:w="2106" w:type="dxa"/>
            <w:vMerge w:val="continue"/>
            <w:tcBorders>
              <w:top w:val="single" w:color="auto" w:sz="4" w:space="0"/>
              <w:left w:val="single" w:color="auto" w:sz="4" w:space="0"/>
              <w:bottom w:val="single" w:color="auto" w:sz="4" w:space="0"/>
              <w:right w:val="single" w:color="auto" w:sz="4" w:space="0"/>
            </w:tcBorders>
            <w:noWrap/>
            <w:vAlign w:val="center"/>
          </w:tcPr>
          <w:p w14:paraId="0A67865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b/>
                <w:bCs/>
                <w:color w:val="000000"/>
                <w:w w:val="99"/>
                <w:kern w:val="0"/>
                <w:sz w:val="21"/>
                <w:szCs w:val="21"/>
                <w:highlight w:val="none"/>
                <w:lang w:eastAsia="en-US"/>
              </w:rPr>
            </w:pPr>
          </w:p>
        </w:tc>
        <w:tc>
          <w:tcPr>
            <w:tcW w:w="1794" w:type="dxa"/>
            <w:tcBorders>
              <w:top w:val="single" w:color="auto" w:sz="4" w:space="0"/>
              <w:left w:val="nil"/>
              <w:bottom w:val="single" w:color="auto" w:sz="4" w:space="0"/>
              <w:right w:val="single" w:color="auto" w:sz="4" w:space="0"/>
            </w:tcBorders>
            <w:noWrap/>
            <w:vAlign w:val="center"/>
          </w:tcPr>
          <w:p w14:paraId="22D68B1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营业收入（Y）</w:t>
            </w:r>
          </w:p>
        </w:tc>
        <w:tc>
          <w:tcPr>
            <w:tcW w:w="780" w:type="dxa"/>
            <w:tcBorders>
              <w:top w:val="single" w:color="auto" w:sz="4" w:space="0"/>
              <w:left w:val="nil"/>
              <w:bottom w:val="single" w:color="auto" w:sz="4" w:space="0"/>
              <w:right w:val="single" w:color="auto" w:sz="4" w:space="0"/>
            </w:tcBorders>
            <w:noWrap/>
            <w:vAlign w:val="center"/>
          </w:tcPr>
          <w:p w14:paraId="33D401B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万元</w:t>
            </w:r>
          </w:p>
        </w:tc>
        <w:tc>
          <w:tcPr>
            <w:tcW w:w="2130" w:type="dxa"/>
            <w:tcBorders>
              <w:top w:val="single" w:color="auto" w:sz="4" w:space="0"/>
              <w:left w:val="nil"/>
              <w:bottom w:val="single" w:color="auto" w:sz="4" w:space="0"/>
              <w:right w:val="single" w:color="auto" w:sz="4" w:space="0"/>
            </w:tcBorders>
            <w:noWrap/>
            <w:vAlign w:val="center"/>
          </w:tcPr>
          <w:p w14:paraId="7D02F9E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2000≤Y＜10000</w:t>
            </w:r>
          </w:p>
        </w:tc>
        <w:tc>
          <w:tcPr>
            <w:tcW w:w="1830" w:type="dxa"/>
            <w:tcBorders>
              <w:top w:val="single" w:color="auto" w:sz="4" w:space="0"/>
              <w:left w:val="nil"/>
              <w:bottom w:val="single" w:color="auto" w:sz="4" w:space="0"/>
              <w:right w:val="single" w:color="auto" w:sz="4" w:space="0"/>
            </w:tcBorders>
            <w:noWrap/>
            <w:vAlign w:val="center"/>
          </w:tcPr>
          <w:p w14:paraId="688B87F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100≤Y＜2000</w:t>
            </w:r>
          </w:p>
        </w:tc>
        <w:tc>
          <w:tcPr>
            <w:tcW w:w="1155" w:type="dxa"/>
            <w:tcBorders>
              <w:top w:val="single" w:color="auto" w:sz="4" w:space="0"/>
              <w:left w:val="nil"/>
              <w:bottom w:val="single" w:color="auto" w:sz="4" w:space="0"/>
              <w:right w:val="single" w:color="auto" w:sz="4" w:space="0"/>
            </w:tcBorders>
            <w:noWrap/>
            <w:vAlign w:val="center"/>
          </w:tcPr>
          <w:p w14:paraId="273ED89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Y＜100</w:t>
            </w:r>
          </w:p>
        </w:tc>
      </w:tr>
      <w:tr w14:paraId="660D2526">
        <w:tblPrEx>
          <w:tblCellMar>
            <w:top w:w="0" w:type="dxa"/>
            <w:left w:w="108" w:type="dxa"/>
            <w:bottom w:w="0" w:type="dxa"/>
            <w:right w:w="108" w:type="dxa"/>
          </w:tblCellMar>
        </w:tblPrEx>
        <w:trPr>
          <w:trHeight w:val="225" w:hRule="atLeast"/>
        </w:trPr>
        <w:tc>
          <w:tcPr>
            <w:tcW w:w="2106" w:type="dxa"/>
            <w:vMerge w:val="restart"/>
            <w:tcBorders>
              <w:top w:val="nil"/>
              <w:left w:val="single" w:color="auto" w:sz="4" w:space="0"/>
              <w:bottom w:val="single" w:color="auto" w:sz="4" w:space="0"/>
              <w:right w:val="single" w:color="auto" w:sz="4" w:space="0"/>
            </w:tcBorders>
            <w:noWrap/>
            <w:vAlign w:val="center"/>
          </w:tcPr>
          <w:p w14:paraId="0127090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b/>
                <w:bCs/>
                <w:color w:val="000000"/>
                <w:w w:val="99"/>
                <w:kern w:val="0"/>
                <w:sz w:val="21"/>
                <w:szCs w:val="21"/>
                <w:highlight w:val="none"/>
                <w:lang w:eastAsia="en-US"/>
              </w:rPr>
            </w:pPr>
            <w:r>
              <w:rPr>
                <w:rFonts w:hint="eastAsia" w:asciiTheme="majorEastAsia" w:hAnsiTheme="majorEastAsia" w:eastAsiaTheme="majorEastAsia" w:cstheme="majorEastAsia"/>
                <w:b/>
                <w:bCs/>
                <w:color w:val="000000"/>
                <w:w w:val="99"/>
                <w:kern w:val="0"/>
                <w:sz w:val="21"/>
                <w:szCs w:val="21"/>
                <w:highlight w:val="none"/>
                <w:lang w:eastAsia="en-US"/>
              </w:rPr>
              <w:t>信息传输业</w:t>
            </w:r>
          </w:p>
        </w:tc>
        <w:tc>
          <w:tcPr>
            <w:tcW w:w="1794" w:type="dxa"/>
            <w:tcBorders>
              <w:top w:val="nil"/>
              <w:left w:val="nil"/>
              <w:bottom w:val="single" w:color="auto" w:sz="4" w:space="0"/>
              <w:right w:val="single" w:color="auto" w:sz="4" w:space="0"/>
            </w:tcBorders>
            <w:noWrap/>
            <w:vAlign w:val="center"/>
          </w:tcPr>
          <w:p w14:paraId="7B28AAF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从业人员（X）</w:t>
            </w:r>
          </w:p>
        </w:tc>
        <w:tc>
          <w:tcPr>
            <w:tcW w:w="780" w:type="dxa"/>
            <w:tcBorders>
              <w:top w:val="nil"/>
              <w:left w:val="nil"/>
              <w:bottom w:val="single" w:color="auto" w:sz="4" w:space="0"/>
              <w:right w:val="single" w:color="auto" w:sz="4" w:space="0"/>
            </w:tcBorders>
            <w:noWrap/>
            <w:vAlign w:val="center"/>
          </w:tcPr>
          <w:p w14:paraId="2C9DDE5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人</w:t>
            </w:r>
          </w:p>
        </w:tc>
        <w:tc>
          <w:tcPr>
            <w:tcW w:w="2130" w:type="dxa"/>
            <w:tcBorders>
              <w:top w:val="nil"/>
              <w:left w:val="nil"/>
              <w:bottom w:val="single" w:color="auto" w:sz="4" w:space="0"/>
              <w:right w:val="single" w:color="auto" w:sz="4" w:space="0"/>
            </w:tcBorders>
            <w:noWrap/>
            <w:vAlign w:val="center"/>
          </w:tcPr>
          <w:p w14:paraId="6B353C5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100≤X＜2000</w:t>
            </w:r>
          </w:p>
        </w:tc>
        <w:tc>
          <w:tcPr>
            <w:tcW w:w="1830" w:type="dxa"/>
            <w:tcBorders>
              <w:top w:val="nil"/>
              <w:left w:val="nil"/>
              <w:bottom w:val="single" w:color="auto" w:sz="4" w:space="0"/>
              <w:right w:val="single" w:color="auto" w:sz="4" w:space="0"/>
            </w:tcBorders>
            <w:noWrap/>
            <w:vAlign w:val="center"/>
          </w:tcPr>
          <w:p w14:paraId="4A1B5B9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10≤X＜100</w:t>
            </w:r>
          </w:p>
        </w:tc>
        <w:tc>
          <w:tcPr>
            <w:tcW w:w="1155" w:type="dxa"/>
            <w:tcBorders>
              <w:top w:val="nil"/>
              <w:left w:val="nil"/>
              <w:bottom w:val="single" w:color="auto" w:sz="4" w:space="0"/>
              <w:right w:val="single" w:color="auto" w:sz="4" w:space="0"/>
            </w:tcBorders>
            <w:noWrap/>
            <w:vAlign w:val="center"/>
          </w:tcPr>
          <w:p w14:paraId="2E40C78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X＜10</w:t>
            </w:r>
          </w:p>
        </w:tc>
      </w:tr>
      <w:tr w14:paraId="02FBDA70">
        <w:tblPrEx>
          <w:tblCellMar>
            <w:top w:w="0" w:type="dxa"/>
            <w:left w:w="108" w:type="dxa"/>
            <w:bottom w:w="0" w:type="dxa"/>
            <w:right w:w="108" w:type="dxa"/>
          </w:tblCellMar>
        </w:tblPrEx>
        <w:trPr>
          <w:trHeight w:val="225" w:hRule="atLeast"/>
        </w:trPr>
        <w:tc>
          <w:tcPr>
            <w:tcW w:w="2106" w:type="dxa"/>
            <w:vMerge w:val="continue"/>
            <w:tcBorders>
              <w:top w:val="nil"/>
              <w:left w:val="single" w:color="auto" w:sz="4" w:space="0"/>
              <w:bottom w:val="single" w:color="auto" w:sz="4" w:space="0"/>
              <w:right w:val="single" w:color="auto" w:sz="4" w:space="0"/>
            </w:tcBorders>
            <w:noWrap/>
            <w:vAlign w:val="center"/>
          </w:tcPr>
          <w:p w14:paraId="418F85D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b/>
                <w:bCs/>
                <w:color w:val="000000"/>
                <w:w w:val="99"/>
                <w:kern w:val="0"/>
                <w:sz w:val="21"/>
                <w:szCs w:val="21"/>
                <w:highlight w:val="none"/>
                <w:lang w:eastAsia="en-US"/>
              </w:rPr>
            </w:pPr>
          </w:p>
        </w:tc>
        <w:tc>
          <w:tcPr>
            <w:tcW w:w="1794" w:type="dxa"/>
            <w:tcBorders>
              <w:top w:val="nil"/>
              <w:left w:val="nil"/>
              <w:bottom w:val="single" w:color="auto" w:sz="4" w:space="0"/>
              <w:right w:val="single" w:color="auto" w:sz="4" w:space="0"/>
            </w:tcBorders>
            <w:noWrap/>
            <w:vAlign w:val="center"/>
          </w:tcPr>
          <w:p w14:paraId="416665E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营业收入（Y）</w:t>
            </w:r>
          </w:p>
        </w:tc>
        <w:tc>
          <w:tcPr>
            <w:tcW w:w="780" w:type="dxa"/>
            <w:tcBorders>
              <w:top w:val="nil"/>
              <w:left w:val="nil"/>
              <w:bottom w:val="single" w:color="auto" w:sz="4" w:space="0"/>
              <w:right w:val="single" w:color="auto" w:sz="4" w:space="0"/>
            </w:tcBorders>
            <w:noWrap/>
            <w:vAlign w:val="center"/>
          </w:tcPr>
          <w:p w14:paraId="1314620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万元</w:t>
            </w:r>
          </w:p>
        </w:tc>
        <w:tc>
          <w:tcPr>
            <w:tcW w:w="2130" w:type="dxa"/>
            <w:tcBorders>
              <w:top w:val="nil"/>
              <w:left w:val="nil"/>
              <w:bottom w:val="single" w:color="auto" w:sz="4" w:space="0"/>
              <w:right w:val="single" w:color="auto" w:sz="4" w:space="0"/>
            </w:tcBorders>
            <w:noWrap/>
            <w:vAlign w:val="center"/>
          </w:tcPr>
          <w:p w14:paraId="0CEA088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1000≤Y＜100000</w:t>
            </w:r>
          </w:p>
        </w:tc>
        <w:tc>
          <w:tcPr>
            <w:tcW w:w="1830" w:type="dxa"/>
            <w:tcBorders>
              <w:top w:val="nil"/>
              <w:left w:val="nil"/>
              <w:bottom w:val="single" w:color="auto" w:sz="4" w:space="0"/>
              <w:right w:val="single" w:color="auto" w:sz="4" w:space="0"/>
            </w:tcBorders>
            <w:noWrap/>
            <w:vAlign w:val="center"/>
          </w:tcPr>
          <w:p w14:paraId="6B49EA7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100≤Y＜1000</w:t>
            </w:r>
          </w:p>
        </w:tc>
        <w:tc>
          <w:tcPr>
            <w:tcW w:w="1155" w:type="dxa"/>
            <w:tcBorders>
              <w:top w:val="nil"/>
              <w:left w:val="nil"/>
              <w:bottom w:val="single" w:color="auto" w:sz="4" w:space="0"/>
              <w:right w:val="single" w:color="auto" w:sz="4" w:space="0"/>
            </w:tcBorders>
            <w:noWrap/>
            <w:vAlign w:val="center"/>
          </w:tcPr>
          <w:p w14:paraId="525AC86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Y＜100</w:t>
            </w:r>
          </w:p>
        </w:tc>
      </w:tr>
      <w:tr w14:paraId="1EECE3AA">
        <w:tblPrEx>
          <w:tblCellMar>
            <w:top w:w="0" w:type="dxa"/>
            <w:left w:w="108" w:type="dxa"/>
            <w:bottom w:w="0" w:type="dxa"/>
            <w:right w:w="108" w:type="dxa"/>
          </w:tblCellMar>
        </w:tblPrEx>
        <w:trPr>
          <w:trHeight w:val="225" w:hRule="atLeast"/>
        </w:trPr>
        <w:tc>
          <w:tcPr>
            <w:tcW w:w="2106" w:type="dxa"/>
            <w:vMerge w:val="restart"/>
            <w:tcBorders>
              <w:top w:val="nil"/>
              <w:left w:val="single" w:color="auto" w:sz="4" w:space="0"/>
              <w:bottom w:val="single" w:color="auto" w:sz="4" w:space="0"/>
              <w:right w:val="single" w:color="auto" w:sz="4" w:space="0"/>
            </w:tcBorders>
            <w:noWrap/>
            <w:vAlign w:val="center"/>
          </w:tcPr>
          <w:p w14:paraId="7C1383B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b/>
                <w:bCs/>
                <w:color w:val="000000"/>
                <w:w w:val="99"/>
                <w:kern w:val="0"/>
                <w:sz w:val="21"/>
                <w:szCs w:val="21"/>
                <w:highlight w:val="none"/>
              </w:rPr>
            </w:pPr>
            <w:r>
              <w:rPr>
                <w:rFonts w:hint="eastAsia" w:asciiTheme="majorEastAsia" w:hAnsiTheme="majorEastAsia" w:eastAsiaTheme="majorEastAsia" w:cstheme="majorEastAsia"/>
                <w:b/>
                <w:bCs/>
                <w:color w:val="000000"/>
                <w:w w:val="99"/>
                <w:kern w:val="0"/>
                <w:sz w:val="21"/>
                <w:szCs w:val="21"/>
                <w:highlight w:val="none"/>
              </w:rPr>
              <w:t>软件和信息技术服务业</w:t>
            </w:r>
          </w:p>
        </w:tc>
        <w:tc>
          <w:tcPr>
            <w:tcW w:w="1794" w:type="dxa"/>
            <w:tcBorders>
              <w:top w:val="nil"/>
              <w:left w:val="nil"/>
              <w:bottom w:val="single" w:color="auto" w:sz="4" w:space="0"/>
              <w:right w:val="single" w:color="auto" w:sz="4" w:space="0"/>
            </w:tcBorders>
            <w:noWrap/>
            <w:vAlign w:val="center"/>
          </w:tcPr>
          <w:p w14:paraId="6740424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从业人员（X）</w:t>
            </w:r>
          </w:p>
        </w:tc>
        <w:tc>
          <w:tcPr>
            <w:tcW w:w="780" w:type="dxa"/>
            <w:tcBorders>
              <w:top w:val="nil"/>
              <w:left w:val="nil"/>
              <w:bottom w:val="single" w:color="auto" w:sz="4" w:space="0"/>
              <w:right w:val="single" w:color="auto" w:sz="4" w:space="0"/>
            </w:tcBorders>
            <w:noWrap/>
            <w:vAlign w:val="center"/>
          </w:tcPr>
          <w:p w14:paraId="7E62B96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人</w:t>
            </w:r>
          </w:p>
        </w:tc>
        <w:tc>
          <w:tcPr>
            <w:tcW w:w="2130" w:type="dxa"/>
            <w:tcBorders>
              <w:top w:val="nil"/>
              <w:left w:val="nil"/>
              <w:bottom w:val="single" w:color="auto" w:sz="4" w:space="0"/>
              <w:right w:val="single" w:color="auto" w:sz="4" w:space="0"/>
            </w:tcBorders>
            <w:noWrap/>
            <w:vAlign w:val="center"/>
          </w:tcPr>
          <w:p w14:paraId="49AE706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100≤X＜300</w:t>
            </w:r>
          </w:p>
        </w:tc>
        <w:tc>
          <w:tcPr>
            <w:tcW w:w="1830" w:type="dxa"/>
            <w:tcBorders>
              <w:top w:val="nil"/>
              <w:left w:val="nil"/>
              <w:bottom w:val="single" w:color="auto" w:sz="4" w:space="0"/>
              <w:right w:val="single" w:color="auto" w:sz="4" w:space="0"/>
            </w:tcBorders>
            <w:noWrap/>
            <w:vAlign w:val="center"/>
          </w:tcPr>
          <w:p w14:paraId="6BB7AB1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10≤X＜100</w:t>
            </w:r>
          </w:p>
        </w:tc>
        <w:tc>
          <w:tcPr>
            <w:tcW w:w="1155" w:type="dxa"/>
            <w:tcBorders>
              <w:top w:val="nil"/>
              <w:left w:val="nil"/>
              <w:bottom w:val="single" w:color="auto" w:sz="4" w:space="0"/>
              <w:right w:val="single" w:color="auto" w:sz="4" w:space="0"/>
            </w:tcBorders>
            <w:noWrap/>
            <w:vAlign w:val="center"/>
          </w:tcPr>
          <w:p w14:paraId="3BD4314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X＜10</w:t>
            </w:r>
          </w:p>
        </w:tc>
      </w:tr>
      <w:tr w14:paraId="28FF5061">
        <w:tblPrEx>
          <w:tblCellMar>
            <w:top w:w="0" w:type="dxa"/>
            <w:left w:w="108" w:type="dxa"/>
            <w:bottom w:w="0" w:type="dxa"/>
            <w:right w:w="108" w:type="dxa"/>
          </w:tblCellMar>
        </w:tblPrEx>
        <w:trPr>
          <w:trHeight w:val="225" w:hRule="atLeast"/>
        </w:trPr>
        <w:tc>
          <w:tcPr>
            <w:tcW w:w="2106" w:type="dxa"/>
            <w:vMerge w:val="continue"/>
            <w:tcBorders>
              <w:top w:val="nil"/>
              <w:left w:val="single" w:color="auto" w:sz="4" w:space="0"/>
              <w:bottom w:val="single" w:color="auto" w:sz="4" w:space="0"/>
              <w:right w:val="single" w:color="auto" w:sz="4" w:space="0"/>
            </w:tcBorders>
            <w:noWrap/>
            <w:vAlign w:val="center"/>
          </w:tcPr>
          <w:p w14:paraId="10AA3CD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b/>
                <w:bCs/>
                <w:color w:val="000000"/>
                <w:w w:val="99"/>
                <w:kern w:val="0"/>
                <w:sz w:val="21"/>
                <w:szCs w:val="21"/>
                <w:highlight w:val="none"/>
                <w:lang w:eastAsia="en-US"/>
              </w:rPr>
            </w:pPr>
          </w:p>
        </w:tc>
        <w:tc>
          <w:tcPr>
            <w:tcW w:w="1794" w:type="dxa"/>
            <w:tcBorders>
              <w:top w:val="nil"/>
              <w:left w:val="nil"/>
              <w:bottom w:val="single" w:color="auto" w:sz="4" w:space="0"/>
              <w:right w:val="single" w:color="auto" w:sz="4" w:space="0"/>
            </w:tcBorders>
            <w:noWrap/>
            <w:vAlign w:val="center"/>
          </w:tcPr>
          <w:p w14:paraId="2D79F7E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营业收入（Y）</w:t>
            </w:r>
          </w:p>
        </w:tc>
        <w:tc>
          <w:tcPr>
            <w:tcW w:w="780" w:type="dxa"/>
            <w:tcBorders>
              <w:top w:val="nil"/>
              <w:left w:val="nil"/>
              <w:bottom w:val="single" w:color="auto" w:sz="4" w:space="0"/>
              <w:right w:val="single" w:color="auto" w:sz="4" w:space="0"/>
            </w:tcBorders>
            <w:noWrap/>
            <w:vAlign w:val="center"/>
          </w:tcPr>
          <w:p w14:paraId="7088049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万元</w:t>
            </w:r>
          </w:p>
        </w:tc>
        <w:tc>
          <w:tcPr>
            <w:tcW w:w="2130" w:type="dxa"/>
            <w:tcBorders>
              <w:top w:val="nil"/>
              <w:left w:val="nil"/>
              <w:bottom w:val="single" w:color="auto" w:sz="4" w:space="0"/>
              <w:right w:val="single" w:color="auto" w:sz="4" w:space="0"/>
            </w:tcBorders>
            <w:noWrap/>
            <w:vAlign w:val="center"/>
          </w:tcPr>
          <w:p w14:paraId="197C616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1000≤Y＜10000</w:t>
            </w:r>
          </w:p>
        </w:tc>
        <w:tc>
          <w:tcPr>
            <w:tcW w:w="1830" w:type="dxa"/>
            <w:tcBorders>
              <w:top w:val="nil"/>
              <w:left w:val="nil"/>
              <w:bottom w:val="single" w:color="auto" w:sz="4" w:space="0"/>
              <w:right w:val="single" w:color="auto" w:sz="4" w:space="0"/>
            </w:tcBorders>
            <w:noWrap/>
            <w:vAlign w:val="center"/>
          </w:tcPr>
          <w:p w14:paraId="2959BF0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50≤Y＜1000</w:t>
            </w:r>
          </w:p>
        </w:tc>
        <w:tc>
          <w:tcPr>
            <w:tcW w:w="1155" w:type="dxa"/>
            <w:tcBorders>
              <w:top w:val="nil"/>
              <w:left w:val="nil"/>
              <w:bottom w:val="single" w:color="auto" w:sz="4" w:space="0"/>
              <w:right w:val="single" w:color="auto" w:sz="4" w:space="0"/>
            </w:tcBorders>
            <w:noWrap/>
            <w:vAlign w:val="center"/>
          </w:tcPr>
          <w:p w14:paraId="17C567E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Y＜50</w:t>
            </w:r>
          </w:p>
        </w:tc>
      </w:tr>
      <w:tr w14:paraId="64589926">
        <w:tblPrEx>
          <w:tblCellMar>
            <w:top w:w="0" w:type="dxa"/>
            <w:left w:w="108" w:type="dxa"/>
            <w:bottom w:w="0" w:type="dxa"/>
            <w:right w:w="108" w:type="dxa"/>
          </w:tblCellMar>
        </w:tblPrEx>
        <w:trPr>
          <w:trHeight w:val="225" w:hRule="atLeast"/>
        </w:trPr>
        <w:tc>
          <w:tcPr>
            <w:tcW w:w="2106" w:type="dxa"/>
            <w:vMerge w:val="restart"/>
            <w:tcBorders>
              <w:top w:val="single" w:color="auto" w:sz="4" w:space="0"/>
              <w:left w:val="single" w:color="auto" w:sz="4" w:space="0"/>
              <w:bottom w:val="single" w:color="auto" w:sz="4" w:space="0"/>
              <w:right w:val="single" w:color="auto" w:sz="4" w:space="0"/>
            </w:tcBorders>
            <w:noWrap/>
            <w:vAlign w:val="center"/>
          </w:tcPr>
          <w:p w14:paraId="338C1BE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b/>
                <w:bCs/>
                <w:color w:val="000000"/>
                <w:w w:val="99"/>
                <w:kern w:val="0"/>
                <w:sz w:val="21"/>
                <w:szCs w:val="21"/>
                <w:highlight w:val="none"/>
                <w:lang w:eastAsia="en-US"/>
              </w:rPr>
            </w:pPr>
            <w:r>
              <w:rPr>
                <w:rFonts w:hint="eastAsia" w:asciiTheme="majorEastAsia" w:hAnsiTheme="majorEastAsia" w:eastAsiaTheme="majorEastAsia" w:cstheme="majorEastAsia"/>
                <w:b/>
                <w:bCs/>
                <w:color w:val="000000"/>
                <w:w w:val="99"/>
                <w:kern w:val="0"/>
                <w:sz w:val="21"/>
                <w:szCs w:val="21"/>
                <w:highlight w:val="none"/>
                <w:lang w:eastAsia="en-US"/>
              </w:rPr>
              <w:t>房地产开发经营</w:t>
            </w:r>
          </w:p>
        </w:tc>
        <w:tc>
          <w:tcPr>
            <w:tcW w:w="1794" w:type="dxa"/>
            <w:tcBorders>
              <w:top w:val="single" w:color="auto" w:sz="4" w:space="0"/>
              <w:left w:val="nil"/>
              <w:bottom w:val="single" w:color="auto" w:sz="4" w:space="0"/>
              <w:right w:val="single" w:color="auto" w:sz="4" w:space="0"/>
            </w:tcBorders>
            <w:noWrap/>
            <w:vAlign w:val="center"/>
          </w:tcPr>
          <w:p w14:paraId="17ACA31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营业收入（Y）</w:t>
            </w:r>
          </w:p>
        </w:tc>
        <w:tc>
          <w:tcPr>
            <w:tcW w:w="780" w:type="dxa"/>
            <w:tcBorders>
              <w:top w:val="single" w:color="auto" w:sz="4" w:space="0"/>
              <w:left w:val="nil"/>
              <w:bottom w:val="single" w:color="auto" w:sz="4" w:space="0"/>
              <w:right w:val="single" w:color="auto" w:sz="4" w:space="0"/>
            </w:tcBorders>
            <w:noWrap/>
            <w:vAlign w:val="center"/>
          </w:tcPr>
          <w:p w14:paraId="67F5BDE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万元</w:t>
            </w:r>
          </w:p>
        </w:tc>
        <w:tc>
          <w:tcPr>
            <w:tcW w:w="2130" w:type="dxa"/>
            <w:tcBorders>
              <w:top w:val="single" w:color="auto" w:sz="4" w:space="0"/>
              <w:left w:val="nil"/>
              <w:bottom w:val="single" w:color="auto" w:sz="4" w:space="0"/>
              <w:right w:val="single" w:color="auto" w:sz="4" w:space="0"/>
            </w:tcBorders>
            <w:noWrap/>
            <w:vAlign w:val="center"/>
          </w:tcPr>
          <w:p w14:paraId="6176FF3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1000≤Y＜200000</w:t>
            </w:r>
          </w:p>
        </w:tc>
        <w:tc>
          <w:tcPr>
            <w:tcW w:w="1830" w:type="dxa"/>
            <w:tcBorders>
              <w:top w:val="single" w:color="auto" w:sz="4" w:space="0"/>
              <w:left w:val="nil"/>
              <w:bottom w:val="single" w:color="auto" w:sz="4" w:space="0"/>
              <w:right w:val="single" w:color="auto" w:sz="4" w:space="0"/>
            </w:tcBorders>
            <w:noWrap/>
            <w:vAlign w:val="center"/>
          </w:tcPr>
          <w:p w14:paraId="7F5FDFC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100≤X＜1000</w:t>
            </w:r>
          </w:p>
        </w:tc>
        <w:tc>
          <w:tcPr>
            <w:tcW w:w="1155" w:type="dxa"/>
            <w:tcBorders>
              <w:top w:val="single" w:color="auto" w:sz="4" w:space="0"/>
              <w:left w:val="nil"/>
              <w:bottom w:val="single" w:color="auto" w:sz="4" w:space="0"/>
              <w:right w:val="single" w:color="auto" w:sz="4" w:space="0"/>
            </w:tcBorders>
            <w:noWrap/>
            <w:vAlign w:val="center"/>
          </w:tcPr>
          <w:p w14:paraId="0524D29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X＜100</w:t>
            </w:r>
          </w:p>
        </w:tc>
      </w:tr>
      <w:tr w14:paraId="31712200">
        <w:tblPrEx>
          <w:tblCellMar>
            <w:top w:w="0" w:type="dxa"/>
            <w:left w:w="108" w:type="dxa"/>
            <w:bottom w:w="0" w:type="dxa"/>
            <w:right w:w="108" w:type="dxa"/>
          </w:tblCellMar>
        </w:tblPrEx>
        <w:trPr>
          <w:trHeight w:val="225" w:hRule="atLeast"/>
        </w:trPr>
        <w:tc>
          <w:tcPr>
            <w:tcW w:w="2106" w:type="dxa"/>
            <w:vMerge w:val="continue"/>
            <w:tcBorders>
              <w:top w:val="nil"/>
              <w:left w:val="single" w:color="auto" w:sz="4" w:space="0"/>
              <w:bottom w:val="single" w:color="auto" w:sz="4" w:space="0"/>
              <w:right w:val="single" w:color="auto" w:sz="4" w:space="0"/>
            </w:tcBorders>
            <w:noWrap/>
            <w:vAlign w:val="center"/>
          </w:tcPr>
          <w:p w14:paraId="06BF91C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b/>
                <w:bCs/>
                <w:color w:val="000000"/>
                <w:w w:val="99"/>
                <w:kern w:val="0"/>
                <w:sz w:val="21"/>
                <w:szCs w:val="21"/>
                <w:highlight w:val="none"/>
                <w:lang w:eastAsia="en-US"/>
              </w:rPr>
            </w:pPr>
          </w:p>
        </w:tc>
        <w:tc>
          <w:tcPr>
            <w:tcW w:w="1794" w:type="dxa"/>
            <w:tcBorders>
              <w:top w:val="nil"/>
              <w:left w:val="nil"/>
              <w:bottom w:val="single" w:color="auto" w:sz="4" w:space="0"/>
              <w:right w:val="single" w:color="auto" w:sz="4" w:space="0"/>
            </w:tcBorders>
            <w:noWrap/>
            <w:vAlign w:val="center"/>
          </w:tcPr>
          <w:p w14:paraId="66AC3CB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资产总额（Z）</w:t>
            </w:r>
          </w:p>
        </w:tc>
        <w:tc>
          <w:tcPr>
            <w:tcW w:w="780" w:type="dxa"/>
            <w:tcBorders>
              <w:top w:val="nil"/>
              <w:left w:val="nil"/>
              <w:bottom w:val="single" w:color="auto" w:sz="4" w:space="0"/>
              <w:right w:val="single" w:color="auto" w:sz="4" w:space="0"/>
            </w:tcBorders>
            <w:noWrap/>
            <w:vAlign w:val="center"/>
          </w:tcPr>
          <w:p w14:paraId="29AD420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万元</w:t>
            </w:r>
          </w:p>
        </w:tc>
        <w:tc>
          <w:tcPr>
            <w:tcW w:w="2130" w:type="dxa"/>
            <w:tcBorders>
              <w:top w:val="nil"/>
              <w:left w:val="nil"/>
              <w:bottom w:val="single" w:color="auto" w:sz="4" w:space="0"/>
              <w:right w:val="single" w:color="auto" w:sz="4" w:space="0"/>
            </w:tcBorders>
            <w:noWrap/>
            <w:vAlign w:val="center"/>
          </w:tcPr>
          <w:p w14:paraId="594432D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5000≤Z＜10000</w:t>
            </w:r>
          </w:p>
        </w:tc>
        <w:tc>
          <w:tcPr>
            <w:tcW w:w="1830" w:type="dxa"/>
            <w:tcBorders>
              <w:top w:val="nil"/>
              <w:left w:val="nil"/>
              <w:bottom w:val="single" w:color="auto" w:sz="4" w:space="0"/>
              <w:right w:val="single" w:color="auto" w:sz="4" w:space="0"/>
            </w:tcBorders>
            <w:noWrap/>
            <w:vAlign w:val="center"/>
          </w:tcPr>
          <w:p w14:paraId="4BEA49E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2000≤Y＜5000</w:t>
            </w:r>
          </w:p>
        </w:tc>
        <w:tc>
          <w:tcPr>
            <w:tcW w:w="1155" w:type="dxa"/>
            <w:tcBorders>
              <w:top w:val="nil"/>
              <w:left w:val="nil"/>
              <w:bottom w:val="single" w:color="auto" w:sz="4" w:space="0"/>
              <w:right w:val="single" w:color="auto" w:sz="4" w:space="0"/>
            </w:tcBorders>
            <w:noWrap/>
            <w:vAlign w:val="center"/>
          </w:tcPr>
          <w:p w14:paraId="7D5ABF0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Y＜2000</w:t>
            </w:r>
          </w:p>
        </w:tc>
      </w:tr>
      <w:tr w14:paraId="0261FE52">
        <w:tblPrEx>
          <w:tblCellMar>
            <w:top w:w="0" w:type="dxa"/>
            <w:left w:w="108" w:type="dxa"/>
            <w:bottom w:w="0" w:type="dxa"/>
            <w:right w:w="108" w:type="dxa"/>
          </w:tblCellMar>
        </w:tblPrEx>
        <w:trPr>
          <w:trHeight w:val="225" w:hRule="atLeast"/>
        </w:trPr>
        <w:tc>
          <w:tcPr>
            <w:tcW w:w="2106" w:type="dxa"/>
            <w:vMerge w:val="restart"/>
            <w:tcBorders>
              <w:top w:val="nil"/>
              <w:left w:val="single" w:color="auto" w:sz="4" w:space="0"/>
              <w:bottom w:val="single" w:color="auto" w:sz="4" w:space="0"/>
              <w:right w:val="single" w:color="auto" w:sz="4" w:space="0"/>
            </w:tcBorders>
            <w:noWrap/>
            <w:vAlign w:val="center"/>
          </w:tcPr>
          <w:p w14:paraId="55BFF07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b/>
                <w:bCs/>
                <w:color w:val="000000"/>
                <w:w w:val="99"/>
                <w:kern w:val="0"/>
                <w:sz w:val="21"/>
                <w:szCs w:val="21"/>
                <w:highlight w:val="none"/>
                <w:lang w:eastAsia="en-US"/>
              </w:rPr>
            </w:pPr>
            <w:r>
              <w:rPr>
                <w:rFonts w:hint="eastAsia" w:asciiTheme="majorEastAsia" w:hAnsiTheme="majorEastAsia" w:eastAsiaTheme="majorEastAsia" w:cstheme="majorEastAsia"/>
                <w:b/>
                <w:bCs/>
                <w:color w:val="000000"/>
                <w:w w:val="99"/>
                <w:kern w:val="0"/>
                <w:sz w:val="21"/>
                <w:szCs w:val="21"/>
                <w:highlight w:val="none"/>
                <w:lang w:eastAsia="en-US"/>
              </w:rPr>
              <w:t>物业管理</w:t>
            </w:r>
          </w:p>
        </w:tc>
        <w:tc>
          <w:tcPr>
            <w:tcW w:w="1794" w:type="dxa"/>
            <w:tcBorders>
              <w:top w:val="nil"/>
              <w:left w:val="nil"/>
              <w:bottom w:val="single" w:color="auto" w:sz="4" w:space="0"/>
              <w:right w:val="single" w:color="auto" w:sz="4" w:space="0"/>
            </w:tcBorders>
            <w:noWrap/>
            <w:vAlign w:val="center"/>
          </w:tcPr>
          <w:p w14:paraId="62F086C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从业人员（X）</w:t>
            </w:r>
          </w:p>
        </w:tc>
        <w:tc>
          <w:tcPr>
            <w:tcW w:w="780" w:type="dxa"/>
            <w:tcBorders>
              <w:top w:val="nil"/>
              <w:left w:val="nil"/>
              <w:bottom w:val="single" w:color="auto" w:sz="4" w:space="0"/>
              <w:right w:val="single" w:color="auto" w:sz="4" w:space="0"/>
            </w:tcBorders>
            <w:noWrap/>
            <w:vAlign w:val="center"/>
          </w:tcPr>
          <w:p w14:paraId="35D4911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人</w:t>
            </w:r>
          </w:p>
        </w:tc>
        <w:tc>
          <w:tcPr>
            <w:tcW w:w="2130" w:type="dxa"/>
            <w:tcBorders>
              <w:top w:val="nil"/>
              <w:left w:val="nil"/>
              <w:bottom w:val="single" w:color="auto" w:sz="4" w:space="0"/>
              <w:right w:val="single" w:color="auto" w:sz="4" w:space="0"/>
            </w:tcBorders>
            <w:noWrap/>
            <w:vAlign w:val="center"/>
          </w:tcPr>
          <w:p w14:paraId="1AEB71F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300≤X＜1000</w:t>
            </w:r>
          </w:p>
        </w:tc>
        <w:tc>
          <w:tcPr>
            <w:tcW w:w="1830" w:type="dxa"/>
            <w:tcBorders>
              <w:top w:val="nil"/>
              <w:left w:val="nil"/>
              <w:bottom w:val="single" w:color="auto" w:sz="4" w:space="0"/>
              <w:right w:val="single" w:color="auto" w:sz="4" w:space="0"/>
            </w:tcBorders>
            <w:noWrap/>
            <w:vAlign w:val="center"/>
          </w:tcPr>
          <w:p w14:paraId="4388A0A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100≤X＜300</w:t>
            </w:r>
          </w:p>
        </w:tc>
        <w:tc>
          <w:tcPr>
            <w:tcW w:w="1155" w:type="dxa"/>
            <w:tcBorders>
              <w:top w:val="nil"/>
              <w:left w:val="nil"/>
              <w:bottom w:val="single" w:color="auto" w:sz="4" w:space="0"/>
              <w:right w:val="single" w:color="auto" w:sz="4" w:space="0"/>
            </w:tcBorders>
            <w:noWrap/>
            <w:vAlign w:val="center"/>
          </w:tcPr>
          <w:p w14:paraId="09D22F1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X＜100</w:t>
            </w:r>
          </w:p>
        </w:tc>
      </w:tr>
      <w:tr w14:paraId="72525C54">
        <w:tblPrEx>
          <w:tblCellMar>
            <w:top w:w="0" w:type="dxa"/>
            <w:left w:w="108" w:type="dxa"/>
            <w:bottom w:w="0" w:type="dxa"/>
            <w:right w:w="108" w:type="dxa"/>
          </w:tblCellMar>
        </w:tblPrEx>
        <w:trPr>
          <w:trHeight w:val="225" w:hRule="atLeast"/>
        </w:trPr>
        <w:tc>
          <w:tcPr>
            <w:tcW w:w="2106" w:type="dxa"/>
            <w:vMerge w:val="continue"/>
            <w:tcBorders>
              <w:top w:val="nil"/>
              <w:left w:val="single" w:color="auto" w:sz="4" w:space="0"/>
              <w:bottom w:val="single" w:color="auto" w:sz="4" w:space="0"/>
              <w:right w:val="single" w:color="auto" w:sz="4" w:space="0"/>
            </w:tcBorders>
            <w:noWrap/>
            <w:vAlign w:val="center"/>
          </w:tcPr>
          <w:p w14:paraId="7BC84AA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b/>
                <w:bCs/>
                <w:color w:val="000000"/>
                <w:w w:val="99"/>
                <w:kern w:val="0"/>
                <w:sz w:val="21"/>
                <w:szCs w:val="21"/>
                <w:highlight w:val="none"/>
                <w:lang w:eastAsia="en-US"/>
              </w:rPr>
            </w:pPr>
          </w:p>
        </w:tc>
        <w:tc>
          <w:tcPr>
            <w:tcW w:w="1794" w:type="dxa"/>
            <w:tcBorders>
              <w:top w:val="nil"/>
              <w:left w:val="nil"/>
              <w:bottom w:val="single" w:color="auto" w:sz="4" w:space="0"/>
              <w:right w:val="single" w:color="auto" w:sz="4" w:space="0"/>
            </w:tcBorders>
            <w:noWrap/>
            <w:vAlign w:val="center"/>
          </w:tcPr>
          <w:p w14:paraId="7DF72DB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营业收入（Y）</w:t>
            </w:r>
          </w:p>
        </w:tc>
        <w:tc>
          <w:tcPr>
            <w:tcW w:w="780" w:type="dxa"/>
            <w:tcBorders>
              <w:top w:val="nil"/>
              <w:left w:val="nil"/>
              <w:bottom w:val="single" w:color="auto" w:sz="4" w:space="0"/>
              <w:right w:val="single" w:color="auto" w:sz="4" w:space="0"/>
            </w:tcBorders>
            <w:noWrap/>
            <w:vAlign w:val="center"/>
          </w:tcPr>
          <w:p w14:paraId="5AEB677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万元</w:t>
            </w:r>
          </w:p>
        </w:tc>
        <w:tc>
          <w:tcPr>
            <w:tcW w:w="2130" w:type="dxa"/>
            <w:tcBorders>
              <w:top w:val="nil"/>
              <w:left w:val="nil"/>
              <w:bottom w:val="single" w:color="auto" w:sz="4" w:space="0"/>
              <w:right w:val="single" w:color="auto" w:sz="4" w:space="0"/>
            </w:tcBorders>
            <w:noWrap/>
            <w:vAlign w:val="center"/>
          </w:tcPr>
          <w:p w14:paraId="0CE5512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1000≤Y＜5000</w:t>
            </w:r>
          </w:p>
        </w:tc>
        <w:tc>
          <w:tcPr>
            <w:tcW w:w="1830" w:type="dxa"/>
            <w:tcBorders>
              <w:top w:val="nil"/>
              <w:left w:val="nil"/>
              <w:bottom w:val="single" w:color="auto" w:sz="4" w:space="0"/>
              <w:right w:val="single" w:color="auto" w:sz="4" w:space="0"/>
            </w:tcBorders>
            <w:noWrap/>
            <w:vAlign w:val="center"/>
          </w:tcPr>
          <w:p w14:paraId="7DDAACC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500≤Y＜1000</w:t>
            </w:r>
          </w:p>
        </w:tc>
        <w:tc>
          <w:tcPr>
            <w:tcW w:w="1155" w:type="dxa"/>
            <w:tcBorders>
              <w:top w:val="nil"/>
              <w:left w:val="nil"/>
              <w:bottom w:val="single" w:color="auto" w:sz="4" w:space="0"/>
              <w:right w:val="single" w:color="auto" w:sz="4" w:space="0"/>
            </w:tcBorders>
            <w:noWrap/>
            <w:vAlign w:val="center"/>
          </w:tcPr>
          <w:p w14:paraId="15C75DD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Y＜500</w:t>
            </w:r>
          </w:p>
        </w:tc>
      </w:tr>
      <w:tr w14:paraId="0F85ACB8">
        <w:tblPrEx>
          <w:tblCellMar>
            <w:top w:w="0" w:type="dxa"/>
            <w:left w:w="108" w:type="dxa"/>
            <w:bottom w:w="0" w:type="dxa"/>
            <w:right w:w="108" w:type="dxa"/>
          </w:tblCellMar>
        </w:tblPrEx>
        <w:trPr>
          <w:trHeight w:val="225" w:hRule="atLeast"/>
        </w:trPr>
        <w:tc>
          <w:tcPr>
            <w:tcW w:w="2106" w:type="dxa"/>
            <w:vMerge w:val="restart"/>
            <w:tcBorders>
              <w:top w:val="nil"/>
              <w:left w:val="single" w:color="auto" w:sz="4" w:space="0"/>
              <w:bottom w:val="single" w:color="auto" w:sz="4" w:space="0"/>
              <w:right w:val="single" w:color="auto" w:sz="4" w:space="0"/>
            </w:tcBorders>
            <w:noWrap/>
            <w:vAlign w:val="center"/>
          </w:tcPr>
          <w:p w14:paraId="3885795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b/>
                <w:bCs/>
                <w:color w:val="000000"/>
                <w:w w:val="99"/>
                <w:kern w:val="0"/>
                <w:sz w:val="21"/>
                <w:szCs w:val="21"/>
                <w:highlight w:val="none"/>
                <w:lang w:eastAsia="en-US"/>
              </w:rPr>
            </w:pPr>
            <w:r>
              <w:rPr>
                <w:rFonts w:hint="eastAsia" w:asciiTheme="majorEastAsia" w:hAnsiTheme="majorEastAsia" w:eastAsiaTheme="majorEastAsia" w:cstheme="majorEastAsia"/>
                <w:b/>
                <w:bCs/>
                <w:color w:val="000000"/>
                <w:w w:val="99"/>
                <w:kern w:val="0"/>
                <w:sz w:val="21"/>
                <w:szCs w:val="21"/>
                <w:highlight w:val="none"/>
                <w:lang w:eastAsia="en-US"/>
              </w:rPr>
              <w:t>租赁和商务服务业</w:t>
            </w:r>
          </w:p>
        </w:tc>
        <w:tc>
          <w:tcPr>
            <w:tcW w:w="1794" w:type="dxa"/>
            <w:tcBorders>
              <w:top w:val="nil"/>
              <w:left w:val="nil"/>
              <w:bottom w:val="single" w:color="auto" w:sz="4" w:space="0"/>
              <w:right w:val="single" w:color="auto" w:sz="4" w:space="0"/>
            </w:tcBorders>
            <w:noWrap/>
            <w:vAlign w:val="center"/>
          </w:tcPr>
          <w:p w14:paraId="15D6594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从业人员（X）</w:t>
            </w:r>
          </w:p>
        </w:tc>
        <w:tc>
          <w:tcPr>
            <w:tcW w:w="780" w:type="dxa"/>
            <w:tcBorders>
              <w:top w:val="nil"/>
              <w:left w:val="nil"/>
              <w:bottom w:val="single" w:color="auto" w:sz="4" w:space="0"/>
              <w:right w:val="single" w:color="auto" w:sz="4" w:space="0"/>
            </w:tcBorders>
            <w:noWrap/>
            <w:vAlign w:val="center"/>
          </w:tcPr>
          <w:p w14:paraId="781B4E1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人</w:t>
            </w:r>
          </w:p>
        </w:tc>
        <w:tc>
          <w:tcPr>
            <w:tcW w:w="2130" w:type="dxa"/>
            <w:tcBorders>
              <w:top w:val="nil"/>
              <w:left w:val="nil"/>
              <w:bottom w:val="single" w:color="auto" w:sz="4" w:space="0"/>
              <w:right w:val="single" w:color="auto" w:sz="4" w:space="0"/>
            </w:tcBorders>
            <w:noWrap/>
            <w:vAlign w:val="center"/>
          </w:tcPr>
          <w:p w14:paraId="2AD72A2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100≤X＜300</w:t>
            </w:r>
          </w:p>
        </w:tc>
        <w:tc>
          <w:tcPr>
            <w:tcW w:w="1830" w:type="dxa"/>
            <w:tcBorders>
              <w:top w:val="nil"/>
              <w:left w:val="nil"/>
              <w:bottom w:val="single" w:color="auto" w:sz="4" w:space="0"/>
              <w:right w:val="single" w:color="auto" w:sz="4" w:space="0"/>
            </w:tcBorders>
            <w:noWrap/>
            <w:vAlign w:val="center"/>
          </w:tcPr>
          <w:p w14:paraId="0BB703E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10≤X＜100</w:t>
            </w:r>
          </w:p>
        </w:tc>
        <w:tc>
          <w:tcPr>
            <w:tcW w:w="1155" w:type="dxa"/>
            <w:tcBorders>
              <w:top w:val="nil"/>
              <w:left w:val="nil"/>
              <w:bottom w:val="single" w:color="auto" w:sz="4" w:space="0"/>
              <w:right w:val="single" w:color="auto" w:sz="4" w:space="0"/>
            </w:tcBorders>
            <w:noWrap/>
            <w:vAlign w:val="center"/>
          </w:tcPr>
          <w:p w14:paraId="61AA508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X＜10</w:t>
            </w:r>
          </w:p>
        </w:tc>
      </w:tr>
      <w:tr w14:paraId="1565A226">
        <w:tblPrEx>
          <w:tblCellMar>
            <w:top w:w="0" w:type="dxa"/>
            <w:left w:w="108" w:type="dxa"/>
            <w:bottom w:w="0" w:type="dxa"/>
            <w:right w:w="108" w:type="dxa"/>
          </w:tblCellMar>
        </w:tblPrEx>
        <w:trPr>
          <w:trHeight w:val="225" w:hRule="atLeast"/>
        </w:trPr>
        <w:tc>
          <w:tcPr>
            <w:tcW w:w="2106" w:type="dxa"/>
            <w:vMerge w:val="continue"/>
            <w:tcBorders>
              <w:top w:val="nil"/>
              <w:left w:val="single" w:color="auto" w:sz="4" w:space="0"/>
              <w:bottom w:val="single" w:color="auto" w:sz="4" w:space="0"/>
              <w:right w:val="single" w:color="auto" w:sz="4" w:space="0"/>
            </w:tcBorders>
            <w:noWrap/>
            <w:vAlign w:val="center"/>
          </w:tcPr>
          <w:p w14:paraId="17E2379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b/>
                <w:bCs/>
                <w:color w:val="000000"/>
                <w:w w:val="99"/>
                <w:kern w:val="0"/>
                <w:sz w:val="21"/>
                <w:szCs w:val="21"/>
                <w:highlight w:val="none"/>
                <w:lang w:eastAsia="en-US"/>
              </w:rPr>
            </w:pPr>
          </w:p>
        </w:tc>
        <w:tc>
          <w:tcPr>
            <w:tcW w:w="1794" w:type="dxa"/>
            <w:tcBorders>
              <w:top w:val="nil"/>
              <w:left w:val="nil"/>
              <w:bottom w:val="single" w:color="auto" w:sz="4" w:space="0"/>
              <w:right w:val="single" w:color="auto" w:sz="4" w:space="0"/>
            </w:tcBorders>
            <w:noWrap/>
            <w:vAlign w:val="center"/>
          </w:tcPr>
          <w:p w14:paraId="11171B8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资产总额（Z）</w:t>
            </w:r>
          </w:p>
        </w:tc>
        <w:tc>
          <w:tcPr>
            <w:tcW w:w="780" w:type="dxa"/>
            <w:tcBorders>
              <w:top w:val="nil"/>
              <w:left w:val="nil"/>
              <w:bottom w:val="single" w:color="auto" w:sz="4" w:space="0"/>
              <w:right w:val="single" w:color="auto" w:sz="4" w:space="0"/>
            </w:tcBorders>
            <w:noWrap/>
            <w:vAlign w:val="center"/>
          </w:tcPr>
          <w:p w14:paraId="0B7975A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万元</w:t>
            </w:r>
          </w:p>
        </w:tc>
        <w:tc>
          <w:tcPr>
            <w:tcW w:w="2130" w:type="dxa"/>
            <w:tcBorders>
              <w:top w:val="nil"/>
              <w:left w:val="nil"/>
              <w:bottom w:val="single" w:color="auto" w:sz="4" w:space="0"/>
              <w:right w:val="single" w:color="auto" w:sz="4" w:space="0"/>
            </w:tcBorders>
            <w:noWrap/>
            <w:vAlign w:val="center"/>
          </w:tcPr>
          <w:p w14:paraId="1631AE8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8000≤Z＜120000</w:t>
            </w:r>
          </w:p>
        </w:tc>
        <w:tc>
          <w:tcPr>
            <w:tcW w:w="1830" w:type="dxa"/>
            <w:tcBorders>
              <w:top w:val="nil"/>
              <w:left w:val="nil"/>
              <w:bottom w:val="single" w:color="auto" w:sz="4" w:space="0"/>
              <w:right w:val="single" w:color="auto" w:sz="4" w:space="0"/>
            </w:tcBorders>
            <w:noWrap/>
            <w:vAlign w:val="center"/>
          </w:tcPr>
          <w:p w14:paraId="0EE2A4B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100≤Z＜8000</w:t>
            </w:r>
          </w:p>
        </w:tc>
        <w:tc>
          <w:tcPr>
            <w:tcW w:w="1155" w:type="dxa"/>
            <w:tcBorders>
              <w:top w:val="nil"/>
              <w:left w:val="nil"/>
              <w:bottom w:val="single" w:color="auto" w:sz="4" w:space="0"/>
              <w:right w:val="single" w:color="auto" w:sz="4" w:space="0"/>
            </w:tcBorders>
            <w:noWrap/>
            <w:vAlign w:val="center"/>
          </w:tcPr>
          <w:p w14:paraId="54763E8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Y＜100</w:t>
            </w:r>
          </w:p>
        </w:tc>
      </w:tr>
      <w:tr w14:paraId="4AC90BCF">
        <w:tblPrEx>
          <w:tblCellMar>
            <w:top w:w="0" w:type="dxa"/>
            <w:left w:w="108" w:type="dxa"/>
            <w:bottom w:w="0" w:type="dxa"/>
            <w:right w:w="108" w:type="dxa"/>
          </w:tblCellMar>
        </w:tblPrEx>
        <w:trPr>
          <w:trHeight w:val="225" w:hRule="atLeast"/>
        </w:trPr>
        <w:tc>
          <w:tcPr>
            <w:tcW w:w="2106" w:type="dxa"/>
            <w:tcBorders>
              <w:top w:val="nil"/>
              <w:left w:val="single" w:color="auto" w:sz="4" w:space="0"/>
              <w:bottom w:val="single" w:color="auto" w:sz="4" w:space="0"/>
              <w:right w:val="single" w:color="auto" w:sz="4" w:space="0"/>
            </w:tcBorders>
            <w:noWrap/>
            <w:vAlign w:val="center"/>
          </w:tcPr>
          <w:p w14:paraId="464F7E7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b/>
                <w:bCs/>
                <w:color w:val="000000"/>
                <w:w w:val="99"/>
                <w:kern w:val="0"/>
                <w:sz w:val="21"/>
                <w:szCs w:val="21"/>
                <w:highlight w:val="none"/>
                <w:lang w:eastAsia="en-US"/>
              </w:rPr>
            </w:pPr>
            <w:r>
              <w:rPr>
                <w:rFonts w:hint="eastAsia" w:asciiTheme="majorEastAsia" w:hAnsiTheme="majorEastAsia" w:eastAsiaTheme="majorEastAsia" w:cstheme="majorEastAsia"/>
                <w:b/>
                <w:bCs/>
                <w:color w:val="000000"/>
                <w:w w:val="99"/>
                <w:kern w:val="0"/>
                <w:sz w:val="21"/>
                <w:szCs w:val="21"/>
                <w:highlight w:val="none"/>
                <w:lang w:eastAsia="en-US"/>
              </w:rPr>
              <w:t>其他未列明行业</w:t>
            </w:r>
          </w:p>
        </w:tc>
        <w:tc>
          <w:tcPr>
            <w:tcW w:w="1794" w:type="dxa"/>
            <w:tcBorders>
              <w:top w:val="nil"/>
              <w:left w:val="nil"/>
              <w:bottom w:val="single" w:color="auto" w:sz="4" w:space="0"/>
              <w:right w:val="single" w:color="auto" w:sz="4" w:space="0"/>
            </w:tcBorders>
            <w:noWrap/>
            <w:vAlign w:val="center"/>
          </w:tcPr>
          <w:p w14:paraId="40751D1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从业人员（X）</w:t>
            </w:r>
          </w:p>
        </w:tc>
        <w:tc>
          <w:tcPr>
            <w:tcW w:w="780" w:type="dxa"/>
            <w:tcBorders>
              <w:top w:val="nil"/>
              <w:left w:val="nil"/>
              <w:bottom w:val="single" w:color="auto" w:sz="4" w:space="0"/>
              <w:right w:val="single" w:color="auto" w:sz="4" w:space="0"/>
            </w:tcBorders>
            <w:noWrap/>
            <w:vAlign w:val="center"/>
          </w:tcPr>
          <w:p w14:paraId="79AE72A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人</w:t>
            </w:r>
          </w:p>
        </w:tc>
        <w:tc>
          <w:tcPr>
            <w:tcW w:w="2130" w:type="dxa"/>
            <w:tcBorders>
              <w:top w:val="nil"/>
              <w:left w:val="nil"/>
              <w:bottom w:val="single" w:color="auto" w:sz="4" w:space="0"/>
              <w:right w:val="single" w:color="auto" w:sz="4" w:space="0"/>
            </w:tcBorders>
            <w:noWrap/>
            <w:vAlign w:val="center"/>
          </w:tcPr>
          <w:p w14:paraId="5DB45BB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100≤X＜300</w:t>
            </w:r>
          </w:p>
        </w:tc>
        <w:tc>
          <w:tcPr>
            <w:tcW w:w="1830" w:type="dxa"/>
            <w:tcBorders>
              <w:top w:val="nil"/>
              <w:left w:val="nil"/>
              <w:bottom w:val="single" w:color="auto" w:sz="4" w:space="0"/>
              <w:right w:val="single" w:color="auto" w:sz="4" w:space="0"/>
            </w:tcBorders>
            <w:noWrap/>
            <w:vAlign w:val="center"/>
          </w:tcPr>
          <w:p w14:paraId="2478C69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10≤X＜100</w:t>
            </w:r>
          </w:p>
        </w:tc>
        <w:tc>
          <w:tcPr>
            <w:tcW w:w="1155" w:type="dxa"/>
            <w:tcBorders>
              <w:top w:val="nil"/>
              <w:left w:val="nil"/>
              <w:bottom w:val="single" w:color="auto" w:sz="4" w:space="0"/>
              <w:right w:val="single" w:color="auto" w:sz="4" w:space="0"/>
            </w:tcBorders>
            <w:noWrap/>
            <w:vAlign w:val="center"/>
          </w:tcPr>
          <w:p w14:paraId="2171D10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center"/>
              <w:textAlignment w:val="auto"/>
              <w:rPr>
                <w:rFonts w:hint="eastAsia" w:asciiTheme="majorEastAsia" w:hAnsiTheme="majorEastAsia" w:eastAsiaTheme="majorEastAsia" w:cstheme="majorEastAsia"/>
                <w:color w:val="000000"/>
                <w:spacing w:val="10"/>
                <w:kern w:val="0"/>
                <w:sz w:val="21"/>
                <w:szCs w:val="21"/>
                <w:highlight w:val="none"/>
              </w:rPr>
            </w:pPr>
            <w:r>
              <w:rPr>
                <w:rFonts w:hint="eastAsia" w:asciiTheme="majorEastAsia" w:hAnsiTheme="majorEastAsia" w:eastAsiaTheme="majorEastAsia" w:cstheme="majorEastAsia"/>
                <w:color w:val="000000"/>
                <w:spacing w:val="10"/>
                <w:kern w:val="0"/>
                <w:sz w:val="21"/>
                <w:szCs w:val="21"/>
                <w:highlight w:val="none"/>
              </w:rPr>
              <w:t>X＜10</w:t>
            </w:r>
          </w:p>
        </w:tc>
      </w:tr>
    </w:tbl>
    <w:p w14:paraId="2044B93A">
      <w:pPr>
        <w:keepNext w:val="0"/>
        <w:keepLines w:val="0"/>
        <w:pageBreakBefore w:val="0"/>
        <w:widowControl w:val="0"/>
        <w:kinsoku/>
        <w:wordWrap/>
        <w:overflowPunct/>
        <w:topLinePunct w:val="0"/>
        <w:autoSpaceDE/>
        <w:autoSpaceDN/>
        <w:bidi w:val="0"/>
        <w:adjustRightInd/>
        <w:snapToGrid w:val="0"/>
        <w:spacing w:line="312" w:lineRule="auto"/>
        <w:jc w:val="left"/>
        <w:textAlignment w:val="auto"/>
        <w:rPr>
          <w:rFonts w:hint="eastAsia" w:asciiTheme="majorEastAsia" w:hAnsiTheme="majorEastAsia" w:eastAsiaTheme="majorEastAsia" w:cstheme="majorEastAsia"/>
          <w:color w:val="000000"/>
          <w:szCs w:val="21"/>
          <w:highlight w:val="none"/>
        </w:rPr>
      </w:pPr>
      <w:r>
        <w:rPr>
          <w:rFonts w:hint="eastAsia" w:asciiTheme="majorEastAsia" w:hAnsiTheme="majorEastAsia" w:eastAsiaTheme="majorEastAsia" w:cstheme="majorEastAsia"/>
          <w:color w:val="000000"/>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2503146A">
      <w:pPr>
        <w:keepNext w:val="0"/>
        <w:keepLines w:val="0"/>
        <w:pageBreakBefore w:val="0"/>
        <w:widowControl w:val="0"/>
        <w:kinsoku/>
        <w:wordWrap/>
        <w:overflowPunct/>
        <w:topLinePunct w:val="0"/>
        <w:autoSpaceDE/>
        <w:autoSpaceDN/>
        <w:bidi w:val="0"/>
        <w:spacing w:line="312" w:lineRule="auto"/>
        <w:jc w:val="both"/>
        <w:textAlignment w:val="auto"/>
        <w:outlineLvl w:val="0"/>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lang w:val="en-US" w:eastAsia="zh-CN"/>
        </w:rPr>
        <w:t>本项目所属行业划分：农、林、牧、渔。</w:t>
      </w:r>
    </w:p>
    <w:p w14:paraId="423B07E0">
      <w:pPr>
        <w:pageBreakBefore w:val="0"/>
        <w:kinsoku/>
        <w:wordWrap/>
        <w:topLinePunct w:val="0"/>
        <w:bidi w:val="0"/>
        <w:spacing w:line="312" w:lineRule="auto"/>
        <w:jc w:val="center"/>
        <w:outlineLvl w:val="0"/>
        <w:rPr>
          <w:rFonts w:hint="eastAsia" w:ascii="仿宋" w:hAnsi="仿宋" w:eastAsia="仿宋" w:cs="仿宋"/>
          <w:color w:val="auto"/>
          <w:szCs w:val="21"/>
          <w:highlight w:val="none"/>
          <w:lang w:val="en-US" w:eastAsia="zh-CN"/>
        </w:rPr>
      </w:pPr>
    </w:p>
    <w:p w14:paraId="7F4AE8E3">
      <w:pPr>
        <w:pageBreakBefore w:val="0"/>
        <w:kinsoku/>
        <w:wordWrap/>
        <w:topLinePunct w:val="0"/>
        <w:bidi w:val="0"/>
        <w:spacing w:line="312" w:lineRule="auto"/>
        <w:jc w:val="center"/>
        <w:outlineLvl w:val="0"/>
        <w:rPr>
          <w:rFonts w:ascii="宋体" w:hAnsi="宋体"/>
          <w:b/>
          <w:color w:val="auto"/>
          <w:sz w:val="32"/>
          <w:szCs w:val="32"/>
          <w:highlight w:val="none"/>
        </w:rPr>
      </w:pPr>
      <w:r>
        <w:rPr>
          <w:rStyle w:val="56"/>
          <w:rFonts w:hint="eastAsia" w:ascii="宋体" w:hAnsi="宋体" w:eastAsia="宋体" w:cs="宋体"/>
          <w:color w:val="auto"/>
        </w:rPr>
        <w:t>第</w:t>
      </w:r>
      <w:r>
        <w:rPr>
          <w:rStyle w:val="56"/>
          <w:rFonts w:hint="eastAsia" w:ascii="宋体" w:hAnsi="宋体" w:cs="宋体"/>
          <w:color w:val="auto"/>
          <w:lang w:val="en-US" w:eastAsia="zh-CN"/>
        </w:rPr>
        <w:t>四</w:t>
      </w:r>
      <w:r>
        <w:rPr>
          <w:rStyle w:val="56"/>
          <w:rFonts w:hint="eastAsia" w:ascii="宋体" w:hAnsi="宋体" w:eastAsia="宋体" w:cs="宋体"/>
          <w:color w:val="auto"/>
        </w:rPr>
        <w:t xml:space="preserve">章 </w:t>
      </w:r>
      <w:r>
        <w:rPr>
          <w:rStyle w:val="56"/>
          <w:rFonts w:hint="eastAsia" w:ascii="宋体" w:hAnsi="宋体" w:eastAsia="宋体" w:cs="宋体"/>
          <w:color w:val="auto"/>
          <w:lang w:eastAsia="zh-CN"/>
        </w:rPr>
        <w:t>评审</w:t>
      </w:r>
      <w:r>
        <w:rPr>
          <w:rStyle w:val="56"/>
          <w:rFonts w:hint="eastAsia" w:ascii="宋体" w:hAnsi="宋体" w:eastAsia="宋体" w:cs="宋体"/>
          <w:color w:val="auto"/>
        </w:rPr>
        <w:t>方法和成交标准</w:t>
      </w:r>
      <w:bookmarkEnd w:id="85"/>
      <w:bookmarkEnd w:id="86"/>
      <w:bookmarkEnd w:id="87"/>
      <w:bookmarkEnd w:id="88"/>
      <w:bookmarkEnd w:id="89"/>
    </w:p>
    <w:p w14:paraId="159C2CC9">
      <w:pPr>
        <w:spacing w:line="360" w:lineRule="auto"/>
        <w:jc w:val="center"/>
        <w:outlineLvl w:val="0"/>
        <w:rPr>
          <w:rFonts w:hint="eastAsia" w:ascii="宋体" w:hAnsi="宋体"/>
          <w:b/>
          <w:color w:val="auto"/>
          <w:sz w:val="32"/>
          <w:szCs w:val="32"/>
          <w:highlight w:val="none"/>
        </w:rPr>
      </w:pPr>
      <w:bookmarkStart w:id="90" w:name="_Toc8985"/>
      <w:r>
        <w:rPr>
          <w:rFonts w:hint="eastAsia" w:ascii="宋体" w:hAnsi="宋体"/>
          <w:b/>
          <w:color w:val="auto"/>
          <w:sz w:val="32"/>
          <w:szCs w:val="32"/>
          <w:highlight w:val="none"/>
        </w:rPr>
        <w:t>一、评审程序和评审方法</w:t>
      </w:r>
      <w:bookmarkEnd w:id="90"/>
    </w:p>
    <w:p w14:paraId="0FD9AF66">
      <w:pPr>
        <w:spacing w:line="360" w:lineRule="auto"/>
        <w:ind w:firstLine="482" w:firstLineChars="200"/>
        <w:rPr>
          <w:rFonts w:hint="eastAsia" w:ascii="黑体" w:hAnsi="黑体" w:eastAsia="黑体" w:cs="宋体"/>
          <w:b/>
          <w:bCs/>
          <w:color w:val="auto"/>
          <w:sz w:val="24"/>
          <w:highlight w:val="none"/>
        </w:rPr>
      </w:pPr>
      <w:r>
        <w:rPr>
          <w:rFonts w:ascii="黑体" w:hAnsi="黑体" w:eastAsia="黑体" w:cs="宋体"/>
          <w:b/>
          <w:bCs/>
          <w:color w:val="auto"/>
          <w:sz w:val="24"/>
          <w:highlight w:val="none"/>
        </w:rPr>
        <w:t>1</w:t>
      </w:r>
      <w:r>
        <w:rPr>
          <w:rFonts w:hint="eastAsia" w:ascii="黑体" w:hAnsi="黑体" w:eastAsia="黑体" w:cs="宋体"/>
          <w:b/>
          <w:bCs/>
          <w:color w:val="auto"/>
          <w:sz w:val="24"/>
          <w:highlight w:val="none"/>
        </w:rPr>
        <w:t>.资格审查</w:t>
      </w:r>
    </w:p>
    <w:p w14:paraId="404A9480">
      <w:pPr>
        <w:snapToGrid w:val="0"/>
        <w:spacing w:line="360" w:lineRule="auto"/>
        <w:ind w:firstLine="420" w:firstLineChars="200"/>
        <w:rPr>
          <w:rFonts w:ascii="宋体" w:hAnsi="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.1</w:t>
      </w:r>
      <w:r>
        <w:rPr>
          <w:rFonts w:hint="eastAsia" w:ascii="宋体" w:hAnsi="宋体"/>
          <w:color w:val="auto"/>
          <w:szCs w:val="21"/>
          <w:highlight w:val="none"/>
        </w:rPr>
        <w:t>响应文件开启后，磋商小组依法对供应商的资格证明文件进行审查。</w:t>
      </w:r>
    </w:p>
    <w:p w14:paraId="0ACED350">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注：采购人或者采购代理机构在资格审查结束前，对供应商进行信用查询。</w:t>
      </w:r>
    </w:p>
    <w:p w14:paraId="14E6B48A">
      <w:pP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（1）查询渠道：“信用中国”网站(www.creditchina.gov.cn) 、中国政府采购网(www.ccgp.gov.cn)。</w:t>
      </w:r>
    </w:p>
    <w:p w14:paraId="779BF116">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（2）信用查询截止时点：资格审查结束前。</w:t>
      </w:r>
    </w:p>
    <w:p w14:paraId="22B9F59E">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查询记录和证据留存方式：在查询网站中直接打印查询记录，打印材料作为评审资料保存。</w:t>
      </w:r>
    </w:p>
    <w:p w14:paraId="3750110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1674CF6F">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.2资格审查标准为本磋商文件中载明对供应商资格要求的条件。资格审查采用合格制，凡符合磋商文件规定的供应商资格要求的响应文件均通过资格审查。</w:t>
      </w:r>
    </w:p>
    <w:p w14:paraId="3C02C373">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.3供应商有下列情形之一的，资格审查不通过，其响应文件按无效响应处理：</w:t>
      </w:r>
    </w:p>
    <w:p w14:paraId="7365BD8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（1）不具备磋商文件中规定的资格要求的；</w:t>
      </w:r>
    </w:p>
    <w:p w14:paraId="44AD6AC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（2）未按磋商文件规定的方式获取本磋商文件的供应商；</w:t>
      </w:r>
    </w:p>
    <w:p w14:paraId="4208C16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（3）响应文件的资格证明文件缺少任一项“供应商须知前附表”资格证明文件规定的“必须提供”的文件资料的；</w:t>
      </w:r>
    </w:p>
    <w:p w14:paraId="5AE5F34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（4）响应文件中的资格证明文件出现任一项不符合“供应商须知前附表”资格证明文件规定的“必须提供”的文件资料要求或者无效的；</w:t>
      </w:r>
    </w:p>
    <w:p w14:paraId="10FC867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（5）有第二章“供应商须知”第3.2项规定的任何一种情形的。</w:t>
      </w:r>
    </w:p>
    <w:p w14:paraId="3752BC22">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.4通过资格审查的合格供应商不足3家的，不得进入符合性审查环节，</w:t>
      </w:r>
      <w:r>
        <w:rPr>
          <w:rFonts w:hint="eastAsia" w:ascii="宋体" w:hAnsi="宋体"/>
          <w:color w:val="auto"/>
          <w:szCs w:val="21"/>
          <w:highlight w:val="none"/>
        </w:rPr>
        <w:t>采购人或者采购代理机构应当重新开展采购活动。</w:t>
      </w:r>
    </w:p>
    <w:p w14:paraId="5534F976">
      <w:pPr>
        <w:spacing w:line="360" w:lineRule="auto"/>
        <w:ind w:firstLine="482" w:firstLineChars="200"/>
        <w:rPr>
          <w:rFonts w:hint="eastAsia" w:ascii="黑体" w:hAnsi="黑体" w:eastAsia="黑体" w:cs="宋体"/>
          <w:b/>
          <w:bCs/>
          <w:color w:val="auto"/>
          <w:sz w:val="24"/>
          <w:highlight w:val="none"/>
        </w:rPr>
      </w:pPr>
      <w:r>
        <w:rPr>
          <w:rFonts w:ascii="黑体" w:hAnsi="黑体" w:eastAsia="黑体" w:cs="宋体"/>
          <w:b/>
          <w:bCs/>
          <w:color w:val="auto"/>
          <w:sz w:val="24"/>
          <w:highlight w:val="none"/>
        </w:rPr>
        <w:t>2</w:t>
      </w:r>
      <w:r>
        <w:rPr>
          <w:rFonts w:hint="eastAsia" w:ascii="黑体" w:hAnsi="黑体" w:eastAsia="黑体" w:cs="宋体"/>
          <w:b/>
          <w:bCs/>
          <w:color w:val="auto"/>
          <w:sz w:val="24"/>
          <w:highlight w:val="none"/>
        </w:rPr>
        <w:t>.符合性审查</w:t>
      </w:r>
    </w:p>
    <w:p w14:paraId="5A0FE34A">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2.1</w:t>
      </w:r>
      <w:r>
        <w:rPr>
          <w:rFonts w:hint="eastAsia" w:ascii="宋体" w:hAnsi="宋体" w:cs="宋体"/>
          <w:color w:val="auto"/>
          <w:szCs w:val="21"/>
          <w:highlight w:val="none"/>
        </w:rPr>
        <w:t>由磋商小组对</w:t>
      </w:r>
      <w:r>
        <w:rPr>
          <w:rFonts w:hint="eastAsia" w:ascii="宋体" w:hAnsi="宋体"/>
          <w:color w:val="auto"/>
          <w:szCs w:val="21"/>
          <w:highlight w:val="none"/>
        </w:rPr>
        <w:t>通过资格审查的合格供应商</w:t>
      </w:r>
      <w:r>
        <w:rPr>
          <w:rFonts w:hint="eastAsia" w:ascii="宋体" w:hAnsi="宋体" w:cs="宋体"/>
          <w:color w:val="auto"/>
          <w:szCs w:val="21"/>
          <w:highlight w:val="none"/>
        </w:rPr>
        <w:t>的响应文件的竞标报价、商务、技术等实质性要求进行符合性审查，以确定其是否满足磋商文件的实质性要求。</w:t>
      </w:r>
    </w:p>
    <w:p w14:paraId="48FE73E0">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2.2</w:t>
      </w:r>
      <w:r>
        <w:rPr>
          <w:rFonts w:hint="eastAsia" w:ascii="宋体" w:hAnsi="宋体" w:cs="宋体"/>
          <w:color w:val="auto"/>
          <w:szCs w:val="21"/>
          <w:highlight w:val="none"/>
        </w:rPr>
        <w:t>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105AB897">
      <w:pPr>
        <w:spacing w:line="360" w:lineRule="auto"/>
        <w:ind w:firstLine="420" w:firstLineChars="200"/>
        <w:rPr>
          <w:rFonts w:ascii="宋体" w:hAnsi="宋体" w:cs="宋体"/>
          <w:color w:val="auto"/>
          <w:spacing w:val="-6"/>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必须由法定代表人或者其授权代表签字或者加盖公章。由委托代理人签字的，</w:t>
      </w:r>
      <w:r>
        <w:rPr>
          <w:rFonts w:hint="eastAsia" w:ascii="宋体" w:hAnsi="宋体" w:cs="宋体"/>
          <w:bCs/>
          <w:color w:val="auto"/>
          <w:szCs w:val="21"/>
          <w:highlight w:val="none"/>
        </w:rPr>
        <w:t>若委托代理人不是响应文件中授权的委托代理人时，必须同时出示有效的法定代表人授权委托书原件</w:t>
      </w:r>
      <w:r>
        <w:rPr>
          <w:rFonts w:hint="eastAsia" w:ascii="宋体" w:hAnsi="宋体" w:cs="宋体"/>
          <w:color w:val="auto"/>
          <w:spacing w:val="-6"/>
          <w:szCs w:val="21"/>
          <w:highlight w:val="none"/>
        </w:rPr>
        <w:t>。供应商为自然人的，必须由本人签字并附身份证明。</w:t>
      </w:r>
    </w:p>
    <w:p w14:paraId="30442D2B">
      <w:pPr>
        <w:spacing w:line="360" w:lineRule="auto"/>
        <w:ind w:firstLine="396" w:firstLineChars="200"/>
        <w:rPr>
          <w:rFonts w:hint="eastAsia" w:ascii="宋体" w:hAnsi="宋体" w:cs="宋体"/>
          <w:color w:val="auto"/>
          <w:szCs w:val="21"/>
          <w:highlight w:val="none"/>
        </w:rPr>
      </w:pPr>
      <w:r>
        <w:rPr>
          <w:rFonts w:ascii="宋体" w:hAnsi="宋体" w:cs="宋体"/>
          <w:color w:val="auto"/>
          <w:spacing w:val="-6"/>
          <w:szCs w:val="21"/>
          <w:highlight w:val="none"/>
        </w:rPr>
        <w:t>2.4</w:t>
      </w:r>
      <w:r>
        <w:rPr>
          <w:rFonts w:hint="eastAsia" w:ascii="宋体" w:hAnsi="宋体" w:cs="宋体"/>
          <w:color w:val="auto"/>
          <w:szCs w:val="21"/>
          <w:highlight w:val="none"/>
        </w:rPr>
        <w:t xml:space="preserve">首次响应文件报价出现前后不一致的，按照下列规定修正： </w:t>
      </w:r>
    </w:p>
    <w:p w14:paraId="57746EF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（1）响应文件中报价表内容与响应文件中相应内容不一致的，以报价表为准；</w:t>
      </w:r>
    </w:p>
    <w:p w14:paraId="02BBCDB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（2）大写金额和小写金额不一致的，以大写金额为准；</w:t>
      </w:r>
    </w:p>
    <w:p w14:paraId="68D2403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（3）单价金额小数点或者百分比有明显错位的，以报价表的总价为准，并修改单价；</w:t>
      </w:r>
    </w:p>
    <w:p w14:paraId="4109E49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（4）总价金额与按单价汇总金额不一致的，以单价金额计算结果为准。</w:t>
      </w:r>
    </w:p>
    <w:p w14:paraId="0BB19EC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同时出现两种以上不一致的，按照以上（1）-（4）规定的顺序逐条进行修正。修正后的报价经供应商确认后产生约束力，供应商不确认的，其响应文件按无效响应处理。</w:t>
      </w:r>
    </w:p>
    <w:p w14:paraId="7563DF8E">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商务技术报价评审</w:t>
      </w:r>
    </w:p>
    <w:p w14:paraId="412133D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在评审时，如发现下列情形之一的，将被视为响应文件无效处理：</w:t>
      </w:r>
    </w:p>
    <w:p w14:paraId="48EAAF7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（1）商务技术评审</w:t>
      </w:r>
    </w:p>
    <w:p w14:paraId="6EB9441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1）提供响应文件正、副本数量不足；</w:t>
      </w:r>
    </w:p>
    <w:p w14:paraId="0090311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2）响应文件未按磋商文件要求签署、盖章；</w:t>
      </w:r>
    </w:p>
    <w:p w14:paraId="016D6AE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3）委托代理人未能出具有效身份证明或者出具的身份证明与授权委托书中的信息不符； </w:t>
      </w:r>
    </w:p>
    <w:p w14:paraId="1BB1A98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4）提交的磋商保证金无效的或者未按照磋商文件的规定提交磋商保证金；</w:t>
      </w:r>
    </w:p>
    <w:p w14:paraId="121B800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5）响应文件未提供任一项“供应商须知前附表” 报价商务技术文件中 “必须提供”或者“委托时必须提供”的文件资料；响应文件提供的报价商务技术文件出现任一项不符合“供应商须知前附表” 报价商务技术文件中 “必须提供”或者“委托时必须提供”文件资料要求的规定或者提供的报价商务技术文件无效。</w:t>
      </w:r>
    </w:p>
    <w:p w14:paraId="59D0D320">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6</w:t>
      </w:r>
      <w:r>
        <w:rPr>
          <w:rFonts w:hint="eastAsia" w:ascii="宋体" w:hAnsi="宋体" w:cs="宋体"/>
          <w:color w:val="auto"/>
          <w:szCs w:val="21"/>
          <w:highlight w:val="none"/>
        </w:rPr>
        <w:t>）商务条款中标“▲”的条款发生负偏离的或者允许负偏离的条款数超过“供应商须知前附表”规定项数的或者标明实质性的要求发生负偏离；</w:t>
      </w:r>
    </w:p>
    <w:p w14:paraId="0A1D4B97">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7</w:t>
      </w:r>
      <w:r>
        <w:rPr>
          <w:rFonts w:hint="eastAsia" w:ascii="宋体" w:hAnsi="宋体" w:cs="宋体"/>
          <w:color w:val="auto"/>
          <w:szCs w:val="21"/>
          <w:highlight w:val="none"/>
        </w:rPr>
        <w:t>）未对竞标有效期作出响应或者响应文件承诺的竞标有效期不满足磋商文件要求；</w:t>
      </w:r>
    </w:p>
    <w:p w14:paraId="2E81531F">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8</w:t>
      </w:r>
      <w:r>
        <w:rPr>
          <w:rFonts w:hint="eastAsia" w:ascii="宋体" w:hAnsi="宋体" w:cs="宋体"/>
          <w:color w:val="auto"/>
          <w:szCs w:val="21"/>
          <w:highlight w:val="none"/>
        </w:rPr>
        <w:t>）响应文件的实质性内容未使用中文表述、使用计量单位不符合磋商文件要求；</w:t>
      </w:r>
    </w:p>
    <w:p w14:paraId="512A6454">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9</w:t>
      </w:r>
      <w:r>
        <w:rPr>
          <w:rFonts w:hint="eastAsia" w:ascii="宋体" w:hAnsi="宋体" w:cs="宋体"/>
          <w:color w:val="auto"/>
          <w:szCs w:val="21"/>
          <w:highlight w:val="none"/>
        </w:rPr>
        <w:t>）响应文件中的文件资料因填写不齐全或者内容虚假或者出现其他情形而导致被磋商小组认定无效；</w:t>
      </w:r>
    </w:p>
    <w:p w14:paraId="2471D6A8">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10</w:t>
      </w:r>
      <w:r>
        <w:rPr>
          <w:rFonts w:hint="eastAsia" w:ascii="宋体" w:hAnsi="宋体" w:cs="宋体"/>
          <w:color w:val="auto"/>
          <w:szCs w:val="21"/>
          <w:highlight w:val="none"/>
        </w:rPr>
        <w:t>）响应文件含有采购人不能接受的附加条件；</w:t>
      </w:r>
    </w:p>
    <w:p w14:paraId="78ABE73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1</w:t>
      </w:r>
      <w:r>
        <w:rPr>
          <w:rFonts w:hint="eastAsia" w:ascii="宋体" w:hAnsi="宋体" w:cs="宋体"/>
          <w:color w:val="auto"/>
          <w:szCs w:val="21"/>
          <w:highlight w:val="none"/>
        </w:rPr>
        <w:t>）属于“供应商须知正文”第7.</w:t>
      </w:r>
      <w:r>
        <w:rPr>
          <w:rFonts w:ascii="宋体" w:hAnsi="宋体" w:cs="宋体"/>
          <w:color w:val="auto"/>
          <w:szCs w:val="21"/>
          <w:highlight w:val="none"/>
        </w:rPr>
        <w:t>5</w:t>
      </w:r>
      <w:r>
        <w:rPr>
          <w:rFonts w:hint="eastAsia" w:ascii="宋体" w:hAnsi="宋体" w:cs="宋体"/>
          <w:color w:val="auto"/>
          <w:szCs w:val="21"/>
          <w:highlight w:val="none"/>
        </w:rPr>
        <w:t>条情形；</w:t>
      </w:r>
    </w:p>
    <w:p w14:paraId="7EA7E0CD">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2）技术需求允许负偏离的条款数超过“供应商须知前附表”规定项数；</w:t>
      </w:r>
    </w:p>
    <w:p w14:paraId="3D36D693">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3）虚假竞标，或者出现其他情形而导致被磋商小组认定无效；</w:t>
      </w:r>
    </w:p>
    <w:p w14:paraId="0FD089D9">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4）竞标技术方案不明确，磋商文件未允许</w:t>
      </w:r>
      <w:r>
        <w:rPr>
          <w:rFonts w:hint="eastAsia" w:ascii="宋体" w:hAnsi="宋体"/>
          <w:color w:val="auto"/>
          <w:szCs w:val="21"/>
          <w:highlight w:val="none"/>
        </w:rPr>
        <w:t>但响应文件中</w:t>
      </w:r>
      <w:r>
        <w:rPr>
          <w:rFonts w:hint="eastAsia" w:ascii="宋体" w:hAnsi="宋体" w:cs="宋体"/>
          <w:color w:val="auto"/>
          <w:szCs w:val="21"/>
          <w:highlight w:val="none"/>
        </w:rPr>
        <w:t>存在一个或者一个以上备选（替代）竞标方案；</w:t>
      </w:r>
    </w:p>
    <w:p w14:paraId="35F35A27">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15</w:t>
      </w:r>
      <w:r>
        <w:rPr>
          <w:rFonts w:hint="eastAsia" w:ascii="宋体" w:hAnsi="宋体" w:cs="宋体"/>
          <w:color w:val="auto"/>
          <w:szCs w:val="21"/>
          <w:highlight w:val="none"/>
        </w:rPr>
        <w:t>）响应文件标注的项目名称或者项目编号与竞争性磋商文件标注的项目名称或者项目编号不一致的；</w:t>
      </w:r>
    </w:p>
    <w:p w14:paraId="0A4999A0">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6）未响应磋商文件实质性要求；</w:t>
      </w:r>
    </w:p>
    <w:p w14:paraId="5ADCE84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7</w:t>
      </w:r>
      <w:r>
        <w:rPr>
          <w:rFonts w:hint="eastAsia" w:ascii="宋体" w:hAnsi="宋体" w:cs="宋体"/>
          <w:color w:val="auto"/>
          <w:szCs w:val="21"/>
          <w:highlight w:val="none"/>
        </w:rPr>
        <w:t>）法律、法规和磋商文件规定的其他无效情形。</w:t>
      </w:r>
    </w:p>
    <w:p w14:paraId="441761C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）报价评审</w:t>
      </w:r>
    </w:p>
    <w:p w14:paraId="108097F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 xml:space="preserve"> </w:t>
      </w:r>
      <w:r>
        <w:rPr>
          <w:rFonts w:hint="eastAsia" w:ascii="宋体" w:hAnsi="宋体" w:cs="宋体"/>
          <w:color w:val="auto"/>
          <w:szCs w:val="21"/>
          <w:highlight w:val="none"/>
        </w:rPr>
        <w:t>响应文件未提供“供应商须知前附表” 报价商务技术文件中规定的“竞标报价表”；</w:t>
      </w:r>
    </w:p>
    <w:p w14:paraId="60D7011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2）未采用人民币报价或者未按照磋商文件标明的币种报价；</w:t>
      </w:r>
    </w:p>
    <w:p w14:paraId="7C0146B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供应商未就所竞标分标进行报价或者存在漏项报价；供应商未就所竞标分标的单项内容作唯一报价；供应商未就所竞标分标的全部内容作唯一总价报价；供应商响应文件中存在有选择、有条件报价的（磋商文件允许有备选方案或者其他约定的除外）；</w:t>
      </w:r>
    </w:p>
    <w:p w14:paraId="1214C70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竞标报价（包含首次报价、最后报价）超过所竞标分标规定的采购预算金额或者最高限价的（如本项目公布了最高限价）；竞标报价（包含首次报价、最后报价）超过磋商文件分项采购预算金额或者最高限价的（如本项目公布了最高限价）；</w:t>
      </w:r>
    </w:p>
    <w:p w14:paraId="07459B5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修正后的报价，供应商不确认的；或者经供应商确认修正后的竞标报价（包含首次报价、最后报价）超过所竞标分标规定的采购预算金额或者最高限价（如本项目公布了最高限价）；或者经供应商确认修正后竞标报价（包含首次报价、最后报价）超过磋商文件分项采购预算金额或者最高限价的（如本项目公布了最高限价）。</w:t>
      </w:r>
    </w:p>
    <w:p w14:paraId="2C9DA9C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w:t>
      </w:r>
      <w:r>
        <w:rPr>
          <w:rFonts w:hint="eastAsia" w:ascii="宋体" w:hAnsi="宋体"/>
          <w:color w:val="auto"/>
          <w:szCs w:val="21"/>
          <w:highlight w:val="none"/>
        </w:rPr>
        <w:t>响应文件响应的标的数量及单位与竞争性磋商采购文件要求实质性不一致的。</w:t>
      </w:r>
    </w:p>
    <w:p w14:paraId="460C133B">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2.6</w:t>
      </w:r>
      <w:r>
        <w:rPr>
          <w:rFonts w:hint="eastAsia" w:ascii="宋体" w:hAnsi="宋体" w:cs="宋体"/>
          <w:color w:val="auto"/>
          <w:szCs w:val="21"/>
          <w:highlight w:val="none"/>
        </w:rPr>
        <w:t>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469F0550">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2.7</w:t>
      </w:r>
      <w:r>
        <w:rPr>
          <w:rFonts w:hint="eastAsia" w:ascii="宋体" w:hAnsi="宋体"/>
          <w:color w:val="auto"/>
          <w:szCs w:val="21"/>
          <w:highlight w:val="none"/>
        </w:rPr>
        <w:t>通过符合性审查的合格供应商不足3家的，不得进入磋商环节，采购人或者采购代理机构应当重新开展采购活动。</w:t>
      </w:r>
    </w:p>
    <w:p w14:paraId="1FCE92FC">
      <w:pPr>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3</w:t>
      </w:r>
      <w:r>
        <w:rPr>
          <w:rFonts w:hint="eastAsia" w:ascii="黑体" w:hAnsi="黑体" w:eastAsia="黑体" w:cs="宋体"/>
          <w:b/>
          <w:bCs/>
          <w:color w:val="auto"/>
          <w:sz w:val="24"/>
          <w:highlight w:val="none"/>
        </w:rPr>
        <w:t>.磋商程序</w:t>
      </w:r>
    </w:p>
    <w:p w14:paraId="3D25F378">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3</w:t>
      </w:r>
      <w:r>
        <w:rPr>
          <w:rFonts w:ascii="宋体" w:hAnsi="宋体" w:cs="宋体"/>
          <w:color w:val="auto"/>
          <w:kern w:val="0"/>
          <w:szCs w:val="21"/>
          <w:highlight w:val="none"/>
        </w:rPr>
        <w:t>.1</w:t>
      </w:r>
      <w:r>
        <w:rPr>
          <w:rFonts w:hint="eastAsia" w:ascii="宋体" w:hAnsi="宋体" w:cs="宋体"/>
          <w:color w:val="auto"/>
          <w:kern w:val="0"/>
          <w:szCs w:val="21"/>
          <w:highlight w:val="none"/>
        </w:rPr>
        <w:t>磋商小组按照“供应商须知前附表”</w:t>
      </w:r>
      <w:r>
        <w:rPr>
          <w:rFonts w:hint="eastAsia" w:ascii="宋体" w:hAnsi="宋体" w:cs="宋体"/>
          <w:color w:val="auto"/>
          <w:szCs w:val="21"/>
          <w:highlight w:val="none"/>
        </w:rPr>
        <w:t xml:space="preserve"> </w:t>
      </w:r>
      <w:r>
        <w:rPr>
          <w:rFonts w:hint="eastAsia" w:ascii="宋体" w:hAnsi="宋体" w:cs="宋体"/>
          <w:color w:val="auto"/>
          <w:kern w:val="0"/>
          <w:szCs w:val="21"/>
          <w:highlight w:val="none"/>
        </w:rPr>
        <w:t>确定的</w:t>
      </w:r>
      <w:r>
        <w:rPr>
          <w:rFonts w:hint="eastAsia" w:ascii="宋体" w:hAnsi="宋体" w:cs="宋体"/>
          <w:color w:val="auto"/>
          <w:szCs w:val="21"/>
          <w:highlight w:val="none"/>
        </w:rPr>
        <w:t>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4638CFCF">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3.2</w:t>
      </w:r>
      <w:r>
        <w:rPr>
          <w:rFonts w:hint="eastAsia" w:ascii="宋体" w:hAnsi="宋体" w:cs="宋体"/>
          <w:color w:val="auto"/>
          <w:szCs w:val="21"/>
          <w:highlight w:val="none"/>
        </w:rPr>
        <w:t>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0275AEA0">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3.3</w:t>
      </w:r>
      <w:r>
        <w:rPr>
          <w:rFonts w:hint="eastAsia" w:ascii="宋体" w:hAnsi="宋体" w:cs="宋体"/>
          <w:color w:val="auto"/>
          <w:szCs w:val="21"/>
          <w:highlight w:val="none"/>
        </w:rPr>
        <w:t>对磋商文件作出的实质性变动是磋商文件的有效组成部分，由磋商小组及时以书面形式同时通知所有参加磋商的供应商。</w:t>
      </w:r>
    </w:p>
    <w:p w14:paraId="4E1F15B7">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3.4</w:t>
      </w:r>
      <w:r>
        <w:rPr>
          <w:rFonts w:hint="eastAsia" w:ascii="宋体" w:hAnsi="宋体" w:cs="宋体"/>
          <w:color w:val="auto"/>
          <w:szCs w:val="21"/>
          <w:highlight w:val="none"/>
        </w:rPr>
        <w:t>供应商必须按照磋商文件的变动情况和磋商小组的要求重新提交响应文件，并由其法定代表人或者授权代表签字或者加盖公章。由委托代理人签字的，</w:t>
      </w:r>
      <w:r>
        <w:rPr>
          <w:rFonts w:hint="eastAsia" w:ascii="宋体" w:hAnsi="宋体" w:cs="宋体"/>
          <w:bCs/>
          <w:color w:val="auto"/>
          <w:szCs w:val="21"/>
          <w:highlight w:val="none"/>
        </w:rPr>
        <w:t>若委托代理人不是响应文件中授权的委托代理人时，必须同时出示有效的法定代表人授权委托书原件</w:t>
      </w:r>
      <w:r>
        <w:rPr>
          <w:rFonts w:hint="eastAsia" w:ascii="宋体" w:hAnsi="宋体" w:cs="宋体"/>
          <w:color w:val="auto"/>
          <w:szCs w:val="21"/>
          <w:highlight w:val="none"/>
        </w:rPr>
        <w:t>。供应商为自然人的，必须由本人签字并附身份证明。参加磋商的供应商未在规定时间内重新提交响应文件的，视同退出磋商。</w:t>
      </w:r>
    </w:p>
    <w:p w14:paraId="5CBBCFFD">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3.5</w:t>
      </w:r>
      <w:r>
        <w:rPr>
          <w:rFonts w:hint="eastAsia" w:ascii="宋体" w:hAnsi="宋体" w:cs="宋体"/>
          <w:color w:val="auto"/>
          <w:szCs w:val="21"/>
          <w:highlight w:val="none"/>
        </w:rPr>
        <w:t>磋商中，</w:t>
      </w:r>
      <w:r>
        <w:rPr>
          <w:rFonts w:hint="eastAsia" w:ascii="宋体" w:hAnsi="宋体" w:cs="宋体"/>
          <w:color w:val="auto"/>
          <w:spacing w:val="-6"/>
          <w:szCs w:val="21"/>
          <w:highlight w:val="none"/>
        </w:rPr>
        <w:t>磋商的任何一方不得透露与磋商有关的其他供应商的技术资料、价格和其他信息。</w:t>
      </w:r>
    </w:p>
    <w:p w14:paraId="1FF33B6C">
      <w:pPr>
        <w:widowControl/>
        <w:tabs>
          <w:tab w:val="left" w:pos="540"/>
        </w:tabs>
        <w:spacing w:line="360" w:lineRule="auto"/>
        <w:ind w:firstLine="420" w:firstLineChars="200"/>
        <w:jc w:val="left"/>
        <w:rPr>
          <w:rFonts w:hint="eastAsia" w:ascii="宋体" w:hAnsi="宋体" w:cs="宋体"/>
          <w:color w:val="auto"/>
          <w:szCs w:val="21"/>
          <w:highlight w:val="none"/>
        </w:rPr>
      </w:pPr>
      <w:r>
        <w:rPr>
          <w:rFonts w:ascii="宋体" w:hAnsi="宋体" w:cs="宋体"/>
          <w:color w:val="auto"/>
          <w:szCs w:val="21"/>
          <w:highlight w:val="none"/>
        </w:rPr>
        <w:t>3.6</w:t>
      </w:r>
      <w:r>
        <w:rPr>
          <w:rFonts w:hint="eastAsia" w:ascii="宋体" w:hAnsi="宋体" w:cs="宋体"/>
          <w:color w:val="auto"/>
          <w:szCs w:val="21"/>
          <w:highlight w:val="none"/>
        </w:rPr>
        <w:t>采购代理机构对磋商过程和重要磋商内容进行记录，磋商双方在记录上签字确认。</w:t>
      </w:r>
    </w:p>
    <w:p w14:paraId="624E6083">
      <w:pPr>
        <w:widowControl/>
        <w:tabs>
          <w:tab w:val="left" w:pos="540"/>
        </w:tabs>
        <w:spacing w:line="360" w:lineRule="auto"/>
        <w:ind w:firstLine="420" w:firstLineChars="200"/>
        <w:jc w:val="left"/>
        <w:rPr>
          <w:rFonts w:ascii="宋体" w:hAnsi="宋体" w:cs="宋体"/>
          <w:color w:val="auto"/>
          <w:szCs w:val="21"/>
          <w:highlight w:val="none"/>
        </w:rPr>
      </w:pPr>
      <w:r>
        <w:rPr>
          <w:rFonts w:ascii="宋体" w:hAnsi="宋体" w:cs="宋体"/>
          <w:color w:val="auto"/>
          <w:szCs w:val="21"/>
          <w:highlight w:val="none"/>
        </w:rPr>
        <w:t>3.7</w:t>
      </w:r>
      <w:r>
        <w:rPr>
          <w:rFonts w:hint="eastAsia" w:ascii="宋体" w:hAnsi="宋体" w:cs="宋体"/>
          <w:color w:val="auto"/>
          <w:szCs w:val="21"/>
          <w:highlight w:val="none"/>
        </w:rPr>
        <w:t>磋商过程中重新提交的响应文件，供应商可以在开启前补充、修改。</w:t>
      </w:r>
    </w:p>
    <w:p w14:paraId="20ABB703">
      <w:pPr>
        <w:tabs>
          <w:tab w:val="left" w:pos="2835"/>
        </w:tabs>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3.8</w:t>
      </w:r>
      <w:r>
        <w:rPr>
          <w:rFonts w:hint="eastAsia" w:ascii="宋体" w:hAnsi="宋体"/>
          <w:color w:val="auto"/>
          <w:szCs w:val="21"/>
          <w:highlight w:val="none"/>
        </w:rPr>
        <w:t>对磋商过程提交的响应文件进行有效性、完整性和响应程度审查，通过审查的合格供应商不足3家的，采购人或者采购代理机构应当重新开展采购活动。</w:t>
      </w:r>
    </w:p>
    <w:p w14:paraId="27C600E9">
      <w:pPr>
        <w:spacing w:line="360" w:lineRule="auto"/>
        <w:ind w:firstLine="482" w:firstLineChars="200"/>
        <w:rPr>
          <w:rFonts w:ascii="宋体" w:hAnsi="宋体" w:cs="宋体"/>
          <w:color w:val="auto"/>
          <w:szCs w:val="21"/>
          <w:highlight w:val="none"/>
        </w:rPr>
      </w:pPr>
      <w:r>
        <w:rPr>
          <w:rFonts w:ascii="黑体" w:hAnsi="黑体" w:eastAsia="黑体" w:cs="宋体"/>
          <w:b/>
          <w:bCs/>
          <w:color w:val="auto"/>
          <w:sz w:val="24"/>
          <w:highlight w:val="none"/>
        </w:rPr>
        <w:t>4.</w:t>
      </w:r>
      <w:r>
        <w:rPr>
          <w:rFonts w:hint="eastAsia" w:ascii="黑体" w:hAnsi="黑体" w:eastAsia="黑体" w:cs="宋体"/>
          <w:b/>
          <w:bCs/>
          <w:color w:val="auto"/>
          <w:sz w:val="24"/>
          <w:highlight w:val="none"/>
        </w:rPr>
        <w:t xml:space="preserve"> 最后报价</w:t>
      </w:r>
    </w:p>
    <w:p w14:paraId="2C354DD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.1</w:t>
      </w:r>
      <w:r>
        <w:rPr>
          <w:rFonts w:hint="eastAsia" w:ascii="宋体" w:hAnsi="宋体" w:cs="宋体"/>
          <w:color w:val="auto"/>
          <w:szCs w:val="21"/>
          <w:highlight w:val="none"/>
        </w:rPr>
        <w:t>磋商文件能够详细列明采购标的的技术、服务要求的，磋商结束后，由磋商小组要求所有继续参加磋商的供应商在规定时间内密封提交最后报价，除本章第</w:t>
      </w:r>
      <w:r>
        <w:rPr>
          <w:rFonts w:ascii="宋体" w:hAnsi="宋体" w:cs="宋体"/>
          <w:color w:val="auto"/>
          <w:szCs w:val="21"/>
          <w:highlight w:val="none"/>
        </w:rPr>
        <w:t>4.3</w:t>
      </w:r>
      <w:r>
        <w:rPr>
          <w:rFonts w:hint="eastAsia" w:ascii="宋体" w:hAnsi="宋体" w:cs="宋体"/>
          <w:color w:val="auto"/>
          <w:szCs w:val="21"/>
          <w:highlight w:val="none"/>
        </w:rPr>
        <w:t>条外，提交最后报价的供应商不得少于3家，否则必须重新采购。</w:t>
      </w:r>
    </w:p>
    <w:p w14:paraId="6DC3A9B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.2</w:t>
      </w:r>
      <w:r>
        <w:rPr>
          <w:rFonts w:hint="eastAsia" w:ascii="宋体" w:hAnsi="宋体" w:cs="宋体"/>
          <w:color w:val="auto"/>
          <w:szCs w:val="21"/>
          <w:highlight w:val="none"/>
        </w:rPr>
        <w:t>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密封提交最后报价。</w:t>
      </w:r>
    </w:p>
    <w:p w14:paraId="4675504B">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4.3</w:t>
      </w:r>
      <w:r>
        <w:rPr>
          <w:rFonts w:hint="eastAsia" w:ascii="宋体" w:hAnsi="宋体" w:cs="宋体"/>
          <w:color w:val="auto"/>
          <w:szCs w:val="21"/>
          <w:highlight w:val="none"/>
        </w:rPr>
        <w:t xml:space="preserve"> 最后报价是供应商响应文件的有效组成部分。符合《政府采购竞争性磋商采购方式管理暂行办法》（财库〔2014〕214号）第三条第四项“市场竞争不充分的科研项目，以及需要扶持的科技成果转化项目”的，提交最后报价的供应商可以为2家。</w:t>
      </w:r>
    </w:p>
    <w:p w14:paraId="7A56505F">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4.4</w:t>
      </w:r>
      <w:r>
        <w:rPr>
          <w:rFonts w:hint="eastAsia" w:ascii="宋体" w:hAnsi="宋体" w:cs="宋体"/>
          <w:color w:val="auto"/>
          <w:szCs w:val="21"/>
          <w:highlight w:val="none"/>
        </w:rPr>
        <w:t>已经提交响应文件的供应商，在提交最后报价之前，可以根据磋商情况退出磋商，退出磋商的供应商的响应文件按无效响应处理。采购人、采购代理机构将退还退出磋商的供应商的保证金。</w:t>
      </w:r>
    </w:p>
    <w:p w14:paraId="3B42A3D1">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4.5</w:t>
      </w:r>
      <w:r>
        <w:rPr>
          <w:rFonts w:hint="eastAsia" w:ascii="宋体" w:hAnsi="宋体" w:cs="宋体"/>
          <w:color w:val="auto"/>
          <w:szCs w:val="21"/>
          <w:highlight w:val="none"/>
        </w:rPr>
        <w:t>供应商未在规定时间内提交最后报价的，视同退出磋商。</w:t>
      </w:r>
    </w:p>
    <w:p w14:paraId="4223FE0D">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4.6</w:t>
      </w:r>
      <w:r>
        <w:rPr>
          <w:rFonts w:hint="eastAsia" w:ascii="宋体" w:hAnsi="宋体" w:cs="宋体"/>
          <w:color w:val="auto"/>
          <w:szCs w:val="21"/>
          <w:highlight w:val="none"/>
        </w:rPr>
        <w:t>磋商小组收齐某一分标最后报价后统一开启，磋商小组对最后报价进行有效性、完整性和响应程度的审查。</w:t>
      </w:r>
    </w:p>
    <w:p w14:paraId="032EBA79">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4.7</w:t>
      </w:r>
      <w:r>
        <w:rPr>
          <w:rFonts w:hint="eastAsia" w:ascii="宋体" w:hAnsi="宋体" w:cs="宋体"/>
          <w:color w:val="auto"/>
          <w:szCs w:val="21"/>
          <w:highlight w:val="none"/>
        </w:rPr>
        <w:t>响应文件最后报价出现前后不一致的，按照本章第</w:t>
      </w:r>
      <w:r>
        <w:rPr>
          <w:rFonts w:ascii="宋体" w:hAnsi="宋体" w:cs="宋体"/>
          <w:color w:val="auto"/>
          <w:szCs w:val="21"/>
          <w:highlight w:val="none"/>
        </w:rPr>
        <w:t>2.4</w:t>
      </w:r>
      <w:r>
        <w:rPr>
          <w:rFonts w:hint="eastAsia" w:ascii="宋体" w:hAnsi="宋体" w:cs="宋体"/>
          <w:color w:val="auto"/>
          <w:szCs w:val="21"/>
          <w:highlight w:val="none"/>
        </w:rPr>
        <w:t xml:space="preserve">条的规定修正。 </w:t>
      </w:r>
    </w:p>
    <w:p w14:paraId="7C0E69F2">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4.8</w:t>
      </w:r>
      <w:r>
        <w:rPr>
          <w:rFonts w:hint="eastAsia" w:ascii="宋体" w:hAnsi="宋体" w:cs="宋体"/>
          <w:color w:val="auto"/>
          <w:szCs w:val="21"/>
          <w:highlight w:val="none"/>
        </w:rPr>
        <w:t>修正后的报价出现下列情形的，按无效响应处理：</w:t>
      </w:r>
    </w:p>
    <w:p w14:paraId="1FC012D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（1）供应商不确认的；</w:t>
      </w:r>
    </w:p>
    <w:p w14:paraId="6FC04B5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（2）经供应商确认修正后的竞标报价（包含首次报价、最后报价）超过所竞标分标规定的采购预算金额或者最高限价的（如本项目公布了最高限价）；</w:t>
      </w:r>
    </w:p>
    <w:p w14:paraId="26ACCD3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（3）经供应商确认修正后的竞标报价（包含首次报价、最后报价）超过分项采购预算金额或者最高限价的（如本项目公布了最高限价）。</w:t>
      </w:r>
    </w:p>
    <w:p w14:paraId="089F259F">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4.9</w:t>
      </w:r>
      <w:r>
        <w:rPr>
          <w:rFonts w:hint="eastAsia" w:ascii="宋体" w:hAnsi="宋体" w:cs="宋体"/>
          <w:color w:val="auto"/>
          <w:szCs w:val="21"/>
          <w:highlight w:val="none"/>
        </w:rPr>
        <w:t>经供应商确认修正后的最后报价作为评审及签订合同的依据。</w:t>
      </w:r>
    </w:p>
    <w:p w14:paraId="01DAB01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5.10供应商出现最后报价按无效响应处理或者响应文件按无效处理时</w:t>
      </w:r>
      <w:r>
        <w:rPr>
          <w:rFonts w:hint="eastAsia" w:ascii="宋体" w:hAnsi="宋体"/>
          <w:color w:val="auto"/>
          <w:sz w:val="22"/>
          <w:szCs w:val="22"/>
          <w:highlight w:val="none"/>
        </w:rPr>
        <w:t>，磋商小组应当告知有关供应商</w:t>
      </w:r>
      <w:r>
        <w:rPr>
          <w:rFonts w:hint="eastAsia" w:ascii="宋体" w:hAnsi="宋体" w:cs="宋体"/>
          <w:color w:val="auto"/>
          <w:szCs w:val="21"/>
          <w:highlight w:val="none"/>
        </w:rPr>
        <w:t>。</w:t>
      </w:r>
    </w:p>
    <w:p w14:paraId="45A58A70">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5.1</w:t>
      </w:r>
      <w:r>
        <w:rPr>
          <w:rFonts w:hint="eastAsia" w:ascii="宋体" w:hAnsi="宋体" w:cs="宋体"/>
          <w:color w:val="auto"/>
          <w:szCs w:val="21"/>
          <w:highlight w:val="none"/>
        </w:rPr>
        <w:t>1最后报价结束后，磋商小组不得再与供应商进行任何形式的商谈。</w:t>
      </w:r>
    </w:p>
    <w:p w14:paraId="48A9FDF5">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5</w:t>
      </w:r>
      <w:r>
        <w:rPr>
          <w:rFonts w:ascii="黑体" w:hAnsi="黑体" w:eastAsia="黑体" w:cs="宋体"/>
          <w:b/>
          <w:bCs/>
          <w:color w:val="auto"/>
          <w:sz w:val="24"/>
          <w:highlight w:val="none"/>
        </w:rPr>
        <w:t>.</w:t>
      </w:r>
      <w:r>
        <w:rPr>
          <w:rFonts w:hint="eastAsia" w:ascii="黑体" w:hAnsi="黑体" w:eastAsia="黑体" w:cs="宋体"/>
          <w:b/>
          <w:bCs/>
          <w:color w:val="auto"/>
          <w:sz w:val="24"/>
          <w:highlight w:val="none"/>
        </w:rPr>
        <w:t>比较与评价</w:t>
      </w:r>
    </w:p>
    <w:p w14:paraId="1BB592DC">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5.1</w:t>
      </w:r>
      <w:r>
        <w:rPr>
          <w:rFonts w:hint="eastAsia" w:ascii="宋体" w:hAnsi="宋体" w:cs="宋体"/>
          <w:color w:val="auto"/>
          <w:szCs w:val="21"/>
          <w:highlight w:val="none"/>
        </w:rPr>
        <w:t>评审方法：综合评分法。</w:t>
      </w:r>
    </w:p>
    <w:p w14:paraId="4EE276CA">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5.2</w:t>
      </w:r>
      <w:r>
        <w:rPr>
          <w:rFonts w:hint="eastAsia" w:ascii="宋体" w:hAnsi="宋体" w:cs="宋体"/>
          <w:color w:val="auto"/>
          <w:szCs w:val="21"/>
          <w:highlight w:val="none"/>
        </w:rPr>
        <w:t>经磋商确定最终采购需求和提交最后报价的供应商后，由磋商小组采用综合评分法对提交最后报价的供应商的响应文件和最后报价进行综合评分。</w:t>
      </w:r>
    </w:p>
    <w:p w14:paraId="573D549F">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5.3</w:t>
      </w:r>
      <w:r>
        <w:rPr>
          <w:rFonts w:hint="eastAsia" w:ascii="宋体" w:hAnsi="宋体" w:cs="宋体"/>
          <w:color w:val="auto"/>
          <w:szCs w:val="21"/>
          <w:highlight w:val="none"/>
        </w:rPr>
        <w:t>评审时，磋商小组各成员应当独立对每个有效响应的文件进行评价、打分，然后汇总每个供应商每项评分因素的得分。</w:t>
      </w:r>
    </w:p>
    <w:p w14:paraId="7668368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（1）磋商小组按照磋商文件中规定的评审标准计算各供应商的报价得分。项目评审过程中，不得去掉最后报价中的最高报价和最低报价。</w:t>
      </w:r>
    </w:p>
    <w:p w14:paraId="57C3B2B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（2）各供应商的得分为磋商小组所有成员的有效评分的算术平均数。</w:t>
      </w:r>
    </w:p>
    <w:p w14:paraId="677B3D78">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5.4</w:t>
      </w:r>
      <w:r>
        <w:rPr>
          <w:rFonts w:hint="eastAsia" w:ascii="宋体" w:hAnsi="宋体" w:cs="宋体"/>
          <w:color w:val="auto"/>
          <w:szCs w:val="21"/>
          <w:highlight w:val="none"/>
        </w:rPr>
        <w:t>评审价为供应商的最后报价进行政策性扣除后的价格，评审价只是作为评审时使用。最终成交供应商的成交金额等于最后报价（如有修正，以确认修正后的最后报价为准）。</w:t>
      </w:r>
    </w:p>
    <w:p w14:paraId="47D3B649">
      <w:pPr>
        <w:spacing w:line="360" w:lineRule="auto"/>
        <w:ind w:firstLine="420" w:firstLineChars="200"/>
        <w:rPr>
          <w:rFonts w:hint="eastAsia" w:ascii="宋体" w:hAnsi="宋体"/>
          <w:color w:val="auto"/>
          <w:kern w:val="0"/>
          <w:szCs w:val="21"/>
          <w:highlight w:val="none"/>
        </w:rPr>
      </w:pPr>
      <w:r>
        <w:rPr>
          <w:rFonts w:ascii="宋体" w:hAnsi="宋体" w:cs="宋体"/>
          <w:color w:val="auto"/>
          <w:szCs w:val="21"/>
          <w:highlight w:val="none"/>
        </w:rPr>
        <w:t>5.5</w:t>
      </w:r>
      <w:r>
        <w:rPr>
          <w:rFonts w:hint="eastAsia" w:ascii="宋体" w:hAnsi="宋体" w:cs="宋体"/>
          <w:color w:val="auto"/>
          <w:szCs w:val="21"/>
          <w:highlight w:val="none"/>
        </w:rPr>
        <w:t>由磋商小组根据综合评分情况，按照评审得分由高到低顺序推荐3名以上成交候选供应商，并编写评</w:t>
      </w:r>
      <w:r>
        <w:rPr>
          <w:rFonts w:hint="eastAsia" w:ascii="宋体" w:hAnsi="宋体"/>
          <w:color w:val="auto"/>
          <w:kern w:val="0"/>
          <w:szCs w:val="21"/>
          <w:highlight w:val="none"/>
        </w:rPr>
        <w:t>审报告。符合本章第</w:t>
      </w:r>
      <w:r>
        <w:rPr>
          <w:rFonts w:ascii="宋体" w:hAnsi="宋体"/>
          <w:color w:val="auto"/>
          <w:kern w:val="0"/>
          <w:szCs w:val="21"/>
          <w:highlight w:val="none"/>
        </w:rPr>
        <w:t>4.3</w:t>
      </w:r>
      <w:r>
        <w:rPr>
          <w:rFonts w:hint="eastAsia" w:ascii="宋体" w:hAnsi="宋体"/>
          <w:color w:val="auto"/>
          <w:kern w:val="0"/>
          <w:szCs w:val="21"/>
          <w:highlight w:val="none"/>
        </w:rPr>
        <w:t>条情形的，可以推荐2家成交候选供应商。评审得分相同的，按照最后报价由低到高的顺序推荐。评审得分且最后报价相同的，按照技术指标优劣顺序推荐。</w:t>
      </w:r>
    </w:p>
    <w:p w14:paraId="561A0A68">
      <w:pPr>
        <w:spacing w:line="360" w:lineRule="auto"/>
        <w:ind w:firstLine="420" w:firstLineChars="200"/>
        <w:rPr>
          <w:rFonts w:ascii="宋体" w:hAnsi="宋体"/>
          <w:b/>
          <w:color w:val="auto"/>
          <w:szCs w:val="21"/>
          <w:highlight w:val="none"/>
        </w:rPr>
      </w:pPr>
      <w:r>
        <w:rPr>
          <w:rFonts w:ascii="宋体" w:hAnsi="宋体"/>
          <w:color w:val="auto"/>
          <w:kern w:val="0"/>
          <w:szCs w:val="21"/>
          <w:highlight w:val="none"/>
        </w:rPr>
        <w:t>5.6</w:t>
      </w:r>
      <w:r>
        <w:rPr>
          <w:rFonts w:hint="eastAsia" w:ascii="宋体" w:hAnsi="宋体"/>
          <w:color w:val="auto"/>
          <w:kern w:val="0"/>
          <w:szCs w:val="21"/>
          <w:highlight w:val="none"/>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4A912067">
      <w:pPr>
        <w:snapToGrid w:val="0"/>
        <w:spacing w:line="440" w:lineRule="atLeast"/>
        <w:ind w:right="-29" w:rightChars="-14" w:firstLine="420" w:firstLineChars="200"/>
        <w:rPr>
          <w:rFonts w:ascii="宋体" w:hAnsi="宋体"/>
          <w:b/>
          <w:bCs/>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三</w:t>
      </w:r>
      <w:r>
        <w:rPr>
          <w:rFonts w:hint="eastAsia" w:ascii="宋体" w:hAnsi="宋体"/>
          <w:color w:val="auto"/>
          <w:szCs w:val="21"/>
          <w:highlight w:val="none"/>
        </w:rPr>
        <w:t>）计分办法（按四舍五入取至百分位）：</w:t>
      </w:r>
    </w:p>
    <w:tbl>
      <w:tblPr>
        <w:tblStyle w:val="30"/>
        <w:tblW w:w="90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8"/>
        <w:gridCol w:w="1418"/>
        <w:gridCol w:w="6163"/>
        <w:gridCol w:w="851"/>
      </w:tblGrid>
      <w:tr w14:paraId="1FBFA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58" w:type="dxa"/>
            <w:noWrap w:val="0"/>
            <w:vAlign w:val="center"/>
          </w:tcPr>
          <w:p w14:paraId="62EF77DF">
            <w:pPr>
              <w:keepNext w:val="0"/>
              <w:keepLines w:val="0"/>
              <w:suppressLineNumbers w:val="0"/>
              <w:spacing w:before="85" w:beforeLines="27" w:beforeAutospacing="0" w:after="0" w:afterAutospacing="0" w:line="360" w:lineRule="auto"/>
              <w:ind w:left="0" w:right="0"/>
              <w:jc w:val="center"/>
              <w:rPr>
                <w:rFonts w:hint="eastAsia" w:ascii="宋体" w:hAnsi="宋体" w:cs="宋体"/>
                <w:bCs/>
                <w:color w:val="000000"/>
                <w:szCs w:val="21"/>
              </w:rPr>
            </w:pPr>
            <w:r>
              <w:rPr>
                <w:rFonts w:hint="eastAsia" w:ascii="宋体" w:hAnsi="宋体" w:cs="宋体"/>
                <w:bCs/>
                <w:color w:val="000000"/>
                <w:szCs w:val="21"/>
                <w:lang w:val="en-US" w:eastAsia="zh-CN"/>
              </w:rPr>
              <w:t>序</w:t>
            </w:r>
            <w:r>
              <w:rPr>
                <w:rFonts w:hint="eastAsia" w:ascii="宋体" w:hAnsi="宋体" w:cs="宋体"/>
                <w:bCs/>
                <w:color w:val="000000"/>
                <w:szCs w:val="21"/>
              </w:rPr>
              <w:t>号</w:t>
            </w:r>
          </w:p>
        </w:tc>
        <w:tc>
          <w:tcPr>
            <w:tcW w:w="1418" w:type="dxa"/>
            <w:noWrap w:val="0"/>
            <w:vAlign w:val="center"/>
          </w:tcPr>
          <w:p w14:paraId="26B6549B">
            <w:pPr>
              <w:keepNext w:val="0"/>
              <w:keepLines w:val="0"/>
              <w:suppressLineNumbers w:val="0"/>
              <w:spacing w:before="85" w:beforeLines="27" w:beforeAutospacing="0" w:after="0" w:afterAutospacing="0" w:line="360" w:lineRule="auto"/>
              <w:ind w:left="0" w:right="0"/>
              <w:jc w:val="center"/>
              <w:rPr>
                <w:rFonts w:hint="eastAsia" w:ascii="宋体" w:hAnsi="宋体" w:cs="宋体"/>
                <w:bCs/>
                <w:color w:val="000000"/>
                <w:szCs w:val="21"/>
              </w:rPr>
            </w:pPr>
            <w:r>
              <w:rPr>
                <w:rFonts w:hint="eastAsia" w:ascii="宋体" w:hAnsi="宋体" w:cs="宋体"/>
                <w:bCs/>
                <w:color w:val="000000"/>
                <w:szCs w:val="21"/>
              </w:rPr>
              <w:t>评审因素</w:t>
            </w:r>
          </w:p>
        </w:tc>
        <w:tc>
          <w:tcPr>
            <w:tcW w:w="6163" w:type="dxa"/>
            <w:noWrap w:val="0"/>
            <w:vAlign w:val="center"/>
          </w:tcPr>
          <w:p w14:paraId="6D162E93">
            <w:pPr>
              <w:keepNext w:val="0"/>
              <w:keepLines w:val="0"/>
              <w:suppressLineNumbers w:val="0"/>
              <w:spacing w:before="84" w:beforeLines="26" w:beforeAutospacing="0" w:after="0" w:afterAutospacing="0" w:line="360" w:lineRule="auto"/>
              <w:ind w:left="0" w:right="0" w:firstLine="420" w:firstLineChars="200"/>
              <w:jc w:val="center"/>
              <w:rPr>
                <w:rFonts w:hint="eastAsia" w:ascii="宋体" w:hAnsi="宋体" w:cs="宋体"/>
                <w:bCs/>
                <w:color w:val="000000"/>
                <w:szCs w:val="21"/>
              </w:rPr>
            </w:pPr>
            <w:r>
              <w:rPr>
                <w:rFonts w:hint="eastAsia" w:ascii="宋体" w:hAnsi="宋体" w:cs="宋体"/>
                <w:bCs/>
                <w:color w:val="000000"/>
                <w:szCs w:val="21"/>
              </w:rPr>
              <w:t>评审因素具体内容</w:t>
            </w:r>
          </w:p>
        </w:tc>
        <w:tc>
          <w:tcPr>
            <w:tcW w:w="851" w:type="dxa"/>
            <w:noWrap w:val="0"/>
            <w:vAlign w:val="center"/>
          </w:tcPr>
          <w:p w14:paraId="1C86C207">
            <w:pPr>
              <w:keepNext w:val="0"/>
              <w:keepLines w:val="0"/>
              <w:suppressLineNumbers w:val="0"/>
              <w:spacing w:before="85" w:beforeLines="27" w:beforeAutospacing="0" w:after="0" w:afterAutospacing="0" w:line="360" w:lineRule="auto"/>
              <w:ind w:left="0" w:right="0"/>
              <w:jc w:val="center"/>
              <w:rPr>
                <w:rFonts w:hint="eastAsia" w:ascii="宋体" w:hAnsi="宋体" w:cs="宋体"/>
                <w:bCs/>
                <w:color w:val="000000"/>
                <w:szCs w:val="21"/>
              </w:rPr>
            </w:pPr>
            <w:r>
              <w:rPr>
                <w:rFonts w:hint="eastAsia" w:ascii="宋体" w:hAnsi="宋体" w:cs="宋体"/>
                <w:bCs/>
                <w:color w:val="000000"/>
                <w:szCs w:val="21"/>
              </w:rPr>
              <w:t>分值</w:t>
            </w:r>
          </w:p>
        </w:tc>
      </w:tr>
      <w:tr w14:paraId="016FF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58" w:type="dxa"/>
            <w:noWrap w:val="0"/>
            <w:vAlign w:val="center"/>
          </w:tcPr>
          <w:p w14:paraId="4DC3F7C5">
            <w:pPr>
              <w:keepNext w:val="0"/>
              <w:keepLines w:val="0"/>
              <w:suppressLineNumbers w:val="0"/>
              <w:spacing w:before="0" w:beforeAutospacing="0" w:after="0" w:afterAutospacing="0" w:line="360" w:lineRule="auto"/>
              <w:ind w:left="0" w:right="0"/>
              <w:jc w:val="center"/>
              <w:rPr>
                <w:rFonts w:hint="eastAsia" w:ascii="宋体" w:hAnsi="宋体" w:cs="宋体"/>
                <w:bCs/>
                <w:color w:val="000000"/>
                <w:szCs w:val="21"/>
              </w:rPr>
            </w:pPr>
            <w:r>
              <w:rPr>
                <w:rFonts w:hint="eastAsia" w:ascii="宋体" w:hAnsi="宋体" w:cs="宋体"/>
                <w:bCs/>
                <w:color w:val="000000"/>
                <w:szCs w:val="21"/>
              </w:rPr>
              <w:t>1</w:t>
            </w:r>
          </w:p>
        </w:tc>
        <w:tc>
          <w:tcPr>
            <w:tcW w:w="1418" w:type="dxa"/>
            <w:noWrap w:val="0"/>
            <w:vAlign w:val="center"/>
          </w:tcPr>
          <w:p w14:paraId="650F23EC">
            <w:pPr>
              <w:keepNext w:val="0"/>
              <w:keepLines w:val="0"/>
              <w:suppressLineNumbers w:val="0"/>
              <w:spacing w:before="0" w:beforeAutospacing="0" w:after="0" w:afterAutospacing="0" w:line="360" w:lineRule="auto"/>
              <w:ind w:left="0" w:right="0" w:firstLine="420" w:firstLineChars="200"/>
              <w:rPr>
                <w:rFonts w:hint="eastAsia" w:ascii="宋体" w:hAnsi="宋体" w:cs="宋体"/>
                <w:bCs/>
                <w:color w:val="000000"/>
                <w:szCs w:val="21"/>
              </w:rPr>
            </w:pPr>
            <w:r>
              <w:rPr>
                <w:rFonts w:hint="eastAsia" w:ascii="宋体" w:hAnsi="宋体" w:cs="宋体"/>
                <w:bCs/>
                <w:color w:val="000000"/>
                <w:szCs w:val="21"/>
              </w:rPr>
              <w:t>价格分（服务项目的价格分值占总分值的比重(即权值)为10％至30％。政务信息系统采购服务的，价格分值占总分值比重应当为10%）</w:t>
            </w:r>
          </w:p>
        </w:tc>
        <w:tc>
          <w:tcPr>
            <w:tcW w:w="6163" w:type="dxa"/>
            <w:noWrap w:val="0"/>
            <w:vAlign w:val="top"/>
          </w:tcPr>
          <w:p w14:paraId="52358E4A">
            <w:pPr>
              <w:keepNext w:val="0"/>
              <w:keepLines w:val="0"/>
              <w:suppressLineNumbers w:val="0"/>
              <w:spacing w:before="0" w:beforeAutospacing="0" w:after="0" w:afterAutospacing="0" w:line="312" w:lineRule="auto"/>
              <w:ind w:left="0" w:right="0"/>
              <w:rPr>
                <w:rFonts w:hint="eastAsia" w:ascii="宋体" w:hAnsi="宋体"/>
                <w:color w:val="000000"/>
                <w:szCs w:val="21"/>
              </w:rPr>
            </w:pPr>
            <w:r>
              <w:rPr>
                <w:rFonts w:hint="eastAsia" w:ascii="宋体" w:hAnsi="宋体" w:cs="Courier New"/>
                <w:bCs/>
                <w:color w:val="000000"/>
                <w:szCs w:val="21"/>
              </w:rPr>
              <w:t>1.</w:t>
            </w:r>
            <w:r>
              <w:rPr>
                <w:rFonts w:hint="eastAsia" w:ascii="宋体" w:hAnsi="宋体"/>
                <w:color w:val="000000"/>
                <w:szCs w:val="21"/>
              </w:rPr>
              <w:t>评审报价为供应商的最后报价进行政策性扣除后的价格，评审报价只是作为评审时使用。最终成交供应商的成交金额等于最后报价（如有修正，以确认修正后的最后报价为准）。</w:t>
            </w:r>
          </w:p>
          <w:p w14:paraId="3A83FF9E">
            <w:pPr>
              <w:keepNext w:val="0"/>
              <w:keepLines w:val="0"/>
              <w:suppressLineNumbers w:val="0"/>
              <w:snapToGrid w:val="0"/>
              <w:spacing w:before="0" w:beforeAutospacing="0" w:after="0" w:afterAutospacing="0" w:line="312" w:lineRule="auto"/>
              <w:ind w:left="0" w:right="0"/>
              <w:jc w:val="left"/>
              <w:rPr>
                <w:rFonts w:hint="eastAsia" w:ascii="宋体" w:hAnsi="宋体"/>
                <w:bCs/>
                <w:color w:val="000000"/>
                <w:szCs w:val="21"/>
              </w:rPr>
            </w:pPr>
            <w:r>
              <w:rPr>
                <w:rFonts w:hint="eastAsia" w:ascii="宋体" w:hAnsi="宋体"/>
                <w:bCs/>
                <w:color w:val="000000"/>
                <w:szCs w:val="21"/>
              </w:rPr>
              <w:t>（1）以进入比较与评价环节的最低的评审报价为基准价，基准价得分为</w:t>
            </w:r>
            <w:r>
              <w:rPr>
                <w:rFonts w:hint="eastAsia" w:ascii="宋体" w:hAnsi="宋体"/>
                <w:bCs/>
                <w:color w:val="000000"/>
                <w:szCs w:val="21"/>
                <w:lang w:val="en-US" w:eastAsia="zh-CN"/>
              </w:rPr>
              <w:t>20</w:t>
            </w:r>
            <w:r>
              <w:rPr>
                <w:rFonts w:hint="eastAsia" w:ascii="宋体" w:hAnsi="宋体"/>
                <w:bCs/>
                <w:color w:val="000000"/>
                <w:szCs w:val="21"/>
              </w:rPr>
              <w:t>分。</w:t>
            </w:r>
          </w:p>
          <w:p w14:paraId="30C08B54">
            <w:pPr>
              <w:pStyle w:val="17"/>
              <w:keepNext w:val="0"/>
              <w:keepLines w:val="0"/>
              <w:suppressLineNumbers w:val="0"/>
              <w:spacing w:before="0" w:beforeAutospacing="0" w:after="0" w:afterAutospacing="0" w:line="312" w:lineRule="auto"/>
              <w:ind w:left="0" w:right="0"/>
              <w:rPr>
                <w:rFonts w:hint="eastAsia" w:hAnsi="宋体"/>
                <w:bCs/>
                <w:color w:val="000000"/>
              </w:rPr>
            </w:pPr>
            <w:r>
              <w:rPr>
                <w:rFonts w:hint="eastAsia" w:hAnsi="宋体"/>
                <w:bCs/>
                <w:color w:val="000000"/>
              </w:rPr>
              <w:t>（2）价格分计算公式：磋商报价得分=（磋商基准价/最后磋商报价）×</w:t>
            </w:r>
            <w:r>
              <w:rPr>
                <w:rFonts w:hint="eastAsia" w:hAnsi="宋体"/>
                <w:bCs/>
                <w:color w:val="000000"/>
                <w:lang w:val="en-US" w:eastAsia="zh-CN"/>
              </w:rPr>
              <w:t>20</w:t>
            </w:r>
            <w:r>
              <w:rPr>
                <w:rFonts w:hint="eastAsia" w:hAnsi="宋体"/>
                <w:bCs/>
                <w:color w:val="000000"/>
              </w:rPr>
              <w:t>分。</w:t>
            </w:r>
          </w:p>
          <w:p w14:paraId="38908E81">
            <w:pPr>
              <w:pStyle w:val="17"/>
              <w:keepNext w:val="0"/>
              <w:keepLines w:val="0"/>
              <w:suppressLineNumbers w:val="0"/>
              <w:spacing w:before="0" w:beforeAutospacing="0" w:after="0" w:afterAutospacing="0" w:line="312" w:lineRule="auto"/>
              <w:ind w:left="0" w:right="0"/>
              <w:rPr>
                <w:rFonts w:hint="eastAsia" w:hAnsi="宋体" w:eastAsia="宋体"/>
                <w:bCs/>
                <w:color w:val="000000"/>
                <w:lang w:val="en-US" w:eastAsia="zh-CN"/>
              </w:rPr>
            </w:pPr>
            <w:r>
              <w:rPr>
                <w:rFonts w:hint="eastAsia" w:hAnsi="宋体"/>
                <w:bCs/>
                <w:color w:val="000000"/>
                <w:lang w:val="en-US" w:eastAsia="zh-CN"/>
              </w:rPr>
              <w:t>2.专门面向中小微型企业采购项目，不再享受政策优惠折扣。</w:t>
            </w:r>
          </w:p>
        </w:tc>
        <w:tc>
          <w:tcPr>
            <w:tcW w:w="851" w:type="dxa"/>
            <w:noWrap w:val="0"/>
            <w:vAlign w:val="center"/>
          </w:tcPr>
          <w:p w14:paraId="29B18D73">
            <w:pPr>
              <w:keepNext w:val="0"/>
              <w:keepLines w:val="0"/>
              <w:suppressLineNumbers w:val="0"/>
              <w:spacing w:before="0" w:beforeAutospacing="0" w:after="0" w:afterAutospacing="0" w:line="360" w:lineRule="auto"/>
              <w:ind w:left="0" w:right="0"/>
              <w:jc w:val="center"/>
              <w:rPr>
                <w:rFonts w:hint="eastAsia" w:ascii="宋体" w:hAnsi="宋体" w:cs="宋体"/>
                <w:bCs/>
                <w:color w:val="000000"/>
                <w:szCs w:val="21"/>
              </w:rPr>
            </w:pPr>
            <w:r>
              <w:rPr>
                <w:rFonts w:hint="eastAsia" w:ascii="宋体" w:hAnsi="宋体" w:cs="宋体"/>
                <w:bCs/>
                <w:color w:val="000000"/>
                <w:szCs w:val="21"/>
                <w:lang w:val="en-US" w:eastAsia="zh-CN"/>
              </w:rPr>
              <w:t>20</w:t>
            </w:r>
            <w:r>
              <w:rPr>
                <w:rFonts w:hint="eastAsia" w:ascii="宋体" w:hAnsi="宋体" w:cs="宋体"/>
                <w:bCs/>
                <w:color w:val="000000"/>
                <w:szCs w:val="21"/>
              </w:rPr>
              <w:t>分</w:t>
            </w:r>
          </w:p>
        </w:tc>
      </w:tr>
      <w:tr w14:paraId="0F925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658" w:type="dxa"/>
            <w:noWrap w:val="0"/>
            <w:vAlign w:val="center"/>
          </w:tcPr>
          <w:p w14:paraId="7644F0B6">
            <w:pPr>
              <w:keepNext w:val="0"/>
              <w:keepLines w:val="0"/>
              <w:suppressLineNumbers w:val="0"/>
              <w:spacing w:before="0" w:beforeAutospacing="0" w:after="0" w:afterAutospacing="0" w:line="360" w:lineRule="auto"/>
              <w:ind w:left="0" w:right="0"/>
              <w:jc w:val="center"/>
              <w:rPr>
                <w:rFonts w:hint="eastAsia" w:ascii="宋体" w:hAnsi="宋体" w:cs="宋体"/>
                <w:bCs/>
                <w:color w:val="auto"/>
                <w:szCs w:val="21"/>
                <w:highlight w:val="none"/>
              </w:rPr>
            </w:pPr>
            <w:r>
              <w:rPr>
                <w:rFonts w:hint="eastAsia" w:ascii="宋体" w:hAnsi="宋体" w:cs="宋体"/>
                <w:bCs/>
                <w:color w:val="auto"/>
                <w:szCs w:val="21"/>
                <w:highlight w:val="none"/>
              </w:rPr>
              <w:t>2</w:t>
            </w:r>
          </w:p>
        </w:tc>
        <w:tc>
          <w:tcPr>
            <w:tcW w:w="1418" w:type="dxa"/>
            <w:noWrap w:val="0"/>
            <w:vAlign w:val="center"/>
          </w:tcPr>
          <w:p w14:paraId="099FE0A8">
            <w:pPr>
              <w:keepNext w:val="0"/>
              <w:keepLines w:val="0"/>
              <w:suppressLineNumbers w:val="0"/>
              <w:spacing w:before="0" w:beforeAutospacing="0" w:after="0" w:afterAutospacing="0" w:line="360" w:lineRule="auto"/>
              <w:ind w:left="0" w:right="0"/>
              <w:rPr>
                <w:rFonts w:hint="eastAsia" w:ascii="宋体" w:hAnsi="宋体" w:cs="宋体"/>
                <w:bCs/>
                <w:color w:val="auto"/>
                <w:szCs w:val="21"/>
                <w:highlight w:val="none"/>
              </w:rPr>
            </w:pPr>
            <w:r>
              <w:rPr>
                <w:rFonts w:hint="eastAsia" w:ascii="宋体" w:hAnsi="宋体" w:cs="宋体"/>
                <w:bCs/>
                <w:color w:val="auto"/>
                <w:szCs w:val="21"/>
                <w:highlight w:val="none"/>
              </w:rPr>
              <w:t>工作实施方案</w:t>
            </w:r>
          </w:p>
        </w:tc>
        <w:tc>
          <w:tcPr>
            <w:tcW w:w="6163" w:type="dxa"/>
            <w:noWrap w:val="0"/>
            <w:vAlign w:val="center"/>
          </w:tcPr>
          <w:p w14:paraId="38A172EA">
            <w:pPr>
              <w:keepNext w:val="0"/>
              <w:keepLines w:val="0"/>
              <w:widowControl/>
              <w:suppressLineNumbers w:val="0"/>
              <w:spacing w:before="0" w:beforeAutospacing="0" w:after="0" w:afterAutospacing="0" w:line="360" w:lineRule="auto"/>
              <w:ind w:left="0" w:right="0"/>
              <w:outlineLvl w:val="0"/>
              <w:rPr>
                <w:rFonts w:hint="default" w:ascii="宋体" w:hAnsi="宋体"/>
                <w:kern w:val="0"/>
                <w:szCs w:val="21"/>
              </w:rPr>
            </w:pPr>
            <w:r>
              <w:rPr>
                <w:rFonts w:hint="default" w:ascii="宋体" w:hAnsi="宋体"/>
                <w:b/>
                <w:bCs/>
                <w:kern w:val="0"/>
                <w:szCs w:val="21"/>
              </w:rPr>
              <w:t>工作实施方案</w:t>
            </w:r>
          </w:p>
          <w:p w14:paraId="2B8CC8C1">
            <w:pPr>
              <w:keepNext w:val="0"/>
              <w:keepLines w:val="0"/>
              <w:widowControl/>
              <w:suppressLineNumbers w:val="0"/>
              <w:spacing w:before="0" w:beforeAutospacing="0" w:after="0" w:afterAutospacing="0" w:line="360" w:lineRule="auto"/>
              <w:ind w:left="0" w:right="0"/>
              <w:outlineLvl w:val="0"/>
              <w:rPr>
                <w:rFonts w:hint="default" w:ascii="宋体" w:hAnsi="宋体"/>
                <w:kern w:val="0"/>
                <w:szCs w:val="21"/>
              </w:rPr>
            </w:pPr>
            <w:r>
              <w:rPr>
                <w:rFonts w:hint="default" w:ascii="宋体" w:hAnsi="宋体"/>
                <w:b/>
                <w:bCs/>
                <w:kern w:val="0"/>
                <w:szCs w:val="21"/>
              </w:rPr>
              <w:t>1、针对本项目的实施背景、范围、要求（具体内容详见第三章），</w:t>
            </w:r>
            <w:r>
              <w:rPr>
                <w:rFonts w:hint="default" w:ascii="宋体" w:hAnsi="宋体"/>
                <w:kern w:val="0"/>
                <w:szCs w:val="21"/>
              </w:rPr>
              <w:t xml:space="preserve"> </w:t>
            </w:r>
            <w:r>
              <w:rPr>
                <w:rFonts w:hint="default" w:ascii="宋体" w:hAnsi="宋体"/>
                <w:b/>
                <w:bCs/>
                <w:kern w:val="0"/>
                <w:szCs w:val="21"/>
              </w:rPr>
              <w:t>能够把握本项目的工作技术重点、难点：</w:t>
            </w:r>
          </w:p>
          <w:p w14:paraId="2E3B1A04">
            <w:pPr>
              <w:keepNext w:val="0"/>
              <w:keepLines w:val="0"/>
              <w:widowControl/>
              <w:suppressLineNumbers w:val="0"/>
              <w:spacing w:before="0" w:beforeAutospacing="0" w:after="0" w:afterAutospacing="0" w:line="360" w:lineRule="auto"/>
              <w:ind w:left="0" w:right="0" w:firstLine="735" w:firstLineChars="350"/>
              <w:outlineLvl w:val="0"/>
              <w:rPr>
                <w:rFonts w:hint="default" w:ascii="宋体" w:hAnsi="宋体"/>
                <w:kern w:val="0"/>
                <w:szCs w:val="21"/>
              </w:rPr>
            </w:pPr>
            <w:r>
              <w:rPr>
                <w:rFonts w:hint="default" w:ascii="宋体" w:hAnsi="宋体"/>
                <w:kern w:val="0"/>
                <w:szCs w:val="21"/>
              </w:rPr>
              <w:t>①提出对疫木的清理方案；</w:t>
            </w:r>
          </w:p>
          <w:p w14:paraId="29453F79">
            <w:pPr>
              <w:keepNext w:val="0"/>
              <w:keepLines w:val="0"/>
              <w:widowControl/>
              <w:suppressLineNumbers w:val="0"/>
              <w:spacing w:before="0" w:beforeAutospacing="0" w:after="0" w:afterAutospacing="0" w:line="360" w:lineRule="auto"/>
              <w:ind w:left="0" w:right="0" w:firstLine="735" w:firstLineChars="350"/>
              <w:outlineLvl w:val="0"/>
              <w:rPr>
                <w:rFonts w:hint="default" w:ascii="宋体" w:hAnsi="宋体"/>
                <w:kern w:val="0"/>
                <w:szCs w:val="21"/>
              </w:rPr>
            </w:pPr>
            <w:r>
              <w:rPr>
                <w:rFonts w:hint="default" w:ascii="宋体" w:hAnsi="宋体"/>
                <w:kern w:val="0"/>
                <w:szCs w:val="21"/>
              </w:rPr>
              <w:t>②提出应急响应措施；</w:t>
            </w:r>
          </w:p>
          <w:p w14:paraId="05F7B11D">
            <w:pPr>
              <w:keepNext w:val="0"/>
              <w:keepLines w:val="0"/>
              <w:widowControl/>
              <w:suppressLineNumbers w:val="0"/>
              <w:spacing w:before="0" w:beforeAutospacing="0" w:after="0" w:afterAutospacing="0" w:line="360" w:lineRule="auto"/>
              <w:ind w:left="0" w:right="0" w:firstLine="735" w:firstLineChars="350"/>
              <w:outlineLvl w:val="0"/>
              <w:rPr>
                <w:rFonts w:hint="default" w:ascii="宋体" w:hAnsi="宋体"/>
                <w:kern w:val="0"/>
                <w:szCs w:val="21"/>
              </w:rPr>
            </w:pPr>
            <w:r>
              <w:rPr>
                <w:rFonts w:hint="default" w:ascii="宋体" w:hAnsi="宋体"/>
                <w:kern w:val="0"/>
                <w:szCs w:val="21"/>
              </w:rPr>
              <w:t>③针对松材线虫病提出的预防方案；</w:t>
            </w:r>
          </w:p>
          <w:p w14:paraId="31D4CBD4">
            <w:pPr>
              <w:keepNext w:val="0"/>
              <w:keepLines w:val="0"/>
              <w:widowControl/>
              <w:suppressLineNumbers w:val="0"/>
              <w:spacing w:before="0" w:beforeAutospacing="0" w:after="0" w:afterAutospacing="0" w:line="360" w:lineRule="auto"/>
              <w:ind w:left="0" w:right="0" w:firstLine="735" w:firstLineChars="350"/>
              <w:outlineLvl w:val="0"/>
              <w:rPr>
                <w:rFonts w:hint="default" w:ascii="宋体" w:hAnsi="宋体"/>
                <w:kern w:val="0"/>
                <w:szCs w:val="21"/>
              </w:rPr>
            </w:pPr>
            <w:r>
              <w:rPr>
                <w:rFonts w:hint="default" w:ascii="宋体" w:hAnsi="宋体"/>
                <w:kern w:val="0"/>
                <w:szCs w:val="21"/>
              </w:rPr>
              <w:t>④提出配合本项目的安全措施；</w:t>
            </w:r>
          </w:p>
          <w:p w14:paraId="3853B4FA">
            <w:pPr>
              <w:keepNext w:val="0"/>
              <w:keepLines w:val="0"/>
              <w:widowControl/>
              <w:suppressLineNumbers w:val="0"/>
              <w:spacing w:before="0" w:beforeAutospacing="0" w:after="0" w:afterAutospacing="0" w:line="360" w:lineRule="auto"/>
              <w:ind w:left="0" w:right="0" w:firstLine="735" w:firstLineChars="350"/>
              <w:outlineLvl w:val="0"/>
              <w:rPr>
                <w:rFonts w:hint="default" w:ascii="宋体" w:hAnsi="宋体"/>
                <w:kern w:val="0"/>
                <w:szCs w:val="21"/>
              </w:rPr>
            </w:pPr>
            <w:r>
              <w:rPr>
                <w:rFonts w:hint="default" w:ascii="宋体" w:hAnsi="宋体"/>
                <w:kern w:val="0"/>
                <w:szCs w:val="21"/>
              </w:rPr>
              <w:t>⑤提出保障项目顺利完成建立的工作制度。</w:t>
            </w:r>
          </w:p>
          <w:p w14:paraId="659784A2">
            <w:pPr>
              <w:keepNext w:val="0"/>
              <w:keepLines w:val="0"/>
              <w:widowControl/>
              <w:suppressLineNumbers w:val="0"/>
              <w:spacing w:before="0" w:beforeAutospacing="0" w:after="0" w:afterAutospacing="0" w:line="360" w:lineRule="auto"/>
              <w:ind w:left="0" w:right="0" w:firstLine="735" w:firstLineChars="350"/>
              <w:outlineLvl w:val="0"/>
              <w:rPr>
                <w:rFonts w:hint="default" w:ascii="宋体" w:hAnsi="宋体"/>
                <w:kern w:val="0"/>
                <w:szCs w:val="21"/>
              </w:rPr>
            </w:pPr>
            <w:r>
              <w:rPr>
                <w:rFonts w:hint="default" w:ascii="宋体" w:hAnsi="宋体"/>
                <w:kern w:val="0"/>
                <w:szCs w:val="21"/>
              </w:rPr>
              <w:t>(1)依据①-⑤每项内容为评分标准（每项最高得 3 分，各项合计15 分）</w:t>
            </w:r>
            <w:r>
              <w:rPr>
                <w:rFonts w:hint="eastAsia" w:ascii="宋体" w:hAnsi="宋体"/>
                <w:kern w:val="0"/>
                <w:szCs w:val="21"/>
                <w:lang w:eastAsia="zh-CN"/>
              </w:rPr>
              <w:t>：</w:t>
            </w:r>
            <w:r>
              <w:rPr>
                <w:rFonts w:hint="default" w:ascii="宋体" w:hAnsi="宋体"/>
                <w:kern w:val="0"/>
                <w:szCs w:val="21"/>
              </w:rPr>
              <w:t>缺项（0 分）、内容完整且完全满足采购文件要求（得 3 分）；</w:t>
            </w:r>
          </w:p>
          <w:p w14:paraId="6AD3D202">
            <w:pPr>
              <w:keepNext w:val="0"/>
              <w:keepLines w:val="0"/>
              <w:widowControl/>
              <w:suppressLineNumbers w:val="0"/>
              <w:spacing w:before="0" w:beforeAutospacing="0" w:after="0" w:afterAutospacing="0" w:line="360" w:lineRule="auto"/>
              <w:ind w:left="0" w:right="0" w:firstLine="735" w:firstLineChars="350"/>
              <w:outlineLvl w:val="0"/>
              <w:rPr>
                <w:rFonts w:hint="eastAsia" w:ascii="宋体" w:hAnsi="宋体" w:eastAsia="宋体"/>
                <w:kern w:val="0"/>
                <w:szCs w:val="21"/>
                <w:lang w:eastAsia="zh-CN"/>
              </w:rPr>
            </w:pPr>
            <w:r>
              <w:rPr>
                <w:rFonts w:hint="default" w:ascii="宋体" w:hAnsi="宋体"/>
                <w:kern w:val="0"/>
                <w:szCs w:val="21"/>
              </w:rPr>
              <w:t>(2)在(1)基础上，提供有针对本项目建设性、创新性建议或合理补充的一项得 1 分，最多得 5 分</w:t>
            </w:r>
            <w:r>
              <w:rPr>
                <w:rFonts w:hint="eastAsia" w:ascii="宋体" w:hAnsi="宋体"/>
                <w:kern w:val="0"/>
                <w:szCs w:val="21"/>
                <w:lang w:eastAsia="zh-CN"/>
              </w:rPr>
              <w:t>。</w:t>
            </w:r>
          </w:p>
          <w:p w14:paraId="3F924689">
            <w:pPr>
              <w:keepNext w:val="0"/>
              <w:keepLines w:val="0"/>
              <w:widowControl/>
              <w:suppressLineNumbers w:val="0"/>
              <w:spacing w:before="0" w:beforeAutospacing="0" w:after="0" w:afterAutospacing="0" w:line="360" w:lineRule="auto"/>
              <w:ind w:left="0" w:right="0"/>
              <w:outlineLvl w:val="0"/>
              <w:rPr>
                <w:rFonts w:hint="default" w:ascii="宋体" w:hAnsi="宋体"/>
                <w:kern w:val="0"/>
                <w:szCs w:val="21"/>
              </w:rPr>
            </w:pPr>
            <w:r>
              <w:rPr>
                <w:rFonts w:hint="default" w:ascii="宋体" w:hAnsi="宋体"/>
                <w:b/>
                <w:bCs/>
                <w:kern w:val="0"/>
                <w:szCs w:val="21"/>
              </w:rPr>
              <w:t>2、能结合当地实际服务情况和本项目要求做出项目实施</w:t>
            </w:r>
            <w:r>
              <w:rPr>
                <w:rFonts w:hint="default" w:ascii="宋体" w:hAnsi="宋体"/>
                <w:kern w:val="0"/>
                <w:szCs w:val="21"/>
              </w:rPr>
              <w:t>计划</w:t>
            </w:r>
          </w:p>
          <w:p w14:paraId="1AE16DDA">
            <w:pPr>
              <w:keepNext w:val="0"/>
              <w:keepLines w:val="0"/>
              <w:widowControl/>
              <w:suppressLineNumbers w:val="0"/>
              <w:spacing w:before="0" w:beforeAutospacing="0" w:after="0" w:afterAutospacing="0" w:line="360" w:lineRule="auto"/>
              <w:ind w:left="0" w:right="0" w:firstLine="735" w:firstLineChars="350"/>
              <w:outlineLvl w:val="0"/>
              <w:rPr>
                <w:rFonts w:hint="default" w:ascii="宋体" w:hAnsi="宋体"/>
                <w:kern w:val="0"/>
                <w:szCs w:val="21"/>
              </w:rPr>
            </w:pPr>
            <w:r>
              <w:rPr>
                <w:rFonts w:hint="default" w:ascii="宋体" w:hAnsi="宋体"/>
                <w:kern w:val="0"/>
                <w:szCs w:val="21"/>
              </w:rPr>
              <w:t>①提出服务实施有科学的时间规划；</w:t>
            </w:r>
          </w:p>
          <w:p w14:paraId="3BC0C646">
            <w:pPr>
              <w:keepNext w:val="0"/>
              <w:keepLines w:val="0"/>
              <w:widowControl/>
              <w:suppressLineNumbers w:val="0"/>
              <w:spacing w:before="0" w:beforeAutospacing="0" w:after="0" w:afterAutospacing="0" w:line="360" w:lineRule="auto"/>
              <w:ind w:left="0" w:right="0" w:firstLine="735" w:firstLineChars="350"/>
              <w:outlineLvl w:val="0"/>
              <w:rPr>
                <w:rFonts w:hint="default" w:ascii="宋体" w:hAnsi="宋体"/>
                <w:kern w:val="0"/>
                <w:szCs w:val="21"/>
              </w:rPr>
            </w:pPr>
            <w:r>
              <w:rPr>
                <w:rFonts w:hint="default" w:ascii="宋体" w:hAnsi="宋体"/>
                <w:kern w:val="0"/>
                <w:szCs w:val="21"/>
              </w:rPr>
              <w:t>②对工作进度有把控措施；</w:t>
            </w:r>
          </w:p>
          <w:p w14:paraId="58CF103A">
            <w:pPr>
              <w:keepNext w:val="0"/>
              <w:keepLines w:val="0"/>
              <w:widowControl/>
              <w:suppressLineNumbers w:val="0"/>
              <w:spacing w:before="0" w:beforeAutospacing="0" w:after="0" w:afterAutospacing="0" w:line="360" w:lineRule="auto"/>
              <w:ind w:left="0" w:right="0" w:firstLine="735" w:firstLineChars="350"/>
              <w:outlineLvl w:val="0"/>
              <w:rPr>
                <w:rFonts w:hint="default" w:ascii="宋体" w:hAnsi="宋体"/>
                <w:kern w:val="0"/>
                <w:szCs w:val="21"/>
              </w:rPr>
            </w:pPr>
            <w:r>
              <w:rPr>
                <w:rFonts w:hint="default" w:ascii="宋体" w:hAnsi="宋体"/>
                <w:kern w:val="0"/>
                <w:szCs w:val="21"/>
              </w:rPr>
              <w:t>③提出对服务路线分配计划；</w:t>
            </w:r>
          </w:p>
          <w:p w14:paraId="3BA8929A">
            <w:pPr>
              <w:keepNext w:val="0"/>
              <w:keepLines w:val="0"/>
              <w:widowControl/>
              <w:suppressLineNumbers w:val="0"/>
              <w:spacing w:before="0" w:beforeAutospacing="0" w:after="0" w:afterAutospacing="0" w:line="360" w:lineRule="auto"/>
              <w:ind w:left="0" w:right="0" w:firstLine="735" w:firstLineChars="350"/>
              <w:outlineLvl w:val="0"/>
              <w:rPr>
                <w:rFonts w:hint="default" w:ascii="宋体" w:hAnsi="宋体"/>
                <w:kern w:val="0"/>
                <w:szCs w:val="21"/>
              </w:rPr>
            </w:pPr>
            <w:r>
              <w:rPr>
                <w:rFonts w:hint="default" w:ascii="宋体" w:hAnsi="宋体"/>
                <w:kern w:val="0"/>
                <w:szCs w:val="21"/>
              </w:rPr>
              <w:t>④提供对本项目的质量保障措施；</w:t>
            </w:r>
          </w:p>
          <w:p w14:paraId="14574830">
            <w:pPr>
              <w:keepNext w:val="0"/>
              <w:keepLines w:val="0"/>
              <w:widowControl/>
              <w:suppressLineNumbers w:val="0"/>
              <w:spacing w:before="0" w:beforeAutospacing="0" w:after="0" w:afterAutospacing="0" w:line="360" w:lineRule="auto"/>
              <w:ind w:left="0" w:right="0" w:firstLine="735" w:firstLineChars="350"/>
              <w:outlineLvl w:val="0"/>
              <w:rPr>
                <w:rFonts w:hint="default" w:ascii="宋体" w:hAnsi="宋体"/>
                <w:kern w:val="0"/>
                <w:szCs w:val="21"/>
              </w:rPr>
            </w:pPr>
            <w:r>
              <w:rPr>
                <w:rFonts w:hint="default" w:ascii="宋体" w:hAnsi="宋体"/>
                <w:kern w:val="0"/>
                <w:szCs w:val="21"/>
              </w:rPr>
              <w:t>⑤人员配备及分配计划</w:t>
            </w:r>
          </w:p>
          <w:p w14:paraId="105BB311">
            <w:pPr>
              <w:keepNext w:val="0"/>
              <w:keepLines w:val="0"/>
              <w:widowControl/>
              <w:suppressLineNumbers w:val="0"/>
              <w:spacing w:before="0" w:beforeAutospacing="0" w:after="0" w:afterAutospacing="0" w:line="360" w:lineRule="auto"/>
              <w:ind w:left="0" w:right="0" w:firstLine="735" w:firstLineChars="350"/>
              <w:outlineLvl w:val="0"/>
              <w:rPr>
                <w:rFonts w:hint="eastAsia" w:ascii="宋体" w:hAnsi="宋体" w:eastAsia="宋体"/>
                <w:kern w:val="0"/>
                <w:szCs w:val="21"/>
                <w:lang w:eastAsia="zh-CN"/>
              </w:rPr>
            </w:pPr>
            <w:r>
              <w:rPr>
                <w:rFonts w:hint="default" w:ascii="宋体" w:hAnsi="宋体"/>
                <w:kern w:val="0"/>
                <w:szCs w:val="21"/>
              </w:rPr>
              <w:t xml:space="preserve">(1)依据①-⑤每项内容为评分标准（每项最高得 </w:t>
            </w:r>
            <w:r>
              <w:rPr>
                <w:rFonts w:hint="eastAsia" w:ascii="宋体" w:hAnsi="宋体"/>
                <w:kern w:val="0"/>
                <w:szCs w:val="21"/>
                <w:lang w:val="en-US" w:eastAsia="zh-CN"/>
              </w:rPr>
              <w:t>2</w:t>
            </w:r>
            <w:r>
              <w:rPr>
                <w:rFonts w:hint="default" w:ascii="宋体" w:hAnsi="宋体"/>
                <w:kern w:val="0"/>
                <w:szCs w:val="21"/>
              </w:rPr>
              <w:t>分，各项合计 1</w:t>
            </w:r>
            <w:r>
              <w:rPr>
                <w:rFonts w:hint="eastAsia" w:ascii="宋体" w:hAnsi="宋体"/>
                <w:kern w:val="0"/>
                <w:szCs w:val="21"/>
                <w:lang w:val="en-US" w:eastAsia="zh-CN"/>
              </w:rPr>
              <w:t>0</w:t>
            </w:r>
            <w:r>
              <w:rPr>
                <w:rFonts w:hint="default" w:ascii="宋体" w:hAnsi="宋体"/>
                <w:kern w:val="0"/>
                <w:szCs w:val="21"/>
              </w:rPr>
              <w:t xml:space="preserve"> 分）</w:t>
            </w:r>
            <w:r>
              <w:rPr>
                <w:rFonts w:hint="eastAsia" w:ascii="宋体" w:hAnsi="宋体"/>
                <w:kern w:val="0"/>
                <w:szCs w:val="21"/>
                <w:lang w:eastAsia="zh-CN"/>
              </w:rPr>
              <w:t>：</w:t>
            </w:r>
            <w:r>
              <w:rPr>
                <w:rFonts w:hint="default" w:ascii="宋体" w:hAnsi="宋体"/>
                <w:kern w:val="0"/>
                <w:szCs w:val="21"/>
              </w:rPr>
              <w:t xml:space="preserve">缺项（0 分）、内容完整且完全满足采购文件要求 （得 </w:t>
            </w:r>
            <w:r>
              <w:rPr>
                <w:rFonts w:hint="eastAsia" w:ascii="宋体" w:hAnsi="宋体"/>
                <w:kern w:val="0"/>
                <w:szCs w:val="21"/>
                <w:lang w:val="en-US" w:eastAsia="zh-CN"/>
              </w:rPr>
              <w:t>2</w:t>
            </w:r>
            <w:r>
              <w:rPr>
                <w:rFonts w:hint="default" w:ascii="宋体" w:hAnsi="宋体"/>
                <w:kern w:val="0"/>
                <w:szCs w:val="21"/>
              </w:rPr>
              <w:t>分）</w:t>
            </w:r>
            <w:r>
              <w:rPr>
                <w:rFonts w:hint="eastAsia" w:ascii="宋体" w:hAnsi="宋体"/>
                <w:kern w:val="0"/>
                <w:szCs w:val="21"/>
                <w:lang w:eastAsia="zh-CN"/>
              </w:rPr>
              <w:t>；</w:t>
            </w:r>
          </w:p>
          <w:p w14:paraId="5344EE3A">
            <w:pPr>
              <w:keepNext w:val="0"/>
              <w:keepLines w:val="0"/>
              <w:widowControl/>
              <w:suppressLineNumbers w:val="0"/>
              <w:spacing w:before="0" w:beforeAutospacing="0" w:after="0" w:afterAutospacing="0" w:line="360" w:lineRule="auto"/>
              <w:ind w:left="0" w:right="0" w:firstLine="735" w:firstLineChars="350"/>
              <w:outlineLvl w:val="0"/>
              <w:rPr>
                <w:rFonts w:hint="eastAsia" w:ascii="宋体" w:hAnsi="宋体" w:eastAsia="宋体"/>
                <w:kern w:val="0"/>
                <w:szCs w:val="21"/>
                <w:lang w:eastAsia="zh-CN"/>
              </w:rPr>
            </w:pPr>
            <w:r>
              <w:rPr>
                <w:rFonts w:hint="default" w:ascii="宋体" w:hAnsi="宋体"/>
                <w:kern w:val="0"/>
                <w:szCs w:val="21"/>
              </w:rPr>
              <w:t>(2)在(1)基础上，提供有针对本项目建设性、创新性建议或合理补充的一项得 1 分，最多得 5 分</w:t>
            </w:r>
            <w:r>
              <w:rPr>
                <w:rFonts w:hint="eastAsia" w:ascii="宋体" w:hAnsi="宋体"/>
                <w:kern w:val="0"/>
                <w:szCs w:val="21"/>
                <w:lang w:eastAsia="zh-CN"/>
              </w:rPr>
              <w:t>。</w:t>
            </w:r>
          </w:p>
          <w:p w14:paraId="72D5DB64">
            <w:pPr>
              <w:keepNext w:val="0"/>
              <w:keepLines w:val="0"/>
              <w:widowControl/>
              <w:suppressLineNumbers w:val="0"/>
              <w:spacing w:before="0" w:beforeAutospacing="0" w:after="0" w:afterAutospacing="0" w:line="360" w:lineRule="auto"/>
              <w:ind w:left="0" w:right="0"/>
              <w:outlineLvl w:val="0"/>
              <w:rPr>
                <w:rFonts w:hint="default" w:ascii="宋体" w:hAnsi="宋体"/>
                <w:kern w:val="0"/>
                <w:szCs w:val="21"/>
              </w:rPr>
            </w:pPr>
            <w:r>
              <w:rPr>
                <w:rFonts w:hint="default" w:ascii="宋体" w:hAnsi="宋体"/>
                <w:b/>
                <w:bCs/>
                <w:kern w:val="0"/>
                <w:szCs w:val="21"/>
              </w:rPr>
              <w:t>3、项目服务中配备使用施工设备</w:t>
            </w:r>
            <w:r>
              <w:rPr>
                <w:rFonts w:hint="default" w:ascii="宋体" w:hAnsi="宋体"/>
                <w:kern w:val="0"/>
                <w:szCs w:val="21"/>
              </w:rPr>
              <w:t>（包括但不限于砍伐工具、灭 火器、喷药工具、摄像和拍照工具、望远镜或无人机、检测仪器）每提供一样工具或设备的得 1 分，满分 5 分。（需提供投入本项目施工工具或设备的</w:t>
            </w:r>
            <w:r>
              <w:rPr>
                <w:rFonts w:hint="eastAsia" w:ascii="宋体" w:hAnsi="宋体"/>
                <w:kern w:val="0"/>
                <w:szCs w:val="21"/>
                <w:lang w:val="en-US" w:eastAsia="zh-CN"/>
              </w:rPr>
              <w:t>彩色照片</w:t>
            </w:r>
            <w:r>
              <w:rPr>
                <w:rFonts w:hint="default" w:ascii="宋体" w:hAnsi="宋体"/>
                <w:kern w:val="0"/>
                <w:szCs w:val="21"/>
              </w:rPr>
              <w:t>并CA电子签章。）</w:t>
            </w:r>
          </w:p>
          <w:p w14:paraId="7A202A23">
            <w:pPr>
              <w:keepNext w:val="0"/>
              <w:keepLines w:val="0"/>
              <w:suppressLineNumbers w:val="0"/>
              <w:spacing w:before="0" w:beforeAutospacing="0" w:after="0" w:afterAutospacing="0" w:line="360" w:lineRule="auto"/>
              <w:ind w:left="0" w:right="0"/>
              <w:rPr>
                <w:rFonts w:hint="eastAsia" w:ascii="宋体" w:hAnsi="宋体" w:cs="宋体"/>
                <w:bCs/>
                <w:color w:val="auto"/>
                <w:szCs w:val="21"/>
                <w:highlight w:val="none"/>
              </w:rPr>
            </w:pPr>
            <w:r>
              <w:rPr>
                <w:rFonts w:hint="default" w:ascii="宋体" w:hAnsi="宋体"/>
                <w:kern w:val="0"/>
                <w:szCs w:val="21"/>
              </w:rPr>
              <w:t>注： 以上如有要求提供的资料不提供或提供的不符合上述要求的本项不计分）</w:t>
            </w:r>
          </w:p>
        </w:tc>
        <w:tc>
          <w:tcPr>
            <w:tcW w:w="851" w:type="dxa"/>
            <w:noWrap w:val="0"/>
            <w:vAlign w:val="center"/>
          </w:tcPr>
          <w:p w14:paraId="45FC5DEC">
            <w:pPr>
              <w:keepNext w:val="0"/>
              <w:keepLines w:val="0"/>
              <w:suppressLineNumbers w:val="0"/>
              <w:spacing w:before="0" w:beforeAutospacing="0" w:after="0" w:afterAutospacing="0" w:line="360" w:lineRule="auto"/>
              <w:ind w:left="0" w:right="0"/>
              <w:jc w:val="center"/>
              <w:rPr>
                <w:rFonts w:hint="eastAsia" w:ascii="宋体" w:hAnsi="宋体" w:cs="宋体"/>
                <w:bCs/>
                <w:color w:val="auto"/>
                <w:szCs w:val="21"/>
                <w:highlight w:val="none"/>
              </w:rPr>
            </w:pPr>
            <w:r>
              <w:rPr>
                <w:rFonts w:hint="eastAsia" w:ascii="宋体" w:hAnsi="宋体"/>
                <w:szCs w:val="21"/>
                <w:lang w:val="en-US" w:eastAsia="zh-CN"/>
              </w:rPr>
              <w:t>40</w:t>
            </w:r>
            <w:r>
              <w:rPr>
                <w:rFonts w:hint="eastAsia" w:ascii="宋体" w:hAnsi="宋体" w:cs="宋体"/>
                <w:bCs/>
                <w:color w:val="auto"/>
                <w:szCs w:val="21"/>
                <w:highlight w:val="none"/>
              </w:rPr>
              <w:t>分</w:t>
            </w:r>
          </w:p>
        </w:tc>
      </w:tr>
      <w:tr w14:paraId="64965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658" w:type="dxa"/>
            <w:noWrap w:val="0"/>
            <w:vAlign w:val="center"/>
          </w:tcPr>
          <w:p w14:paraId="7F55338B">
            <w:pPr>
              <w:keepNext w:val="0"/>
              <w:keepLines w:val="0"/>
              <w:suppressLineNumbers w:val="0"/>
              <w:spacing w:before="0" w:beforeAutospacing="0" w:after="0" w:afterAutospacing="0" w:line="360" w:lineRule="auto"/>
              <w:ind w:left="0" w:right="0"/>
              <w:jc w:val="center"/>
              <w:rPr>
                <w:rFonts w:hint="eastAsia" w:ascii="宋体" w:hAnsi="宋体" w:cs="宋体"/>
                <w:bCs/>
                <w:color w:val="auto"/>
                <w:szCs w:val="21"/>
                <w:highlight w:val="none"/>
              </w:rPr>
            </w:pPr>
            <w:r>
              <w:rPr>
                <w:rFonts w:hint="eastAsia" w:ascii="宋体" w:hAnsi="宋体" w:cs="宋体"/>
                <w:bCs/>
                <w:color w:val="auto"/>
                <w:szCs w:val="21"/>
                <w:highlight w:val="none"/>
              </w:rPr>
              <w:t>3</w:t>
            </w:r>
          </w:p>
        </w:tc>
        <w:tc>
          <w:tcPr>
            <w:tcW w:w="1418" w:type="dxa"/>
            <w:noWrap w:val="0"/>
            <w:vAlign w:val="center"/>
          </w:tcPr>
          <w:p w14:paraId="3FE06D07">
            <w:pPr>
              <w:keepNext w:val="0"/>
              <w:keepLines w:val="0"/>
              <w:suppressLineNumbers w:val="0"/>
              <w:spacing w:before="0" w:beforeAutospacing="0" w:after="0" w:afterAutospacing="0" w:line="360" w:lineRule="auto"/>
              <w:ind w:left="0" w:right="0"/>
              <w:rPr>
                <w:rFonts w:hint="default" w:ascii="宋体" w:hAnsi="宋体" w:cs="宋体"/>
                <w:bCs/>
                <w:color w:val="auto"/>
                <w:sz w:val="21"/>
                <w:szCs w:val="21"/>
                <w:highlight w:val="none"/>
                <w:lang w:val="en-US"/>
              </w:rPr>
            </w:pPr>
            <w:r>
              <w:rPr>
                <w:rFonts w:hint="eastAsia" w:ascii="宋体" w:hAnsi="宋体" w:cs="宋体"/>
                <w:bCs/>
                <w:color w:val="auto"/>
                <w:sz w:val="21"/>
                <w:szCs w:val="21"/>
                <w:highlight w:val="none"/>
                <w:lang w:val="en-US" w:eastAsia="zh-CN"/>
              </w:rPr>
              <w:t>售后服务方案</w:t>
            </w:r>
          </w:p>
        </w:tc>
        <w:tc>
          <w:tcPr>
            <w:tcW w:w="6163" w:type="dxa"/>
            <w:noWrap w:val="0"/>
            <w:vAlign w:val="center"/>
          </w:tcPr>
          <w:p w14:paraId="03F58E13">
            <w:pPr>
              <w:pStyle w:val="17"/>
              <w:keepNext w:val="0"/>
              <w:keepLines w:val="0"/>
              <w:suppressLineNumbers w:val="0"/>
              <w:spacing w:before="0" w:beforeAutospacing="0" w:after="0" w:afterAutospacing="0" w:line="420" w:lineRule="exact"/>
              <w:ind w:left="0" w:right="267" w:rightChars="127"/>
              <w:outlineLvl w:val="0"/>
              <w:rPr>
                <w:rFonts w:hint="default" w:hAnsi="宋体"/>
                <w:sz w:val="21"/>
                <w:szCs w:val="21"/>
              </w:rPr>
            </w:pPr>
            <w:r>
              <w:rPr>
                <w:rFonts w:hint="default" w:hAnsi="宋体"/>
                <w:b/>
                <w:bCs/>
                <w:sz w:val="21"/>
                <w:szCs w:val="21"/>
              </w:rPr>
              <w:t>售后服务方案</w:t>
            </w:r>
          </w:p>
          <w:p w14:paraId="719C8628">
            <w:pPr>
              <w:pStyle w:val="17"/>
              <w:keepNext w:val="0"/>
              <w:keepLines w:val="0"/>
              <w:suppressLineNumbers w:val="0"/>
              <w:spacing w:before="0" w:beforeAutospacing="0" w:after="0" w:afterAutospacing="0" w:line="420" w:lineRule="exact"/>
              <w:ind w:left="0" w:right="267" w:rightChars="127" w:firstLine="420"/>
              <w:outlineLvl w:val="0"/>
              <w:rPr>
                <w:rFonts w:hint="default" w:hAnsi="宋体"/>
                <w:sz w:val="21"/>
                <w:szCs w:val="21"/>
              </w:rPr>
            </w:pPr>
            <w:r>
              <w:rPr>
                <w:rFonts w:hint="default" w:hAnsi="宋体"/>
                <w:sz w:val="21"/>
                <w:szCs w:val="21"/>
              </w:rPr>
              <w:t>对各供应商提供的服务方案进行评审，并由投标小组根据内 容进行评分：</w:t>
            </w:r>
          </w:p>
          <w:p w14:paraId="5EF876F9">
            <w:pPr>
              <w:pStyle w:val="17"/>
              <w:keepNext w:val="0"/>
              <w:keepLines w:val="0"/>
              <w:suppressLineNumbers w:val="0"/>
              <w:spacing w:before="0" w:beforeAutospacing="0" w:after="0" w:afterAutospacing="0" w:line="420" w:lineRule="exact"/>
              <w:ind w:left="0" w:right="267" w:rightChars="127" w:firstLine="420"/>
              <w:outlineLvl w:val="0"/>
              <w:rPr>
                <w:rFonts w:hint="default" w:hAnsi="宋体"/>
                <w:sz w:val="21"/>
                <w:szCs w:val="21"/>
              </w:rPr>
            </w:pPr>
            <w:r>
              <w:rPr>
                <w:rFonts w:hint="default" w:hAnsi="宋体"/>
                <w:sz w:val="21"/>
                <w:szCs w:val="21"/>
              </w:rPr>
              <w:t>（1）方案各部分内容（包含但不限于服务巡查期、技术服务、 技术培训、服务的内容和措施、响应时间、到达现场时间等）具有针对性，方案思路合理的；</w:t>
            </w:r>
          </w:p>
          <w:p w14:paraId="19B0CC31">
            <w:pPr>
              <w:pStyle w:val="17"/>
              <w:keepNext w:val="0"/>
              <w:keepLines w:val="0"/>
              <w:suppressLineNumbers w:val="0"/>
              <w:spacing w:before="0" w:beforeAutospacing="0" w:after="0" w:afterAutospacing="0" w:line="420" w:lineRule="exact"/>
              <w:ind w:left="0" w:right="267" w:rightChars="127" w:firstLine="420"/>
              <w:outlineLvl w:val="0"/>
              <w:rPr>
                <w:rFonts w:hint="default" w:hAnsi="宋体"/>
                <w:sz w:val="21"/>
                <w:szCs w:val="21"/>
              </w:rPr>
            </w:pPr>
            <w:r>
              <w:rPr>
                <w:rFonts w:hint="default" w:hAnsi="宋体"/>
                <w:sz w:val="21"/>
                <w:szCs w:val="21"/>
              </w:rPr>
              <w:t>（2）供应商响应文件能清晰描述、分析本次项目的处理疫情 思路和需要解决的问题的；</w:t>
            </w:r>
          </w:p>
          <w:p w14:paraId="481359C8">
            <w:pPr>
              <w:pStyle w:val="17"/>
              <w:keepNext w:val="0"/>
              <w:keepLines w:val="0"/>
              <w:suppressLineNumbers w:val="0"/>
              <w:spacing w:before="0" w:beforeAutospacing="0" w:after="0" w:afterAutospacing="0" w:line="420" w:lineRule="exact"/>
              <w:ind w:left="0" w:right="267" w:rightChars="127" w:firstLine="420"/>
              <w:outlineLvl w:val="0"/>
              <w:rPr>
                <w:rFonts w:hint="default" w:hAnsi="宋体"/>
                <w:sz w:val="21"/>
                <w:szCs w:val="21"/>
              </w:rPr>
            </w:pPr>
            <w:r>
              <w:rPr>
                <w:rFonts w:hint="default" w:hAnsi="宋体"/>
                <w:sz w:val="21"/>
                <w:szCs w:val="21"/>
              </w:rPr>
              <w:t>（3）做出长期的规划，符合疫情发展趋势的；</w:t>
            </w:r>
          </w:p>
          <w:p w14:paraId="7F1686E2">
            <w:pPr>
              <w:pStyle w:val="17"/>
              <w:keepNext w:val="0"/>
              <w:keepLines w:val="0"/>
              <w:suppressLineNumbers w:val="0"/>
              <w:spacing w:before="0" w:beforeAutospacing="0" w:after="0" w:afterAutospacing="0" w:line="420" w:lineRule="exact"/>
              <w:ind w:left="0" w:right="267" w:rightChars="127" w:firstLine="420"/>
              <w:outlineLvl w:val="0"/>
              <w:rPr>
                <w:rFonts w:hint="default" w:hAnsi="宋体"/>
                <w:sz w:val="21"/>
                <w:szCs w:val="21"/>
              </w:rPr>
            </w:pPr>
            <w:r>
              <w:rPr>
                <w:rFonts w:hint="default" w:hAnsi="宋体"/>
                <w:sz w:val="21"/>
                <w:szCs w:val="21"/>
              </w:rPr>
              <w:t>（4）有专业维护人员安排</w:t>
            </w:r>
            <w:r>
              <w:rPr>
                <w:rFonts w:hint="eastAsia" w:hAnsi="宋体"/>
                <w:sz w:val="21"/>
                <w:szCs w:val="21"/>
                <w:lang w:eastAsia="zh-CN"/>
              </w:rPr>
              <w:t>，</w:t>
            </w:r>
            <w:r>
              <w:rPr>
                <w:rFonts w:hint="default" w:hAnsi="宋体"/>
                <w:sz w:val="21"/>
                <w:szCs w:val="21"/>
              </w:rPr>
              <w:t>提出应急措施（包括但不限于服务过程中的质量控制、人员管理，对服务期内疫木非正常暴增情况的处理，突发异常天气紧急情况的处理）；</w:t>
            </w:r>
          </w:p>
          <w:p w14:paraId="6187A0DD">
            <w:pPr>
              <w:pStyle w:val="17"/>
              <w:keepNext w:val="0"/>
              <w:keepLines w:val="0"/>
              <w:suppressLineNumbers w:val="0"/>
              <w:spacing w:before="0" w:beforeAutospacing="0" w:after="0" w:afterAutospacing="0" w:line="420" w:lineRule="exact"/>
              <w:ind w:left="0" w:right="267" w:rightChars="127" w:firstLine="420"/>
              <w:outlineLvl w:val="0"/>
              <w:rPr>
                <w:rFonts w:hint="default" w:hAnsi="宋体"/>
                <w:sz w:val="21"/>
                <w:szCs w:val="21"/>
              </w:rPr>
            </w:pPr>
            <w:r>
              <w:rPr>
                <w:rFonts w:hint="default" w:hAnsi="宋体"/>
                <w:sz w:val="21"/>
                <w:szCs w:val="21"/>
              </w:rPr>
              <w:t>（</w:t>
            </w:r>
            <w:r>
              <w:rPr>
                <w:rFonts w:hint="eastAsia" w:hAnsi="宋体"/>
                <w:sz w:val="21"/>
                <w:szCs w:val="21"/>
                <w:lang w:val="en-US" w:eastAsia="zh-CN"/>
              </w:rPr>
              <w:t>5</w:t>
            </w:r>
            <w:r>
              <w:rPr>
                <w:rFonts w:hint="default" w:hAnsi="宋体"/>
                <w:sz w:val="21"/>
                <w:szCs w:val="21"/>
              </w:rPr>
              <w:t>）根据项目情况提供服务承诺；</w:t>
            </w:r>
          </w:p>
          <w:p w14:paraId="678F97EB">
            <w:pPr>
              <w:pStyle w:val="17"/>
              <w:keepNext w:val="0"/>
              <w:keepLines w:val="0"/>
              <w:suppressLineNumbers w:val="0"/>
              <w:spacing w:before="0" w:beforeAutospacing="0" w:after="0" w:afterAutospacing="0" w:line="420" w:lineRule="exact"/>
              <w:ind w:left="0" w:right="267" w:rightChars="127" w:firstLine="420"/>
              <w:outlineLvl w:val="0"/>
              <w:rPr>
                <w:rFonts w:hint="default" w:hAnsi="宋体"/>
                <w:sz w:val="21"/>
                <w:szCs w:val="21"/>
              </w:rPr>
            </w:pPr>
            <w:r>
              <w:rPr>
                <w:rFonts w:hint="default" w:hAnsi="宋体"/>
                <w:sz w:val="21"/>
                <w:szCs w:val="21"/>
              </w:rPr>
              <w:t>（</w:t>
            </w:r>
            <w:r>
              <w:rPr>
                <w:rFonts w:hint="eastAsia" w:hAnsi="宋体"/>
                <w:sz w:val="21"/>
                <w:szCs w:val="21"/>
                <w:lang w:val="en-US" w:eastAsia="zh-CN"/>
              </w:rPr>
              <w:t>6</w:t>
            </w:r>
            <w:r>
              <w:rPr>
                <w:rFonts w:hint="default" w:hAnsi="宋体"/>
                <w:sz w:val="21"/>
                <w:szCs w:val="21"/>
              </w:rPr>
              <w:t>）对本项目的工作重点与难点问题判断准确，贴合实际的；</w:t>
            </w:r>
          </w:p>
          <w:p w14:paraId="73128C47">
            <w:pPr>
              <w:pStyle w:val="17"/>
              <w:keepNext w:val="0"/>
              <w:keepLines w:val="0"/>
              <w:suppressLineNumbers w:val="0"/>
              <w:spacing w:before="0" w:beforeAutospacing="0" w:after="159" w:afterLines="50" w:afterAutospacing="0" w:line="420" w:lineRule="exact"/>
              <w:ind w:left="0" w:right="267" w:rightChars="127" w:firstLine="420"/>
              <w:outlineLvl w:val="0"/>
              <w:rPr>
                <w:rFonts w:hint="default" w:hAnsi="宋体"/>
                <w:sz w:val="21"/>
                <w:szCs w:val="21"/>
              </w:rPr>
            </w:pPr>
            <w:r>
              <w:rPr>
                <w:rFonts w:hint="default" w:hAnsi="宋体"/>
                <w:sz w:val="21"/>
                <w:szCs w:val="21"/>
              </w:rPr>
              <w:t>（</w:t>
            </w:r>
            <w:r>
              <w:rPr>
                <w:rFonts w:hint="eastAsia" w:hAnsi="宋体"/>
                <w:sz w:val="21"/>
                <w:szCs w:val="21"/>
                <w:lang w:val="en-US" w:eastAsia="zh-CN"/>
              </w:rPr>
              <w:t>7</w:t>
            </w:r>
            <w:r>
              <w:rPr>
                <w:rFonts w:hint="default" w:hAnsi="宋体"/>
                <w:sz w:val="21"/>
                <w:szCs w:val="21"/>
              </w:rPr>
              <w:t>）对本项目的合理化建议和改进措施</w:t>
            </w:r>
          </w:p>
          <w:p w14:paraId="57B124C9">
            <w:pPr>
              <w:keepNext w:val="0"/>
              <w:keepLines w:val="0"/>
              <w:suppressLineNumbers w:val="0"/>
              <w:spacing w:before="0" w:beforeAutospacing="0" w:after="0" w:afterAutospacing="0" w:line="360" w:lineRule="auto"/>
              <w:ind w:left="0" w:right="0"/>
              <w:rPr>
                <w:rFonts w:hint="eastAsia" w:ascii="宋体" w:hAnsi="宋体" w:cs="宋体"/>
                <w:bCs/>
                <w:color w:val="auto"/>
                <w:sz w:val="21"/>
                <w:szCs w:val="21"/>
                <w:highlight w:val="none"/>
              </w:rPr>
            </w:pPr>
            <w:r>
              <w:rPr>
                <w:rFonts w:hint="default" w:ascii="宋体" w:hAnsi="宋体" w:eastAsia="宋体" w:cs="Times New Roman"/>
                <w:kern w:val="0"/>
                <w:sz w:val="21"/>
                <w:szCs w:val="21"/>
                <w:lang w:val="en-US" w:eastAsia="zh-CN" w:bidi="ar-SA"/>
              </w:rPr>
              <w:t>以上（1）-（</w:t>
            </w:r>
            <w:r>
              <w:rPr>
                <w:rFonts w:hint="eastAsia" w:ascii="宋体" w:hAnsi="宋体" w:eastAsia="宋体" w:cs="Times New Roman"/>
                <w:kern w:val="0"/>
                <w:sz w:val="21"/>
                <w:szCs w:val="21"/>
                <w:lang w:val="en-US" w:eastAsia="zh-CN" w:bidi="ar-SA"/>
              </w:rPr>
              <w:t>7</w:t>
            </w:r>
            <w:r>
              <w:rPr>
                <w:rFonts w:hint="default" w:ascii="宋体" w:hAnsi="宋体" w:eastAsia="宋体" w:cs="Times New Roman"/>
                <w:kern w:val="0"/>
                <w:sz w:val="21"/>
                <w:szCs w:val="21"/>
                <w:lang w:val="en-US" w:eastAsia="zh-CN" w:bidi="ar-SA"/>
              </w:rPr>
              <w:t>）项基础分评分标准（每项最高得4分，合计满分</w:t>
            </w:r>
            <w:r>
              <w:rPr>
                <w:rFonts w:hint="eastAsia" w:ascii="宋体" w:hAnsi="宋体" w:eastAsia="宋体" w:cs="Times New Roman"/>
                <w:kern w:val="0"/>
                <w:sz w:val="21"/>
                <w:szCs w:val="21"/>
                <w:lang w:val="en-US" w:eastAsia="zh-CN" w:bidi="ar-SA"/>
              </w:rPr>
              <w:t>28</w:t>
            </w:r>
            <w:r>
              <w:rPr>
                <w:rFonts w:hint="default" w:ascii="宋体" w:hAnsi="宋体" w:eastAsia="宋体" w:cs="Times New Roman"/>
                <w:kern w:val="0"/>
                <w:sz w:val="21"/>
                <w:szCs w:val="21"/>
                <w:lang w:val="en-US" w:eastAsia="zh-CN" w:bidi="ar-SA"/>
              </w:rPr>
              <w:t>分）</w:t>
            </w:r>
            <w:r>
              <w:rPr>
                <w:rFonts w:hint="eastAsia" w:ascii="宋体" w:hAnsi="宋体" w:eastAsia="宋体" w:cs="Times New Roman"/>
                <w:kern w:val="0"/>
                <w:sz w:val="21"/>
                <w:szCs w:val="21"/>
                <w:lang w:val="en-US" w:eastAsia="zh-CN" w:bidi="ar-SA"/>
              </w:rPr>
              <w:t>：</w:t>
            </w:r>
            <w:r>
              <w:rPr>
                <w:rFonts w:hint="default" w:ascii="宋体" w:hAnsi="宋体" w:eastAsia="宋体" w:cs="Times New Roman"/>
                <w:kern w:val="0"/>
                <w:sz w:val="21"/>
                <w:szCs w:val="21"/>
                <w:lang w:val="en-US" w:eastAsia="zh-CN" w:bidi="ar-SA"/>
              </w:rPr>
              <w:t>缺项（0分）、内容完整（1分）、有针对性（1分）、 按照采购人实际需求制定（1分）、满足投标文件要求（1分）。</w:t>
            </w:r>
          </w:p>
        </w:tc>
        <w:tc>
          <w:tcPr>
            <w:tcW w:w="851" w:type="dxa"/>
            <w:noWrap w:val="0"/>
            <w:vAlign w:val="center"/>
          </w:tcPr>
          <w:p w14:paraId="6A8A4B45">
            <w:pPr>
              <w:keepNext w:val="0"/>
              <w:keepLines w:val="0"/>
              <w:suppressLineNumbers w:val="0"/>
              <w:spacing w:before="0" w:beforeAutospacing="0" w:after="0" w:afterAutospacing="0" w:line="360" w:lineRule="auto"/>
              <w:ind w:left="0" w:right="0"/>
              <w:jc w:val="center"/>
              <w:rPr>
                <w:rFonts w:hint="eastAsia" w:ascii="宋体" w:hAnsi="宋体" w:cs="宋体"/>
                <w:bCs/>
                <w:color w:val="auto"/>
                <w:szCs w:val="21"/>
                <w:highlight w:val="none"/>
              </w:rPr>
            </w:pPr>
            <w:r>
              <w:rPr>
                <w:rFonts w:hint="eastAsia" w:ascii="宋体" w:hAnsi="宋体" w:cs="宋体"/>
                <w:bCs/>
                <w:color w:val="auto"/>
                <w:szCs w:val="21"/>
                <w:highlight w:val="none"/>
                <w:lang w:val="en-US" w:eastAsia="zh-CN"/>
              </w:rPr>
              <w:t>28</w:t>
            </w:r>
            <w:r>
              <w:rPr>
                <w:rFonts w:hint="eastAsia" w:ascii="宋体" w:hAnsi="宋体" w:cs="宋体"/>
                <w:bCs/>
                <w:color w:val="auto"/>
                <w:szCs w:val="21"/>
                <w:highlight w:val="none"/>
              </w:rPr>
              <w:t>分</w:t>
            </w:r>
          </w:p>
        </w:tc>
      </w:tr>
      <w:tr w14:paraId="1927A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3" w:hRule="atLeast"/>
          <w:jc w:val="center"/>
        </w:trPr>
        <w:tc>
          <w:tcPr>
            <w:tcW w:w="658" w:type="dxa"/>
            <w:noWrap w:val="0"/>
            <w:vAlign w:val="center"/>
          </w:tcPr>
          <w:p w14:paraId="45B2257F">
            <w:pPr>
              <w:keepNext w:val="0"/>
              <w:keepLines w:val="0"/>
              <w:suppressLineNumbers w:val="0"/>
              <w:spacing w:before="0" w:beforeAutospacing="0" w:after="0" w:afterAutospacing="0" w:line="360" w:lineRule="auto"/>
              <w:ind w:left="0" w:right="0"/>
              <w:jc w:val="center"/>
              <w:rPr>
                <w:rFonts w:hint="eastAsia" w:ascii="宋体" w:hAnsi="宋体" w:eastAsia="宋体" w:cs="宋体"/>
                <w:bCs/>
                <w:color w:val="auto"/>
                <w:szCs w:val="21"/>
                <w:highlight w:val="none"/>
                <w:lang w:eastAsia="zh-CN"/>
              </w:rPr>
            </w:pPr>
            <w:r>
              <w:rPr>
                <w:rFonts w:hint="eastAsia" w:ascii="宋体" w:hAnsi="宋体" w:cs="宋体"/>
                <w:bCs/>
                <w:color w:val="auto"/>
                <w:szCs w:val="21"/>
                <w:highlight w:val="none"/>
                <w:lang w:val="en-US" w:eastAsia="zh-CN"/>
              </w:rPr>
              <w:t>4</w:t>
            </w:r>
          </w:p>
        </w:tc>
        <w:tc>
          <w:tcPr>
            <w:tcW w:w="1418" w:type="dxa"/>
            <w:noWrap w:val="0"/>
            <w:vAlign w:val="center"/>
          </w:tcPr>
          <w:p w14:paraId="7CE0FCC6">
            <w:pPr>
              <w:keepNext w:val="0"/>
              <w:keepLines w:val="0"/>
              <w:suppressLineNumbers w:val="0"/>
              <w:spacing w:before="0" w:beforeAutospacing="0" w:after="0" w:afterAutospacing="0" w:line="360" w:lineRule="auto"/>
              <w:ind w:left="0" w:right="0"/>
              <w:jc w:val="center"/>
              <w:rPr>
                <w:rFonts w:hint="default" w:ascii="宋体" w:hAnsi="宋体" w:cs="宋体"/>
                <w:bCs/>
                <w:color w:val="0000FF"/>
                <w:sz w:val="21"/>
                <w:szCs w:val="21"/>
                <w:highlight w:val="none"/>
                <w:lang w:val="en-US"/>
              </w:rPr>
            </w:pPr>
            <w:r>
              <w:rPr>
                <w:rFonts w:hint="eastAsia" w:ascii="宋体" w:hAnsi="宋体" w:cs="宋体"/>
                <w:bCs/>
                <w:color w:val="auto"/>
                <w:sz w:val="21"/>
                <w:szCs w:val="21"/>
                <w:highlight w:val="none"/>
                <w:lang w:val="en-US" w:eastAsia="zh-CN"/>
              </w:rPr>
              <w:t>人员分</w:t>
            </w:r>
          </w:p>
        </w:tc>
        <w:tc>
          <w:tcPr>
            <w:tcW w:w="6163" w:type="dxa"/>
            <w:noWrap w:val="0"/>
            <w:vAlign w:val="center"/>
          </w:tcPr>
          <w:p w14:paraId="3F05277D">
            <w:pPr>
              <w:keepNext w:val="0"/>
              <w:keepLines w:val="0"/>
              <w:suppressLineNumbers w:val="0"/>
              <w:spacing w:before="0" w:beforeAutospacing="0" w:after="0" w:afterAutospacing="0" w:line="360" w:lineRule="auto"/>
              <w:ind w:left="0" w:right="0"/>
              <w:rPr>
                <w:rFonts w:hint="eastAsia" w:ascii="宋体" w:hAnsi="宋体"/>
                <w:b/>
                <w:bCs/>
                <w:sz w:val="21"/>
                <w:szCs w:val="21"/>
                <w:lang w:val="en-US" w:eastAsia="zh-CN"/>
              </w:rPr>
            </w:pPr>
            <w:r>
              <w:rPr>
                <w:rFonts w:hint="eastAsia" w:ascii="宋体" w:hAnsi="宋体"/>
                <w:b/>
                <w:bCs/>
                <w:sz w:val="21"/>
                <w:szCs w:val="21"/>
              </w:rPr>
              <w:t>供应商投入</w:t>
            </w:r>
            <w:r>
              <w:rPr>
                <w:rFonts w:hint="eastAsia" w:ascii="宋体" w:hAnsi="宋体"/>
                <w:b/>
                <w:bCs/>
                <w:sz w:val="21"/>
                <w:szCs w:val="21"/>
                <w:lang w:val="en-US" w:eastAsia="zh-CN"/>
              </w:rPr>
              <w:t>人员：</w:t>
            </w:r>
          </w:p>
          <w:p w14:paraId="3D0F859C">
            <w:pPr>
              <w:keepNext w:val="0"/>
              <w:keepLines w:val="0"/>
              <w:suppressLineNumbers w:val="0"/>
              <w:spacing w:before="0" w:beforeAutospacing="0" w:after="0" w:afterAutospacing="0" w:line="360" w:lineRule="auto"/>
              <w:ind w:left="0" w:right="0" w:firstLine="210" w:firstLineChars="100"/>
              <w:rPr>
                <w:rFonts w:hint="eastAsia" w:ascii="宋体" w:hAnsi="宋体"/>
                <w:sz w:val="21"/>
                <w:szCs w:val="21"/>
              </w:rPr>
            </w:pPr>
            <w:r>
              <w:rPr>
                <w:rFonts w:hint="eastAsia" w:ascii="宋体" w:hAnsi="宋体"/>
                <w:sz w:val="21"/>
                <w:szCs w:val="21"/>
                <w:lang w:val="en-US" w:eastAsia="zh-CN"/>
              </w:rPr>
              <w:t>①</w:t>
            </w:r>
            <w:r>
              <w:rPr>
                <w:rFonts w:hint="eastAsia" w:ascii="宋体" w:hAnsi="宋体"/>
                <w:sz w:val="21"/>
                <w:szCs w:val="21"/>
              </w:rPr>
              <w:t>负责人1人，作业民工满</w:t>
            </w:r>
            <w:r>
              <w:rPr>
                <w:rFonts w:hint="eastAsia" w:ascii="宋体" w:hAnsi="宋体"/>
                <w:sz w:val="21"/>
                <w:szCs w:val="21"/>
                <w:lang w:val="en-US" w:eastAsia="zh-CN"/>
              </w:rPr>
              <w:t>6</w:t>
            </w:r>
            <w:r>
              <w:rPr>
                <w:rFonts w:hint="eastAsia" w:ascii="宋体" w:hAnsi="宋体"/>
                <w:sz w:val="21"/>
                <w:szCs w:val="21"/>
              </w:rPr>
              <w:t>人得分</w:t>
            </w:r>
            <w:r>
              <w:rPr>
                <w:rFonts w:hint="eastAsia" w:ascii="宋体" w:hAnsi="宋体"/>
                <w:sz w:val="21"/>
                <w:szCs w:val="21"/>
                <w:lang w:val="en-US" w:eastAsia="zh-CN"/>
              </w:rPr>
              <w:t>6</w:t>
            </w:r>
            <w:r>
              <w:rPr>
                <w:rFonts w:hint="eastAsia" w:ascii="宋体" w:hAnsi="宋体"/>
                <w:sz w:val="21"/>
                <w:szCs w:val="21"/>
              </w:rPr>
              <w:t>分；</w:t>
            </w:r>
          </w:p>
          <w:p w14:paraId="78B286C7">
            <w:pPr>
              <w:keepNext w:val="0"/>
              <w:keepLines w:val="0"/>
              <w:suppressLineNumbers w:val="0"/>
              <w:spacing w:before="0" w:beforeAutospacing="0" w:after="0" w:afterAutospacing="0" w:line="360" w:lineRule="auto"/>
              <w:ind w:left="0" w:right="0" w:firstLine="210" w:firstLineChars="100"/>
              <w:rPr>
                <w:rFonts w:hint="eastAsia" w:ascii="宋体" w:hAnsi="宋体"/>
                <w:sz w:val="21"/>
                <w:szCs w:val="21"/>
                <w:lang w:eastAsia="zh-CN"/>
              </w:rPr>
            </w:pPr>
            <w:r>
              <w:rPr>
                <w:rFonts w:hint="eastAsia" w:ascii="宋体" w:hAnsi="宋体"/>
                <w:sz w:val="21"/>
                <w:szCs w:val="21"/>
                <w:lang w:val="en-US" w:eastAsia="zh-CN"/>
              </w:rPr>
              <w:t>②</w:t>
            </w:r>
            <w:r>
              <w:rPr>
                <w:rFonts w:hint="eastAsia" w:ascii="宋体" w:hAnsi="宋体"/>
                <w:sz w:val="21"/>
                <w:szCs w:val="21"/>
              </w:rPr>
              <w:t>负责人1人，作业民工满</w:t>
            </w:r>
            <w:r>
              <w:rPr>
                <w:rFonts w:hint="eastAsia" w:ascii="宋体" w:hAnsi="宋体"/>
                <w:sz w:val="21"/>
                <w:szCs w:val="21"/>
                <w:lang w:val="en-US" w:eastAsia="zh-CN"/>
              </w:rPr>
              <w:t>9</w:t>
            </w:r>
            <w:r>
              <w:rPr>
                <w:rFonts w:hint="eastAsia" w:ascii="宋体" w:hAnsi="宋体"/>
                <w:sz w:val="21"/>
                <w:szCs w:val="21"/>
              </w:rPr>
              <w:t>人得分</w:t>
            </w:r>
            <w:r>
              <w:rPr>
                <w:rFonts w:hint="eastAsia" w:ascii="宋体" w:hAnsi="宋体"/>
                <w:sz w:val="21"/>
                <w:szCs w:val="21"/>
                <w:lang w:val="en-US" w:eastAsia="zh-CN"/>
              </w:rPr>
              <w:t>9</w:t>
            </w:r>
            <w:r>
              <w:rPr>
                <w:rFonts w:hint="eastAsia" w:ascii="宋体" w:hAnsi="宋体"/>
                <w:sz w:val="21"/>
                <w:szCs w:val="21"/>
              </w:rPr>
              <w:t>分</w:t>
            </w:r>
            <w:r>
              <w:rPr>
                <w:rFonts w:hint="eastAsia" w:ascii="宋体" w:hAnsi="宋体"/>
                <w:sz w:val="21"/>
                <w:szCs w:val="21"/>
                <w:lang w:eastAsia="zh-CN"/>
              </w:rPr>
              <w:t>；</w:t>
            </w:r>
          </w:p>
          <w:p w14:paraId="4B49D010">
            <w:pPr>
              <w:keepNext w:val="0"/>
              <w:keepLines w:val="0"/>
              <w:suppressLineNumbers w:val="0"/>
              <w:spacing w:before="0" w:beforeAutospacing="0" w:after="0" w:afterAutospacing="0" w:line="360" w:lineRule="auto"/>
              <w:ind w:left="0" w:right="0" w:firstLine="210" w:firstLineChars="100"/>
              <w:rPr>
                <w:rFonts w:hint="eastAsia" w:ascii="宋体" w:hAnsi="宋体" w:eastAsia="宋体" w:cs="Times New Roman"/>
                <w:kern w:val="2"/>
                <w:sz w:val="21"/>
                <w:szCs w:val="21"/>
                <w:lang w:val="en-US" w:eastAsia="zh-CN" w:bidi="ar-SA"/>
              </w:rPr>
            </w:pPr>
            <w:r>
              <w:rPr>
                <w:rFonts w:hint="eastAsia" w:ascii="宋体" w:hAnsi="宋体"/>
                <w:sz w:val="21"/>
                <w:szCs w:val="21"/>
                <w:lang w:val="en-US" w:eastAsia="zh-CN"/>
              </w:rPr>
              <w:t>③</w:t>
            </w:r>
            <w:r>
              <w:rPr>
                <w:rFonts w:hint="eastAsia" w:ascii="宋体" w:hAnsi="宋体"/>
                <w:sz w:val="21"/>
                <w:szCs w:val="21"/>
              </w:rPr>
              <w:t>负责人1人，作业民工满</w:t>
            </w:r>
            <w:r>
              <w:rPr>
                <w:rFonts w:hint="eastAsia" w:ascii="宋体" w:hAnsi="宋体"/>
                <w:sz w:val="21"/>
                <w:szCs w:val="21"/>
                <w:lang w:val="en-US" w:eastAsia="zh-CN"/>
              </w:rPr>
              <w:t>12</w:t>
            </w:r>
            <w:r>
              <w:rPr>
                <w:rFonts w:hint="eastAsia" w:ascii="宋体" w:hAnsi="宋体"/>
                <w:sz w:val="21"/>
                <w:szCs w:val="21"/>
              </w:rPr>
              <w:t>人得分</w:t>
            </w:r>
            <w:r>
              <w:rPr>
                <w:rFonts w:hint="eastAsia" w:ascii="宋体" w:hAnsi="宋体"/>
                <w:sz w:val="21"/>
                <w:szCs w:val="21"/>
                <w:lang w:val="en-US" w:eastAsia="zh-CN"/>
              </w:rPr>
              <w:t>12</w:t>
            </w:r>
            <w:r>
              <w:rPr>
                <w:rFonts w:hint="eastAsia" w:ascii="宋体" w:hAnsi="宋体"/>
                <w:sz w:val="21"/>
                <w:szCs w:val="21"/>
              </w:rPr>
              <w:t>分</w:t>
            </w:r>
            <w:r>
              <w:rPr>
                <w:rFonts w:hint="eastAsia" w:ascii="宋体" w:hAnsi="宋体"/>
                <w:sz w:val="21"/>
                <w:szCs w:val="21"/>
                <w:lang w:eastAsia="zh-CN"/>
              </w:rPr>
              <w:t>。</w:t>
            </w:r>
          </w:p>
          <w:p w14:paraId="35219A9E">
            <w:pPr>
              <w:keepNext w:val="0"/>
              <w:keepLines w:val="0"/>
              <w:suppressLineNumbers w:val="0"/>
              <w:spacing w:before="0" w:beforeAutospacing="0" w:after="0" w:afterAutospacing="0" w:line="360" w:lineRule="auto"/>
              <w:ind w:left="0" w:right="0" w:firstLine="210" w:firstLineChars="100"/>
              <w:rPr>
                <w:rFonts w:hint="eastAsia" w:ascii="宋体" w:hAnsi="宋体" w:cs="宋体"/>
                <w:bCs/>
                <w:color w:val="auto"/>
                <w:sz w:val="21"/>
                <w:szCs w:val="21"/>
                <w:highlight w:val="none"/>
              </w:rPr>
            </w:pPr>
            <w:r>
              <w:rPr>
                <w:rFonts w:hint="eastAsia" w:ascii="宋体" w:hAnsi="宋体"/>
                <w:sz w:val="21"/>
                <w:szCs w:val="21"/>
              </w:rPr>
              <w:t>负责人需在</w:t>
            </w:r>
            <w:r>
              <w:rPr>
                <w:rFonts w:hint="eastAsia" w:ascii="宋体" w:hAnsi="宋体"/>
                <w:sz w:val="21"/>
                <w:szCs w:val="21"/>
                <w:lang w:eastAsia="zh-CN"/>
              </w:rPr>
              <w:t>2026年01月至截标前任意1个月</w:t>
            </w:r>
            <w:r>
              <w:rPr>
                <w:rFonts w:hint="eastAsia" w:ascii="宋体" w:hAnsi="宋体"/>
                <w:sz w:val="21"/>
                <w:szCs w:val="21"/>
              </w:rPr>
              <w:t>供应商为其缴纳的社会养老保险证明扫描件（如为新入职员工请提供入职证明材料），作业民工需提供聘用合同及身份证扫描件并CA 电子签章，不提供或提供的不符合上述要求的本项不计分</w:t>
            </w:r>
            <w:r>
              <w:rPr>
                <w:rFonts w:hint="eastAsia" w:ascii="宋体" w:hAnsi="宋体"/>
                <w:sz w:val="21"/>
                <w:szCs w:val="21"/>
                <w:lang w:eastAsia="zh-CN"/>
              </w:rPr>
              <w:t>，</w:t>
            </w:r>
            <w:r>
              <w:rPr>
                <w:rFonts w:hint="eastAsia" w:eastAsia="宋体" w:cs="Times New Roman"/>
                <w:kern w:val="2"/>
                <w:sz w:val="21"/>
                <w:szCs w:val="21"/>
                <w:lang w:val="en-US" w:eastAsia="zh-CN" w:bidi="ar-SA"/>
              </w:rPr>
              <w:t>满分</w:t>
            </w:r>
            <w:r>
              <w:rPr>
                <w:rFonts w:hint="eastAsia" w:cs="Times New Roman"/>
                <w:kern w:val="2"/>
                <w:sz w:val="21"/>
                <w:szCs w:val="21"/>
                <w:lang w:val="en-US" w:eastAsia="zh-CN" w:bidi="ar-SA"/>
              </w:rPr>
              <w:t>12</w:t>
            </w:r>
            <w:r>
              <w:rPr>
                <w:rFonts w:hint="eastAsia" w:eastAsia="宋体" w:cs="Times New Roman"/>
                <w:kern w:val="2"/>
                <w:sz w:val="21"/>
                <w:szCs w:val="21"/>
                <w:lang w:val="en-US" w:eastAsia="zh-CN" w:bidi="ar-SA"/>
              </w:rPr>
              <w:t>分。</w:t>
            </w:r>
          </w:p>
        </w:tc>
        <w:tc>
          <w:tcPr>
            <w:tcW w:w="851" w:type="dxa"/>
            <w:noWrap w:val="0"/>
            <w:vAlign w:val="center"/>
          </w:tcPr>
          <w:p w14:paraId="7360CCC7">
            <w:pPr>
              <w:keepNext w:val="0"/>
              <w:keepLines w:val="0"/>
              <w:suppressLineNumbers w:val="0"/>
              <w:spacing w:before="0" w:beforeAutospacing="0" w:after="0" w:afterAutospacing="0" w:line="360" w:lineRule="auto"/>
              <w:ind w:left="0" w:right="0"/>
              <w:jc w:val="center"/>
              <w:rPr>
                <w:rFonts w:hint="eastAsia" w:ascii="宋体" w:hAnsi="宋体" w:cs="宋体"/>
                <w:bCs/>
                <w:color w:val="auto"/>
                <w:szCs w:val="21"/>
                <w:highlight w:val="none"/>
              </w:rPr>
            </w:pPr>
            <w:r>
              <w:rPr>
                <w:rFonts w:hint="eastAsia" w:ascii="宋体" w:hAnsi="宋体" w:cs="宋体"/>
                <w:bCs/>
                <w:color w:val="auto"/>
                <w:szCs w:val="21"/>
                <w:highlight w:val="none"/>
                <w:lang w:val="en-US" w:eastAsia="zh-CN"/>
              </w:rPr>
              <w:t>12</w:t>
            </w:r>
            <w:r>
              <w:rPr>
                <w:rFonts w:hint="eastAsia" w:ascii="宋体" w:hAnsi="宋体" w:cs="宋体"/>
                <w:bCs/>
                <w:color w:val="auto"/>
                <w:szCs w:val="21"/>
                <w:highlight w:val="none"/>
              </w:rPr>
              <w:t>分</w:t>
            </w:r>
          </w:p>
        </w:tc>
      </w:tr>
      <w:tr w14:paraId="5F13A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239" w:type="dxa"/>
            <w:gridSpan w:val="3"/>
            <w:noWrap w:val="0"/>
            <w:vAlign w:val="top"/>
          </w:tcPr>
          <w:p w14:paraId="1E84A493">
            <w:pPr>
              <w:keepNext w:val="0"/>
              <w:keepLines w:val="0"/>
              <w:suppressLineNumbers w:val="0"/>
              <w:spacing w:before="0" w:beforeAutospacing="0" w:after="0" w:afterAutospacing="0" w:line="360" w:lineRule="auto"/>
              <w:ind w:left="0" w:right="0" w:firstLine="420" w:firstLineChars="200"/>
              <w:rPr>
                <w:rFonts w:hint="eastAsia" w:ascii="宋体" w:hAnsi="宋体" w:cs="宋体"/>
                <w:bCs/>
                <w:color w:val="000000"/>
                <w:szCs w:val="21"/>
              </w:rPr>
            </w:pPr>
            <w:r>
              <w:rPr>
                <w:rFonts w:hint="eastAsia" w:ascii="宋体" w:hAnsi="宋体" w:cs="宋体"/>
                <w:bCs/>
                <w:color w:val="000000"/>
                <w:szCs w:val="21"/>
              </w:rPr>
              <w:t>总得分＝1＋2＋3＋4</w:t>
            </w:r>
          </w:p>
        </w:tc>
        <w:tc>
          <w:tcPr>
            <w:tcW w:w="851" w:type="dxa"/>
            <w:noWrap w:val="0"/>
            <w:vAlign w:val="center"/>
          </w:tcPr>
          <w:p w14:paraId="067C8C72">
            <w:pPr>
              <w:keepNext w:val="0"/>
              <w:keepLines w:val="0"/>
              <w:suppressLineNumbers w:val="0"/>
              <w:spacing w:before="0" w:beforeAutospacing="0" w:after="0" w:afterAutospacing="0" w:line="360" w:lineRule="auto"/>
              <w:ind w:left="0" w:right="0"/>
              <w:jc w:val="center"/>
              <w:rPr>
                <w:rFonts w:hint="default" w:ascii="宋体" w:hAnsi="宋体" w:eastAsia="宋体" w:cs="宋体"/>
                <w:bCs/>
                <w:color w:val="000000"/>
                <w:szCs w:val="21"/>
                <w:lang w:val="en-US" w:eastAsia="zh-CN"/>
              </w:rPr>
            </w:pPr>
            <w:r>
              <w:rPr>
                <w:rFonts w:hint="eastAsia" w:ascii="宋体" w:hAnsi="宋体" w:cs="宋体"/>
                <w:bCs/>
                <w:color w:val="000000"/>
                <w:szCs w:val="21"/>
                <w:lang w:val="en-US" w:eastAsia="zh-CN"/>
              </w:rPr>
              <w:t>100分</w:t>
            </w:r>
          </w:p>
        </w:tc>
      </w:tr>
    </w:tbl>
    <w:p w14:paraId="7A8A3981">
      <w:pPr>
        <w:pageBreakBefore w:val="0"/>
        <w:kinsoku/>
        <w:wordWrap/>
        <w:topLinePunct w:val="0"/>
        <w:bidi w:val="0"/>
        <w:spacing w:line="312" w:lineRule="auto"/>
        <w:ind w:firstLine="420" w:firstLineChars="200"/>
        <w:rPr>
          <w:rFonts w:hint="eastAsia" w:ascii="宋体" w:hAnsi="宋体"/>
          <w:bCs/>
          <w:color w:val="auto"/>
          <w:szCs w:val="21"/>
          <w:highlight w:val="none"/>
        </w:rPr>
      </w:pPr>
      <w:r>
        <w:rPr>
          <w:rFonts w:ascii="宋体" w:hAnsi="宋体"/>
          <w:bCs/>
          <w:color w:val="auto"/>
          <w:szCs w:val="21"/>
          <w:highlight w:val="none"/>
        </w:rPr>
        <w:t>7.</w:t>
      </w:r>
      <w:r>
        <w:rPr>
          <w:rFonts w:hint="eastAsia" w:ascii="宋体" w:hAnsi="宋体"/>
          <w:bCs/>
          <w:color w:val="auto"/>
          <w:szCs w:val="21"/>
          <w:highlight w:val="none"/>
        </w:rPr>
        <w:t>由磋商小组根据综合评分情况，按照评审得分由高到低顺序推荐3名以上成交候选供应商，并编写评审报告。符合本章第</w:t>
      </w:r>
      <w:r>
        <w:rPr>
          <w:rFonts w:ascii="宋体" w:hAnsi="宋体"/>
          <w:bCs/>
          <w:color w:val="auto"/>
          <w:szCs w:val="21"/>
          <w:highlight w:val="none"/>
        </w:rPr>
        <w:t>4.3</w:t>
      </w:r>
      <w:r>
        <w:rPr>
          <w:rFonts w:hint="eastAsia" w:ascii="宋体" w:hAnsi="宋体"/>
          <w:bCs/>
          <w:color w:val="auto"/>
          <w:szCs w:val="21"/>
          <w:highlight w:val="none"/>
        </w:rPr>
        <w:t>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w:t>
      </w:r>
      <w:r>
        <w:rPr>
          <w:rFonts w:hint="eastAsia" w:ascii="宋体" w:hAnsi="宋体"/>
          <w:bCs/>
          <w:color w:val="auto"/>
          <w:szCs w:val="21"/>
          <w:highlight w:val="none"/>
          <w:lang w:val="en-US" w:eastAsia="zh-CN"/>
        </w:rPr>
        <w:t>技术</w:t>
      </w:r>
      <w:r>
        <w:rPr>
          <w:rFonts w:hint="eastAsia" w:ascii="宋体" w:hAnsi="宋体"/>
          <w:bCs/>
          <w:color w:val="auto"/>
          <w:szCs w:val="21"/>
          <w:highlight w:val="none"/>
        </w:rPr>
        <w:t>需求偏离分由高到低排序）。评审得分、最后报价（不计算价格折扣）、技术得分、</w:t>
      </w:r>
      <w:r>
        <w:rPr>
          <w:rFonts w:hint="eastAsia" w:ascii="宋体" w:hAnsi="宋体" w:eastAsia="宋体" w:cs="Times New Roman"/>
          <w:bCs/>
          <w:color w:val="auto"/>
          <w:szCs w:val="21"/>
          <w:highlight w:val="none"/>
          <w:lang w:val="en-US" w:eastAsia="zh-CN"/>
        </w:rPr>
        <w:t>技术</w:t>
      </w:r>
      <w:r>
        <w:rPr>
          <w:rFonts w:hint="eastAsia" w:ascii="宋体" w:hAnsi="宋体"/>
          <w:bCs/>
          <w:color w:val="auto"/>
          <w:szCs w:val="21"/>
          <w:highlight w:val="none"/>
        </w:rPr>
        <w:t>需求偏离分均相同的，由磋商小组随机抽取推荐。</w:t>
      </w:r>
    </w:p>
    <w:p w14:paraId="4B2FE4EC">
      <w:pPr>
        <w:pageBreakBefore w:val="0"/>
        <w:kinsoku/>
        <w:wordWrap/>
        <w:topLinePunct w:val="0"/>
        <w:bidi w:val="0"/>
        <w:spacing w:line="312" w:lineRule="auto"/>
        <w:ind w:firstLine="420" w:firstLineChars="200"/>
        <w:rPr>
          <w:rFonts w:hint="eastAsia" w:ascii="宋体" w:hAnsi="宋体"/>
          <w:bCs/>
          <w:color w:val="auto"/>
          <w:szCs w:val="21"/>
          <w:highlight w:val="none"/>
        </w:rPr>
      </w:pPr>
    </w:p>
    <w:p w14:paraId="23CB4199">
      <w:pPr>
        <w:pageBreakBefore w:val="0"/>
        <w:kinsoku/>
        <w:wordWrap/>
        <w:topLinePunct w:val="0"/>
        <w:bidi w:val="0"/>
        <w:spacing w:line="312" w:lineRule="auto"/>
        <w:ind w:firstLine="420" w:firstLineChars="200"/>
        <w:rPr>
          <w:rFonts w:hint="eastAsia" w:ascii="宋体" w:hAnsi="宋体"/>
          <w:bCs/>
          <w:color w:val="auto"/>
          <w:szCs w:val="21"/>
          <w:highlight w:val="none"/>
        </w:rPr>
      </w:pPr>
    </w:p>
    <w:p w14:paraId="192FBCD6">
      <w:pPr>
        <w:pageBreakBefore w:val="0"/>
        <w:kinsoku/>
        <w:wordWrap/>
        <w:topLinePunct w:val="0"/>
        <w:bidi w:val="0"/>
        <w:spacing w:line="312" w:lineRule="auto"/>
        <w:ind w:firstLine="420" w:firstLineChars="200"/>
        <w:rPr>
          <w:rFonts w:hint="eastAsia" w:ascii="宋体" w:hAnsi="宋体"/>
          <w:bCs/>
          <w:color w:val="auto"/>
          <w:szCs w:val="21"/>
          <w:highlight w:val="none"/>
        </w:rPr>
      </w:pPr>
    </w:p>
    <w:p w14:paraId="213DCA61">
      <w:pPr>
        <w:pageBreakBefore w:val="0"/>
        <w:kinsoku/>
        <w:wordWrap/>
        <w:topLinePunct w:val="0"/>
        <w:bidi w:val="0"/>
        <w:spacing w:line="312" w:lineRule="auto"/>
        <w:ind w:firstLine="420" w:firstLineChars="200"/>
        <w:rPr>
          <w:rFonts w:hint="eastAsia" w:ascii="宋体" w:hAnsi="宋体"/>
          <w:bCs/>
          <w:color w:val="auto"/>
          <w:szCs w:val="21"/>
          <w:highlight w:val="none"/>
        </w:rPr>
      </w:pPr>
    </w:p>
    <w:p w14:paraId="00C2438A">
      <w:pPr>
        <w:pageBreakBefore w:val="0"/>
        <w:kinsoku/>
        <w:wordWrap/>
        <w:topLinePunct w:val="0"/>
        <w:bidi w:val="0"/>
        <w:spacing w:line="312" w:lineRule="auto"/>
        <w:ind w:firstLine="420" w:firstLineChars="200"/>
        <w:rPr>
          <w:rFonts w:hint="eastAsia" w:ascii="宋体" w:hAnsi="宋体"/>
          <w:bCs/>
          <w:color w:val="auto"/>
          <w:szCs w:val="21"/>
          <w:highlight w:val="none"/>
        </w:rPr>
      </w:pPr>
    </w:p>
    <w:p w14:paraId="2975B2BD">
      <w:pPr>
        <w:pageBreakBefore w:val="0"/>
        <w:kinsoku/>
        <w:wordWrap/>
        <w:topLinePunct w:val="0"/>
        <w:bidi w:val="0"/>
        <w:spacing w:line="312" w:lineRule="auto"/>
        <w:ind w:firstLine="420" w:firstLineChars="200"/>
        <w:rPr>
          <w:rFonts w:hint="eastAsia" w:ascii="宋体" w:hAnsi="宋体"/>
          <w:bCs/>
          <w:color w:val="auto"/>
          <w:szCs w:val="21"/>
          <w:highlight w:val="none"/>
        </w:rPr>
      </w:pPr>
    </w:p>
    <w:p w14:paraId="659755E5">
      <w:pPr>
        <w:pageBreakBefore w:val="0"/>
        <w:kinsoku/>
        <w:wordWrap/>
        <w:topLinePunct w:val="0"/>
        <w:bidi w:val="0"/>
        <w:spacing w:line="312" w:lineRule="auto"/>
        <w:ind w:firstLine="420" w:firstLineChars="200"/>
        <w:rPr>
          <w:rFonts w:hint="eastAsia" w:ascii="宋体" w:hAnsi="宋体"/>
          <w:bCs/>
          <w:color w:val="auto"/>
          <w:szCs w:val="21"/>
          <w:highlight w:val="none"/>
        </w:rPr>
      </w:pPr>
    </w:p>
    <w:p w14:paraId="39203C33">
      <w:pPr>
        <w:pageBreakBefore w:val="0"/>
        <w:kinsoku/>
        <w:wordWrap/>
        <w:topLinePunct w:val="0"/>
        <w:bidi w:val="0"/>
        <w:spacing w:line="312" w:lineRule="auto"/>
        <w:ind w:firstLine="420" w:firstLineChars="200"/>
        <w:rPr>
          <w:rFonts w:hint="eastAsia" w:ascii="宋体" w:hAnsi="宋体"/>
          <w:bCs/>
          <w:color w:val="auto"/>
          <w:szCs w:val="21"/>
          <w:highlight w:val="none"/>
        </w:rPr>
      </w:pPr>
    </w:p>
    <w:p w14:paraId="0D16D614">
      <w:pPr>
        <w:pageBreakBefore w:val="0"/>
        <w:kinsoku/>
        <w:wordWrap/>
        <w:topLinePunct w:val="0"/>
        <w:bidi w:val="0"/>
        <w:spacing w:line="312" w:lineRule="auto"/>
        <w:ind w:firstLine="420" w:firstLineChars="200"/>
        <w:rPr>
          <w:rFonts w:hint="eastAsia" w:ascii="宋体" w:hAnsi="宋体"/>
          <w:bCs/>
          <w:color w:val="auto"/>
          <w:szCs w:val="21"/>
          <w:highlight w:val="none"/>
        </w:rPr>
      </w:pPr>
    </w:p>
    <w:p w14:paraId="57AEB7B1">
      <w:pPr>
        <w:pageBreakBefore w:val="0"/>
        <w:kinsoku/>
        <w:wordWrap/>
        <w:topLinePunct w:val="0"/>
        <w:bidi w:val="0"/>
        <w:spacing w:line="312" w:lineRule="auto"/>
        <w:ind w:firstLine="420" w:firstLineChars="200"/>
        <w:rPr>
          <w:rFonts w:hint="eastAsia" w:ascii="宋体" w:hAnsi="宋体"/>
          <w:bCs/>
          <w:color w:val="auto"/>
          <w:szCs w:val="21"/>
          <w:highlight w:val="none"/>
        </w:rPr>
      </w:pPr>
    </w:p>
    <w:p w14:paraId="1A725EDC">
      <w:pPr>
        <w:pageBreakBefore w:val="0"/>
        <w:kinsoku/>
        <w:wordWrap/>
        <w:topLinePunct w:val="0"/>
        <w:bidi w:val="0"/>
        <w:spacing w:line="312" w:lineRule="auto"/>
        <w:ind w:firstLine="420" w:firstLineChars="200"/>
        <w:rPr>
          <w:rFonts w:hint="eastAsia" w:ascii="宋体" w:hAnsi="宋体"/>
          <w:bCs/>
          <w:color w:val="auto"/>
          <w:szCs w:val="21"/>
          <w:highlight w:val="none"/>
        </w:rPr>
      </w:pPr>
    </w:p>
    <w:p w14:paraId="12D025D9">
      <w:pPr>
        <w:pageBreakBefore w:val="0"/>
        <w:kinsoku/>
        <w:wordWrap/>
        <w:topLinePunct w:val="0"/>
        <w:bidi w:val="0"/>
        <w:spacing w:line="312" w:lineRule="auto"/>
        <w:ind w:firstLine="420" w:firstLineChars="200"/>
        <w:rPr>
          <w:rFonts w:hint="eastAsia" w:ascii="宋体" w:hAnsi="宋体"/>
          <w:bCs/>
          <w:color w:val="auto"/>
          <w:szCs w:val="21"/>
          <w:highlight w:val="none"/>
        </w:rPr>
      </w:pPr>
    </w:p>
    <w:p w14:paraId="4761F430">
      <w:pPr>
        <w:pageBreakBefore w:val="0"/>
        <w:kinsoku/>
        <w:wordWrap/>
        <w:topLinePunct w:val="0"/>
        <w:bidi w:val="0"/>
        <w:spacing w:line="312" w:lineRule="auto"/>
        <w:ind w:firstLine="420" w:firstLineChars="200"/>
        <w:rPr>
          <w:rFonts w:hint="eastAsia" w:ascii="宋体" w:hAnsi="宋体"/>
          <w:bCs/>
          <w:color w:val="auto"/>
          <w:szCs w:val="21"/>
          <w:highlight w:val="none"/>
        </w:rPr>
      </w:pPr>
    </w:p>
    <w:p w14:paraId="687B1C78">
      <w:pPr>
        <w:pageBreakBefore w:val="0"/>
        <w:kinsoku/>
        <w:wordWrap/>
        <w:topLinePunct w:val="0"/>
        <w:bidi w:val="0"/>
        <w:spacing w:line="312" w:lineRule="auto"/>
        <w:ind w:firstLine="420" w:firstLineChars="200"/>
        <w:rPr>
          <w:rFonts w:hint="eastAsia" w:ascii="宋体" w:hAnsi="宋体"/>
          <w:bCs/>
          <w:color w:val="auto"/>
          <w:szCs w:val="21"/>
          <w:highlight w:val="none"/>
        </w:rPr>
      </w:pPr>
    </w:p>
    <w:p w14:paraId="163313D3">
      <w:pPr>
        <w:pageBreakBefore w:val="0"/>
        <w:kinsoku/>
        <w:wordWrap/>
        <w:topLinePunct w:val="0"/>
        <w:bidi w:val="0"/>
        <w:spacing w:line="312" w:lineRule="auto"/>
        <w:ind w:firstLine="420" w:firstLineChars="200"/>
        <w:rPr>
          <w:rFonts w:hint="eastAsia" w:ascii="宋体" w:hAnsi="宋体"/>
          <w:bCs/>
          <w:color w:val="auto"/>
          <w:szCs w:val="21"/>
          <w:highlight w:val="none"/>
        </w:rPr>
      </w:pPr>
    </w:p>
    <w:p w14:paraId="12413818">
      <w:pPr>
        <w:pageBreakBefore w:val="0"/>
        <w:kinsoku/>
        <w:wordWrap/>
        <w:topLinePunct w:val="0"/>
        <w:bidi w:val="0"/>
        <w:spacing w:line="312" w:lineRule="auto"/>
        <w:ind w:firstLine="420" w:firstLineChars="200"/>
        <w:rPr>
          <w:rFonts w:hint="eastAsia" w:ascii="宋体" w:hAnsi="宋体"/>
          <w:bCs/>
          <w:color w:val="auto"/>
          <w:szCs w:val="21"/>
          <w:highlight w:val="none"/>
        </w:rPr>
      </w:pPr>
    </w:p>
    <w:p w14:paraId="7E610D42">
      <w:pPr>
        <w:pageBreakBefore w:val="0"/>
        <w:kinsoku/>
        <w:wordWrap/>
        <w:topLinePunct w:val="0"/>
        <w:bidi w:val="0"/>
        <w:spacing w:line="312" w:lineRule="auto"/>
        <w:ind w:firstLine="420" w:firstLineChars="200"/>
        <w:rPr>
          <w:rFonts w:hint="eastAsia" w:ascii="宋体" w:hAnsi="宋体"/>
          <w:bCs/>
          <w:color w:val="auto"/>
          <w:szCs w:val="21"/>
          <w:highlight w:val="none"/>
        </w:rPr>
      </w:pPr>
    </w:p>
    <w:p w14:paraId="24E086AF">
      <w:pPr>
        <w:pageBreakBefore w:val="0"/>
        <w:kinsoku/>
        <w:wordWrap/>
        <w:topLinePunct w:val="0"/>
        <w:bidi w:val="0"/>
        <w:spacing w:line="312" w:lineRule="auto"/>
        <w:ind w:firstLine="420" w:firstLineChars="200"/>
        <w:rPr>
          <w:rFonts w:hint="eastAsia" w:ascii="宋体" w:hAnsi="宋体"/>
          <w:bCs/>
          <w:color w:val="auto"/>
          <w:szCs w:val="21"/>
          <w:highlight w:val="none"/>
        </w:rPr>
      </w:pPr>
    </w:p>
    <w:p w14:paraId="031EFB54">
      <w:pPr>
        <w:pageBreakBefore w:val="0"/>
        <w:kinsoku/>
        <w:wordWrap/>
        <w:topLinePunct w:val="0"/>
        <w:bidi w:val="0"/>
        <w:spacing w:line="312" w:lineRule="auto"/>
        <w:ind w:firstLine="420" w:firstLineChars="200"/>
        <w:rPr>
          <w:rFonts w:hint="eastAsia" w:ascii="宋体" w:hAnsi="宋体"/>
          <w:bCs/>
          <w:color w:val="auto"/>
          <w:szCs w:val="21"/>
          <w:highlight w:val="none"/>
        </w:rPr>
      </w:pPr>
    </w:p>
    <w:p w14:paraId="68EEAD96">
      <w:pPr>
        <w:pageBreakBefore w:val="0"/>
        <w:kinsoku/>
        <w:wordWrap/>
        <w:topLinePunct w:val="0"/>
        <w:bidi w:val="0"/>
        <w:spacing w:line="312" w:lineRule="auto"/>
        <w:ind w:firstLine="420" w:firstLineChars="200"/>
        <w:rPr>
          <w:rFonts w:hint="eastAsia" w:ascii="宋体" w:hAnsi="宋体"/>
          <w:bCs/>
          <w:color w:val="auto"/>
          <w:szCs w:val="21"/>
          <w:highlight w:val="none"/>
        </w:rPr>
      </w:pPr>
    </w:p>
    <w:p w14:paraId="4FCC0263">
      <w:pPr>
        <w:pageBreakBefore w:val="0"/>
        <w:kinsoku/>
        <w:wordWrap/>
        <w:topLinePunct w:val="0"/>
        <w:bidi w:val="0"/>
        <w:spacing w:line="312" w:lineRule="auto"/>
        <w:ind w:firstLine="420" w:firstLineChars="200"/>
        <w:rPr>
          <w:rFonts w:hint="eastAsia" w:ascii="宋体" w:hAnsi="宋体"/>
          <w:bCs/>
          <w:color w:val="auto"/>
          <w:szCs w:val="21"/>
          <w:highlight w:val="none"/>
        </w:rPr>
      </w:pPr>
    </w:p>
    <w:p w14:paraId="73D42C86">
      <w:pPr>
        <w:pageBreakBefore w:val="0"/>
        <w:kinsoku/>
        <w:wordWrap/>
        <w:topLinePunct w:val="0"/>
        <w:bidi w:val="0"/>
        <w:spacing w:line="312" w:lineRule="auto"/>
        <w:ind w:firstLine="420" w:firstLineChars="200"/>
        <w:rPr>
          <w:rFonts w:hint="eastAsia" w:ascii="宋体" w:hAnsi="宋体"/>
          <w:bCs/>
          <w:color w:val="auto"/>
          <w:szCs w:val="21"/>
          <w:highlight w:val="none"/>
        </w:rPr>
      </w:pPr>
    </w:p>
    <w:p w14:paraId="7DE8BB54">
      <w:pPr>
        <w:pageBreakBefore w:val="0"/>
        <w:kinsoku/>
        <w:wordWrap/>
        <w:topLinePunct w:val="0"/>
        <w:bidi w:val="0"/>
        <w:spacing w:line="312" w:lineRule="auto"/>
        <w:ind w:firstLine="420" w:firstLineChars="200"/>
        <w:rPr>
          <w:rFonts w:hint="eastAsia" w:ascii="宋体" w:hAnsi="宋体"/>
          <w:bCs/>
          <w:color w:val="auto"/>
          <w:szCs w:val="21"/>
          <w:highlight w:val="none"/>
        </w:rPr>
      </w:pPr>
    </w:p>
    <w:p w14:paraId="73CE86FB">
      <w:pPr>
        <w:pageBreakBefore w:val="0"/>
        <w:kinsoku/>
        <w:wordWrap/>
        <w:topLinePunct w:val="0"/>
        <w:bidi w:val="0"/>
        <w:spacing w:line="312" w:lineRule="auto"/>
        <w:ind w:firstLine="420" w:firstLineChars="200"/>
        <w:rPr>
          <w:rFonts w:hint="eastAsia" w:ascii="宋体" w:hAnsi="宋体"/>
          <w:bCs/>
          <w:color w:val="auto"/>
          <w:szCs w:val="21"/>
          <w:highlight w:val="none"/>
        </w:rPr>
      </w:pPr>
    </w:p>
    <w:p w14:paraId="05FE06E7">
      <w:pPr>
        <w:pageBreakBefore w:val="0"/>
        <w:kinsoku/>
        <w:wordWrap/>
        <w:topLinePunct w:val="0"/>
        <w:bidi w:val="0"/>
        <w:spacing w:line="312" w:lineRule="auto"/>
        <w:ind w:firstLine="420" w:firstLineChars="200"/>
        <w:rPr>
          <w:rFonts w:hint="eastAsia" w:ascii="宋体" w:hAnsi="宋体"/>
          <w:bCs/>
          <w:color w:val="auto"/>
          <w:szCs w:val="21"/>
          <w:highlight w:val="none"/>
        </w:rPr>
      </w:pPr>
    </w:p>
    <w:p w14:paraId="1B4FE5C6">
      <w:pPr>
        <w:pageBreakBefore w:val="0"/>
        <w:kinsoku/>
        <w:wordWrap/>
        <w:topLinePunct w:val="0"/>
        <w:bidi w:val="0"/>
        <w:spacing w:line="312" w:lineRule="auto"/>
        <w:ind w:firstLine="420" w:firstLineChars="200"/>
        <w:rPr>
          <w:rFonts w:hint="eastAsia" w:ascii="宋体" w:hAnsi="宋体"/>
          <w:bCs/>
          <w:color w:val="auto"/>
          <w:szCs w:val="21"/>
          <w:highlight w:val="none"/>
        </w:rPr>
      </w:pPr>
    </w:p>
    <w:p w14:paraId="68B09432">
      <w:pPr>
        <w:pageBreakBefore w:val="0"/>
        <w:kinsoku/>
        <w:wordWrap/>
        <w:topLinePunct w:val="0"/>
        <w:bidi w:val="0"/>
        <w:spacing w:line="312" w:lineRule="auto"/>
        <w:ind w:firstLine="420" w:firstLineChars="200"/>
        <w:rPr>
          <w:rFonts w:hint="eastAsia" w:ascii="宋体" w:hAnsi="宋体"/>
          <w:bCs/>
          <w:color w:val="auto"/>
          <w:szCs w:val="21"/>
          <w:highlight w:val="none"/>
        </w:rPr>
      </w:pPr>
    </w:p>
    <w:p w14:paraId="398366F6">
      <w:pPr>
        <w:pageBreakBefore w:val="0"/>
        <w:kinsoku/>
        <w:wordWrap/>
        <w:topLinePunct w:val="0"/>
        <w:bidi w:val="0"/>
        <w:spacing w:line="312" w:lineRule="auto"/>
        <w:ind w:firstLine="420" w:firstLineChars="200"/>
        <w:rPr>
          <w:rFonts w:hint="eastAsia" w:ascii="宋体" w:hAnsi="宋体"/>
          <w:bCs/>
          <w:color w:val="auto"/>
          <w:szCs w:val="21"/>
          <w:highlight w:val="none"/>
        </w:rPr>
      </w:pPr>
    </w:p>
    <w:p w14:paraId="6648C6CC">
      <w:pPr>
        <w:pageBreakBefore w:val="0"/>
        <w:kinsoku/>
        <w:wordWrap/>
        <w:topLinePunct w:val="0"/>
        <w:bidi w:val="0"/>
        <w:spacing w:line="312" w:lineRule="auto"/>
        <w:ind w:firstLine="420" w:firstLineChars="200"/>
        <w:rPr>
          <w:rFonts w:hint="eastAsia" w:ascii="宋体" w:hAnsi="宋体"/>
          <w:bCs/>
          <w:color w:val="auto"/>
          <w:szCs w:val="21"/>
          <w:highlight w:val="none"/>
        </w:rPr>
      </w:pPr>
    </w:p>
    <w:p w14:paraId="0CBD84CB">
      <w:pPr>
        <w:pageBreakBefore w:val="0"/>
        <w:kinsoku/>
        <w:wordWrap/>
        <w:topLinePunct w:val="0"/>
        <w:bidi w:val="0"/>
        <w:spacing w:line="312" w:lineRule="auto"/>
        <w:ind w:firstLine="420" w:firstLineChars="200"/>
        <w:rPr>
          <w:rFonts w:hint="eastAsia" w:ascii="宋体" w:hAnsi="宋体"/>
          <w:bCs/>
          <w:color w:val="auto"/>
          <w:szCs w:val="21"/>
          <w:highlight w:val="none"/>
        </w:rPr>
      </w:pPr>
    </w:p>
    <w:p w14:paraId="2D901CAC">
      <w:pPr>
        <w:pageBreakBefore w:val="0"/>
        <w:kinsoku/>
        <w:wordWrap/>
        <w:topLinePunct w:val="0"/>
        <w:bidi w:val="0"/>
        <w:spacing w:line="312" w:lineRule="auto"/>
        <w:ind w:firstLine="420" w:firstLineChars="200"/>
        <w:rPr>
          <w:rFonts w:hint="eastAsia" w:ascii="宋体" w:hAnsi="宋体"/>
          <w:bCs/>
          <w:color w:val="auto"/>
          <w:szCs w:val="21"/>
          <w:highlight w:val="none"/>
        </w:rPr>
      </w:pPr>
    </w:p>
    <w:p w14:paraId="6E90468F">
      <w:pPr>
        <w:pageBreakBefore w:val="0"/>
        <w:kinsoku/>
        <w:wordWrap/>
        <w:topLinePunct w:val="0"/>
        <w:bidi w:val="0"/>
        <w:spacing w:line="312" w:lineRule="auto"/>
        <w:ind w:firstLine="420" w:firstLineChars="200"/>
        <w:rPr>
          <w:rFonts w:hint="eastAsia" w:ascii="宋体" w:hAnsi="宋体"/>
          <w:bCs/>
          <w:color w:val="auto"/>
          <w:szCs w:val="21"/>
          <w:highlight w:val="none"/>
        </w:rPr>
      </w:pPr>
    </w:p>
    <w:p w14:paraId="5A09A1E3">
      <w:pPr>
        <w:pageBreakBefore w:val="0"/>
        <w:kinsoku/>
        <w:wordWrap/>
        <w:topLinePunct w:val="0"/>
        <w:bidi w:val="0"/>
        <w:spacing w:line="312" w:lineRule="auto"/>
        <w:ind w:firstLine="420" w:firstLineChars="200"/>
        <w:rPr>
          <w:rFonts w:hint="eastAsia" w:ascii="宋体" w:hAnsi="宋体"/>
          <w:bCs/>
          <w:color w:val="auto"/>
          <w:szCs w:val="21"/>
          <w:highlight w:val="none"/>
        </w:rPr>
      </w:pPr>
    </w:p>
    <w:p w14:paraId="1A67F851">
      <w:pPr>
        <w:pStyle w:val="3"/>
        <w:pageBreakBefore w:val="0"/>
        <w:kinsoku/>
        <w:wordWrap/>
        <w:topLinePunct w:val="0"/>
        <w:bidi w:val="0"/>
        <w:spacing w:line="312" w:lineRule="auto"/>
        <w:jc w:val="center"/>
        <w:outlineLvl w:val="0"/>
        <w:rPr>
          <w:rFonts w:hint="eastAsia"/>
          <w:color w:val="auto"/>
          <w:highlight w:val="none"/>
        </w:rPr>
      </w:pPr>
      <w:bookmarkStart w:id="91" w:name="_Toc23994"/>
      <w:bookmarkStart w:id="92" w:name="_Toc15054"/>
      <w:r>
        <w:rPr>
          <w:rFonts w:hint="eastAsia"/>
          <w:color w:val="auto"/>
          <w:highlight w:val="none"/>
        </w:rPr>
        <w:t>第</w:t>
      </w:r>
      <w:r>
        <w:rPr>
          <w:rFonts w:hint="eastAsia"/>
          <w:color w:val="auto"/>
          <w:highlight w:val="none"/>
          <w:lang w:val="en-US" w:eastAsia="zh-CN"/>
        </w:rPr>
        <w:t>五</w:t>
      </w:r>
      <w:r>
        <w:rPr>
          <w:rFonts w:hint="eastAsia"/>
          <w:color w:val="auto"/>
          <w:highlight w:val="none"/>
        </w:rPr>
        <w:t>章 响应文件格式</w:t>
      </w:r>
      <w:bookmarkEnd w:id="91"/>
      <w:bookmarkEnd w:id="92"/>
    </w:p>
    <w:p w14:paraId="4D21DAEF">
      <w:pPr>
        <w:rPr>
          <w:rFonts w:hint="eastAsia"/>
        </w:rPr>
      </w:pPr>
    </w:p>
    <w:p w14:paraId="5361390E">
      <w:pPr>
        <w:pageBreakBefore w:val="0"/>
        <w:kinsoku/>
        <w:wordWrap/>
        <w:topLinePunct w:val="0"/>
        <w:bidi w:val="0"/>
        <w:snapToGrid w:val="0"/>
        <w:spacing w:before="120" w:beforeLines="50" w:after="50" w:line="312" w:lineRule="auto"/>
        <w:outlineLvl w:val="0"/>
        <w:rPr>
          <w:rFonts w:hint="eastAsia" w:ascii="宋体" w:hAnsi="宋体"/>
          <w:b/>
          <w:bCs/>
          <w:color w:val="auto"/>
          <w:sz w:val="32"/>
          <w:szCs w:val="32"/>
          <w:highlight w:val="none"/>
        </w:rPr>
      </w:pPr>
      <w:bookmarkStart w:id="93" w:name="_Toc31728084"/>
      <w:bookmarkStart w:id="94" w:name="_Toc35611438"/>
      <w:bookmarkStart w:id="95" w:name="_Toc31108"/>
      <w:bookmarkStart w:id="96" w:name="_Toc44229899"/>
      <w:bookmarkStart w:id="97" w:name="_Toc35611516"/>
      <w:bookmarkStart w:id="98" w:name="_Toc31723070"/>
      <w:bookmarkStart w:id="99" w:name="_Toc5378"/>
      <w:r>
        <w:rPr>
          <w:rFonts w:hint="eastAsia" w:ascii="宋体" w:hAnsi="宋体"/>
          <w:b/>
          <w:bCs/>
          <w:color w:val="auto"/>
          <w:sz w:val="32"/>
          <w:szCs w:val="32"/>
          <w:highlight w:val="none"/>
        </w:rPr>
        <w:t>一、资格证明文件格式</w:t>
      </w:r>
      <w:bookmarkEnd w:id="93"/>
      <w:bookmarkEnd w:id="94"/>
      <w:bookmarkEnd w:id="95"/>
      <w:bookmarkEnd w:id="96"/>
      <w:bookmarkEnd w:id="97"/>
      <w:bookmarkEnd w:id="98"/>
      <w:bookmarkEnd w:id="99"/>
    </w:p>
    <w:p w14:paraId="0095B1A5">
      <w:pPr>
        <w:pageBreakBefore w:val="0"/>
        <w:kinsoku/>
        <w:wordWrap/>
        <w:topLinePunct w:val="0"/>
        <w:bidi w:val="0"/>
        <w:snapToGrid w:val="0"/>
        <w:spacing w:before="120" w:beforeLines="50" w:after="50" w:line="312" w:lineRule="auto"/>
        <w:jc w:val="left"/>
        <w:outlineLvl w:val="1"/>
        <w:rPr>
          <w:rFonts w:hint="eastAsia" w:ascii="宋体" w:hAnsi="宋体"/>
          <w:b/>
          <w:color w:val="auto"/>
          <w:sz w:val="24"/>
          <w:highlight w:val="none"/>
        </w:rPr>
      </w:pPr>
      <w:r>
        <w:rPr>
          <w:rFonts w:hint="eastAsia" w:ascii="宋体" w:hAnsi="宋体"/>
          <w:b/>
          <w:color w:val="auto"/>
          <w:sz w:val="32"/>
          <w:szCs w:val="32"/>
          <w:highlight w:val="none"/>
        </w:rPr>
        <w:t>1.资格证明文件封面格式：</w:t>
      </w:r>
      <w:r>
        <w:rPr>
          <w:rFonts w:hint="eastAsia" w:ascii="宋体" w:hAnsi="宋体"/>
          <w:b/>
          <w:color w:val="auto"/>
          <w:sz w:val="24"/>
          <w:highlight w:val="none"/>
        </w:rPr>
        <w:t xml:space="preserve"> </w:t>
      </w:r>
    </w:p>
    <w:p w14:paraId="6C840601">
      <w:pPr>
        <w:pageBreakBefore w:val="0"/>
        <w:kinsoku/>
        <w:wordWrap/>
        <w:topLinePunct w:val="0"/>
        <w:bidi w:val="0"/>
        <w:snapToGrid w:val="0"/>
        <w:spacing w:before="120" w:beforeLines="50" w:after="50" w:line="312" w:lineRule="auto"/>
        <w:rPr>
          <w:rFonts w:hint="eastAsia" w:ascii="宋体" w:hAnsi="宋体"/>
          <w:color w:val="auto"/>
          <w:sz w:val="24"/>
          <w:highlight w:val="none"/>
        </w:rPr>
      </w:pPr>
      <w:r>
        <w:rPr>
          <w:rFonts w:hint="eastAsia" w:ascii="宋体" w:hAnsi="宋体"/>
          <w:color w:val="auto"/>
          <w:sz w:val="24"/>
          <w:highlight w:val="none"/>
        </w:rPr>
        <w:t xml:space="preserve">                                       </w:t>
      </w:r>
    </w:p>
    <w:p w14:paraId="788E2DEE">
      <w:pPr>
        <w:pageBreakBefore w:val="0"/>
        <w:kinsoku/>
        <w:wordWrap/>
        <w:topLinePunct w:val="0"/>
        <w:bidi w:val="0"/>
        <w:snapToGrid w:val="0"/>
        <w:spacing w:before="120" w:beforeLines="50" w:after="50" w:line="312" w:lineRule="auto"/>
        <w:rPr>
          <w:rFonts w:hint="eastAsia" w:ascii="宋体" w:hAnsi="宋体"/>
          <w:bCs/>
          <w:color w:val="auto"/>
          <w:sz w:val="32"/>
          <w:szCs w:val="20"/>
          <w:highlight w:val="none"/>
        </w:rPr>
      </w:pPr>
      <w:r>
        <w:rPr>
          <w:rFonts w:hint="eastAsia" w:ascii="宋体" w:hAnsi="宋体"/>
          <w:color w:val="auto"/>
          <w:sz w:val="24"/>
          <w:highlight w:val="none"/>
        </w:rPr>
        <w:t xml:space="preserve">             </w:t>
      </w:r>
    </w:p>
    <w:p w14:paraId="2516109B">
      <w:pPr>
        <w:pageBreakBefore w:val="0"/>
        <w:kinsoku/>
        <w:wordWrap/>
        <w:topLinePunct w:val="0"/>
        <w:bidi w:val="0"/>
        <w:snapToGrid w:val="0"/>
        <w:spacing w:before="120" w:beforeLines="50" w:after="50" w:line="312" w:lineRule="auto"/>
        <w:rPr>
          <w:rFonts w:hint="eastAsia" w:ascii="宋体" w:hAnsi="宋体"/>
          <w:color w:val="auto"/>
          <w:sz w:val="24"/>
          <w:szCs w:val="20"/>
          <w:highlight w:val="none"/>
        </w:rPr>
      </w:pPr>
    </w:p>
    <w:p w14:paraId="08C71050">
      <w:pPr>
        <w:pageBreakBefore w:val="0"/>
        <w:kinsoku/>
        <w:wordWrap/>
        <w:topLinePunct w:val="0"/>
        <w:bidi w:val="0"/>
        <w:snapToGrid w:val="0"/>
        <w:spacing w:before="120" w:beforeLines="50" w:after="50" w:line="312" w:lineRule="auto"/>
        <w:rPr>
          <w:rFonts w:hint="eastAsia" w:ascii="宋体" w:hAnsi="宋体"/>
          <w:color w:val="auto"/>
          <w:sz w:val="24"/>
          <w:szCs w:val="20"/>
          <w:highlight w:val="none"/>
        </w:rPr>
      </w:pPr>
    </w:p>
    <w:p w14:paraId="76160886">
      <w:pPr>
        <w:pageBreakBefore w:val="0"/>
        <w:kinsoku/>
        <w:wordWrap/>
        <w:topLinePunct w:val="0"/>
        <w:bidi w:val="0"/>
        <w:snapToGrid w:val="0"/>
        <w:spacing w:before="120" w:beforeLines="50" w:after="50" w:line="312" w:lineRule="auto"/>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资  格  证  明  文  件</w:t>
      </w:r>
    </w:p>
    <w:p w14:paraId="751AF78E">
      <w:pPr>
        <w:pageBreakBefore w:val="0"/>
        <w:kinsoku/>
        <w:wordWrap/>
        <w:topLinePunct w:val="0"/>
        <w:bidi w:val="0"/>
        <w:snapToGrid w:val="0"/>
        <w:spacing w:before="120" w:beforeLines="50" w:after="50" w:line="312" w:lineRule="auto"/>
        <w:rPr>
          <w:rFonts w:hint="eastAsia" w:ascii="宋体" w:hAnsi="宋体"/>
          <w:bCs/>
          <w:color w:val="auto"/>
          <w:sz w:val="24"/>
          <w:szCs w:val="20"/>
          <w:highlight w:val="none"/>
        </w:rPr>
      </w:pPr>
    </w:p>
    <w:p w14:paraId="2A2FBCDB">
      <w:pPr>
        <w:pageBreakBefore w:val="0"/>
        <w:kinsoku/>
        <w:wordWrap/>
        <w:topLinePunct w:val="0"/>
        <w:bidi w:val="0"/>
        <w:snapToGrid w:val="0"/>
        <w:spacing w:before="120" w:beforeLines="50" w:after="50" w:line="312" w:lineRule="auto"/>
        <w:rPr>
          <w:rFonts w:hint="eastAsia" w:ascii="宋体" w:hAnsi="宋体"/>
          <w:bCs/>
          <w:color w:val="auto"/>
          <w:sz w:val="24"/>
          <w:szCs w:val="20"/>
          <w:highlight w:val="none"/>
        </w:rPr>
      </w:pPr>
    </w:p>
    <w:p w14:paraId="195AF48E">
      <w:pPr>
        <w:pageBreakBefore w:val="0"/>
        <w:kinsoku/>
        <w:wordWrap/>
        <w:topLinePunct w:val="0"/>
        <w:bidi w:val="0"/>
        <w:snapToGrid w:val="0"/>
        <w:spacing w:before="120" w:beforeLines="50" w:after="50" w:line="312" w:lineRule="auto"/>
        <w:rPr>
          <w:rFonts w:hint="eastAsia" w:ascii="宋体" w:hAnsi="宋体"/>
          <w:bCs/>
          <w:color w:val="auto"/>
          <w:sz w:val="24"/>
          <w:szCs w:val="20"/>
          <w:highlight w:val="none"/>
        </w:rPr>
      </w:pPr>
    </w:p>
    <w:p w14:paraId="5F326D7D">
      <w:pPr>
        <w:pageBreakBefore w:val="0"/>
        <w:kinsoku/>
        <w:wordWrap/>
        <w:topLinePunct w:val="0"/>
        <w:bidi w:val="0"/>
        <w:snapToGrid w:val="0"/>
        <w:spacing w:before="120" w:beforeLines="50" w:after="50" w:line="312" w:lineRule="auto"/>
        <w:rPr>
          <w:rFonts w:hint="eastAsia" w:ascii="宋体" w:hAnsi="宋体"/>
          <w:bCs/>
          <w:color w:val="auto"/>
          <w:sz w:val="24"/>
          <w:szCs w:val="20"/>
          <w:highlight w:val="none"/>
        </w:rPr>
      </w:pPr>
    </w:p>
    <w:p w14:paraId="5534C5C7">
      <w:pPr>
        <w:pageBreakBefore w:val="0"/>
        <w:kinsoku/>
        <w:wordWrap/>
        <w:topLinePunct w:val="0"/>
        <w:bidi w:val="0"/>
        <w:snapToGrid w:val="0"/>
        <w:spacing w:before="120" w:beforeLines="50" w:after="50" w:line="312" w:lineRule="auto"/>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5D41186C">
      <w:pPr>
        <w:pageBreakBefore w:val="0"/>
        <w:kinsoku/>
        <w:wordWrap/>
        <w:topLinePunct w:val="0"/>
        <w:bidi w:val="0"/>
        <w:snapToGrid w:val="0"/>
        <w:spacing w:before="120" w:beforeLines="50" w:after="50" w:line="312" w:lineRule="auto"/>
        <w:ind w:firstLine="720" w:firstLineChars="225"/>
        <w:rPr>
          <w:rFonts w:hint="eastAsia" w:ascii="宋体" w:hAnsi="宋体" w:cs="仿宋_GB2312"/>
          <w:bCs/>
          <w:color w:val="auto"/>
          <w:sz w:val="32"/>
          <w:szCs w:val="32"/>
          <w:highlight w:val="none"/>
        </w:rPr>
      </w:pPr>
    </w:p>
    <w:p w14:paraId="5070682E">
      <w:pPr>
        <w:pageBreakBefore w:val="0"/>
        <w:kinsoku/>
        <w:wordWrap/>
        <w:topLinePunct w:val="0"/>
        <w:bidi w:val="0"/>
        <w:snapToGrid w:val="0"/>
        <w:spacing w:before="120" w:beforeLines="50" w:after="50" w:line="312" w:lineRule="auto"/>
        <w:ind w:firstLine="720" w:firstLineChars="225"/>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79CE307E">
      <w:pPr>
        <w:pageBreakBefore w:val="0"/>
        <w:kinsoku/>
        <w:wordWrap/>
        <w:topLinePunct w:val="0"/>
        <w:bidi w:val="0"/>
        <w:snapToGrid w:val="0"/>
        <w:spacing w:before="120" w:beforeLines="50" w:after="50" w:line="312" w:lineRule="auto"/>
        <w:ind w:firstLine="720" w:firstLineChars="225"/>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 xml:space="preserve"> </w:t>
      </w:r>
    </w:p>
    <w:p w14:paraId="4CD2D928">
      <w:pPr>
        <w:pageBreakBefore w:val="0"/>
        <w:kinsoku/>
        <w:wordWrap/>
        <w:topLinePunct w:val="0"/>
        <w:bidi w:val="0"/>
        <w:snapToGrid w:val="0"/>
        <w:spacing w:before="120" w:beforeLines="50" w:after="50" w:line="312" w:lineRule="auto"/>
        <w:ind w:firstLine="720" w:firstLineChars="225"/>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05C52184">
      <w:pPr>
        <w:pageBreakBefore w:val="0"/>
        <w:kinsoku/>
        <w:wordWrap/>
        <w:topLinePunct w:val="0"/>
        <w:bidi w:val="0"/>
        <w:snapToGrid w:val="0"/>
        <w:spacing w:before="120" w:beforeLines="50" w:after="50" w:line="312" w:lineRule="auto"/>
        <w:ind w:firstLine="720" w:firstLineChars="225"/>
        <w:rPr>
          <w:rFonts w:hint="eastAsia" w:ascii="宋体" w:hAnsi="宋体" w:cs="仿宋_GB2312"/>
          <w:bCs/>
          <w:color w:val="auto"/>
          <w:sz w:val="32"/>
          <w:szCs w:val="32"/>
          <w:highlight w:val="none"/>
        </w:rPr>
      </w:pPr>
    </w:p>
    <w:p w14:paraId="775A3290">
      <w:pPr>
        <w:pStyle w:val="7"/>
        <w:pageBreakBefore w:val="0"/>
        <w:kinsoku/>
        <w:wordWrap/>
        <w:topLinePunct w:val="0"/>
        <w:bidi w:val="0"/>
        <w:snapToGrid w:val="0"/>
        <w:spacing w:before="50" w:after="50" w:line="312" w:lineRule="auto"/>
        <w:ind w:firstLine="720" w:firstLineChars="225"/>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6509CC66">
      <w:pPr>
        <w:pStyle w:val="7"/>
        <w:pageBreakBefore w:val="0"/>
        <w:kinsoku/>
        <w:wordWrap/>
        <w:topLinePunct w:val="0"/>
        <w:bidi w:val="0"/>
        <w:snapToGrid w:val="0"/>
        <w:spacing w:before="50" w:after="50" w:line="312" w:lineRule="auto"/>
        <w:ind w:left="0" w:leftChars="0" w:firstLine="0" w:firstLineChars="0"/>
        <w:rPr>
          <w:rFonts w:hint="eastAsia" w:ascii="宋体" w:hAnsi="宋体" w:cs="仿宋_GB2312"/>
          <w:bCs/>
          <w:color w:val="auto"/>
          <w:sz w:val="32"/>
          <w:szCs w:val="32"/>
          <w:highlight w:val="none"/>
        </w:rPr>
      </w:pPr>
    </w:p>
    <w:p w14:paraId="1F26B2DD">
      <w:pPr>
        <w:pageBreakBefore w:val="0"/>
        <w:kinsoku/>
        <w:wordWrap/>
        <w:topLinePunct w:val="0"/>
        <w:bidi w:val="0"/>
        <w:snapToGrid w:val="0"/>
        <w:spacing w:before="120" w:beforeLines="50" w:after="50" w:line="312" w:lineRule="auto"/>
        <w:jc w:val="center"/>
        <w:rPr>
          <w:rFonts w:hint="eastAsia"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74965E0F">
      <w:pPr>
        <w:pageBreakBefore w:val="0"/>
        <w:kinsoku/>
        <w:wordWrap/>
        <w:topLinePunct w:val="0"/>
        <w:bidi w:val="0"/>
        <w:snapToGrid w:val="0"/>
        <w:spacing w:before="120" w:beforeLines="50" w:after="50" w:line="312" w:lineRule="auto"/>
        <w:ind w:left="142" w:leftChars="0"/>
        <w:jc w:val="left"/>
        <w:outlineLvl w:val="1"/>
        <w:rPr>
          <w:rFonts w:hint="eastAsia" w:ascii="宋体" w:hAnsi="宋体"/>
          <w:b/>
          <w:bCs/>
          <w:color w:val="auto"/>
          <w:sz w:val="30"/>
          <w:szCs w:val="30"/>
          <w:highlight w:val="none"/>
        </w:rPr>
      </w:pPr>
      <w:r>
        <w:rPr>
          <w:rFonts w:hint="eastAsia" w:ascii="宋体" w:hAnsi="宋体"/>
          <w:b/>
          <w:bCs/>
          <w:color w:val="auto"/>
          <w:sz w:val="30"/>
          <w:szCs w:val="30"/>
          <w:highlight w:val="none"/>
        </w:rPr>
        <w:t>2.资格证明文件目录</w:t>
      </w:r>
    </w:p>
    <w:p w14:paraId="1C8FF577">
      <w:pPr>
        <w:pageBreakBefore w:val="0"/>
        <w:kinsoku/>
        <w:wordWrap/>
        <w:topLinePunct w:val="0"/>
        <w:bidi w:val="0"/>
        <w:snapToGrid w:val="0"/>
        <w:spacing w:before="120" w:beforeLines="50" w:after="50" w:line="312" w:lineRule="auto"/>
        <w:ind w:firstLine="645"/>
        <w:rPr>
          <w:rFonts w:hint="eastAsia" w:ascii="宋体" w:hAnsi="宋体"/>
          <w:color w:val="auto"/>
          <w:sz w:val="30"/>
          <w:szCs w:val="30"/>
          <w:highlight w:val="none"/>
        </w:rPr>
      </w:pPr>
      <w:r>
        <w:rPr>
          <w:rFonts w:hint="eastAsia" w:ascii="宋体" w:hAnsi="宋体"/>
          <w:color w:val="auto"/>
          <w:sz w:val="30"/>
          <w:szCs w:val="30"/>
          <w:highlight w:val="none"/>
        </w:rPr>
        <w:t>根据磋商文件规定及供应商提供的材料自行编写目录（部分格式后附）。</w:t>
      </w:r>
    </w:p>
    <w:p w14:paraId="41CFB3D1">
      <w:pPr>
        <w:keepNext/>
        <w:keepLines/>
        <w:pageBreakBefore w:val="0"/>
        <w:widowControl w:val="0"/>
        <w:kinsoku/>
        <w:wordWrap/>
        <w:topLinePunct w:val="0"/>
        <w:bidi w:val="0"/>
        <w:spacing w:before="340" w:after="330" w:line="312" w:lineRule="auto"/>
        <w:jc w:val="both"/>
        <w:outlineLvl w:val="9"/>
        <w:rPr>
          <w:rFonts w:hint="eastAsia" w:ascii="宋体" w:hAnsi="宋体" w:eastAsia="宋体" w:cs="Times New Roman"/>
          <w:b/>
          <w:bCs/>
          <w:color w:val="auto"/>
          <w:kern w:val="44"/>
          <w:sz w:val="32"/>
          <w:szCs w:val="32"/>
          <w:highlight w:val="none"/>
          <w:lang w:val="en-US" w:eastAsia="zh-CN" w:bidi="ar-SA"/>
        </w:rPr>
      </w:pPr>
    </w:p>
    <w:p w14:paraId="280D5F48">
      <w:pPr>
        <w:pageBreakBefore w:val="0"/>
        <w:kinsoku/>
        <w:wordWrap/>
        <w:topLinePunct w:val="0"/>
        <w:bidi w:val="0"/>
        <w:spacing w:line="312" w:lineRule="auto"/>
        <w:rPr>
          <w:rFonts w:hint="eastAsia" w:ascii="宋体" w:hAnsi="宋体"/>
          <w:color w:val="auto"/>
          <w:sz w:val="32"/>
          <w:szCs w:val="32"/>
          <w:highlight w:val="none"/>
        </w:rPr>
      </w:pPr>
    </w:p>
    <w:p w14:paraId="55FAF899">
      <w:pPr>
        <w:keepNext/>
        <w:keepLines/>
        <w:pageBreakBefore w:val="0"/>
        <w:widowControl w:val="0"/>
        <w:kinsoku/>
        <w:wordWrap/>
        <w:topLinePunct w:val="0"/>
        <w:bidi w:val="0"/>
        <w:spacing w:before="340" w:after="330" w:line="312" w:lineRule="auto"/>
        <w:jc w:val="both"/>
        <w:outlineLvl w:val="9"/>
        <w:rPr>
          <w:rFonts w:hint="eastAsia" w:ascii="宋体" w:hAnsi="宋体" w:eastAsia="宋体" w:cs="Times New Roman"/>
          <w:b/>
          <w:bCs/>
          <w:color w:val="auto"/>
          <w:kern w:val="44"/>
          <w:sz w:val="32"/>
          <w:szCs w:val="32"/>
          <w:highlight w:val="none"/>
          <w:lang w:val="en-US" w:eastAsia="zh-CN" w:bidi="ar-SA"/>
        </w:rPr>
      </w:pPr>
    </w:p>
    <w:p w14:paraId="6D2681C1">
      <w:pPr>
        <w:pageBreakBefore w:val="0"/>
        <w:kinsoku/>
        <w:wordWrap/>
        <w:topLinePunct w:val="0"/>
        <w:bidi w:val="0"/>
        <w:spacing w:line="312" w:lineRule="auto"/>
        <w:rPr>
          <w:rFonts w:hint="eastAsia" w:ascii="宋体" w:hAnsi="宋体"/>
          <w:color w:val="auto"/>
          <w:sz w:val="32"/>
          <w:szCs w:val="32"/>
          <w:highlight w:val="none"/>
        </w:rPr>
      </w:pPr>
    </w:p>
    <w:p w14:paraId="76B16E11">
      <w:pPr>
        <w:keepNext/>
        <w:keepLines/>
        <w:pageBreakBefore w:val="0"/>
        <w:widowControl w:val="0"/>
        <w:kinsoku/>
        <w:wordWrap/>
        <w:topLinePunct w:val="0"/>
        <w:bidi w:val="0"/>
        <w:spacing w:before="340" w:after="330" w:line="312" w:lineRule="auto"/>
        <w:jc w:val="both"/>
        <w:outlineLvl w:val="9"/>
        <w:rPr>
          <w:rFonts w:hint="eastAsia" w:ascii="宋体" w:hAnsi="宋体" w:eastAsia="宋体" w:cs="Times New Roman"/>
          <w:b/>
          <w:bCs/>
          <w:color w:val="auto"/>
          <w:kern w:val="44"/>
          <w:sz w:val="32"/>
          <w:szCs w:val="32"/>
          <w:highlight w:val="none"/>
          <w:lang w:val="en-US" w:eastAsia="zh-CN" w:bidi="ar-SA"/>
        </w:rPr>
      </w:pPr>
    </w:p>
    <w:p w14:paraId="465CAB95">
      <w:pPr>
        <w:pageBreakBefore w:val="0"/>
        <w:kinsoku/>
        <w:wordWrap/>
        <w:topLinePunct w:val="0"/>
        <w:bidi w:val="0"/>
        <w:spacing w:line="312" w:lineRule="auto"/>
        <w:rPr>
          <w:rFonts w:hint="eastAsia" w:ascii="宋体" w:hAnsi="宋体"/>
          <w:color w:val="auto"/>
          <w:sz w:val="32"/>
          <w:szCs w:val="32"/>
          <w:highlight w:val="none"/>
        </w:rPr>
      </w:pPr>
    </w:p>
    <w:p w14:paraId="2BB901B9">
      <w:pPr>
        <w:keepNext/>
        <w:keepLines/>
        <w:pageBreakBefore w:val="0"/>
        <w:widowControl w:val="0"/>
        <w:kinsoku/>
        <w:wordWrap/>
        <w:topLinePunct w:val="0"/>
        <w:bidi w:val="0"/>
        <w:spacing w:before="340" w:after="330" w:line="312" w:lineRule="auto"/>
        <w:jc w:val="both"/>
        <w:outlineLvl w:val="9"/>
        <w:rPr>
          <w:rFonts w:hint="eastAsia" w:ascii="宋体" w:hAnsi="宋体" w:eastAsia="宋体" w:cs="Times New Roman"/>
          <w:b/>
          <w:bCs/>
          <w:color w:val="auto"/>
          <w:kern w:val="44"/>
          <w:sz w:val="32"/>
          <w:szCs w:val="32"/>
          <w:highlight w:val="none"/>
          <w:lang w:val="en-US" w:eastAsia="zh-CN" w:bidi="ar-SA"/>
        </w:rPr>
      </w:pPr>
    </w:p>
    <w:p w14:paraId="617D5BF3">
      <w:pPr>
        <w:rPr>
          <w:rFonts w:hint="eastAsia" w:ascii="宋体" w:hAnsi="宋体"/>
          <w:color w:val="auto"/>
          <w:sz w:val="32"/>
          <w:szCs w:val="32"/>
          <w:highlight w:val="none"/>
        </w:rPr>
      </w:pPr>
    </w:p>
    <w:p w14:paraId="3CFAA1C6">
      <w:pPr>
        <w:pStyle w:val="7"/>
        <w:rPr>
          <w:rFonts w:hint="eastAsia" w:ascii="宋体" w:hAnsi="宋体"/>
          <w:color w:val="auto"/>
          <w:sz w:val="32"/>
          <w:szCs w:val="32"/>
          <w:highlight w:val="none"/>
        </w:rPr>
      </w:pPr>
    </w:p>
    <w:p w14:paraId="2B6DD04D">
      <w:pPr>
        <w:pStyle w:val="7"/>
        <w:rPr>
          <w:rFonts w:hint="eastAsia" w:ascii="宋体" w:hAnsi="宋体"/>
          <w:color w:val="auto"/>
          <w:sz w:val="32"/>
          <w:szCs w:val="32"/>
          <w:highlight w:val="none"/>
        </w:rPr>
      </w:pPr>
    </w:p>
    <w:p w14:paraId="421D7AFC">
      <w:pPr>
        <w:pStyle w:val="7"/>
        <w:rPr>
          <w:rFonts w:hint="eastAsia" w:ascii="宋体" w:hAnsi="宋体"/>
          <w:color w:val="auto"/>
          <w:sz w:val="32"/>
          <w:szCs w:val="32"/>
          <w:highlight w:val="none"/>
        </w:rPr>
      </w:pPr>
    </w:p>
    <w:p w14:paraId="3C3320D8">
      <w:pPr>
        <w:pStyle w:val="7"/>
        <w:rPr>
          <w:rFonts w:hint="eastAsia" w:ascii="宋体" w:hAnsi="宋体"/>
          <w:color w:val="auto"/>
          <w:sz w:val="32"/>
          <w:szCs w:val="32"/>
          <w:highlight w:val="none"/>
        </w:rPr>
      </w:pPr>
    </w:p>
    <w:p w14:paraId="5B8A7C83">
      <w:pPr>
        <w:pageBreakBefore w:val="0"/>
        <w:kinsoku/>
        <w:wordWrap/>
        <w:topLinePunct w:val="0"/>
        <w:bidi w:val="0"/>
        <w:spacing w:line="312" w:lineRule="auto"/>
        <w:rPr>
          <w:rFonts w:hint="eastAsia" w:ascii="宋体" w:hAnsi="宋体"/>
          <w:color w:val="auto"/>
          <w:sz w:val="32"/>
          <w:szCs w:val="32"/>
          <w:highlight w:val="none"/>
        </w:rPr>
      </w:pPr>
    </w:p>
    <w:p w14:paraId="22832D91">
      <w:pPr>
        <w:keepNext/>
        <w:keepLines/>
        <w:pageBreakBefore w:val="0"/>
        <w:widowControl w:val="0"/>
        <w:kinsoku/>
        <w:wordWrap/>
        <w:topLinePunct w:val="0"/>
        <w:bidi w:val="0"/>
        <w:spacing w:before="340" w:after="330" w:line="312" w:lineRule="auto"/>
        <w:jc w:val="both"/>
        <w:outlineLvl w:val="9"/>
        <w:rPr>
          <w:rFonts w:hint="eastAsia" w:ascii="宋体" w:hAnsi="宋体" w:eastAsia="宋体" w:cs="Times New Roman"/>
          <w:b/>
          <w:bCs/>
          <w:color w:val="auto"/>
          <w:kern w:val="44"/>
          <w:sz w:val="32"/>
          <w:szCs w:val="32"/>
          <w:highlight w:val="none"/>
          <w:lang w:val="en-US" w:eastAsia="zh-CN" w:bidi="ar-SA"/>
        </w:rPr>
      </w:pPr>
    </w:p>
    <w:p w14:paraId="3F9040FF">
      <w:pPr>
        <w:pageBreakBefore w:val="0"/>
        <w:kinsoku/>
        <w:wordWrap/>
        <w:topLinePunct w:val="0"/>
        <w:bidi w:val="0"/>
        <w:spacing w:line="312" w:lineRule="auto"/>
        <w:rPr>
          <w:rFonts w:hint="eastAsia" w:ascii="宋体" w:hAnsi="宋体"/>
          <w:color w:val="auto"/>
          <w:sz w:val="32"/>
          <w:szCs w:val="32"/>
          <w:highlight w:val="none"/>
        </w:rPr>
      </w:pPr>
    </w:p>
    <w:p w14:paraId="0480BABD">
      <w:pPr>
        <w:pStyle w:val="2"/>
        <w:spacing w:before="156" w:beforeLines="50" w:line="360" w:lineRule="exact"/>
        <w:jc w:val="center"/>
        <w:outlineLvl w:val="2"/>
        <w:rPr>
          <w:rFonts w:hint="eastAsia" w:ascii="宋体" w:hAnsi="宋体" w:cs="宋体"/>
          <w:color w:val="auto"/>
          <w:sz w:val="30"/>
          <w:szCs w:val="30"/>
        </w:rPr>
      </w:pPr>
      <w:bookmarkStart w:id="100" w:name="_Toc18624"/>
      <w:bookmarkStart w:id="101" w:name="_Toc4866"/>
      <w:bookmarkStart w:id="102" w:name="_Toc403396862"/>
      <w:bookmarkStart w:id="103" w:name="_Toc361842862"/>
      <w:bookmarkStart w:id="104" w:name="_Toc20210534"/>
      <w:r>
        <w:rPr>
          <w:rFonts w:hint="eastAsia" w:ascii="宋体" w:hAnsi="宋体" w:cs="宋体"/>
          <w:color w:val="auto"/>
          <w:sz w:val="30"/>
          <w:szCs w:val="30"/>
        </w:rPr>
        <w:t>（</w:t>
      </w:r>
      <w:r>
        <w:rPr>
          <w:rFonts w:hint="eastAsia" w:ascii="宋体" w:hAnsi="宋体" w:cs="宋体"/>
          <w:color w:val="auto"/>
          <w:sz w:val="30"/>
          <w:szCs w:val="30"/>
          <w:highlight w:val="none"/>
          <w:lang w:val="en-US" w:eastAsia="zh-CN"/>
        </w:rPr>
        <w:t>一</w:t>
      </w:r>
      <w:r>
        <w:rPr>
          <w:rFonts w:hint="eastAsia" w:ascii="宋体" w:hAnsi="宋体" w:cs="宋体"/>
          <w:color w:val="auto"/>
          <w:sz w:val="30"/>
          <w:szCs w:val="30"/>
        </w:rPr>
        <w:t>）</w:t>
      </w:r>
      <w:r>
        <w:rPr>
          <w:rFonts w:hint="eastAsia" w:ascii="宋体" w:hAnsi="宋体" w:cs="宋体"/>
          <w:color w:val="auto"/>
          <w:kern w:val="0"/>
          <w:sz w:val="30"/>
          <w:szCs w:val="30"/>
        </w:rPr>
        <w:t>法定代表人身份证明或附有法定代表人身份证明的授权委托书</w:t>
      </w:r>
      <w:bookmarkEnd w:id="100"/>
      <w:bookmarkEnd w:id="101"/>
      <w:bookmarkEnd w:id="102"/>
      <w:bookmarkEnd w:id="103"/>
      <w:bookmarkEnd w:id="104"/>
    </w:p>
    <w:p w14:paraId="247C0884">
      <w:pPr>
        <w:pStyle w:val="2"/>
        <w:spacing w:before="312" w:beforeLines="100" w:after="468" w:afterLines="150" w:line="360" w:lineRule="exact"/>
        <w:jc w:val="center"/>
        <w:outlineLvl w:val="3"/>
        <w:rPr>
          <w:rFonts w:hint="eastAsia" w:ascii="宋体" w:hAnsi="宋体" w:cs="宋体"/>
          <w:color w:val="auto"/>
          <w:sz w:val="28"/>
          <w:szCs w:val="28"/>
        </w:rPr>
      </w:pPr>
      <w:bookmarkStart w:id="105" w:name="_Toc20210535"/>
      <w:bookmarkStart w:id="106" w:name="_Toc361842863"/>
      <w:bookmarkStart w:id="107" w:name="_Toc27506"/>
      <w:bookmarkStart w:id="108" w:name="_Toc403396863"/>
      <w:bookmarkStart w:id="109" w:name="_Toc234382962"/>
      <w:r>
        <w:rPr>
          <w:rFonts w:hint="eastAsia" w:ascii="宋体" w:hAnsi="宋体" w:cs="宋体"/>
          <w:color w:val="auto"/>
          <w:sz w:val="28"/>
          <w:szCs w:val="28"/>
        </w:rPr>
        <w:t>1、法定代表人身份证明</w:t>
      </w:r>
      <w:bookmarkEnd w:id="105"/>
      <w:bookmarkEnd w:id="106"/>
      <w:bookmarkEnd w:id="107"/>
      <w:bookmarkEnd w:id="108"/>
      <w:bookmarkEnd w:id="109"/>
    </w:p>
    <w:p w14:paraId="6E68A14F">
      <w:pPr>
        <w:rPr>
          <w:rFonts w:hint="eastAsia" w:ascii="宋体" w:hAnsi="宋体" w:cs="宋体"/>
          <w:color w:val="auto"/>
          <w:sz w:val="24"/>
        </w:rPr>
      </w:pPr>
    </w:p>
    <w:p w14:paraId="1464B316">
      <w:pPr>
        <w:rPr>
          <w:rFonts w:hint="eastAsia" w:ascii="宋体" w:hAnsi="宋体" w:cs="宋体"/>
          <w:color w:val="auto"/>
          <w:sz w:val="24"/>
        </w:rPr>
      </w:pPr>
    </w:p>
    <w:p w14:paraId="58B54F9F">
      <w:pPr>
        <w:spacing w:line="500" w:lineRule="exact"/>
        <w:rPr>
          <w:rFonts w:hint="eastAsia" w:ascii="宋体" w:hAnsi="宋体" w:cs="宋体"/>
          <w:color w:val="auto"/>
          <w:sz w:val="21"/>
          <w:szCs w:val="21"/>
        </w:rPr>
      </w:pPr>
      <w:r>
        <w:rPr>
          <w:rFonts w:hint="eastAsia" w:ascii="宋体" w:hAnsi="宋体" w:cs="宋体"/>
          <w:color w:val="auto"/>
          <w:sz w:val="21"/>
          <w:szCs w:val="21"/>
          <w:lang w:eastAsia="zh-CN"/>
        </w:rPr>
        <w:t>供应商</w:t>
      </w:r>
      <w:r>
        <w:rPr>
          <w:rFonts w:hint="eastAsia" w:ascii="宋体" w:hAnsi="宋体" w:cs="宋体"/>
          <w:color w:val="auto"/>
          <w:sz w:val="21"/>
          <w:szCs w:val="21"/>
        </w:rPr>
        <w:t>名称：</w:t>
      </w:r>
      <w:r>
        <w:rPr>
          <w:rFonts w:hint="eastAsia" w:ascii="宋体" w:hAnsi="宋体" w:cs="宋体"/>
          <w:color w:val="auto"/>
          <w:sz w:val="21"/>
          <w:szCs w:val="21"/>
          <w:u w:val="single"/>
        </w:rPr>
        <w:t xml:space="preserve">                        </w:t>
      </w:r>
    </w:p>
    <w:p w14:paraId="71186092">
      <w:pPr>
        <w:spacing w:line="500" w:lineRule="exact"/>
        <w:rPr>
          <w:rFonts w:hint="eastAsia" w:ascii="宋体" w:hAnsi="宋体" w:cs="宋体"/>
          <w:color w:val="auto"/>
          <w:sz w:val="21"/>
          <w:szCs w:val="21"/>
          <w:u w:val="single"/>
        </w:rPr>
      </w:pPr>
      <w:r>
        <w:rPr>
          <w:rFonts w:hint="eastAsia" w:ascii="宋体" w:hAnsi="宋体" w:cs="宋体"/>
          <w:color w:val="auto"/>
          <w:spacing w:val="40"/>
          <w:kern w:val="0"/>
          <w:sz w:val="21"/>
          <w:szCs w:val="21"/>
        </w:rPr>
        <w:t>单位性</w:t>
      </w:r>
      <w:r>
        <w:rPr>
          <w:rFonts w:hint="eastAsia" w:ascii="宋体" w:hAnsi="宋体" w:cs="宋体"/>
          <w:color w:val="auto"/>
          <w:kern w:val="0"/>
          <w:sz w:val="21"/>
          <w:szCs w:val="21"/>
        </w:rPr>
        <w:t>质</w:t>
      </w:r>
      <w:r>
        <w:rPr>
          <w:rFonts w:hint="eastAsia" w:ascii="宋体" w:hAnsi="宋体" w:cs="宋体"/>
          <w:color w:val="auto"/>
          <w:sz w:val="21"/>
          <w:szCs w:val="21"/>
        </w:rPr>
        <w:t>：</w:t>
      </w:r>
      <w:r>
        <w:rPr>
          <w:rFonts w:hint="eastAsia" w:ascii="宋体" w:hAnsi="宋体" w:cs="宋体"/>
          <w:color w:val="auto"/>
          <w:sz w:val="21"/>
          <w:szCs w:val="21"/>
          <w:u w:val="single"/>
        </w:rPr>
        <w:t xml:space="preserve">                        </w:t>
      </w:r>
    </w:p>
    <w:p w14:paraId="2F9D0B44">
      <w:pPr>
        <w:spacing w:line="500" w:lineRule="exact"/>
        <w:rPr>
          <w:rFonts w:hint="eastAsia" w:ascii="宋体" w:hAnsi="宋体" w:cs="宋体"/>
          <w:color w:val="auto"/>
          <w:sz w:val="21"/>
          <w:szCs w:val="21"/>
        </w:rPr>
      </w:pPr>
      <w:r>
        <w:rPr>
          <w:rFonts w:hint="eastAsia" w:ascii="宋体" w:hAnsi="宋体" w:cs="宋体"/>
          <w:color w:val="auto"/>
          <w:spacing w:val="360"/>
          <w:kern w:val="0"/>
          <w:sz w:val="21"/>
          <w:szCs w:val="21"/>
        </w:rPr>
        <w:t>地</w:t>
      </w:r>
      <w:r>
        <w:rPr>
          <w:rFonts w:hint="eastAsia" w:ascii="宋体" w:hAnsi="宋体" w:cs="宋体"/>
          <w:color w:val="auto"/>
          <w:kern w:val="0"/>
          <w:sz w:val="21"/>
          <w:szCs w:val="21"/>
        </w:rPr>
        <w:t>址</w:t>
      </w:r>
      <w:r>
        <w:rPr>
          <w:rFonts w:hint="eastAsia" w:ascii="宋体" w:hAnsi="宋体" w:cs="宋体"/>
          <w:color w:val="auto"/>
          <w:sz w:val="21"/>
          <w:szCs w:val="21"/>
        </w:rPr>
        <w:t>：</w:t>
      </w:r>
      <w:r>
        <w:rPr>
          <w:rFonts w:hint="eastAsia" w:ascii="宋体" w:hAnsi="宋体" w:cs="宋体"/>
          <w:color w:val="auto"/>
          <w:sz w:val="21"/>
          <w:szCs w:val="21"/>
          <w:u w:val="single"/>
        </w:rPr>
        <w:t xml:space="preserve">                        </w:t>
      </w:r>
    </w:p>
    <w:p w14:paraId="4A3A08F9">
      <w:pPr>
        <w:spacing w:line="500" w:lineRule="exact"/>
        <w:rPr>
          <w:rFonts w:hint="eastAsia" w:ascii="宋体" w:hAnsi="宋体" w:cs="宋体"/>
          <w:color w:val="auto"/>
          <w:sz w:val="21"/>
          <w:szCs w:val="21"/>
        </w:rPr>
      </w:pPr>
      <w:r>
        <w:rPr>
          <w:rFonts w:hint="eastAsia" w:ascii="宋体" w:hAnsi="宋体" w:cs="宋体"/>
          <w:color w:val="auto"/>
          <w:sz w:val="21"/>
          <w:szCs w:val="21"/>
        </w:rPr>
        <w:t>成立时间：</w:t>
      </w:r>
      <w:r>
        <w:rPr>
          <w:rFonts w:hint="eastAsia" w:ascii="宋体" w:hAnsi="宋体" w:cs="宋体"/>
          <w:color w:val="auto"/>
          <w:sz w:val="21"/>
          <w:szCs w:val="21"/>
          <w:u w:val="single"/>
        </w:rPr>
        <w:t xml:space="preserve">        </w:t>
      </w:r>
      <w:r>
        <w:rPr>
          <w:rFonts w:hint="eastAsia" w:ascii="宋体" w:hAnsi="宋体" w:cs="宋体"/>
          <w:color w:val="auto"/>
          <w:sz w:val="21"/>
          <w:szCs w:val="21"/>
        </w:rPr>
        <w:t>年</w:t>
      </w:r>
      <w:r>
        <w:rPr>
          <w:rFonts w:hint="eastAsia" w:ascii="宋体" w:hAnsi="宋体" w:cs="宋体"/>
          <w:color w:val="auto"/>
          <w:sz w:val="21"/>
          <w:szCs w:val="21"/>
          <w:u w:val="single"/>
        </w:rPr>
        <w:t xml:space="preserve">      </w:t>
      </w:r>
      <w:r>
        <w:rPr>
          <w:rFonts w:hint="eastAsia" w:ascii="宋体" w:hAnsi="宋体" w:cs="宋体"/>
          <w:color w:val="auto"/>
          <w:sz w:val="21"/>
          <w:szCs w:val="21"/>
        </w:rPr>
        <w:t>月</w:t>
      </w:r>
      <w:r>
        <w:rPr>
          <w:rFonts w:hint="eastAsia" w:ascii="宋体" w:hAnsi="宋体" w:cs="宋体"/>
          <w:color w:val="auto"/>
          <w:sz w:val="21"/>
          <w:szCs w:val="21"/>
          <w:u w:val="single"/>
        </w:rPr>
        <w:t xml:space="preserve">      </w:t>
      </w:r>
      <w:r>
        <w:rPr>
          <w:rFonts w:hint="eastAsia" w:ascii="宋体" w:hAnsi="宋体" w:cs="宋体"/>
          <w:color w:val="auto"/>
          <w:sz w:val="21"/>
          <w:szCs w:val="21"/>
        </w:rPr>
        <w:t>日</w:t>
      </w:r>
    </w:p>
    <w:p w14:paraId="2DD5E114">
      <w:pPr>
        <w:spacing w:line="500" w:lineRule="exact"/>
        <w:rPr>
          <w:rFonts w:hint="eastAsia" w:ascii="宋体" w:hAnsi="宋体" w:cs="宋体"/>
          <w:color w:val="auto"/>
          <w:sz w:val="21"/>
          <w:szCs w:val="21"/>
        </w:rPr>
      </w:pPr>
      <w:r>
        <w:rPr>
          <w:rFonts w:hint="eastAsia" w:ascii="宋体" w:hAnsi="宋体" w:cs="宋体"/>
          <w:color w:val="auto"/>
          <w:sz w:val="21"/>
          <w:szCs w:val="21"/>
        </w:rPr>
        <w:t>经营期限：</w:t>
      </w:r>
      <w:r>
        <w:rPr>
          <w:rFonts w:hint="eastAsia" w:ascii="宋体" w:hAnsi="宋体" w:cs="宋体"/>
          <w:color w:val="auto"/>
          <w:sz w:val="21"/>
          <w:szCs w:val="21"/>
          <w:u w:val="single"/>
        </w:rPr>
        <w:t xml:space="preserve">          </w:t>
      </w:r>
    </w:p>
    <w:p w14:paraId="384387DE">
      <w:pPr>
        <w:spacing w:line="500" w:lineRule="exact"/>
        <w:rPr>
          <w:rFonts w:hint="eastAsia" w:ascii="宋体" w:hAnsi="宋体" w:cs="宋体"/>
          <w:color w:val="auto"/>
          <w:sz w:val="21"/>
          <w:szCs w:val="21"/>
        </w:rPr>
      </w:pPr>
      <w:r>
        <w:rPr>
          <w:rFonts w:hint="eastAsia" w:ascii="宋体" w:hAnsi="宋体" w:cs="宋体"/>
          <w:color w:val="auto"/>
          <w:sz w:val="21"/>
          <w:szCs w:val="21"/>
        </w:rPr>
        <w:t>姓名：</w:t>
      </w:r>
      <w:r>
        <w:rPr>
          <w:rFonts w:hint="eastAsia" w:ascii="宋体" w:hAnsi="宋体" w:cs="宋体"/>
          <w:color w:val="auto"/>
          <w:sz w:val="21"/>
          <w:szCs w:val="21"/>
          <w:u w:val="single"/>
        </w:rPr>
        <w:t xml:space="preserve"> （法定代表人亲笔签名） </w:t>
      </w:r>
      <w:r>
        <w:rPr>
          <w:rFonts w:hint="eastAsia" w:ascii="宋体" w:hAnsi="宋体" w:cs="宋体"/>
          <w:color w:val="auto"/>
          <w:sz w:val="21"/>
          <w:szCs w:val="21"/>
        </w:rPr>
        <w:t xml:space="preserve">  性别：</w:t>
      </w:r>
      <w:r>
        <w:rPr>
          <w:rFonts w:hint="eastAsia" w:ascii="宋体" w:hAnsi="宋体" w:cs="宋体"/>
          <w:color w:val="auto"/>
          <w:sz w:val="21"/>
          <w:szCs w:val="21"/>
          <w:u w:val="single"/>
        </w:rPr>
        <w:t xml:space="preserve">      </w:t>
      </w:r>
      <w:r>
        <w:rPr>
          <w:rFonts w:hint="eastAsia" w:ascii="宋体" w:hAnsi="宋体" w:cs="宋体"/>
          <w:color w:val="auto"/>
          <w:sz w:val="21"/>
          <w:szCs w:val="21"/>
        </w:rPr>
        <w:t xml:space="preserve">  年龄：</w:t>
      </w:r>
      <w:r>
        <w:rPr>
          <w:rFonts w:hint="eastAsia" w:ascii="宋体" w:hAnsi="宋体" w:cs="宋体"/>
          <w:color w:val="auto"/>
          <w:sz w:val="21"/>
          <w:szCs w:val="21"/>
          <w:u w:val="single"/>
        </w:rPr>
        <w:t xml:space="preserve">      </w:t>
      </w:r>
      <w:r>
        <w:rPr>
          <w:rFonts w:hint="eastAsia" w:ascii="宋体" w:hAnsi="宋体" w:cs="宋体"/>
          <w:color w:val="auto"/>
          <w:sz w:val="21"/>
          <w:szCs w:val="21"/>
        </w:rPr>
        <w:t xml:space="preserve">  职务：</w:t>
      </w:r>
      <w:r>
        <w:rPr>
          <w:rFonts w:hint="eastAsia" w:ascii="宋体" w:hAnsi="宋体" w:cs="宋体"/>
          <w:color w:val="auto"/>
          <w:sz w:val="21"/>
          <w:szCs w:val="21"/>
          <w:u w:val="single"/>
        </w:rPr>
        <w:t xml:space="preserve">        </w:t>
      </w:r>
    </w:p>
    <w:p w14:paraId="393D160D">
      <w:pPr>
        <w:spacing w:line="500" w:lineRule="exact"/>
        <w:rPr>
          <w:rFonts w:hint="eastAsia" w:ascii="宋体" w:hAnsi="宋体" w:cs="宋体"/>
          <w:color w:val="auto"/>
          <w:sz w:val="21"/>
          <w:szCs w:val="21"/>
        </w:rPr>
      </w:pPr>
      <w:r>
        <w:rPr>
          <w:rFonts w:hint="eastAsia" w:ascii="宋体" w:hAnsi="宋体" w:cs="宋体"/>
          <w:color w:val="auto"/>
          <w:sz w:val="21"/>
          <w:szCs w:val="21"/>
        </w:rPr>
        <w:t>系</w:t>
      </w:r>
      <w:r>
        <w:rPr>
          <w:rFonts w:hint="eastAsia" w:ascii="宋体" w:hAnsi="宋体" w:cs="宋体"/>
          <w:color w:val="auto"/>
          <w:sz w:val="21"/>
          <w:szCs w:val="21"/>
          <w:u w:val="single"/>
        </w:rPr>
        <w:t xml:space="preserve">                   </w:t>
      </w:r>
      <w:r>
        <w:rPr>
          <w:rFonts w:hint="eastAsia" w:ascii="宋体" w:hAnsi="宋体" w:cs="宋体"/>
          <w:color w:val="auto"/>
          <w:sz w:val="21"/>
          <w:szCs w:val="21"/>
        </w:rPr>
        <w:t>（</w:t>
      </w:r>
      <w:r>
        <w:rPr>
          <w:rFonts w:hint="eastAsia" w:ascii="宋体" w:hAnsi="宋体" w:cs="宋体"/>
          <w:color w:val="auto"/>
          <w:sz w:val="21"/>
          <w:szCs w:val="21"/>
          <w:lang w:eastAsia="zh-CN"/>
        </w:rPr>
        <w:t>供应商</w:t>
      </w:r>
      <w:r>
        <w:rPr>
          <w:rFonts w:hint="eastAsia" w:ascii="宋体" w:hAnsi="宋体" w:cs="宋体"/>
          <w:color w:val="auto"/>
          <w:sz w:val="21"/>
          <w:szCs w:val="21"/>
        </w:rPr>
        <w:t>名称）的法定代表人。</w:t>
      </w:r>
    </w:p>
    <w:p w14:paraId="29289A06">
      <w:pPr>
        <w:spacing w:line="500" w:lineRule="exact"/>
        <w:ind w:firstLine="420" w:firstLineChars="200"/>
        <w:rPr>
          <w:rFonts w:hint="eastAsia" w:ascii="宋体" w:hAnsi="宋体" w:cs="宋体"/>
          <w:color w:val="auto"/>
          <w:sz w:val="21"/>
          <w:szCs w:val="21"/>
        </w:rPr>
      </w:pPr>
    </w:p>
    <w:p w14:paraId="1B54644B">
      <w:pPr>
        <w:spacing w:line="500" w:lineRule="exact"/>
        <w:ind w:firstLine="420" w:firstLineChars="200"/>
        <w:rPr>
          <w:rFonts w:hint="eastAsia" w:ascii="宋体" w:hAnsi="宋体" w:cs="宋体"/>
          <w:color w:val="auto"/>
          <w:sz w:val="21"/>
          <w:szCs w:val="21"/>
        </w:rPr>
      </w:pPr>
      <w:r>
        <w:rPr>
          <w:rFonts w:hint="eastAsia" w:ascii="宋体" w:hAnsi="宋体" w:cs="宋体"/>
          <w:color w:val="auto"/>
          <w:sz w:val="21"/>
          <w:szCs w:val="21"/>
        </w:rPr>
        <w:t>特此证明。</w:t>
      </w:r>
    </w:p>
    <w:p w14:paraId="21DAA4F9">
      <w:pPr>
        <w:spacing w:line="500" w:lineRule="exact"/>
        <w:rPr>
          <w:rFonts w:hint="eastAsia" w:ascii="宋体" w:hAnsi="宋体" w:cs="宋体"/>
          <w:color w:val="auto"/>
          <w:sz w:val="21"/>
          <w:szCs w:val="21"/>
        </w:rPr>
      </w:pPr>
    </w:p>
    <w:p w14:paraId="2A9A4916">
      <w:pPr>
        <w:spacing w:line="500" w:lineRule="exact"/>
        <w:rPr>
          <w:rFonts w:hint="eastAsia" w:ascii="宋体" w:hAnsi="宋体" w:cs="宋体"/>
          <w:color w:val="auto"/>
          <w:sz w:val="21"/>
          <w:szCs w:val="21"/>
        </w:rPr>
      </w:pPr>
    </w:p>
    <w:p w14:paraId="2DF6EAD4">
      <w:pPr>
        <w:spacing w:line="500" w:lineRule="exact"/>
        <w:rPr>
          <w:rFonts w:hint="eastAsia" w:ascii="宋体" w:hAnsi="宋体" w:cs="宋体"/>
          <w:color w:val="auto"/>
          <w:sz w:val="21"/>
          <w:szCs w:val="21"/>
        </w:rPr>
      </w:pPr>
      <w:r>
        <w:rPr>
          <w:rFonts w:hint="eastAsia" w:ascii="宋体" w:hAnsi="宋体" w:cs="宋体"/>
          <w:color w:val="auto"/>
          <w:sz w:val="21"/>
          <w:szCs w:val="21"/>
        </w:rPr>
        <w:t xml:space="preserve">                             </w:t>
      </w:r>
      <w:r>
        <w:rPr>
          <w:rFonts w:hint="eastAsia" w:ascii="宋体" w:hAnsi="宋体" w:cs="宋体"/>
          <w:color w:val="auto"/>
          <w:sz w:val="21"/>
          <w:szCs w:val="21"/>
          <w:lang w:eastAsia="zh-CN"/>
        </w:rPr>
        <w:t>供应商</w:t>
      </w:r>
      <w:r>
        <w:rPr>
          <w:rFonts w:hint="eastAsia" w:ascii="宋体" w:hAnsi="宋体" w:cs="宋体"/>
          <w:color w:val="auto"/>
          <w:sz w:val="21"/>
          <w:szCs w:val="21"/>
        </w:rPr>
        <w:t>：</w:t>
      </w:r>
      <w:r>
        <w:rPr>
          <w:rFonts w:hint="eastAsia" w:ascii="宋体" w:hAnsi="宋体" w:cs="宋体"/>
          <w:color w:val="auto"/>
          <w:sz w:val="21"/>
          <w:szCs w:val="21"/>
          <w:u w:val="single"/>
        </w:rPr>
        <w:t xml:space="preserve">              </w:t>
      </w:r>
      <w:r>
        <w:rPr>
          <w:rFonts w:hint="eastAsia" w:ascii="宋体" w:hAnsi="宋体" w:cs="宋体"/>
          <w:color w:val="auto"/>
          <w:sz w:val="21"/>
          <w:szCs w:val="21"/>
        </w:rPr>
        <w:t>（</w:t>
      </w:r>
      <w:r>
        <w:rPr>
          <w:rFonts w:hint="eastAsia" w:ascii="宋体" w:hAnsi="宋体" w:cs="宋体"/>
          <w:color w:val="auto"/>
          <w:sz w:val="21"/>
          <w:szCs w:val="21"/>
          <w:lang w:eastAsia="zh-CN"/>
        </w:rPr>
        <w:t>CA电子签章</w:t>
      </w:r>
      <w:r>
        <w:rPr>
          <w:rFonts w:hint="eastAsia" w:ascii="宋体" w:hAnsi="宋体" w:cs="宋体"/>
          <w:color w:val="auto"/>
          <w:sz w:val="21"/>
          <w:szCs w:val="21"/>
        </w:rPr>
        <w:t>）</w:t>
      </w:r>
    </w:p>
    <w:p w14:paraId="0B38F02A">
      <w:pPr>
        <w:spacing w:line="500" w:lineRule="exact"/>
        <w:rPr>
          <w:rFonts w:hint="eastAsia" w:ascii="宋体" w:hAnsi="宋体" w:cs="宋体"/>
          <w:color w:val="auto"/>
          <w:sz w:val="21"/>
          <w:szCs w:val="21"/>
        </w:rPr>
      </w:pPr>
    </w:p>
    <w:p w14:paraId="5FEC6E80">
      <w:pPr>
        <w:spacing w:line="400" w:lineRule="exact"/>
        <w:rPr>
          <w:rFonts w:hint="eastAsia" w:ascii="宋体" w:hAnsi="宋体" w:cs="宋体"/>
          <w:color w:val="auto"/>
          <w:sz w:val="21"/>
          <w:szCs w:val="21"/>
        </w:rPr>
      </w:pPr>
      <w:r>
        <w:rPr>
          <w:rFonts w:hint="eastAsia" w:ascii="宋体" w:hAnsi="宋体" w:cs="宋体"/>
          <w:color w:val="auto"/>
          <w:sz w:val="21"/>
          <w:szCs w:val="21"/>
        </w:rPr>
        <w:t xml:space="preserve">                                         </w:t>
      </w:r>
      <w:r>
        <w:rPr>
          <w:rFonts w:hint="eastAsia" w:ascii="宋体" w:hAnsi="宋体" w:cs="宋体"/>
          <w:color w:val="auto"/>
          <w:sz w:val="21"/>
          <w:szCs w:val="21"/>
          <w:u w:val="single"/>
        </w:rPr>
        <w:t xml:space="preserve">      </w:t>
      </w:r>
      <w:r>
        <w:rPr>
          <w:rFonts w:hint="eastAsia" w:ascii="宋体" w:hAnsi="宋体" w:cs="宋体"/>
          <w:color w:val="auto"/>
          <w:sz w:val="21"/>
          <w:szCs w:val="21"/>
        </w:rPr>
        <w:t>年</w:t>
      </w:r>
      <w:r>
        <w:rPr>
          <w:rFonts w:hint="eastAsia" w:ascii="宋体" w:hAnsi="宋体" w:cs="宋体"/>
          <w:color w:val="auto"/>
          <w:sz w:val="21"/>
          <w:szCs w:val="21"/>
          <w:u w:val="single"/>
        </w:rPr>
        <w:t xml:space="preserve">    </w:t>
      </w:r>
      <w:r>
        <w:rPr>
          <w:rFonts w:hint="eastAsia" w:ascii="宋体" w:hAnsi="宋体" w:cs="宋体"/>
          <w:color w:val="auto"/>
          <w:sz w:val="21"/>
          <w:szCs w:val="21"/>
        </w:rPr>
        <w:t>月</w:t>
      </w:r>
      <w:r>
        <w:rPr>
          <w:rFonts w:hint="eastAsia" w:ascii="宋体" w:hAnsi="宋体" w:cs="宋体"/>
          <w:color w:val="auto"/>
          <w:sz w:val="21"/>
          <w:szCs w:val="21"/>
          <w:u w:val="single"/>
        </w:rPr>
        <w:t xml:space="preserve">    </w:t>
      </w:r>
      <w:r>
        <w:rPr>
          <w:rFonts w:hint="eastAsia" w:ascii="宋体" w:hAnsi="宋体" w:cs="宋体"/>
          <w:color w:val="auto"/>
          <w:sz w:val="21"/>
          <w:szCs w:val="21"/>
        </w:rPr>
        <w:t>日</w:t>
      </w:r>
    </w:p>
    <w:p w14:paraId="2FE81465">
      <w:pPr>
        <w:spacing w:line="400" w:lineRule="exact"/>
        <w:rPr>
          <w:rFonts w:hint="eastAsia" w:ascii="宋体" w:hAnsi="宋体" w:cs="宋体"/>
          <w:color w:val="auto"/>
          <w:sz w:val="24"/>
        </w:rPr>
      </w:pPr>
    </w:p>
    <w:p w14:paraId="441CB500">
      <w:pPr>
        <w:rPr>
          <w:rFonts w:hint="eastAsia" w:ascii="宋体" w:hAnsi="宋体" w:cs="宋体"/>
          <w:color w:val="auto"/>
          <w:sz w:val="24"/>
        </w:rPr>
      </w:pPr>
    </w:p>
    <w:p w14:paraId="1B595E4A">
      <w:pPr>
        <w:rPr>
          <w:rFonts w:hint="eastAsia" w:ascii="宋体" w:hAnsi="宋体" w:cs="宋体"/>
          <w:color w:val="auto"/>
          <w:sz w:val="24"/>
        </w:rPr>
      </w:pPr>
    </w:p>
    <w:p w14:paraId="20BC0380">
      <w:pPr>
        <w:rPr>
          <w:rFonts w:hint="eastAsia" w:ascii="宋体" w:hAnsi="宋体" w:cs="宋体"/>
          <w:color w:val="auto"/>
          <w:sz w:val="24"/>
        </w:rPr>
      </w:pPr>
    </w:p>
    <w:p w14:paraId="1B3A16B8">
      <w:pPr>
        <w:rPr>
          <w:rFonts w:hint="eastAsia" w:ascii="宋体" w:hAnsi="宋体" w:cs="宋体"/>
          <w:color w:val="auto"/>
          <w:sz w:val="24"/>
        </w:rPr>
      </w:pPr>
      <w:r>
        <w:rPr>
          <w:rFonts w:hint="eastAsia" w:ascii="宋体" w:hAnsi="宋体" w:cs="宋体"/>
          <w:color w:val="auto"/>
          <w:sz w:val="24"/>
        </w:rPr>
        <w:t>注：法定代表人的签字必须是亲笔签名，不得使用印章、签名章或其他电子制版签名，否则投标无效。</w:t>
      </w:r>
    </w:p>
    <w:p w14:paraId="3AA7A018">
      <w:pPr>
        <w:rPr>
          <w:rFonts w:hint="eastAsia" w:ascii="宋体" w:hAnsi="宋体" w:cs="宋体"/>
          <w:color w:val="auto"/>
          <w:sz w:val="24"/>
        </w:rPr>
      </w:pPr>
    </w:p>
    <w:p w14:paraId="16654AC9">
      <w:pPr>
        <w:jc w:val="center"/>
        <w:rPr>
          <w:rFonts w:hint="eastAsia" w:ascii="宋体" w:hAnsi="宋体" w:cs="宋体"/>
          <w:color w:val="auto"/>
          <w:sz w:val="24"/>
        </w:rPr>
      </w:pPr>
    </w:p>
    <w:p w14:paraId="668087B6">
      <w:pPr>
        <w:jc w:val="center"/>
        <w:rPr>
          <w:rFonts w:hint="eastAsia" w:ascii="宋体" w:hAnsi="宋体" w:cs="宋体"/>
          <w:color w:val="auto"/>
          <w:sz w:val="24"/>
        </w:rPr>
      </w:pPr>
    </w:p>
    <w:p w14:paraId="3F8AC193">
      <w:pPr>
        <w:jc w:val="center"/>
        <w:rPr>
          <w:rFonts w:hint="eastAsia" w:ascii="宋体" w:hAnsi="宋体" w:cs="宋体"/>
          <w:color w:val="auto"/>
          <w:sz w:val="24"/>
        </w:rPr>
      </w:pPr>
    </w:p>
    <w:p w14:paraId="79EC6F14">
      <w:pPr>
        <w:jc w:val="center"/>
        <w:rPr>
          <w:rFonts w:hint="eastAsia" w:ascii="宋体" w:hAnsi="宋体" w:cs="宋体"/>
          <w:color w:val="auto"/>
          <w:sz w:val="24"/>
        </w:rPr>
      </w:pPr>
    </w:p>
    <w:p w14:paraId="028B187D">
      <w:pPr>
        <w:jc w:val="center"/>
        <w:rPr>
          <w:rFonts w:hint="eastAsia" w:ascii="宋体" w:hAnsi="宋体" w:cs="宋体"/>
          <w:color w:val="auto"/>
          <w:sz w:val="24"/>
        </w:rPr>
      </w:pPr>
    </w:p>
    <w:p w14:paraId="220C6810">
      <w:pPr>
        <w:jc w:val="center"/>
        <w:rPr>
          <w:rFonts w:hint="eastAsia" w:ascii="宋体" w:hAnsi="宋体" w:cs="宋体"/>
          <w:color w:val="auto"/>
          <w:sz w:val="24"/>
        </w:rPr>
      </w:pPr>
    </w:p>
    <w:p w14:paraId="1F6E7443">
      <w:pPr>
        <w:jc w:val="center"/>
        <w:rPr>
          <w:rFonts w:hint="eastAsia" w:ascii="宋体" w:hAnsi="宋体" w:cs="宋体"/>
          <w:color w:val="auto"/>
          <w:sz w:val="24"/>
        </w:rPr>
      </w:pPr>
    </w:p>
    <w:p w14:paraId="0603FB85">
      <w:pPr>
        <w:rPr>
          <w:rFonts w:hint="eastAsia" w:ascii="宋体" w:hAnsi="宋体" w:cs="宋体"/>
          <w:color w:val="auto"/>
          <w:sz w:val="24"/>
        </w:rPr>
      </w:pPr>
    </w:p>
    <w:p w14:paraId="31498D8C">
      <w:pPr>
        <w:jc w:val="center"/>
        <w:outlineLvl w:val="3"/>
        <w:rPr>
          <w:rFonts w:hint="eastAsia" w:ascii="宋体" w:hAnsi="宋体" w:cs="宋体"/>
          <w:b/>
          <w:color w:val="auto"/>
          <w:sz w:val="32"/>
          <w:szCs w:val="32"/>
        </w:rPr>
      </w:pPr>
      <w:r>
        <w:rPr>
          <w:rFonts w:hint="eastAsia" w:ascii="宋体" w:hAnsi="宋体" w:cs="宋体"/>
          <w:b/>
          <w:bCs/>
          <w:color w:val="auto"/>
          <w:kern w:val="44"/>
          <w:sz w:val="28"/>
          <w:szCs w:val="28"/>
        </w:rPr>
        <w:t>2、授权委托书</w:t>
      </w:r>
    </w:p>
    <w:p w14:paraId="394F1C43">
      <w:pPr>
        <w:spacing w:line="500" w:lineRule="exact"/>
        <w:rPr>
          <w:rFonts w:hint="eastAsia" w:ascii="宋体" w:hAnsi="宋体" w:cs="宋体"/>
          <w:color w:val="auto"/>
          <w:sz w:val="24"/>
        </w:rPr>
      </w:pPr>
    </w:p>
    <w:p w14:paraId="639355D0">
      <w:pPr>
        <w:spacing w:line="500" w:lineRule="exact"/>
        <w:ind w:firstLine="420" w:firstLineChars="200"/>
        <w:rPr>
          <w:rFonts w:hint="eastAsia" w:ascii="宋体" w:hAnsi="宋体" w:cs="宋体"/>
          <w:color w:val="auto"/>
          <w:sz w:val="21"/>
          <w:szCs w:val="21"/>
        </w:rPr>
      </w:pPr>
      <w:r>
        <w:rPr>
          <w:rFonts w:hint="eastAsia" w:ascii="宋体" w:hAnsi="宋体" w:cs="宋体"/>
          <w:color w:val="auto"/>
          <w:sz w:val="21"/>
          <w:szCs w:val="21"/>
        </w:rPr>
        <w:t>本人</w:t>
      </w:r>
      <w:r>
        <w:rPr>
          <w:rFonts w:hint="eastAsia" w:ascii="宋体" w:hAnsi="宋体" w:cs="宋体"/>
          <w:color w:val="auto"/>
          <w:sz w:val="21"/>
          <w:szCs w:val="21"/>
          <w:u w:val="single"/>
        </w:rPr>
        <w:t xml:space="preserve">        </w:t>
      </w:r>
      <w:r>
        <w:rPr>
          <w:rFonts w:hint="eastAsia" w:ascii="宋体" w:hAnsi="宋体" w:cs="宋体"/>
          <w:color w:val="auto"/>
          <w:sz w:val="21"/>
          <w:szCs w:val="21"/>
        </w:rPr>
        <w:t>（姓名）系</w:t>
      </w:r>
      <w:r>
        <w:rPr>
          <w:rFonts w:hint="eastAsia" w:ascii="宋体" w:hAnsi="宋体" w:cs="宋体"/>
          <w:color w:val="auto"/>
          <w:sz w:val="21"/>
          <w:szCs w:val="21"/>
          <w:u w:val="single"/>
        </w:rPr>
        <w:t xml:space="preserve">                          </w:t>
      </w:r>
      <w:r>
        <w:rPr>
          <w:rFonts w:hint="eastAsia" w:ascii="宋体" w:hAnsi="宋体" w:cs="宋体"/>
          <w:color w:val="auto"/>
          <w:sz w:val="21"/>
          <w:szCs w:val="21"/>
        </w:rPr>
        <w:t>（</w:t>
      </w:r>
      <w:r>
        <w:rPr>
          <w:rFonts w:hint="eastAsia" w:ascii="宋体" w:hAnsi="宋体" w:cs="宋体"/>
          <w:color w:val="auto"/>
          <w:sz w:val="21"/>
          <w:szCs w:val="21"/>
          <w:lang w:eastAsia="zh-CN"/>
        </w:rPr>
        <w:t>供应商</w:t>
      </w:r>
      <w:r>
        <w:rPr>
          <w:rFonts w:hint="eastAsia" w:ascii="宋体" w:hAnsi="宋体" w:cs="宋体"/>
          <w:color w:val="auto"/>
          <w:sz w:val="21"/>
          <w:szCs w:val="21"/>
        </w:rPr>
        <w:t>名称）的法定代表人，现委托</w:t>
      </w:r>
      <w:r>
        <w:rPr>
          <w:rFonts w:hint="eastAsia" w:ascii="宋体" w:hAnsi="宋体" w:cs="宋体"/>
          <w:color w:val="auto"/>
          <w:sz w:val="21"/>
          <w:szCs w:val="21"/>
          <w:u w:val="single"/>
        </w:rPr>
        <w:t xml:space="preserve">   </w:t>
      </w:r>
      <w:r>
        <w:rPr>
          <w:rFonts w:hint="eastAsia" w:ascii="宋体" w:hAnsi="宋体" w:cs="宋体"/>
          <w:color w:val="auto"/>
          <w:sz w:val="21"/>
          <w:szCs w:val="21"/>
        </w:rPr>
        <w:t>（姓名）为我方代理人。代理人根据授权，以我方名义签署、澄清、递交、撤回、修改</w:t>
      </w:r>
      <w:r>
        <w:rPr>
          <w:rFonts w:hint="eastAsia" w:ascii="宋体" w:hAnsi="宋体" w:cs="宋体"/>
          <w:color w:val="auto"/>
          <w:sz w:val="21"/>
          <w:szCs w:val="21"/>
          <w:u w:val="single"/>
        </w:rPr>
        <w:t xml:space="preserve">                  </w:t>
      </w:r>
      <w:r>
        <w:rPr>
          <w:rFonts w:hint="eastAsia" w:ascii="宋体" w:hAnsi="宋体" w:cs="宋体"/>
          <w:color w:val="auto"/>
          <w:sz w:val="21"/>
          <w:szCs w:val="21"/>
        </w:rPr>
        <w:t>（项目名称）施工</w:t>
      </w:r>
      <w:r>
        <w:rPr>
          <w:rFonts w:hint="eastAsia" w:ascii="宋体" w:hAnsi="宋体" w:cs="宋体"/>
          <w:color w:val="auto"/>
          <w:sz w:val="21"/>
          <w:szCs w:val="21"/>
          <w:lang w:eastAsia="zh-CN"/>
        </w:rPr>
        <w:t>响应文件</w:t>
      </w:r>
      <w:r>
        <w:rPr>
          <w:rFonts w:hint="eastAsia" w:ascii="宋体" w:hAnsi="宋体" w:cs="宋体"/>
          <w:color w:val="auto"/>
          <w:sz w:val="21"/>
          <w:szCs w:val="21"/>
        </w:rPr>
        <w:t>、签订合同和处理有关事宜，其法律后果由我方承担。</w:t>
      </w:r>
    </w:p>
    <w:p w14:paraId="1D393D54">
      <w:pPr>
        <w:spacing w:line="500" w:lineRule="exact"/>
        <w:ind w:firstLine="420" w:firstLineChars="200"/>
        <w:rPr>
          <w:rFonts w:hint="eastAsia" w:ascii="宋体" w:hAnsi="宋体" w:cs="宋体"/>
          <w:color w:val="auto"/>
          <w:sz w:val="21"/>
          <w:szCs w:val="21"/>
        </w:rPr>
      </w:pPr>
      <w:r>
        <w:rPr>
          <w:rFonts w:hint="eastAsia" w:ascii="宋体" w:hAnsi="宋体" w:cs="宋体"/>
          <w:color w:val="auto"/>
          <w:sz w:val="21"/>
          <w:szCs w:val="21"/>
        </w:rPr>
        <w:t>委托期限：</w:t>
      </w:r>
      <w:r>
        <w:rPr>
          <w:rFonts w:hint="eastAsia" w:ascii="宋体" w:hAnsi="宋体" w:cs="宋体"/>
          <w:color w:val="auto"/>
          <w:sz w:val="21"/>
          <w:szCs w:val="21"/>
          <w:u w:val="single"/>
        </w:rPr>
        <w:t xml:space="preserve">          </w:t>
      </w:r>
      <w:r>
        <w:rPr>
          <w:rFonts w:hint="eastAsia" w:ascii="宋体" w:hAnsi="宋体" w:cs="宋体"/>
          <w:color w:val="auto"/>
          <w:sz w:val="21"/>
          <w:szCs w:val="21"/>
        </w:rPr>
        <w:t>。</w:t>
      </w:r>
    </w:p>
    <w:p w14:paraId="0DE6D3D4">
      <w:pPr>
        <w:spacing w:line="500" w:lineRule="exact"/>
        <w:ind w:firstLine="420" w:firstLineChars="200"/>
        <w:rPr>
          <w:rFonts w:hint="eastAsia" w:ascii="宋体" w:hAnsi="宋体" w:cs="宋体"/>
          <w:color w:val="auto"/>
          <w:sz w:val="21"/>
          <w:szCs w:val="21"/>
        </w:rPr>
      </w:pPr>
      <w:r>
        <w:rPr>
          <w:rFonts w:hint="eastAsia" w:ascii="宋体" w:hAnsi="宋体" w:cs="宋体"/>
          <w:color w:val="auto"/>
          <w:sz w:val="21"/>
          <w:szCs w:val="21"/>
        </w:rPr>
        <w:t xml:space="preserve">代理人无转委托权。 </w:t>
      </w:r>
    </w:p>
    <w:p w14:paraId="16E1C3DE">
      <w:pPr>
        <w:spacing w:line="500" w:lineRule="exact"/>
        <w:ind w:firstLine="420" w:firstLineChars="200"/>
        <w:rPr>
          <w:rFonts w:hint="eastAsia" w:ascii="宋体" w:hAnsi="宋体" w:cs="宋体"/>
          <w:color w:val="auto"/>
          <w:sz w:val="21"/>
          <w:szCs w:val="21"/>
        </w:rPr>
      </w:pPr>
      <w:r>
        <w:rPr>
          <w:rFonts w:hint="eastAsia" w:ascii="宋体" w:hAnsi="宋体" w:cs="宋体"/>
          <w:color w:val="auto"/>
          <w:sz w:val="21"/>
          <w:szCs w:val="21"/>
        </w:rPr>
        <w:t>附：法定代表人身份证明</w:t>
      </w:r>
    </w:p>
    <w:p w14:paraId="7244B862">
      <w:pPr>
        <w:spacing w:line="500" w:lineRule="exact"/>
        <w:rPr>
          <w:rFonts w:hint="eastAsia" w:ascii="宋体" w:hAnsi="宋体" w:cs="宋体"/>
          <w:color w:val="auto"/>
          <w:sz w:val="21"/>
          <w:szCs w:val="21"/>
        </w:rPr>
      </w:pPr>
    </w:p>
    <w:p w14:paraId="5941E520">
      <w:pPr>
        <w:spacing w:line="500" w:lineRule="exact"/>
        <w:rPr>
          <w:rFonts w:hint="eastAsia" w:ascii="宋体" w:hAnsi="宋体" w:cs="宋体"/>
          <w:color w:val="auto"/>
          <w:sz w:val="21"/>
          <w:szCs w:val="21"/>
        </w:rPr>
      </w:pPr>
    </w:p>
    <w:p w14:paraId="7710BFC1">
      <w:pPr>
        <w:spacing w:line="500" w:lineRule="exact"/>
        <w:rPr>
          <w:rFonts w:hint="eastAsia" w:ascii="宋体" w:hAnsi="宋体" w:cs="宋体"/>
          <w:color w:val="auto"/>
          <w:sz w:val="21"/>
          <w:szCs w:val="21"/>
        </w:rPr>
      </w:pPr>
      <w:r>
        <w:rPr>
          <w:rFonts w:hint="eastAsia" w:ascii="宋体" w:hAnsi="宋体" w:cs="宋体"/>
          <w:color w:val="auto"/>
          <w:sz w:val="21"/>
          <w:szCs w:val="21"/>
        </w:rPr>
        <w:t xml:space="preserve">                                </w:t>
      </w:r>
      <w:r>
        <w:rPr>
          <w:rFonts w:hint="eastAsia" w:ascii="宋体" w:hAnsi="宋体" w:cs="宋体"/>
          <w:color w:val="auto"/>
          <w:spacing w:val="121"/>
          <w:kern w:val="0"/>
          <w:sz w:val="21"/>
          <w:szCs w:val="21"/>
        </w:rPr>
        <w:t>申请</w:t>
      </w:r>
      <w:r>
        <w:rPr>
          <w:rFonts w:hint="eastAsia" w:ascii="宋体" w:hAnsi="宋体" w:cs="宋体"/>
          <w:color w:val="auto"/>
          <w:spacing w:val="-1"/>
          <w:kern w:val="0"/>
          <w:sz w:val="21"/>
          <w:szCs w:val="21"/>
        </w:rPr>
        <w:t>人</w:t>
      </w:r>
      <w:r>
        <w:rPr>
          <w:rFonts w:hint="eastAsia" w:ascii="宋体" w:hAnsi="宋体" w:cs="宋体"/>
          <w:color w:val="auto"/>
          <w:sz w:val="21"/>
          <w:szCs w:val="21"/>
        </w:rPr>
        <w:t>：</w:t>
      </w:r>
      <w:r>
        <w:rPr>
          <w:rFonts w:hint="eastAsia" w:ascii="宋体" w:hAnsi="宋体" w:cs="宋体"/>
          <w:color w:val="auto"/>
          <w:sz w:val="21"/>
          <w:szCs w:val="21"/>
          <w:u w:val="single"/>
        </w:rPr>
        <w:t xml:space="preserve">                </w:t>
      </w:r>
      <w:r>
        <w:rPr>
          <w:rFonts w:hint="eastAsia" w:ascii="宋体" w:hAnsi="宋体" w:cs="宋体"/>
          <w:color w:val="auto"/>
          <w:sz w:val="21"/>
          <w:szCs w:val="21"/>
        </w:rPr>
        <w:t>（</w:t>
      </w:r>
      <w:r>
        <w:rPr>
          <w:rFonts w:hint="eastAsia" w:ascii="宋体" w:hAnsi="宋体" w:cs="宋体"/>
          <w:color w:val="auto"/>
          <w:sz w:val="21"/>
          <w:szCs w:val="21"/>
          <w:lang w:eastAsia="zh-CN"/>
        </w:rPr>
        <w:t>CA电子签章</w:t>
      </w:r>
      <w:r>
        <w:rPr>
          <w:rFonts w:hint="eastAsia" w:ascii="宋体" w:hAnsi="宋体" w:cs="宋体"/>
          <w:color w:val="auto"/>
          <w:sz w:val="21"/>
          <w:szCs w:val="21"/>
        </w:rPr>
        <w:t>）</w:t>
      </w:r>
    </w:p>
    <w:p w14:paraId="0C938B13">
      <w:pPr>
        <w:spacing w:line="500" w:lineRule="exact"/>
        <w:rPr>
          <w:rFonts w:hint="eastAsia" w:ascii="宋体" w:hAnsi="宋体" w:cs="宋体"/>
          <w:color w:val="auto"/>
          <w:sz w:val="21"/>
          <w:szCs w:val="21"/>
        </w:rPr>
      </w:pPr>
      <w:r>
        <w:rPr>
          <w:rFonts w:hint="eastAsia" w:ascii="宋体" w:hAnsi="宋体" w:cs="宋体"/>
          <w:color w:val="auto"/>
          <w:sz w:val="21"/>
          <w:szCs w:val="21"/>
        </w:rPr>
        <w:t xml:space="preserve">                                法定代表人：</w:t>
      </w:r>
      <w:r>
        <w:rPr>
          <w:rFonts w:hint="eastAsia" w:ascii="宋体" w:hAnsi="宋体" w:cs="宋体"/>
          <w:color w:val="auto"/>
          <w:sz w:val="21"/>
          <w:szCs w:val="21"/>
          <w:u w:val="single"/>
        </w:rPr>
        <w:t xml:space="preserve">                    </w:t>
      </w:r>
      <w:r>
        <w:rPr>
          <w:rFonts w:hint="eastAsia" w:ascii="宋体" w:hAnsi="宋体" w:cs="宋体"/>
          <w:color w:val="auto"/>
          <w:sz w:val="21"/>
          <w:szCs w:val="21"/>
        </w:rPr>
        <w:t>（签字</w:t>
      </w:r>
      <w:r>
        <w:rPr>
          <w:rFonts w:hint="eastAsia" w:ascii="宋体" w:hAnsi="宋体" w:cs="宋体"/>
          <w:color w:val="auto"/>
          <w:sz w:val="21"/>
          <w:szCs w:val="21"/>
          <w:lang w:val="en-US" w:eastAsia="zh-CN"/>
        </w:rPr>
        <w:t>或电子签名</w:t>
      </w:r>
      <w:r>
        <w:rPr>
          <w:rFonts w:hint="eastAsia" w:ascii="宋体" w:hAnsi="宋体" w:cs="宋体"/>
          <w:color w:val="auto"/>
          <w:sz w:val="21"/>
          <w:szCs w:val="21"/>
        </w:rPr>
        <w:t>）</w:t>
      </w:r>
    </w:p>
    <w:p w14:paraId="7C11E5E7">
      <w:pPr>
        <w:spacing w:line="500" w:lineRule="exact"/>
        <w:rPr>
          <w:rFonts w:hint="eastAsia" w:ascii="宋体" w:hAnsi="宋体" w:cs="宋体"/>
          <w:color w:val="auto"/>
          <w:sz w:val="21"/>
          <w:szCs w:val="21"/>
        </w:rPr>
      </w:pPr>
      <w:r>
        <w:rPr>
          <w:rFonts w:hint="eastAsia" w:ascii="宋体" w:hAnsi="宋体" w:cs="宋体"/>
          <w:color w:val="auto"/>
          <w:sz w:val="21"/>
          <w:szCs w:val="21"/>
        </w:rPr>
        <w:t xml:space="preserve">                                身份证号码：</w:t>
      </w:r>
      <w:r>
        <w:rPr>
          <w:rFonts w:hint="eastAsia" w:ascii="宋体" w:hAnsi="宋体" w:cs="宋体"/>
          <w:color w:val="auto"/>
          <w:sz w:val="21"/>
          <w:szCs w:val="21"/>
          <w:u w:val="single"/>
        </w:rPr>
        <w:t xml:space="preserve">                           </w:t>
      </w:r>
    </w:p>
    <w:p w14:paraId="39895C38">
      <w:pPr>
        <w:spacing w:line="500" w:lineRule="exact"/>
        <w:rPr>
          <w:rFonts w:hint="eastAsia" w:ascii="宋体" w:hAnsi="宋体" w:cs="宋体"/>
          <w:color w:val="auto"/>
          <w:sz w:val="21"/>
          <w:szCs w:val="21"/>
        </w:rPr>
      </w:pPr>
      <w:r>
        <w:rPr>
          <w:rFonts w:hint="eastAsia" w:ascii="宋体" w:hAnsi="宋体" w:cs="宋体"/>
          <w:color w:val="auto"/>
          <w:sz w:val="21"/>
          <w:szCs w:val="21"/>
        </w:rPr>
        <w:t xml:space="preserve">                                委托代理人：</w:t>
      </w:r>
      <w:r>
        <w:rPr>
          <w:rFonts w:hint="eastAsia" w:ascii="宋体" w:hAnsi="宋体" w:cs="宋体"/>
          <w:color w:val="auto"/>
          <w:sz w:val="21"/>
          <w:szCs w:val="21"/>
          <w:u w:val="single"/>
        </w:rPr>
        <w:t xml:space="preserve">                    </w:t>
      </w:r>
      <w:r>
        <w:rPr>
          <w:rFonts w:hint="eastAsia" w:ascii="宋体" w:hAnsi="宋体" w:cs="宋体"/>
          <w:color w:val="auto"/>
          <w:sz w:val="21"/>
          <w:szCs w:val="21"/>
        </w:rPr>
        <w:t>（签字</w:t>
      </w:r>
      <w:r>
        <w:rPr>
          <w:rFonts w:hint="eastAsia" w:ascii="宋体" w:hAnsi="宋体" w:cs="宋体"/>
          <w:color w:val="auto"/>
          <w:sz w:val="21"/>
          <w:szCs w:val="21"/>
          <w:lang w:val="en-US" w:eastAsia="zh-CN"/>
        </w:rPr>
        <w:t>或电子签名</w:t>
      </w:r>
      <w:r>
        <w:rPr>
          <w:rFonts w:hint="eastAsia" w:ascii="宋体" w:hAnsi="宋体" w:cs="宋体"/>
          <w:color w:val="auto"/>
          <w:sz w:val="21"/>
          <w:szCs w:val="21"/>
        </w:rPr>
        <w:t>）</w:t>
      </w:r>
    </w:p>
    <w:p w14:paraId="62482169">
      <w:pPr>
        <w:spacing w:line="500" w:lineRule="exact"/>
        <w:rPr>
          <w:rFonts w:hint="eastAsia" w:ascii="宋体" w:hAnsi="宋体" w:cs="宋体"/>
          <w:color w:val="auto"/>
          <w:sz w:val="21"/>
          <w:szCs w:val="21"/>
        </w:rPr>
      </w:pPr>
      <w:r>
        <w:rPr>
          <w:rFonts w:hint="eastAsia" w:ascii="宋体" w:hAnsi="宋体" w:cs="宋体"/>
          <w:color w:val="auto"/>
          <w:sz w:val="21"/>
          <w:szCs w:val="21"/>
        </w:rPr>
        <w:t xml:space="preserve">                                身份证号码：</w:t>
      </w:r>
      <w:r>
        <w:rPr>
          <w:rFonts w:hint="eastAsia" w:ascii="宋体" w:hAnsi="宋体" w:cs="宋体"/>
          <w:color w:val="auto"/>
          <w:sz w:val="21"/>
          <w:szCs w:val="21"/>
          <w:u w:val="single"/>
        </w:rPr>
        <w:t xml:space="preserve">                           </w:t>
      </w:r>
    </w:p>
    <w:p w14:paraId="73AC785C">
      <w:pPr>
        <w:spacing w:line="500" w:lineRule="exact"/>
        <w:rPr>
          <w:rFonts w:hint="eastAsia" w:ascii="宋体" w:hAnsi="宋体" w:cs="宋体"/>
          <w:color w:val="auto"/>
          <w:sz w:val="21"/>
          <w:szCs w:val="21"/>
        </w:rPr>
      </w:pPr>
    </w:p>
    <w:p w14:paraId="4CBE36A4">
      <w:pPr>
        <w:spacing w:line="500" w:lineRule="exact"/>
        <w:rPr>
          <w:rFonts w:hint="eastAsia" w:ascii="宋体" w:hAnsi="宋体" w:cs="宋体"/>
          <w:color w:val="auto"/>
          <w:sz w:val="21"/>
          <w:szCs w:val="21"/>
        </w:rPr>
      </w:pPr>
      <w:r>
        <w:rPr>
          <w:rFonts w:hint="eastAsia" w:ascii="宋体" w:hAnsi="宋体" w:cs="宋体"/>
          <w:color w:val="auto"/>
          <w:sz w:val="21"/>
          <w:szCs w:val="21"/>
        </w:rPr>
        <w:t xml:space="preserve">                                              </w:t>
      </w:r>
      <w:r>
        <w:rPr>
          <w:rFonts w:hint="eastAsia" w:ascii="宋体" w:hAnsi="宋体" w:cs="宋体"/>
          <w:color w:val="auto"/>
          <w:sz w:val="21"/>
          <w:szCs w:val="21"/>
          <w:u w:val="single"/>
        </w:rPr>
        <w:t xml:space="preserve">       </w:t>
      </w:r>
      <w:r>
        <w:rPr>
          <w:rFonts w:hint="eastAsia" w:ascii="宋体" w:hAnsi="宋体" w:cs="宋体"/>
          <w:color w:val="auto"/>
          <w:sz w:val="21"/>
          <w:szCs w:val="21"/>
        </w:rPr>
        <w:t>年</w:t>
      </w:r>
      <w:r>
        <w:rPr>
          <w:rFonts w:hint="eastAsia" w:ascii="宋体" w:hAnsi="宋体" w:cs="宋体"/>
          <w:color w:val="auto"/>
          <w:sz w:val="21"/>
          <w:szCs w:val="21"/>
          <w:u w:val="single"/>
        </w:rPr>
        <w:t xml:space="preserve">    </w:t>
      </w:r>
      <w:r>
        <w:rPr>
          <w:rFonts w:hint="eastAsia" w:ascii="宋体" w:hAnsi="宋体" w:cs="宋体"/>
          <w:color w:val="auto"/>
          <w:sz w:val="21"/>
          <w:szCs w:val="21"/>
        </w:rPr>
        <w:t>月</w:t>
      </w:r>
      <w:r>
        <w:rPr>
          <w:rFonts w:hint="eastAsia" w:ascii="宋体" w:hAnsi="宋体" w:cs="宋体"/>
          <w:color w:val="auto"/>
          <w:sz w:val="21"/>
          <w:szCs w:val="21"/>
          <w:u w:val="single"/>
        </w:rPr>
        <w:t xml:space="preserve">    </w:t>
      </w:r>
      <w:r>
        <w:rPr>
          <w:rFonts w:hint="eastAsia" w:ascii="宋体" w:hAnsi="宋体" w:cs="宋体"/>
          <w:color w:val="auto"/>
          <w:sz w:val="21"/>
          <w:szCs w:val="21"/>
        </w:rPr>
        <w:t>日</w:t>
      </w:r>
    </w:p>
    <w:p w14:paraId="6C19E6DE">
      <w:pPr>
        <w:spacing w:line="500" w:lineRule="exact"/>
        <w:rPr>
          <w:rFonts w:hint="eastAsia" w:ascii="宋体" w:hAnsi="宋体" w:cs="宋体"/>
          <w:color w:val="auto"/>
          <w:sz w:val="21"/>
          <w:szCs w:val="21"/>
        </w:rPr>
      </w:pPr>
    </w:p>
    <w:p w14:paraId="2F0AEC98">
      <w:pPr>
        <w:rPr>
          <w:rFonts w:hint="eastAsia" w:ascii="宋体" w:hAnsi="宋体" w:cs="宋体"/>
          <w:color w:val="auto"/>
          <w:sz w:val="21"/>
          <w:szCs w:val="21"/>
        </w:rPr>
      </w:pPr>
    </w:p>
    <w:p w14:paraId="039A625E">
      <w:pPr>
        <w:spacing w:line="400" w:lineRule="exact"/>
        <w:ind w:firstLine="420" w:firstLineChars="200"/>
        <w:rPr>
          <w:rFonts w:hint="eastAsia" w:ascii="宋体" w:hAnsi="宋体" w:cs="宋体"/>
          <w:color w:val="auto"/>
          <w:sz w:val="21"/>
          <w:szCs w:val="21"/>
        </w:rPr>
      </w:pPr>
      <w:r>
        <w:rPr>
          <w:rFonts w:hint="eastAsia" w:ascii="宋体" w:hAnsi="宋体" w:cs="宋体"/>
          <w:color w:val="auto"/>
          <w:sz w:val="21"/>
          <w:szCs w:val="21"/>
        </w:rPr>
        <w:t>注：法定代表人和委托代理人必须在授权书上亲笔签名，不得使用印章、签名章或其他电子制版签名，否则投标无效。</w:t>
      </w:r>
    </w:p>
    <w:p w14:paraId="769DB5D7">
      <w:pPr>
        <w:spacing w:line="320" w:lineRule="exact"/>
        <w:jc w:val="center"/>
        <w:rPr>
          <w:rFonts w:hint="eastAsia" w:ascii="微软雅黑" w:hAnsi="微软雅黑" w:eastAsia="微软雅黑" w:cs="微软雅黑"/>
          <w:b/>
          <w:color w:val="auto"/>
          <w:sz w:val="28"/>
          <w:szCs w:val="28"/>
          <w:highlight w:val="none"/>
        </w:rPr>
      </w:pPr>
      <w:r>
        <w:rPr>
          <w:rFonts w:hint="eastAsia" w:ascii="宋体" w:hAnsi="宋体" w:cs="宋体"/>
          <w:color w:val="auto"/>
          <w:sz w:val="24"/>
        </w:rPr>
        <w:br w:type="page"/>
      </w:r>
      <w:r>
        <w:rPr>
          <w:rFonts w:hint="eastAsia" w:ascii="微软雅黑" w:hAnsi="微软雅黑" w:eastAsia="微软雅黑" w:cs="微软雅黑"/>
          <w:b/>
          <w:color w:val="auto"/>
          <w:sz w:val="28"/>
          <w:szCs w:val="28"/>
          <w:highlight w:val="none"/>
        </w:rPr>
        <w:t>供应商直接控股、管理关系信息表</w:t>
      </w:r>
    </w:p>
    <w:p w14:paraId="2801C909">
      <w:pPr>
        <w:snapToGrid w:val="0"/>
        <w:spacing w:before="120" w:beforeLines="50" w:after="50" w:line="360" w:lineRule="auto"/>
        <w:jc w:val="center"/>
        <w:rPr>
          <w:rFonts w:hint="eastAsia" w:ascii="微软雅黑" w:hAnsi="微软雅黑" w:eastAsia="微软雅黑" w:cs="微软雅黑"/>
          <w:b/>
          <w:color w:val="auto"/>
          <w:sz w:val="24"/>
          <w:highlight w:val="none"/>
        </w:rPr>
      </w:pPr>
    </w:p>
    <w:p w14:paraId="7F305AA7">
      <w:pPr>
        <w:spacing w:line="360" w:lineRule="auto"/>
        <w:contextualSpacing/>
        <w:jc w:val="center"/>
        <w:rPr>
          <w:rFonts w:hint="eastAsia" w:ascii="微软雅黑" w:hAnsi="微软雅黑" w:eastAsia="微软雅黑" w:cs="微软雅黑"/>
          <w:b/>
          <w:color w:val="auto"/>
          <w:sz w:val="24"/>
          <w:highlight w:val="none"/>
        </w:rPr>
      </w:pPr>
      <w:r>
        <w:rPr>
          <w:rFonts w:hint="eastAsia" w:ascii="微软雅黑" w:hAnsi="微软雅黑" w:eastAsia="微软雅黑" w:cs="微软雅黑"/>
          <w:b/>
          <w:color w:val="auto"/>
          <w:sz w:val="28"/>
          <w:szCs w:val="28"/>
          <w:highlight w:val="none"/>
        </w:rPr>
        <w:t>供应商直接控股股东信息表</w:t>
      </w:r>
    </w:p>
    <w:tbl>
      <w:tblPr>
        <w:tblStyle w:val="30"/>
        <w:tblW w:w="0" w:type="auto"/>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0E529C28">
        <w:tblPrEx>
          <w:shd w:val="clear" w:color="auto" w:fill="FBFBFB"/>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83776D1">
            <w:pPr>
              <w:keepNext w:val="0"/>
              <w:keepLines w:val="0"/>
              <w:widowControl/>
              <w:suppressLineNumbers w:val="0"/>
              <w:spacing w:before="0" w:beforeAutospacing="0" w:after="0" w:afterAutospacing="0" w:line="360" w:lineRule="auto"/>
              <w:ind w:left="0" w:right="0"/>
              <w:contextualSpacing/>
              <w:jc w:val="center"/>
              <w:rPr>
                <w:rFonts w:hint="eastAsia" w:ascii="微软雅黑" w:hAnsi="微软雅黑" w:eastAsia="微软雅黑" w:cs="微软雅黑"/>
                <w:b/>
                <w:bCs/>
                <w:color w:val="auto"/>
                <w:kern w:val="0"/>
                <w:sz w:val="21"/>
                <w:szCs w:val="21"/>
                <w:highlight w:val="none"/>
              </w:rPr>
            </w:pPr>
            <w:r>
              <w:rPr>
                <w:rFonts w:hint="eastAsia" w:ascii="微软雅黑" w:hAnsi="微软雅黑" w:eastAsia="微软雅黑" w:cs="微软雅黑"/>
                <w:b/>
                <w:bCs/>
                <w:color w:val="auto"/>
                <w:kern w:val="0"/>
                <w:sz w:val="21"/>
                <w:szCs w:val="21"/>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47CFCAB">
            <w:pPr>
              <w:keepNext w:val="0"/>
              <w:keepLines w:val="0"/>
              <w:widowControl/>
              <w:suppressLineNumbers w:val="0"/>
              <w:spacing w:before="0" w:beforeAutospacing="0" w:after="0" w:afterAutospacing="0" w:line="360" w:lineRule="auto"/>
              <w:ind w:left="0" w:right="0"/>
              <w:contextualSpacing/>
              <w:jc w:val="center"/>
              <w:rPr>
                <w:rFonts w:hint="eastAsia" w:ascii="微软雅黑" w:hAnsi="微软雅黑" w:eastAsia="微软雅黑" w:cs="微软雅黑"/>
                <w:b/>
                <w:bCs/>
                <w:color w:val="auto"/>
                <w:kern w:val="0"/>
                <w:sz w:val="21"/>
                <w:szCs w:val="21"/>
                <w:highlight w:val="none"/>
              </w:rPr>
            </w:pPr>
            <w:r>
              <w:rPr>
                <w:rFonts w:hint="eastAsia" w:ascii="微软雅黑" w:hAnsi="微软雅黑" w:eastAsia="微软雅黑" w:cs="微软雅黑"/>
                <w:b/>
                <w:bCs/>
                <w:color w:val="auto"/>
                <w:kern w:val="0"/>
                <w:sz w:val="21"/>
                <w:szCs w:val="21"/>
                <w:highlight w:val="none"/>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11875E8">
            <w:pPr>
              <w:keepNext w:val="0"/>
              <w:keepLines w:val="0"/>
              <w:widowControl/>
              <w:suppressLineNumbers w:val="0"/>
              <w:spacing w:before="0" w:beforeAutospacing="0" w:after="0" w:afterAutospacing="0" w:line="360" w:lineRule="auto"/>
              <w:ind w:left="0" w:right="0"/>
              <w:contextualSpacing/>
              <w:jc w:val="center"/>
              <w:rPr>
                <w:rFonts w:hint="eastAsia" w:ascii="微软雅黑" w:hAnsi="微软雅黑" w:eastAsia="微软雅黑" w:cs="微软雅黑"/>
                <w:b/>
                <w:bCs/>
                <w:color w:val="auto"/>
                <w:kern w:val="0"/>
                <w:sz w:val="21"/>
                <w:szCs w:val="21"/>
                <w:highlight w:val="none"/>
              </w:rPr>
            </w:pPr>
            <w:r>
              <w:rPr>
                <w:rFonts w:hint="eastAsia" w:ascii="微软雅黑" w:hAnsi="微软雅黑" w:eastAsia="微软雅黑" w:cs="微软雅黑"/>
                <w:b/>
                <w:bCs/>
                <w:color w:val="auto"/>
                <w:kern w:val="0"/>
                <w:sz w:val="21"/>
                <w:szCs w:val="21"/>
                <w:highlight w:val="none"/>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B1D9247">
            <w:pPr>
              <w:keepNext w:val="0"/>
              <w:keepLines w:val="0"/>
              <w:widowControl/>
              <w:suppressLineNumbers w:val="0"/>
              <w:spacing w:before="0" w:beforeAutospacing="0" w:after="0" w:afterAutospacing="0" w:line="360" w:lineRule="auto"/>
              <w:ind w:left="0" w:right="0"/>
              <w:contextualSpacing/>
              <w:jc w:val="center"/>
              <w:rPr>
                <w:rFonts w:hint="eastAsia" w:ascii="微软雅黑" w:hAnsi="微软雅黑" w:eastAsia="微软雅黑" w:cs="微软雅黑"/>
                <w:b/>
                <w:bCs/>
                <w:color w:val="auto"/>
                <w:kern w:val="0"/>
                <w:sz w:val="21"/>
                <w:szCs w:val="21"/>
                <w:highlight w:val="none"/>
              </w:rPr>
            </w:pPr>
            <w:r>
              <w:rPr>
                <w:rFonts w:hint="eastAsia" w:ascii="微软雅黑" w:hAnsi="微软雅黑" w:eastAsia="微软雅黑" w:cs="微软雅黑"/>
                <w:b/>
                <w:bCs/>
                <w:color w:val="auto"/>
                <w:kern w:val="0"/>
                <w:sz w:val="21"/>
                <w:szCs w:val="21"/>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0578AAC">
            <w:pPr>
              <w:keepNext w:val="0"/>
              <w:keepLines w:val="0"/>
              <w:widowControl/>
              <w:suppressLineNumbers w:val="0"/>
              <w:spacing w:before="0" w:beforeAutospacing="0" w:after="0" w:afterAutospacing="0" w:line="360" w:lineRule="auto"/>
              <w:ind w:left="0" w:right="0"/>
              <w:contextualSpacing/>
              <w:jc w:val="center"/>
              <w:rPr>
                <w:rFonts w:hint="eastAsia" w:ascii="微软雅黑" w:hAnsi="微软雅黑" w:eastAsia="微软雅黑" w:cs="微软雅黑"/>
                <w:b/>
                <w:bCs/>
                <w:color w:val="auto"/>
                <w:kern w:val="0"/>
                <w:sz w:val="21"/>
                <w:szCs w:val="21"/>
                <w:highlight w:val="none"/>
              </w:rPr>
            </w:pPr>
            <w:r>
              <w:rPr>
                <w:rFonts w:hint="eastAsia" w:ascii="微软雅黑" w:hAnsi="微软雅黑" w:eastAsia="微软雅黑" w:cs="微软雅黑"/>
                <w:b/>
                <w:bCs/>
                <w:color w:val="auto"/>
                <w:kern w:val="0"/>
                <w:sz w:val="21"/>
                <w:szCs w:val="21"/>
                <w:highlight w:val="none"/>
              </w:rPr>
              <w:t>备注</w:t>
            </w:r>
          </w:p>
        </w:tc>
      </w:tr>
      <w:tr w14:paraId="58C33A8C">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3841862">
            <w:pPr>
              <w:keepNext w:val="0"/>
              <w:keepLines w:val="0"/>
              <w:widowControl/>
              <w:suppressLineNumbers w:val="0"/>
              <w:spacing w:before="0" w:beforeAutospacing="0" w:after="0" w:afterAutospacing="0" w:line="360" w:lineRule="auto"/>
              <w:ind w:left="0" w:right="0"/>
              <w:contextualSpacing/>
              <w:jc w:val="center"/>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A887D85">
            <w:pPr>
              <w:keepNext w:val="0"/>
              <w:keepLines w:val="0"/>
              <w:widowControl/>
              <w:suppressLineNumbers w:val="0"/>
              <w:spacing w:before="0" w:beforeAutospacing="0" w:after="0" w:afterAutospacing="0" w:line="360" w:lineRule="auto"/>
              <w:ind w:left="0" w:right="0"/>
              <w:contextualSpacing/>
              <w:jc w:val="center"/>
              <w:rPr>
                <w:rFonts w:hint="eastAsia" w:ascii="微软雅黑" w:hAnsi="微软雅黑" w:eastAsia="微软雅黑" w:cs="微软雅黑"/>
                <w:color w:val="auto"/>
                <w:kern w:val="0"/>
                <w:sz w:val="21"/>
                <w:szCs w:val="21"/>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8E52C2F">
            <w:pPr>
              <w:keepNext w:val="0"/>
              <w:keepLines w:val="0"/>
              <w:widowControl/>
              <w:suppressLineNumbers w:val="0"/>
              <w:spacing w:before="0" w:beforeAutospacing="0" w:after="0" w:afterAutospacing="0" w:line="360" w:lineRule="auto"/>
              <w:ind w:left="0" w:right="0"/>
              <w:contextualSpacing/>
              <w:jc w:val="center"/>
              <w:rPr>
                <w:rFonts w:hint="eastAsia" w:ascii="微软雅黑" w:hAnsi="微软雅黑" w:eastAsia="微软雅黑" w:cs="微软雅黑"/>
                <w:color w:val="auto"/>
                <w:kern w:val="0"/>
                <w:sz w:val="21"/>
                <w:szCs w:val="21"/>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85D6E40">
            <w:pPr>
              <w:keepNext w:val="0"/>
              <w:keepLines w:val="0"/>
              <w:widowControl/>
              <w:suppressLineNumbers w:val="0"/>
              <w:spacing w:before="0" w:beforeAutospacing="0" w:after="0" w:afterAutospacing="0" w:line="360" w:lineRule="auto"/>
              <w:ind w:left="0" w:right="0"/>
              <w:contextualSpacing/>
              <w:jc w:val="center"/>
              <w:rPr>
                <w:rFonts w:hint="eastAsia" w:ascii="微软雅黑" w:hAnsi="微软雅黑" w:eastAsia="微软雅黑" w:cs="微软雅黑"/>
                <w:color w:val="auto"/>
                <w:kern w:val="0"/>
                <w:sz w:val="21"/>
                <w:szCs w:val="21"/>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17E7C80">
            <w:pPr>
              <w:keepNext w:val="0"/>
              <w:keepLines w:val="0"/>
              <w:widowControl/>
              <w:suppressLineNumbers w:val="0"/>
              <w:spacing w:before="0" w:beforeAutospacing="0" w:after="0" w:afterAutospacing="0" w:line="360" w:lineRule="auto"/>
              <w:ind w:left="0" w:right="0"/>
              <w:contextualSpacing/>
              <w:jc w:val="center"/>
              <w:rPr>
                <w:rFonts w:hint="eastAsia" w:ascii="微软雅黑" w:hAnsi="微软雅黑" w:eastAsia="微软雅黑" w:cs="微软雅黑"/>
                <w:color w:val="auto"/>
                <w:kern w:val="0"/>
                <w:sz w:val="21"/>
                <w:szCs w:val="21"/>
                <w:highlight w:val="none"/>
              </w:rPr>
            </w:pPr>
          </w:p>
        </w:tc>
      </w:tr>
      <w:tr w14:paraId="486EE3BE">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269AB9E">
            <w:pPr>
              <w:keepNext w:val="0"/>
              <w:keepLines w:val="0"/>
              <w:widowControl/>
              <w:suppressLineNumbers w:val="0"/>
              <w:spacing w:before="0" w:beforeAutospacing="0" w:after="0" w:afterAutospacing="0" w:line="360" w:lineRule="auto"/>
              <w:ind w:left="0" w:right="0"/>
              <w:contextualSpacing/>
              <w:jc w:val="center"/>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1111C8B">
            <w:pPr>
              <w:keepNext w:val="0"/>
              <w:keepLines w:val="0"/>
              <w:widowControl/>
              <w:suppressLineNumbers w:val="0"/>
              <w:spacing w:before="0" w:beforeAutospacing="0" w:after="0" w:afterAutospacing="0" w:line="360" w:lineRule="auto"/>
              <w:ind w:left="0" w:right="0"/>
              <w:contextualSpacing/>
              <w:jc w:val="center"/>
              <w:rPr>
                <w:rFonts w:hint="eastAsia" w:ascii="微软雅黑" w:hAnsi="微软雅黑" w:eastAsia="微软雅黑" w:cs="微软雅黑"/>
                <w:color w:val="auto"/>
                <w:kern w:val="0"/>
                <w:sz w:val="21"/>
                <w:szCs w:val="21"/>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46DDAE9">
            <w:pPr>
              <w:keepNext w:val="0"/>
              <w:keepLines w:val="0"/>
              <w:widowControl/>
              <w:suppressLineNumbers w:val="0"/>
              <w:spacing w:before="0" w:beforeAutospacing="0" w:after="0" w:afterAutospacing="0" w:line="360" w:lineRule="auto"/>
              <w:ind w:left="0" w:right="0"/>
              <w:contextualSpacing/>
              <w:jc w:val="center"/>
              <w:rPr>
                <w:rFonts w:hint="eastAsia" w:ascii="微软雅黑" w:hAnsi="微软雅黑" w:eastAsia="微软雅黑" w:cs="微软雅黑"/>
                <w:color w:val="auto"/>
                <w:kern w:val="0"/>
                <w:sz w:val="21"/>
                <w:szCs w:val="21"/>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EFA9205">
            <w:pPr>
              <w:keepNext w:val="0"/>
              <w:keepLines w:val="0"/>
              <w:widowControl/>
              <w:suppressLineNumbers w:val="0"/>
              <w:spacing w:before="0" w:beforeAutospacing="0" w:after="0" w:afterAutospacing="0" w:line="360" w:lineRule="auto"/>
              <w:ind w:left="0" w:right="0"/>
              <w:contextualSpacing/>
              <w:jc w:val="center"/>
              <w:rPr>
                <w:rFonts w:hint="eastAsia" w:ascii="微软雅黑" w:hAnsi="微软雅黑" w:eastAsia="微软雅黑" w:cs="微软雅黑"/>
                <w:color w:val="auto"/>
                <w:kern w:val="0"/>
                <w:sz w:val="21"/>
                <w:szCs w:val="21"/>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BBE8F7E">
            <w:pPr>
              <w:keepNext w:val="0"/>
              <w:keepLines w:val="0"/>
              <w:widowControl/>
              <w:suppressLineNumbers w:val="0"/>
              <w:spacing w:before="0" w:beforeAutospacing="0" w:after="0" w:afterAutospacing="0" w:line="360" w:lineRule="auto"/>
              <w:ind w:left="0" w:right="0"/>
              <w:contextualSpacing/>
              <w:jc w:val="center"/>
              <w:rPr>
                <w:rFonts w:hint="eastAsia" w:ascii="微软雅黑" w:hAnsi="微软雅黑" w:eastAsia="微软雅黑" w:cs="微软雅黑"/>
                <w:color w:val="auto"/>
                <w:kern w:val="0"/>
                <w:sz w:val="21"/>
                <w:szCs w:val="21"/>
                <w:highlight w:val="none"/>
              </w:rPr>
            </w:pPr>
          </w:p>
        </w:tc>
      </w:tr>
      <w:tr w14:paraId="15CB3D79">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C26E5EA">
            <w:pPr>
              <w:keepNext w:val="0"/>
              <w:keepLines w:val="0"/>
              <w:widowControl/>
              <w:suppressLineNumbers w:val="0"/>
              <w:spacing w:before="0" w:beforeAutospacing="0" w:after="0" w:afterAutospacing="0" w:line="360" w:lineRule="auto"/>
              <w:ind w:left="0" w:right="0"/>
              <w:contextualSpacing/>
              <w:jc w:val="center"/>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3AE1B4E">
            <w:pPr>
              <w:keepNext w:val="0"/>
              <w:keepLines w:val="0"/>
              <w:widowControl/>
              <w:suppressLineNumbers w:val="0"/>
              <w:spacing w:before="0" w:beforeAutospacing="0" w:after="0" w:afterAutospacing="0" w:line="360" w:lineRule="auto"/>
              <w:ind w:left="0" w:right="0"/>
              <w:contextualSpacing/>
              <w:jc w:val="center"/>
              <w:rPr>
                <w:rFonts w:hint="eastAsia" w:ascii="微软雅黑" w:hAnsi="微软雅黑" w:eastAsia="微软雅黑" w:cs="微软雅黑"/>
                <w:color w:val="auto"/>
                <w:kern w:val="0"/>
                <w:sz w:val="21"/>
                <w:szCs w:val="21"/>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78B6634">
            <w:pPr>
              <w:keepNext w:val="0"/>
              <w:keepLines w:val="0"/>
              <w:widowControl/>
              <w:suppressLineNumbers w:val="0"/>
              <w:spacing w:before="0" w:beforeAutospacing="0" w:after="0" w:afterAutospacing="0" w:line="360" w:lineRule="auto"/>
              <w:ind w:left="0" w:right="0"/>
              <w:contextualSpacing/>
              <w:jc w:val="center"/>
              <w:rPr>
                <w:rFonts w:hint="eastAsia" w:ascii="微软雅黑" w:hAnsi="微软雅黑" w:eastAsia="微软雅黑" w:cs="微软雅黑"/>
                <w:color w:val="auto"/>
                <w:kern w:val="0"/>
                <w:sz w:val="21"/>
                <w:szCs w:val="21"/>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D57B270">
            <w:pPr>
              <w:keepNext w:val="0"/>
              <w:keepLines w:val="0"/>
              <w:widowControl/>
              <w:suppressLineNumbers w:val="0"/>
              <w:spacing w:before="0" w:beforeAutospacing="0" w:after="0" w:afterAutospacing="0" w:line="360" w:lineRule="auto"/>
              <w:ind w:left="0" w:right="0"/>
              <w:contextualSpacing/>
              <w:jc w:val="center"/>
              <w:rPr>
                <w:rFonts w:hint="eastAsia" w:ascii="微软雅黑" w:hAnsi="微软雅黑" w:eastAsia="微软雅黑" w:cs="微软雅黑"/>
                <w:color w:val="auto"/>
                <w:kern w:val="0"/>
                <w:sz w:val="21"/>
                <w:szCs w:val="21"/>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8712159">
            <w:pPr>
              <w:keepNext w:val="0"/>
              <w:keepLines w:val="0"/>
              <w:widowControl/>
              <w:suppressLineNumbers w:val="0"/>
              <w:spacing w:before="0" w:beforeAutospacing="0" w:after="0" w:afterAutospacing="0" w:line="360" w:lineRule="auto"/>
              <w:ind w:left="0" w:right="0"/>
              <w:contextualSpacing/>
              <w:jc w:val="center"/>
              <w:rPr>
                <w:rFonts w:hint="eastAsia" w:ascii="微软雅黑" w:hAnsi="微软雅黑" w:eastAsia="微软雅黑" w:cs="微软雅黑"/>
                <w:color w:val="auto"/>
                <w:kern w:val="0"/>
                <w:sz w:val="21"/>
                <w:szCs w:val="21"/>
                <w:highlight w:val="none"/>
              </w:rPr>
            </w:pPr>
          </w:p>
        </w:tc>
      </w:tr>
      <w:tr w14:paraId="36524C7E">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4CB89C7">
            <w:pPr>
              <w:keepNext w:val="0"/>
              <w:keepLines w:val="0"/>
              <w:widowControl/>
              <w:suppressLineNumbers w:val="0"/>
              <w:spacing w:before="0" w:beforeAutospacing="0" w:after="0" w:afterAutospacing="0" w:line="360" w:lineRule="auto"/>
              <w:ind w:left="0" w:right="0"/>
              <w:contextualSpacing/>
              <w:jc w:val="center"/>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DF49AAF">
            <w:pPr>
              <w:keepNext w:val="0"/>
              <w:keepLines w:val="0"/>
              <w:widowControl/>
              <w:suppressLineNumbers w:val="0"/>
              <w:spacing w:before="0" w:beforeAutospacing="0" w:after="0" w:afterAutospacing="0" w:line="360" w:lineRule="auto"/>
              <w:ind w:left="0" w:right="0"/>
              <w:contextualSpacing/>
              <w:jc w:val="center"/>
              <w:rPr>
                <w:rFonts w:hint="eastAsia" w:ascii="微软雅黑" w:hAnsi="微软雅黑" w:eastAsia="微软雅黑" w:cs="微软雅黑"/>
                <w:color w:val="auto"/>
                <w:kern w:val="0"/>
                <w:sz w:val="21"/>
                <w:szCs w:val="21"/>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70FE6B7">
            <w:pPr>
              <w:keepNext w:val="0"/>
              <w:keepLines w:val="0"/>
              <w:widowControl/>
              <w:suppressLineNumbers w:val="0"/>
              <w:spacing w:before="0" w:beforeAutospacing="0" w:after="0" w:afterAutospacing="0" w:line="360" w:lineRule="auto"/>
              <w:ind w:left="0" w:right="0"/>
              <w:contextualSpacing/>
              <w:jc w:val="center"/>
              <w:rPr>
                <w:rFonts w:hint="eastAsia" w:ascii="微软雅黑" w:hAnsi="微软雅黑" w:eastAsia="微软雅黑" w:cs="微软雅黑"/>
                <w:color w:val="auto"/>
                <w:kern w:val="0"/>
                <w:sz w:val="21"/>
                <w:szCs w:val="21"/>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046630A">
            <w:pPr>
              <w:keepNext w:val="0"/>
              <w:keepLines w:val="0"/>
              <w:widowControl/>
              <w:suppressLineNumbers w:val="0"/>
              <w:spacing w:before="0" w:beforeAutospacing="0" w:after="0" w:afterAutospacing="0" w:line="360" w:lineRule="auto"/>
              <w:ind w:left="0" w:right="0"/>
              <w:contextualSpacing/>
              <w:jc w:val="center"/>
              <w:rPr>
                <w:rFonts w:hint="eastAsia" w:ascii="微软雅黑" w:hAnsi="微软雅黑" w:eastAsia="微软雅黑" w:cs="微软雅黑"/>
                <w:color w:val="auto"/>
                <w:kern w:val="0"/>
                <w:sz w:val="21"/>
                <w:szCs w:val="21"/>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0CF9B58">
            <w:pPr>
              <w:keepNext w:val="0"/>
              <w:keepLines w:val="0"/>
              <w:widowControl/>
              <w:suppressLineNumbers w:val="0"/>
              <w:spacing w:before="0" w:beforeAutospacing="0" w:after="0" w:afterAutospacing="0" w:line="360" w:lineRule="auto"/>
              <w:ind w:left="0" w:right="0"/>
              <w:contextualSpacing/>
              <w:jc w:val="center"/>
              <w:rPr>
                <w:rFonts w:hint="eastAsia" w:ascii="微软雅黑" w:hAnsi="微软雅黑" w:eastAsia="微软雅黑" w:cs="微软雅黑"/>
                <w:color w:val="auto"/>
                <w:kern w:val="0"/>
                <w:sz w:val="21"/>
                <w:szCs w:val="21"/>
                <w:highlight w:val="none"/>
              </w:rPr>
            </w:pPr>
          </w:p>
        </w:tc>
      </w:tr>
    </w:tbl>
    <w:p w14:paraId="7E8F8AA4">
      <w:pPr>
        <w:spacing w:line="360" w:lineRule="auto"/>
        <w:contextualSpacing/>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注：</w:t>
      </w:r>
    </w:p>
    <w:p w14:paraId="761EE7D3">
      <w:pPr>
        <w:spacing w:line="240" w:lineRule="auto"/>
        <w:ind w:firstLine="420" w:firstLineChars="200"/>
        <w:contextualSpacing/>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6E076F3A">
      <w:pPr>
        <w:spacing w:line="240" w:lineRule="auto"/>
        <w:ind w:firstLine="420" w:firstLineChars="200"/>
        <w:contextualSpacing/>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2.本表所指的控股关系仅限于直接控股关系，不包括间接的控股关系。公司实际控制人与公司之间的关系不属于本表所指的直接控股关系。</w:t>
      </w:r>
    </w:p>
    <w:p w14:paraId="1649C45C">
      <w:pPr>
        <w:spacing w:line="240" w:lineRule="auto"/>
        <w:ind w:firstLine="420" w:firstLineChars="200"/>
        <w:contextualSpacing/>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3.供应商不存在直接控股股东的，则在“直接控股股东名称”填“无”。</w:t>
      </w:r>
    </w:p>
    <w:p w14:paraId="09A806E7">
      <w:pPr>
        <w:spacing w:line="360" w:lineRule="auto"/>
        <w:ind w:firstLine="420" w:firstLineChars="200"/>
        <w:contextualSpacing/>
        <w:jc w:val="left"/>
        <w:rPr>
          <w:rFonts w:hint="eastAsia" w:ascii="微软雅黑" w:hAnsi="微软雅黑" w:eastAsia="微软雅黑" w:cs="微软雅黑"/>
          <w:color w:val="auto"/>
          <w:sz w:val="21"/>
          <w:szCs w:val="21"/>
          <w:highlight w:val="none"/>
        </w:rPr>
      </w:pPr>
    </w:p>
    <w:p w14:paraId="54F41E8B">
      <w:pPr>
        <w:spacing w:line="360" w:lineRule="auto"/>
        <w:ind w:right="480"/>
        <w:contextualSpacing/>
        <w:jc w:val="center"/>
        <w:rPr>
          <w:rFonts w:hint="eastAsia" w:ascii="微软雅黑" w:hAnsi="微软雅黑" w:eastAsia="微软雅黑" w:cs="微软雅黑"/>
          <w:color w:val="auto"/>
          <w:sz w:val="21"/>
          <w:szCs w:val="21"/>
          <w:highlight w:val="none"/>
          <w:u w:val="single"/>
        </w:rPr>
      </w:pPr>
      <w:r>
        <w:rPr>
          <w:rFonts w:hint="eastAsia" w:ascii="微软雅黑" w:hAnsi="微软雅黑" w:eastAsia="微软雅黑" w:cs="微软雅黑"/>
          <w:color w:val="auto"/>
          <w:sz w:val="21"/>
          <w:szCs w:val="21"/>
          <w:highlight w:val="none"/>
        </w:rPr>
        <w:t xml:space="preserve">        法定代表人或者</w:t>
      </w:r>
      <w:r>
        <w:rPr>
          <w:rFonts w:hint="eastAsia" w:ascii="微软雅黑" w:hAnsi="微软雅黑" w:eastAsia="微软雅黑" w:cs="微软雅黑"/>
          <w:color w:val="auto"/>
          <w:sz w:val="21"/>
          <w:szCs w:val="21"/>
          <w:highlight w:val="none"/>
          <w:lang w:val="en-US" w:eastAsia="zh-CN"/>
        </w:rPr>
        <w:t>其</w:t>
      </w:r>
      <w:r>
        <w:rPr>
          <w:rFonts w:hint="eastAsia" w:ascii="微软雅黑" w:hAnsi="微软雅黑" w:eastAsia="微软雅黑" w:cs="微软雅黑"/>
          <w:color w:val="auto"/>
          <w:sz w:val="21"/>
          <w:szCs w:val="21"/>
          <w:highlight w:val="none"/>
        </w:rPr>
        <w:t>委托代理人（签字或者电子签名）：</w:t>
      </w:r>
      <w:r>
        <w:rPr>
          <w:rFonts w:hint="eastAsia" w:ascii="微软雅黑" w:hAnsi="微软雅黑" w:eastAsia="微软雅黑" w:cs="微软雅黑"/>
          <w:color w:val="auto"/>
          <w:sz w:val="21"/>
          <w:szCs w:val="21"/>
          <w:highlight w:val="none"/>
          <w:u w:val="single"/>
        </w:rPr>
        <w:t xml:space="preserve">                    </w:t>
      </w:r>
    </w:p>
    <w:p w14:paraId="54BE333F">
      <w:pPr>
        <w:spacing w:line="360" w:lineRule="auto"/>
        <w:ind w:right="480" w:firstLine="2625" w:firstLineChars="1250"/>
        <w:contextualSpacing/>
        <w:rPr>
          <w:rFonts w:hint="eastAsia" w:ascii="微软雅黑" w:hAnsi="微软雅黑" w:eastAsia="微软雅黑" w:cs="微软雅黑"/>
          <w:color w:val="auto"/>
          <w:sz w:val="21"/>
          <w:szCs w:val="21"/>
          <w:highlight w:val="none"/>
          <w:u w:val="single"/>
        </w:rPr>
      </w:pPr>
      <w:r>
        <w:rPr>
          <w:rFonts w:hint="eastAsia" w:ascii="微软雅黑" w:hAnsi="微软雅黑" w:eastAsia="微软雅黑" w:cs="微软雅黑"/>
          <w:color w:val="auto"/>
          <w:sz w:val="21"/>
          <w:szCs w:val="21"/>
          <w:highlight w:val="none"/>
        </w:rPr>
        <w:t>供应商（</w:t>
      </w:r>
      <w:r>
        <w:rPr>
          <w:rFonts w:hint="eastAsia" w:ascii="微软雅黑" w:hAnsi="微软雅黑" w:eastAsia="微软雅黑" w:cs="微软雅黑"/>
          <w:color w:val="auto"/>
          <w:sz w:val="21"/>
          <w:szCs w:val="21"/>
          <w:highlight w:val="none"/>
          <w:lang w:val="en-US" w:eastAsia="zh-CN"/>
        </w:rPr>
        <w:t>CA</w:t>
      </w:r>
      <w:r>
        <w:rPr>
          <w:rFonts w:hint="eastAsia" w:ascii="微软雅黑" w:hAnsi="微软雅黑" w:eastAsia="微软雅黑" w:cs="微软雅黑"/>
          <w:color w:val="auto"/>
          <w:sz w:val="21"/>
          <w:szCs w:val="21"/>
          <w:highlight w:val="none"/>
        </w:rPr>
        <w:t xml:space="preserve">电子签章）： </w:t>
      </w:r>
      <w:r>
        <w:rPr>
          <w:rFonts w:hint="eastAsia" w:ascii="微软雅黑" w:hAnsi="微软雅黑" w:eastAsia="微软雅黑" w:cs="微软雅黑"/>
          <w:color w:val="auto"/>
          <w:sz w:val="21"/>
          <w:szCs w:val="21"/>
          <w:highlight w:val="none"/>
          <w:u w:val="single"/>
        </w:rPr>
        <w:t xml:space="preserve">                              </w:t>
      </w:r>
    </w:p>
    <w:p w14:paraId="0AA03697">
      <w:pPr>
        <w:spacing w:line="360" w:lineRule="auto"/>
        <w:ind w:firstLine="420" w:firstLineChars="200"/>
        <w:contextualSpacing/>
        <w:jc w:val="right"/>
        <w:rPr>
          <w:rFonts w:hint="eastAsia" w:ascii="宋体" w:hAnsi="宋体" w:cs="宋体"/>
          <w:color w:val="auto"/>
          <w:sz w:val="21"/>
          <w:szCs w:val="21"/>
          <w:highlight w:val="none"/>
        </w:rPr>
      </w:pPr>
      <w:r>
        <w:rPr>
          <w:rFonts w:hint="eastAsia" w:ascii="微软雅黑" w:hAnsi="微软雅黑" w:eastAsia="微软雅黑" w:cs="微软雅黑"/>
          <w:color w:val="auto"/>
          <w:sz w:val="21"/>
          <w:szCs w:val="21"/>
          <w:highlight w:val="none"/>
        </w:rPr>
        <w:t>年    月    日</w:t>
      </w:r>
    </w:p>
    <w:p w14:paraId="58504513">
      <w:pPr>
        <w:snapToGrid w:val="0"/>
        <w:jc w:val="center"/>
        <w:rPr>
          <w:rFonts w:hint="eastAsia" w:ascii="宋体" w:hAnsi="宋体"/>
          <w:b/>
          <w:color w:val="auto"/>
          <w:sz w:val="28"/>
          <w:szCs w:val="28"/>
          <w:highlight w:val="none"/>
        </w:rPr>
      </w:pPr>
      <w:r>
        <w:rPr>
          <w:rFonts w:ascii="宋体" w:hAnsi="宋体"/>
          <w:b/>
          <w:color w:val="auto"/>
          <w:sz w:val="28"/>
          <w:szCs w:val="28"/>
          <w:highlight w:val="none"/>
        </w:rPr>
        <w:br w:type="page"/>
      </w:r>
    </w:p>
    <w:p w14:paraId="5441981A">
      <w:pPr>
        <w:spacing w:line="360" w:lineRule="auto"/>
        <w:contextualSpacing/>
        <w:jc w:val="center"/>
        <w:outlineLvl w:val="4"/>
        <w:rPr>
          <w:rFonts w:hint="eastAsia" w:ascii="宋体" w:hAnsi="宋体"/>
          <w:b/>
          <w:color w:val="auto"/>
          <w:sz w:val="24"/>
          <w:highlight w:val="none"/>
        </w:rPr>
      </w:pPr>
      <w:r>
        <w:rPr>
          <w:rFonts w:hint="eastAsia" w:ascii="微软雅黑" w:hAnsi="微软雅黑" w:eastAsia="微软雅黑" w:cs="微软雅黑"/>
          <w:b/>
          <w:color w:val="auto"/>
          <w:sz w:val="28"/>
          <w:szCs w:val="28"/>
          <w:highlight w:val="none"/>
        </w:rPr>
        <w:t>供应商直接管理关系信息表</w:t>
      </w:r>
    </w:p>
    <w:tbl>
      <w:tblPr>
        <w:tblStyle w:val="30"/>
        <w:tblW w:w="0" w:type="auto"/>
        <w:jc w:val="center"/>
        <w:shd w:val="clear" w:color="auto" w:fill="FBFBFB"/>
        <w:tblLayout w:type="fixed"/>
        <w:tblCellMar>
          <w:top w:w="0" w:type="dxa"/>
          <w:left w:w="0" w:type="dxa"/>
          <w:bottom w:w="0" w:type="dxa"/>
          <w:right w:w="0" w:type="dxa"/>
        </w:tblCellMar>
      </w:tblPr>
      <w:tblGrid>
        <w:gridCol w:w="808"/>
        <w:gridCol w:w="3600"/>
        <w:gridCol w:w="3555"/>
        <w:gridCol w:w="1689"/>
      </w:tblGrid>
      <w:tr w14:paraId="0430D2F7">
        <w:tblPrEx>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00DAC2A">
            <w:pPr>
              <w:keepNext w:val="0"/>
              <w:keepLines w:val="0"/>
              <w:widowControl/>
              <w:suppressLineNumbers w:val="0"/>
              <w:spacing w:before="0" w:beforeAutospacing="0" w:after="0" w:afterAutospacing="0" w:line="360" w:lineRule="auto"/>
              <w:ind w:left="0" w:right="0"/>
              <w:contextualSpacing/>
              <w:jc w:val="center"/>
              <w:rPr>
                <w:rFonts w:hint="eastAsia" w:ascii="微软雅黑" w:hAnsi="微软雅黑" w:eastAsia="微软雅黑" w:cs="微软雅黑"/>
                <w:b/>
                <w:bCs/>
                <w:color w:val="auto"/>
                <w:kern w:val="0"/>
                <w:sz w:val="21"/>
                <w:szCs w:val="21"/>
                <w:highlight w:val="none"/>
              </w:rPr>
            </w:pPr>
            <w:r>
              <w:rPr>
                <w:rFonts w:hint="eastAsia" w:ascii="微软雅黑" w:hAnsi="微软雅黑" w:eastAsia="微软雅黑" w:cs="微软雅黑"/>
                <w:b/>
                <w:bCs/>
                <w:color w:val="auto"/>
                <w:kern w:val="0"/>
                <w:sz w:val="21"/>
                <w:szCs w:val="21"/>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84E637E">
            <w:pPr>
              <w:keepNext w:val="0"/>
              <w:keepLines w:val="0"/>
              <w:widowControl/>
              <w:suppressLineNumbers w:val="0"/>
              <w:spacing w:before="0" w:beforeAutospacing="0" w:after="0" w:afterAutospacing="0" w:line="360" w:lineRule="auto"/>
              <w:ind w:left="0" w:right="0"/>
              <w:contextualSpacing/>
              <w:jc w:val="center"/>
              <w:rPr>
                <w:rFonts w:hint="eastAsia" w:ascii="微软雅黑" w:hAnsi="微软雅黑" w:eastAsia="微软雅黑" w:cs="微软雅黑"/>
                <w:b/>
                <w:bCs/>
                <w:color w:val="auto"/>
                <w:kern w:val="0"/>
                <w:sz w:val="21"/>
                <w:szCs w:val="21"/>
                <w:highlight w:val="none"/>
              </w:rPr>
            </w:pPr>
            <w:r>
              <w:rPr>
                <w:rFonts w:hint="eastAsia" w:ascii="微软雅黑" w:hAnsi="微软雅黑" w:eastAsia="微软雅黑" w:cs="微软雅黑"/>
                <w:b/>
                <w:bCs/>
                <w:color w:val="auto"/>
                <w:kern w:val="0"/>
                <w:sz w:val="21"/>
                <w:szCs w:val="21"/>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E51F3E8">
            <w:pPr>
              <w:keepNext w:val="0"/>
              <w:keepLines w:val="0"/>
              <w:widowControl/>
              <w:suppressLineNumbers w:val="0"/>
              <w:spacing w:before="0" w:beforeAutospacing="0" w:after="0" w:afterAutospacing="0" w:line="360" w:lineRule="auto"/>
              <w:ind w:left="0" w:right="0"/>
              <w:contextualSpacing/>
              <w:jc w:val="center"/>
              <w:rPr>
                <w:rFonts w:hint="eastAsia" w:ascii="微软雅黑" w:hAnsi="微软雅黑" w:eastAsia="微软雅黑" w:cs="微软雅黑"/>
                <w:b/>
                <w:bCs/>
                <w:color w:val="auto"/>
                <w:kern w:val="0"/>
                <w:sz w:val="21"/>
                <w:szCs w:val="21"/>
                <w:highlight w:val="none"/>
              </w:rPr>
            </w:pPr>
            <w:r>
              <w:rPr>
                <w:rFonts w:hint="eastAsia" w:ascii="微软雅黑" w:hAnsi="微软雅黑" w:eastAsia="微软雅黑" w:cs="微软雅黑"/>
                <w:b/>
                <w:bCs/>
                <w:color w:val="auto"/>
                <w:kern w:val="0"/>
                <w:sz w:val="21"/>
                <w:szCs w:val="21"/>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443BE91">
            <w:pPr>
              <w:keepNext w:val="0"/>
              <w:keepLines w:val="0"/>
              <w:widowControl/>
              <w:suppressLineNumbers w:val="0"/>
              <w:spacing w:before="0" w:beforeAutospacing="0" w:after="0" w:afterAutospacing="0" w:line="360" w:lineRule="auto"/>
              <w:ind w:left="0" w:right="0"/>
              <w:contextualSpacing/>
              <w:jc w:val="center"/>
              <w:rPr>
                <w:rFonts w:hint="eastAsia" w:ascii="微软雅黑" w:hAnsi="微软雅黑" w:eastAsia="微软雅黑" w:cs="微软雅黑"/>
                <w:b/>
                <w:bCs/>
                <w:color w:val="auto"/>
                <w:kern w:val="0"/>
                <w:sz w:val="21"/>
                <w:szCs w:val="21"/>
                <w:highlight w:val="none"/>
              </w:rPr>
            </w:pPr>
            <w:r>
              <w:rPr>
                <w:rFonts w:hint="eastAsia" w:ascii="微软雅黑" w:hAnsi="微软雅黑" w:eastAsia="微软雅黑" w:cs="微软雅黑"/>
                <w:b/>
                <w:bCs/>
                <w:color w:val="auto"/>
                <w:kern w:val="0"/>
                <w:sz w:val="21"/>
                <w:szCs w:val="21"/>
                <w:highlight w:val="none"/>
              </w:rPr>
              <w:t>相互关系</w:t>
            </w:r>
          </w:p>
        </w:tc>
      </w:tr>
      <w:tr w14:paraId="1A2A45B5">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65754C0">
            <w:pPr>
              <w:keepNext w:val="0"/>
              <w:keepLines w:val="0"/>
              <w:widowControl/>
              <w:suppressLineNumbers w:val="0"/>
              <w:spacing w:before="0" w:beforeAutospacing="0" w:after="0" w:afterAutospacing="0" w:line="360" w:lineRule="auto"/>
              <w:ind w:left="0" w:right="0"/>
              <w:contextualSpacing/>
              <w:jc w:val="center"/>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D5B346F">
            <w:pPr>
              <w:keepNext w:val="0"/>
              <w:keepLines w:val="0"/>
              <w:widowControl/>
              <w:suppressLineNumbers w:val="0"/>
              <w:spacing w:before="0" w:beforeAutospacing="0" w:after="0" w:afterAutospacing="0" w:line="360" w:lineRule="auto"/>
              <w:ind w:left="0" w:right="0"/>
              <w:contextualSpacing/>
              <w:jc w:val="center"/>
              <w:rPr>
                <w:rFonts w:hint="eastAsia" w:ascii="微软雅黑" w:hAnsi="微软雅黑" w:eastAsia="微软雅黑" w:cs="微软雅黑"/>
                <w:color w:val="auto"/>
                <w:kern w:val="0"/>
                <w:sz w:val="21"/>
                <w:szCs w:val="21"/>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9886337">
            <w:pPr>
              <w:keepNext w:val="0"/>
              <w:keepLines w:val="0"/>
              <w:widowControl/>
              <w:suppressLineNumbers w:val="0"/>
              <w:spacing w:before="0" w:beforeAutospacing="0" w:after="0" w:afterAutospacing="0" w:line="360" w:lineRule="auto"/>
              <w:ind w:left="0" w:right="0"/>
              <w:contextualSpacing/>
              <w:jc w:val="center"/>
              <w:rPr>
                <w:rFonts w:hint="eastAsia" w:ascii="微软雅黑" w:hAnsi="微软雅黑" w:eastAsia="微软雅黑" w:cs="微软雅黑"/>
                <w:color w:val="auto"/>
                <w:kern w:val="0"/>
                <w:sz w:val="21"/>
                <w:szCs w:val="21"/>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3FD6B1E">
            <w:pPr>
              <w:keepNext w:val="0"/>
              <w:keepLines w:val="0"/>
              <w:widowControl/>
              <w:suppressLineNumbers w:val="0"/>
              <w:spacing w:before="0" w:beforeAutospacing="0" w:after="0" w:afterAutospacing="0" w:line="360" w:lineRule="auto"/>
              <w:ind w:left="0" w:right="0"/>
              <w:contextualSpacing/>
              <w:jc w:val="center"/>
              <w:rPr>
                <w:rFonts w:hint="eastAsia" w:ascii="微软雅黑" w:hAnsi="微软雅黑" w:eastAsia="微软雅黑" w:cs="微软雅黑"/>
                <w:color w:val="auto"/>
                <w:kern w:val="0"/>
                <w:sz w:val="21"/>
                <w:szCs w:val="21"/>
                <w:highlight w:val="none"/>
              </w:rPr>
            </w:pPr>
          </w:p>
        </w:tc>
      </w:tr>
      <w:tr w14:paraId="61162608">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08F98E6">
            <w:pPr>
              <w:keepNext w:val="0"/>
              <w:keepLines w:val="0"/>
              <w:widowControl/>
              <w:suppressLineNumbers w:val="0"/>
              <w:spacing w:before="0" w:beforeAutospacing="0" w:after="0" w:afterAutospacing="0" w:line="360" w:lineRule="auto"/>
              <w:ind w:left="0" w:right="0"/>
              <w:contextualSpacing/>
              <w:jc w:val="center"/>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994BF19">
            <w:pPr>
              <w:keepNext w:val="0"/>
              <w:keepLines w:val="0"/>
              <w:widowControl/>
              <w:suppressLineNumbers w:val="0"/>
              <w:spacing w:before="0" w:beforeAutospacing="0" w:after="0" w:afterAutospacing="0" w:line="360" w:lineRule="auto"/>
              <w:ind w:left="0" w:right="0"/>
              <w:contextualSpacing/>
              <w:jc w:val="center"/>
              <w:rPr>
                <w:rFonts w:hint="eastAsia" w:ascii="微软雅黑" w:hAnsi="微软雅黑" w:eastAsia="微软雅黑" w:cs="微软雅黑"/>
                <w:color w:val="auto"/>
                <w:kern w:val="0"/>
                <w:sz w:val="21"/>
                <w:szCs w:val="21"/>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E67CFB4">
            <w:pPr>
              <w:keepNext w:val="0"/>
              <w:keepLines w:val="0"/>
              <w:widowControl/>
              <w:suppressLineNumbers w:val="0"/>
              <w:spacing w:before="0" w:beforeAutospacing="0" w:after="0" w:afterAutospacing="0" w:line="360" w:lineRule="auto"/>
              <w:ind w:left="0" w:right="0"/>
              <w:contextualSpacing/>
              <w:jc w:val="center"/>
              <w:rPr>
                <w:rFonts w:hint="eastAsia" w:ascii="微软雅黑" w:hAnsi="微软雅黑" w:eastAsia="微软雅黑" w:cs="微软雅黑"/>
                <w:color w:val="auto"/>
                <w:kern w:val="0"/>
                <w:sz w:val="21"/>
                <w:szCs w:val="21"/>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65DD6D1">
            <w:pPr>
              <w:keepNext w:val="0"/>
              <w:keepLines w:val="0"/>
              <w:widowControl/>
              <w:suppressLineNumbers w:val="0"/>
              <w:spacing w:before="0" w:beforeAutospacing="0" w:after="0" w:afterAutospacing="0" w:line="360" w:lineRule="auto"/>
              <w:ind w:left="0" w:right="0"/>
              <w:contextualSpacing/>
              <w:jc w:val="center"/>
              <w:rPr>
                <w:rFonts w:hint="eastAsia" w:ascii="微软雅黑" w:hAnsi="微软雅黑" w:eastAsia="微软雅黑" w:cs="微软雅黑"/>
                <w:color w:val="auto"/>
                <w:kern w:val="0"/>
                <w:sz w:val="21"/>
                <w:szCs w:val="21"/>
                <w:highlight w:val="none"/>
              </w:rPr>
            </w:pPr>
          </w:p>
        </w:tc>
      </w:tr>
      <w:tr w14:paraId="5148EEAB">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8592E62">
            <w:pPr>
              <w:keepNext w:val="0"/>
              <w:keepLines w:val="0"/>
              <w:widowControl/>
              <w:suppressLineNumbers w:val="0"/>
              <w:spacing w:before="0" w:beforeAutospacing="0" w:after="0" w:afterAutospacing="0" w:line="360" w:lineRule="auto"/>
              <w:ind w:left="0" w:right="0"/>
              <w:contextualSpacing/>
              <w:jc w:val="center"/>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03912CB">
            <w:pPr>
              <w:keepNext w:val="0"/>
              <w:keepLines w:val="0"/>
              <w:widowControl/>
              <w:suppressLineNumbers w:val="0"/>
              <w:spacing w:before="0" w:beforeAutospacing="0" w:after="0" w:afterAutospacing="0" w:line="360" w:lineRule="auto"/>
              <w:ind w:left="0" w:right="0"/>
              <w:contextualSpacing/>
              <w:jc w:val="center"/>
              <w:rPr>
                <w:rFonts w:hint="eastAsia" w:ascii="微软雅黑" w:hAnsi="微软雅黑" w:eastAsia="微软雅黑" w:cs="微软雅黑"/>
                <w:color w:val="auto"/>
                <w:kern w:val="0"/>
                <w:sz w:val="21"/>
                <w:szCs w:val="21"/>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508AF23">
            <w:pPr>
              <w:keepNext w:val="0"/>
              <w:keepLines w:val="0"/>
              <w:widowControl/>
              <w:suppressLineNumbers w:val="0"/>
              <w:spacing w:before="0" w:beforeAutospacing="0" w:after="0" w:afterAutospacing="0" w:line="360" w:lineRule="auto"/>
              <w:ind w:left="0" w:right="0"/>
              <w:contextualSpacing/>
              <w:jc w:val="center"/>
              <w:rPr>
                <w:rFonts w:hint="eastAsia" w:ascii="微软雅黑" w:hAnsi="微软雅黑" w:eastAsia="微软雅黑" w:cs="微软雅黑"/>
                <w:color w:val="auto"/>
                <w:kern w:val="0"/>
                <w:sz w:val="21"/>
                <w:szCs w:val="21"/>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9956FFB">
            <w:pPr>
              <w:keepNext w:val="0"/>
              <w:keepLines w:val="0"/>
              <w:widowControl/>
              <w:suppressLineNumbers w:val="0"/>
              <w:spacing w:before="0" w:beforeAutospacing="0" w:after="0" w:afterAutospacing="0" w:line="360" w:lineRule="auto"/>
              <w:ind w:left="0" w:right="0"/>
              <w:contextualSpacing/>
              <w:jc w:val="center"/>
              <w:rPr>
                <w:rFonts w:hint="eastAsia" w:ascii="微软雅黑" w:hAnsi="微软雅黑" w:eastAsia="微软雅黑" w:cs="微软雅黑"/>
                <w:color w:val="auto"/>
                <w:kern w:val="0"/>
                <w:sz w:val="21"/>
                <w:szCs w:val="21"/>
                <w:highlight w:val="none"/>
              </w:rPr>
            </w:pPr>
          </w:p>
        </w:tc>
      </w:tr>
      <w:tr w14:paraId="2793283B">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9AA817A">
            <w:pPr>
              <w:keepNext w:val="0"/>
              <w:keepLines w:val="0"/>
              <w:widowControl/>
              <w:suppressLineNumbers w:val="0"/>
              <w:spacing w:before="0" w:beforeAutospacing="0" w:after="0" w:afterAutospacing="0" w:line="360" w:lineRule="auto"/>
              <w:ind w:left="0" w:right="0"/>
              <w:contextualSpacing/>
              <w:jc w:val="center"/>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6966B06">
            <w:pPr>
              <w:keepNext w:val="0"/>
              <w:keepLines w:val="0"/>
              <w:widowControl/>
              <w:suppressLineNumbers w:val="0"/>
              <w:spacing w:before="0" w:beforeAutospacing="0" w:after="0" w:afterAutospacing="0" w:line="360" w:lineRule="auto"/>
              <w:ind w:left="0" w:right="0"/>
              <w:contextualSpacing/>
              <w:jc w:val="center"/>
              <w:rPr>
                <w:rFonts w:hint="eastAsia" w:ascii="微软雅黑" w:hAnsi="微软雅黑" w:eastAsia="微软雅黑" w:cs="微软雅黑"/>
                <w:color w:val="auto"/>
                <w:kern w:val="0"/>
                <w:sz w:val="21"/>
                <w:szCs w:val="21"/>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D2A0D43">
            <w:pPr>
              <w:keepNext w:val="0"/>
              <w:keepLines w:val="0"/>
              <w:widowControl/>
              <w:suppressLineNumbers w:val="0"/>
              <w:spacing w:before="0" w:beforeAutospacing="0" w:after="0" w:afterAutospacing="0" w:line="360" w:lineRule="auto"/>
              <w:ind w:left="0" w:right="0"/>
              <w:contextualSpacing/>
              <w:jc w:val="center"/>
              <w:rPr>
                <w:rFonts w:hint="eastAsia" w:ascii="微软雅黑" w:hAnsi="微软雅黑" w:eastAsia="微软雅黑" w:cs="微软雅黑"/>
                <w:color w:val="auto"/>
                <w:kern w:val="0"/>
                <w:sz w:val="21"/>
                <w:szCs w:val="21"/>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C1C73A8">
            <w:pPr>
              <w:keepNext w:val="0"/>
              <w:keepLines w:val="0"/>
              <w:widowControl/>
              <w:suppressLineNumbers w:val="0"/>
              <w:spacing w:before="0" w:beforeAutospacing="0" w:after="0" w:afterAutospacing="0" w:line="360" w:lineRule="auto"/>
              <w:ind w:left="0" w:right="0"/>
              <w:contextualSpacing/>
              <w:jc w:val="center"/>
              <w:rPr>
                <w:rFonts w:hint="eastAsia" w:ascii="微软雅黑" w:hAnsi="微软雅黑" w:eastAsia="微软雅黑" w:cs="微软雅黑"/>
                <w:color w:val="auto"/>
                <w:kern w:val="0"/>
                <w:sz w:val="21"/>
                <w:szCs w:val="21"/>
                <w:highlight w:val="none"/>
              </w:rPr>
            </w:pPr>
          </w:p>
        </w:tc>
      </w:tr>
    </w:tbl>
    <w:p w14:paraId="3D36A820">
      <w:pPr>
        <w:spacing w:line="360" w:lineRule="auto"/>
        <w:contextualSpacing/>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注：</w:t>
      </w:r>
    </w:p>
    <w:p w14:paraId="276DEB72">
      <w:pPr>
        <w:spacing w:line="360" w:lineRule="auto"/>
        <w:ind w:firstLine="420" w:firstLineChars="200"/>
        <w:contextualSpacing/>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1.管理关系：是指不具有出资持股关系的其他单位之间存在的管理与被管理关系，如一些上下级关系的事业单位和团体组织。</w:t>
      </w:r>
    </w:p>
    <w:p w14:paraId="6E59180F">
      <w:pPr>
        <w:spacing w:line="360" w:lineRule="auto"/>
        <w:ind w:firstLine="420" w:firstLineChars="200"/>
        <w:contextualSpacing/>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2.</w:t>
      </w:r>
      <w:r>
        <w:rPr>
          <w:rFonts w:hint="eastAsia" w:ascii="微软雅黑" w:hAnsi="微软雅黑" w:eastAsia="微软雅黑" w:cs="微软雅黑"/>
          <w:color w:val="auto"/>
          <w:spacing w:val="-6"/>
          <w:sz w:val="21"/>
          <w:szCs w:val="21"/>
          <w:highlight w:val="none"/>
        </w:rPr>
        <w:t>本表所指的管理关系仅限于直接管理关系，不包括间接的管理关系。</w:t>
      </w:r>
    </w:p>
    <w:p w14:paraId="60945374">
      <w:pPr>
        <w:spacing w:line="360" w:lineRule="auto"/>
        <w:ind w:firstLine="420" w:firstLineChars="200"/>
        <w:contextualSpacing/>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3.供应商不存在直接管理关系的，则在“直接管理关系单位名称”填“无”。</w:t>
      </w:r>
    </w:p>
    <w:p w14:paraId="66F9485F">
      <w:pPr>
        <w:spacing w:line="360" w:lineRule="auto"/>
        <w:contextualSpacing/>
        <w:jc w:val="left"/>
        <w:rPr>
          <w:rFonts w:hint="eastAsia" w:ascii="微软雅黑" w:hAnsi="微软雅黑" w:eastAsia="微软雅黑" w:cs="微软雅黑"/>
          <w:color w:val="auto"/>
          <w:sz w:val="21"/>
          <w:szCs w:val="21"/>
          <w:highlight w:val="none"/>
        </w:rPr>
      </w:pPr>
    </w:p>
    <w:p w14:paraId="53917903">
      <w:pPr>
        <w:spacing w:line="360" w:lineRule="auto"/>
        <w:contextualSpacing/>
        <w:jc w:val="left"/>
        <w:rPr>
          <w:rFonts w:hint="eastAsia" w:ascii="微软雅黑" w:hAnsi="微软雅黑" w:eastAsia="微软雅黑" w:cs="微软雅黑"/>
          <w:color w:val="auto"/>
          <w:sz w:val="21"/>
          <w:szCs w:val="21"/>
          <w:highlight w:val="none"/>
        </w:rPr>
      </w:pPr>
    </w:p>
    <w:p w14:paraId="1CCDC66D">
      <w:pPr>
        <w:spacing w:line="360" w:lineRule="auto"/>
        <w:ind w:right="480"/>
        <w:contextualSpacing/>
        <w:jc w:val="center"/>
        <w:rPr>
          <w:rFonts w:hint="eastAsia" w:ascii="微软雅黑" w:hAnsi="微软雅黑" w:eastAsia="微软雅黑" w:cs="微软雅黑"/>
          <w:color w:val="auto"/>
          <w:sz w:val="21"/>
          <w:szCs w:val="21"/>
          <w:highlight w:val="none"/>
          <w:u w:val="single"/>
        </w:rPr>
      </w:pPr>
      <w:r>
        <w:rPr>
          <w:rFonts w:hint="eastAsia" w:ascii="微软雅黑" w:hAnsi="微软雅黑" w:eastAsia="微软雅黑" w:cs="微软雅黑"/>
          <w:color w:val="auto"/>
          <w:sz w:val="21"/>
          <w:szCs w:val="21"/>
          <w:highlight w:val="none"/>
        </w:rPr>
        <w:t xml:space="preserve">              法定代表人或者</w:t>
      </w:r>
      <w:r>
        <w:rPr>
          <w:rFonts w:hint="eastAsia" w:ascii="微软雅黑" w:hAnsi="微软雅黑" w:eastAsia="微软雅黑" w:cs="微软雅黑"/>
          <w:color w:val="auto"/>
          <w:sz w:val="21"/>
          <w:szCs w:val="21"/>
          <w:highlight w:val="none"/>
          <w:lang w:val="en-US" w:eastAsia="zh-CN"/>
        </w:rPr>
        <w:t>其</w:t>
      </w:r>
      <w:r>
        <w:rPr>
          <w:rFonts w:hint="eastAsia" w:ascii="微软雅黑" w:hAnsi="微软雅黑" w:eastAsia="微软雅黑" w:cs="微软雅黑"/>
          <w:color w:val="auto"/>
          <w:sz w:val="21"/>
          <w:szCs w:val="21"/>
          <w:highlight w:val="none"/>
        </w:rPr>
        <w:t>委托代理人（签字或者电子签名）：</w:t>
      </w:r>
      <w:r>
        <w:rPr>
          <w:rFonts w:hint="eastAsia" w:ascii="微软雅黑" w:hAnsi="微软雅黑" w:eastAsia="微软雅黑" w:cs="微软雅黑"/>
          <w:color w:val="auto"/>
          <w:sz w:val="21"/>
          <w:szCs w:val="21"/>
          <w:highlight w:val="none"/>
          <w:u w:val="single"/>
        </w:rPr>
        <w:t xml:space="preserve">                   </w:t>
      </w:r>
    </w:p>
    <w:p w14:paraId="7ABE4B5C">
      <w:pPr>
        <w:spacing w:line="360" w:lineRule="auto"/>
        <w:ind w:right="480" w:firstLine="2940" w:firstLineChars="1400"/>
        <w:contextualSpacing/>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供应商（</w:t>
      </w:r>
      <w:r>
        <w:rPr>
          <w:rFonts w:hint="eastAsia" w:ascii="微软雅黑" w:hAnsi="微软雅黑" w:eastAsia="微软雅黑" w:cs="微软雅黑"/>
          <w:color w:val="auto"/>
          <w:sz w:val="21"/>
          <w:szCs w:val="21"/>
          <w:highlight w:val="none"/>
          <w:lang w:val="en-US" w:eastAsia="zh-CN"/>
        </w:rPr>
        <w:t>CA</w:t>
      </w:r>
      <w:r>
        <w:rPr>
          <w:rFonts w:hint="eastAsia" w:ascii="微软雅黑" w:hAnsi="微软雅黑" w:eastAsia="微软雅黑" w:cs="微软雅黑"/>
          <w:color w:val="auto"/>
          <w:sz w:val="21"/>
          <w:szCs w:val="21"/>
          <w:highlight w:val="none"/>
        </w:rPr>
        <w:t>电子签章）：</w:t>
      </w:r>
      <w:r>
        <w:rPr>
          <w:rFonts w:hint="eastAsia" w:ascii="微软雅黑" w:hAnsi="微软雅黑" w:eastAsia="微软雅黑" w:cs="微软雅黑"/>
          <w:color w:val="auto"/>
          <w:sz w:val="21"/>
          <w:szCs w:val="21"/>
          <w:highlight w:val="none"/>
          <w:u w:val="single"/>
        </w:rPr>
        <w:t xml:space="preserve">                </w:t>
      </w:r>
    </w:p>
    <w:p w14:paraId="1D3E1754">
      <w:pPr>
        <w:rPr>
          <w:rFonts w:hint="eastAsia" w:ascii="宋体" w:hAnsi="宋体" w:cs="宋体"/>
          <w:color w:val="auto"/>
          <w:sz w:val="24"/>
        </w:rPr>
      </w:pPr>
      <w:r>
        <w:rPr>
          <w:rFonts w:hint="eastAsia" w:ascii="微软雅黑" w:hAnsi="微软雅黑" w:eastAsia="微软雅黑" w:cs="微软雅黑"/>
          <w:color w:val="auto"/>
          <w:sz w:val="21"/>
          <w:szCs w:val="21"/>
          <w:highlight w:val="none"/>
        </w:rPr>
        <w:t xml:space="preserve">                                        年    月    日</w:t>
      </w:r>
    </w:p>
    <w:p w14:paraId="447F8A75">
      <w:pPr>
        <w:rPr>
          <w:rFonts w:hint="eastAsia" w:ascii="宋体" w:hAnsi="宋体"/>
          <w:b/>
          <w:color w:val="auto"/>
          <w:sz w:val="32"/>
          <w:szCs w:val="32"/>
          <w:highlight w:val="none"/>
        </w:rPr>
      </w:pPr>
      <w:r>
        <w:rPr>
          <w:rFonts w:hint="eastAsia" w:ascii="宋体" w:hAnsi="宋体"/>
          <w:b/>
          <w:color w:val="auto"/>
          <w:sz w:val="32"/>
          <w:szCs w:val="32"/>
          <w:highlight w:val="none"/>
        </w:rPr>
        <w:br w:type="page"/>
      </w:r>
    </w:p>
    <w:p w14:paraId="4FA49DBC">
      <w:pPr>
        <w:spacing w:line="320" w:lineRule="exact"/>
        <w:jc w:val="center"/>
        <w:outlineLvl w:val="4"/>
        <w:rPr>
          <w:rFonts w:hint="eastAsia" w:ascii="宋体" w:hAnsi="宋体"/>
          <w:b/>
          <w:color w:val="auto"/>
          <w:sz w:val="32"/>
          <w:szCs w:val="32"/>
          <w:highlight w:val="none"/>
        </w:rPr>
      </w:pPr>
      <w:r>
        <w:rPr>
          <w:rFonts w:hint="eastAsia" w:ascii="宋体" w:hAnsi="宋体"/>
          <w:b/>
          <w:color w:val="auto"/>
          <w:sz w:val="32"/>
          <w:szCs w:val="32"/>
          <w:highlight w:val="none"/>
        </w:rPr>
        <w:t>竞标声明</w:t>
      </w:r>
    </w:p>
    <w:p w14:paraId="08402E0F">
      <w:pPr>
        <w:spacing w:line="320" w:lineRule="exact"/>
        <w:jc w:val="center"/>
        <w:rPr>
          <w:rFonts w:hint="eastAsia" w:ascii="宋体" w:hAnsi="宋体"/>
          <w:color w:val="auto"/>
          <w:sz w:val="24"/>
          <w:szCs w:val="20"/>
          <w:highlight w:val="none"/>
        </w:rPr>
      </w:pPr>
    </w:p>
    <w:p w14:paraId="5FDF12C7">
      <w:pPr>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致：</w:t>
      </w:r>
      <w:r>
        <w:rPr>
          <w:rFonts w:hint="eastAsia" w:ascii="宋体" w:hAnsi="宋体" w:cs="宋体"/>
          <w:color w:val="auto"/>
          <w:sz w:val="21"/>
          <w:szCs w:val="21"/>
          <w:highlight w:val="none"/>
          <w:u w:val="single"/>
        </w:rPr>
        <w:t>（采购人名称）</w:t>
      </w:r>
      <w:r>
        <w:rPr>
          <w:rFonts w:hint="eastAsia" w:ascii="宋体" w:hAnsi="宋体" w:cs="宋体"/>
          <w:color w:val="auto"/>
          <w:sz w:val="21"/>
          <w:szCs w:val="21"/>
          <w:highlight w:val="none"/>
        </w:rPr>
        <w:t>：</w:t>
      </w:r>
    </w:p>
    <w:p w14:paraId="1B3C8805">
      <w:pPr>
        <w:spacing w:line="360" w:lineRule="auto"/>
        <w:ind w:firstLine="420" w:firstLineChars="200"/>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u w:val="single"/>
        </w:rPr>
        <w:t>（供应商名称）</w:t>
      </w:r>
      <w:r>
        <w:rPr>
          <w:rFonts w:hint="eastAsia" w:ascii="宋体" w:hAnsi="宋体" w:cs="宋体"/>
          <w:color w:val="auto"/>
          <w:sz w:val="21"/>
          <w:szCs w:val="21"/>
          <w:highlight w:val="none"/>
        </w:rPr>
        <w:t>系中华人民共和国合法供应商，经营地址</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w:t>
      </w:r>
    </w:p>
    <w:p w14:paraId="69EAF8BA">
      <w:pPr>
        <w:spacing w:line="360" w:lineRule="auto"/>
        <w:ind w:firstLine="420" w:firstLineChars="200"/>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我方愿意参加贵方组织的</w:t>
      </w:r>
      <w:r>
        <w:rPr>
          <w:rFonts w:hint="eastAsia" w:ascii="宋体" w:hAnsi="宋体" w:cs="宋体"/>
          <w:color w:val="auto"/>
          <w:sz w:val="21"/>
          <w:szCs w:val="21"/>
          <w:highlight w:val="none"/>
          <w:u w:val="single"/>
        </w:rPr>
        <w:t>（项目名称）</w:t>
      </w:r>
      <w:r>
        <w:rPr>
          <w:rFonts w:hint="eastAsia" w:ascii="宋体" w:hAnsi="宋体" w:cs="宋体"/>
          <w:color w:val="auto"/>
          <w:sz w:val="21"/>
          <w:szCs w:val="21"/>
          <w:highlight w:val="none"/>
        </w:rPr>
        <w:t>项目的竞标，为便于贵方公正、择优地确定成交供应商及其竞标产品和服务，我方就本次竞标有关事项郑重声明如下：</w:t>
      </w:r>
    </w:p>
    <w:p w14:paraId="34B5EC98">
      <w:pPr>
        <w:spacing w:line="360" w:lineRule="auto"/>
        <w:ind w:firstLine="420" w:firstLineChars="200"/>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1.我方向贵方提交的所有响应文件、资料都是准确的和真实的。</w:t>
      </w:r>
    </w:p>
    <w:p w14:paraId="3F8E877E">
      <w:pPr>
        <w:spacing w:line="360" w:lineRule="auto"/>
        <w:ind w:firstLine="420" w:firstLineChars="200"/>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1D1E1B91">
      <w:pPr>
        <w:spacing w:line="360" w:lineRule="auto"/>
        <w:ind w:firstLine="420" w:firstLineChars="200"/>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3.在此，我方宣布同意如下：</w:t>
      </w:r>
    </w:p>
    <w:p w14:paraId="5F3869EA">
      <w:pPr>
        <w:spacing w:line="360" w:lineRule="auto"/>
        <w:ind w:firstLine="420" w:firstLineChars="200"/>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（1）将按磋商文件的约定履行合同责任和义务；</w:t>
      </w:r>
    </w:p>
    <w:p w14:paraId="00AD4E37">
      <w:pPr>
        <w:spacing w:line="360" w:lineRule="auto"/>
        <w:ind w:firstLine="420" w:firstLineChars="200"/>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（2）已详细审查全部磋商文件，包括澄清或者更正公告（如有）；</w:t>
      </w:r>
    </w:p>
    <w:p w14:paraId="190B0857">
      <w:pPr>
        <w:spacing w:line="360" w:lineRule="auto"/>
        <w:ind w:firstLine="420" w:firstLineChars="200"/>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（3）同意提供按照贵方可能要求的与磋商有关的一切数据或者资料；</w:t>
      </w:r>
    </w:p>
    <w:p w14:paraId="62A1C16A">
      <w:pPr>
        <w:spacing w:line="360" w:lineRule="auto"/>
        <w:ind w:firstLine="420" w:firstLineChars="200"/>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（4）响应磋商文件规定的竞标有效期。</w:t>
      </w:r>
    </w:p>
    <w:p w14:paraId="062242FD">
      <w:pPr>
        <w:spacing w:line="360" w:lineRule="auto"/>
        <w:ind w:firstLine="420" w:firstLineChars="200"/>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4.我方承诺符合《中华人民共和国政府采购法》第二十二条规定：</w:t>
      </w:r>
    </w:p>
    <w:p w14:paraId="7D547426">
      <w:pPr>
        <w:spacing w:line="360" w:lineRule="auto"/>
        <w:ind w:firstLine="420" w:firstLineChars="200"/>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（1）具有独立承担民事责任的能力；</w:t>
      </w:r>
    </w:p>
    <w:p w14:paraId="5D15DA99">
      <w:pPr>
        <w:spacing w:line="360" w:lineRule="auto"/>
        <w:ind w:firstLine="420" w:firstLineChars="200"/>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（2）具有良好的商业信誉和健全的财务会计制度；</w:t>
      </w:r>
    </w:p>
    <w:p w14:paraId="4AA70964">
      <w:pPr>
        <w:spacing w:line="360" w:lineRule="auto"/>
        <w:ind w:firstLine="420" w:firstLineChars="200"/>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（3）具有履行合同所必需的设备和专业技术能力；</w:t>
      </w:r>
    </w:p>
    <w:p w14:paraId="359A8D92">
      <w:pPr>
        <w:spacing w:line="360" w:lineRule="auto"/>
        <w:ind w:firstLine="420" w:firstLineChars="200"/>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（4）有依法缴纳税收和社会保障资金的良好记录；</w:t>
      </w:r>
    </w:p>
    <w:p w14:paraId="51C9E49F">
      <w:pPr>
        <w:spacing w:line="360" w:lineRule="auto"/>
        <w:ind w:firstLine="420" w:firstLineChars="200"/>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（5）参加政府采购活动前三年内，在经营活动中没有重大违法记录；</w:t>
      </w:r>
    </w:p>
    <w:p w14:paraId="6B9C1AA0">
      <w:pPr>
        <w:spacing w:line="360" w:lineRule="auto"/>
        <w:ind w:firstLine="420" w:firstLineChars="200"/>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（6）法律、行政法规规定的其他条件。</w:t>
      </w:r>
    </w:p>
    <w:p w14:paraId="3EC41BDC">
      <w:pPr>
        <w:spacing w:line="360" w:lineRule="auto"/>
        <w:ind w:firstLine="420" w:firstLineChars="200"/>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6CDA4547">
      <w:pPr>
        <w:spacing w:line="360" w:lineRule="auto"/>
        <w:ind w:firstLine="420" w:firstLineChars="200"/>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17DFDF93">
      <w:pPr>
        <w:spacing w:line="360" w:lineRule="auto"/>
        <w:ind w:firstLine="420" w:firstLineChars="200"/>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□我方本次响应文件</w:t>
      </w:r>
      <w:r>
        <w:rPr>
          <w:rFonts w:hint="eastAsia" w:ascii="宋体" w:hAnsi="宋体" w:cs="宋体"/>
          <w:color w:val="auto"/>
          <w:kern w:val="0"/>
          <w:sz w:val="21"/>
          <w:szCs w:val="21"/>
          <w:highlight w:val="none"/>
        </w:rPr>
        <w:t>内容中</w:t>
      </w:r>
      <w:r>
        <w:rPr>
          <w:rFonts w:hint="eastAsia" w:ascii="宋体" w:hAnsi="宋体" w:cs="宋体"/>
          <w:color w:val="auto"/>
          <w:sz w:val="21"/>
          <w:szCs w:val="21"/>
          <w:highlight w:val="none"/>
        </w:rPr>
        <w:t>未</w:t>
      </w:r>
      <w:r>
        <w:rPr>
          <w:rFonts w:hint="eastAsia" w:ascii="宋体" w:hAnsi="宋体" w:cs="宋体"/>
          <w:color w:val="auto"/>
          <w:kern w:val="0"/>
          <w:sz w:val="21"/>
          <w:szCs w:val="21"/>
          <w:highlight w:val="none"/>
        </w:rPr>
        <w:t>涉及商业秘密；</w:t>
      </w:r>
    </w:p>
    <w:p w14:paraId="371408EE">
      <w:pPr>
        <w:spacing w:line="360" w:lineRule="auto"/>
        <w:ind w:firstLine="420" w:firstLineChars="200"/>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□我方本次响应文件</w:t>
      </w:r>
      <w:r>
        <w:rPr>
          <w:rFonts w:hint="eastAsia" w:ascii="宋体" w:hAnsi="宋体" w:cs="宋体"/>
          <w:color w:val="auto"/>
          <w:kern w:val="0"/>
          <w:sz w:val="21"/>
          <w:szCs w:val="21"/>
          <w:highlight w:val="none"/>
        </w:rPr>
        <w:t>涉及商业秘密的内容有：</w:t>
      </w:r>
      <w:r>
        <w:rPr>
          <w:rFonts w:hint="eastAsia" w:ascii="宋体" w:hAnsi="宋体" w:cs="宋体"/>
          <w:color w:val="auto"/>
          <w:kern w:val="0"/>
          <w:sz w:val="21"/>
          <w:szCs w:val="21"/>
          <w:highlight w:val="none"/>
          <w:u w:val="single"/>
        </w:rPr>
        <w:t xml:space="preserve">                         </w:t>
      </w:r>
      <w:r>
        <w:rPr>
          <w:rFonts w:hint="eastAsia" w:ascii="宋体" w:hAnsi="宋体" w:cs="宋体"/>
          <w:color w:val="auto"/>
          <w:kern w:val="0"/>
          <w:sz w:val="21"/>
          <w:szCs w:val="21"/>
          <w:highlight w:val="none"/>
        </w:rPr>
        <w:t>；</w:t>
      </w:r>
    </w:p>
    <w:p w14:paraId="232979BC">
      <w:pPr>
        <w:pStyle w:val="17"/>
        <w:spacing w:line="360" w:lineRule="auto"/>
        <w:ind w:firstLine="420" w:firstLineChars="200"/>
        <w:contextualSpacing/>
        <w:rPr>
          <w:rFonts w:hint="eastAsia" w:hAnsi="宋体" w:cs="宋体"/>
          <w:color w:val="auto"/>
          <w:sz w:val="21"/>
          <w:szCs w:val="21"/>
          <w:highlight w:val="none"/>
          <w:u w:val="single"/>
        </w:rPr>
      </w:pPr>
      <w:r>
        <w:rPr>
          <w:rFonts w:hint="eastAsia" w:hAnsi="宋体" w:cs="宋体"/>
          <w:color w:val="auto"/>
          <w:sz w:val="21"/>
          <w:szCs w:val="21"/>
          <w:highlight w:val="none"/>
        </w:rPr>
        <w:t>7.与本磋商有关的一切正式往来信函请寄：</w:t>
      </w:r>
      <w:r>
        <w:rPr>
          <w:rFonts w:hint="eastAsia" w:hAnsi="宋体" w:cs="宋体"/>
          <w:color w:val="auto"/>
          <w:sz w:val="21"/>
          <w:szCs w:val="21"/>
          <w:highlight w:val="none"/>
          <w:u w:val="single"/>
        </w:rPr>
        <w:t xml:space="preserve">                  </w:t>
      </w:r>
      <w:r>
        <w:rPr>
          <w:rFonts w:hint="eastAsia" w:hAnsi="宋体" w:cs="宋体"/>
          <w:color w:val="auto"/>
          <w:sz w:val="21"/>
          <w:szCs w:val="21"/>
          <w:highlight w:val="none"/>
        </w:rPr>
        <w:t>邮政编号：</w:t>
      </w:r>
      <w:r>
        <w:rPr>
          <w:rFonts w:hint="eastAsia" w:hAnsi="宋体" w:cs="宋体"/>
          <w:color w:val="auto"/>
          <w:sz w:val="21"/>
          <w:szCs w:val="21"/>
          <w:highlight w:val="none"/>
          <w:u w:val="single"/>
        </w:rPr>
        <w:t xml:space="preserve">        </w:t>
      </w:r>
    </w:p>
    <w:p w14:paraId="149AECFE">
      <w:pPr>
        <w:pStyle w:val="17"/>
        <w:spacing w:line="360" w:lineRule="auto"/>
        <w:ind w:firstLine="420" w:firstLineChars="200"/>
        <w:contextualSpacing/>
        <w:rPr>
          <w:rFonts w:hint="eastAsia" w:hAnsi="宋体" w:cs="宋体"/>
          <w:color w:val="auto"/>
          <w:sz w:val="21"/>
          <w:szCs w:val="21"/>
          <w:highlight w:val="none"/>
        </w:rPr>
      </w:pPr>
      <w:r>
        <w:rPr>
          <w:rFonts w:hint="eastAsia" w:hAnsi="宋体" w:cs="宋体"/>
          <w:color w:val="auto"/>
          <w:sz w:val="21"/>
          <w:szCs w:val="21"/>
          <w:highlight w:val="none"/>
        </w:rPr>
        <w:t>电话/传真：</w:t>
      </w:r>
      <w:r>
        <w:rPr>
          <w:rFonts w:hint="eastAsia" w:hAnsi="宋体" w:cs="宋体"/>
          <w:color w:val="auto"/>
          <w:sz w:val="21"/>
          <w:szCs w:val="21"/>
          <w:highlight w:val="none"/>
          <w:u w:val="single"/>
        </w:rPr>
        <w:t xml:space="preserve">                        </w:t>
      </w:r>
      <w:r>
        <w:rPr>
          <w:rFonts w:hint="eastAsia" w:hAnsi="宋体" w:cs="宋体"/>
          <w:color w:val="auto"/>
          <w:sz w:val="21"/>
          <w:szCs w:val="21"/>
          <w:highlight w:val="none"/>
        </w:rPr>
        <w:t xml:space="preserve"> 电子函件：</w:t>
      </w:r>
      <w:r>
        <w:rPr>
          <w:rFonts w:hint="eastAsia" w:hAnsi="宋体" w:cs="宋体"/>
          <w:color w:val="auto"/>
          <w:sz w:val="21"/>
          <w:szCs w:val="21"/>
          <w:highlight w:val="none"/>
          <w:u w:val="single"/>
        </w:rPr>
        <w:t xml:space="preserve">                            </w:t>
      </w:r>
      <w:r>
        <w:rPr>
          <w:rFonts w:hint="eastAsia" w:hAnsi="宋体" w:cs="宋体"/>
          <w:color w:val="auto"/>
          <w:sz w:val="21"/>
          <w:szCs w:val="21"/>
          <w:highlight w:val="none"/>
        </w:rPr>
        <w:t xml:space="preserve">    </w:t>
      </w:r>
    </w:p>
    <w:p w14:paraId="1FCD4C97">
      <w:pPr>
        <w:pStyle w:val="15"/>
        <w:tabs>
          <w:tab w:val="left" w:pos="939"/>
        </w:tabs>
        <w:spacing w:line="360" w:lineRule="auto"/>
        <w:ind w:left="141" w:leftChars="67" w:firstLine="315" w:firstLineChars="150"/>
        <w:rPr>
          <w:rFonts w:hint="eastAsia" w:ascii="宋体" w:hAnsi="宋体" w:cs="宋体"/>
          <w:color w:val="auto"/>
          <w:sz w:val="21"/>
          <w:szCs w:val="21"/>
          <w:highlight w:val="none"/>
        </w:rPr>
      </w:pPr>
      <w:r>
        <w:rPr>
          <w:rFonts w:hint="eastAsia" w:ascii="宋体" w:hAnsi="宋体" w:cs="宋体"/>
          <w:color w:val="auto"/>
          <w:sz w:val="21"/>
          <w:szCs w:val="21"/>
          <w:highlight w:val="none"/>
        </w:rPr>
        <w:t>开户银行：</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 xml:space="preserve">  帐号：</w:t>
      </w:r>
      <w:r>
        <w:rPr>
          <w:rFonts w:hint="eastAsia" w:ascii="宋体" w:hAnsi="宋体" w:cs="宋体"/>
          <w:color w:val="auto"/>
          <w:sz w:val="21"/>
          <w:szCs w:val="21"/>
          <w:highlight w:val="none"/>
          <w:u w:val="single"/>
        </w:rPr>
        <w:t xml:space="preserve">                               </w:t>
      </w:r>
    </w:p>
    <w:p w14:paraId="63018446">
      <w:pPr>
        <w:pStyle w:val="15"/>
        <w:tabs>
          <w:tab w:val="left" w:pos="939"/>
        </w:tabs>
        <w:spacing w:line="360" w:lineRule="auto"/>
        <w:ind w:left="0" w:leftChars="0"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8.以上事项如有虚假或者隐瞒，我方愿意承担一切后果，并不再寻求任何旨在减轻或者免除法律责任的辩解。</w:t>
      </w:r>
    </w:p>
    <w:p w14:paraId="7B649F6F">
      <w:pPr>
        <w:pStyle w:val="15"/>
        <w:tabs>
          <w:tab w:val="left" w:pos="939"/>
        </w:tabs>
        <w:spacing w:line="360" w:lineRule="auto"/>
        <w:ind w:left="141" w:leftChars="67" w:firstLine="315" w:firstLineChars="150"/>
        <w:rPr>
          <w:rFonts w:hint="eastAsia" w:ascii="宋体" w:hAnsi="宋体" w:cs="宋体"/>
          <w:color w:val="auto"/>
          <w:sz w:val="21"/>
          <w:szCs w:val="21"/>
          <w:highlight w:val="none"/>
        </w:rPr>
      </w:pPr>
      <w:r>
        <w:rPr>
          <w:rFonts w:hint="eastAsia" w:ascii="宋体" w:hAnsi="宋体" w:cs="宋体"/>
          <w:color w:val="auto"/>
          <w:sz w:val="21"/>
          <w:szCs w:val="21"/>
          <w:highlight w:val="none"/>
        </w:rPr>
        <w:t>特此承诺。</w:t>
      </w:r>
    </w:p>
    <w:p w14:paraId="4DB9E35D">
      <w:pPr>
        <w:pStyle w:val="15"/>
        <w:tabs>
          <w:tab w:val="left" w:pos="939"/>
        </w:tabs>
        <w:spacing w:line="360" w:lineRule="auto"/>
        <w:ind w:left="0" w:leftChars="0"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注：如为联合体竞标，盖章处须加盖联合体各方公章并由联合体各方法定代表人签署，否则其响应文件按无效响应处理。</w:t>
      </w:r>
    </w:p>
    <w:p w14:paraId="5EBB6C4C">
      <w:pPr>
        <w:pStyle w:val="15"/>
        <w:tabs>
          <w:tab w:val="left" w:pos="939"/>
        </w:tabs>
        <w:spacing w:line="360" w:lineRule="auto"/>
        <w:ind w:left="0" w:leftChars="0" w:firstLine="420" w:firstLineChars="200"/>
        <w:rPr>
          <w:rFonts w:hint="eastAsia" w:ascii="宋体" w:hAnsi="宋体" w:cs="宋体"/>
          <w:color w:val="auto"/>
          <w:sz w:val="21"/>
          <w:szCs w:val="21"/>
          <w:highlight w:val="none"/>
        </w:rPr>
      </w:pPr>
    </w:p>
    <w:p w14:paraId="2E9DDA00">
      <w:pPr>
        <w:spacing w:line="360" w:lineRule="auto"/>
        <w:ind w:firstLine="3780" w:firstLineChars="1800"/>
        <w:contextualSpacing/>
        <w:rPr>
          <w:rFonts w:hint="eastAsia"/>
          <w:color w:val="auto"/>
          <w:sz w:val="21"/>
          <w:szCs w:val="21"/>
          <w:highlight w:val="none"/>
        </w:rPr>
      </w:pPr>
      <w:r>
        <w:rPr>
          <w:rFonts w:hint="eastAsia"/>
          <w:color w:val="auto"/>
          <w:sz w:val="21"/>
          <w:szCs w:val="21"/>
          <w:highlight w:val="none"/>
        </w:rPr>
        <w:t>法定代表人（签字</w:t>
      </w:r>
      <w:r>
        <w:rPr>
          <w:rFonts w:hint="eastAsia"/>
          <w:color w:val="auto"/>
          <w:sz w:val="21"/>
          <w:szCs w:val="21"/>
          <w:highlight w:val="none"/>
          <w:lang w:val="en-US" w:eastAsia="zh-CN"/>
        </w:rPr>
        <w:t>或电子签名</w:t>
      </w:r>
      <w:r>
        <w:rPr>
          <w:rFonts w:hint="eastAsia"/>
          <w:color w:val="auto"/>
          <w:sz w:val="21"/>
          <w:szCs w:val="21"/>
          <w:highlight w:val="none"/>
        </w:rPr>
        <w:t>）：</w:t>
      </w:r>
      <w:r>
        <w:rPr>
          <w:rFonts w:hint="eastAsia"/>
          <w:color w:val="auto"/>
          <w:sz w:val="21"/>
          <w:szCs w:val="21"/>
          <w:highlight w:val="none"/>
          <w:u w:val="single"/>
        </w:rPr>
        <w:t xml:space="preserve">                             </w:t>
      </w:r>
      <w:r>
        <w:rPr>
          <w:rFonts w:hint="eastAsia"/>
          <w:color w:val="auto"/>
          <w:sz w:val="21"/>
          <w:szCs w:val="21"/>
          <w:highlight w:val="none"/>
        </w:rPr>
        <w:t xml:space="preserve">                                     </w:t>
      </w:r>
    </w:p>
    <w:p w14:paraId="4103B19C">
      <w:pPr>
        <w:spacing w:line="360" w:lineRule="auto"/>
        <w:ind w:firstLine="3780" w:firstLineChars="1800"/>
        <w:contextualSpacing/>
        <w:rPr>
          <w:rFonts w:hint="eastAsia" w:ascii="宋体" w:hAnsi="宋体" w:cs="宋体"/>
          <w:color w:val="auto"/>
          <w:sz w:val="21"/>
          <w:szCs w:val="21"/>
          <w:highlight w:val="none"/>
          <w:u w:val="single"/>
        </w:rPr>
      </w:pPr>
      <w:r>
        <w:rPr>
          <w:rFonts w:hint="eastAsia"/>
          <w:color w:val="auto"/>
          <w:sz w:val="21"/>
          <w:szCs w:val="21"/>
          <w:highlight w:val="none"/>
        </w:rPr>
        <w:t>供应商（</w:t>
      </w:r>
      <w:r>
        <w:rPr>
          <w:rFonts w:hint="eastAsia"/>
          <w:color w:val="auto"/>
          <w:sz w:val="21"/>
          <w:szCs w:val="21"/>
          <w:highlight w:val="none"/>
          <w:lang w:val="en-US" w:eastAsia="zh-CN"/>
        </w:rPr>
        <w:t>CA</w:t>
      </w:r>
      <w:r>
        <w:rPr>
          <w:rFonts w:hint="eastAsia"/>
          <w:color w:val="auto"/>
          <w:sz w:val="21"/>
          <w:szCs w:val="21"/>
          <w:highlight w:val="none"/>
        </w:rPr>
        <w:t>电子签章）：</w:t>
      </w:r>
      <w:r>
        <w:rPr>
          <w:rFonts w:hint="eastAsia"/>
          <w:color w:val="auto"/>
          <w:sz w:val="21"/>
          <w:szCs w:val="21"/>
          <w:highlight w:val="none"/>
          <w:u w:val="single"/>
        </w:rPr>
        <w:t xml:space="preserve">                               </w:t>
      </w:r>
      <w:r>
        <w:rPr>
          <w:rFonts w:hint="eastAsia"/>
          <w:color w:val="auto"/>
          <w:sz w:val="21"/>
          <w:szCs w:val="21"/>
          <w:highlight w:val="none"/>
        </w:rPr>
        <w:t xml:space="preserve">       </w:t>
      </w:r>
      <w:r>
        <w:rPr>
          <w:rFonts w:hint="eastAsia" w:ascii="宋体" w:hAnsi="宋体" w:cs="宋体"/>
          <w:color w:val="auto"/>
          <w:sz w:val="21"/>
          <w:szCs w:val="21"/>
          <w:highlight w:val="none"/>
        </w:rPr>
        <w:t xml:space="preserve">    </w:t>
      </w:r>
    </w:p>
    <w:p w14:paraId="2D7C484E">
      <w:pPr>
        <w:pageBreakBefore w:val="0"/>
        <w:kinsoku/>
        <w:wordWrap/>
        <w:topLinePunct w:val="0"/>
        <w:bidi w:val="0"/>
        <w:spacing w:line="312" w:lineRule="auto"/>
        <w:ind w:right="480" w:firstLine="210" w:firstLineChars="100"/>
        <w:contextualSpacing/>
        <w:jc w:val="center"/>
        <w:rPr>
          <w:rFonts w:ascii="宋体" w:hAnsi="宋体"/>
          <w:color w:val="auto"/>
          <w:sz w:val="28"/>
          <w:szCs w:val="28"/>
          <w:highlight w:val="none"/>
        </w:rPr>
      </w:pPr>
      <w:r>
        <w:rPr>
          <w:rFonts w:hint="eastAsia" w:ascii="宋体" w:hAnsi="宋体" w:cs="宋体"/>
          <w:color w:val="auto"/>
          <w:sz w:val="21"/>
          <w:szCs w:val="21"/>
          <w:highlight w:val="none"/>
        </w:rPr>
        <w:t xml:space="preserve">                                                  </w:t>
      </w:r>
      <w:r>
        <w:rPr>
          <w:rFonts w:hint="eastAsia"/>
          <w:color w:val="auto"/>
          <w:sz w:val="21"/>
          <w:szCs w:val="21"/>
          <w:highlight w:val="none"/>
        </w:rPr>
        <w:t xml:space="preserve"> 年    月    日</w:t>
      </w:r>
    </w:p>
    <w:p w14:paraId="0FF2CEC7">
      <w:pPr>
        <w:pStyle w:val="7"/>
        <w:pageBreakBefore w:val="0"/>
        <w:kinsoku/>
        <w:wordWrap/>
        <w:overflowPunct w:val="0"/>
        <w:topLinePunct w:val="0"/>
        <w:bidi w:val="0"/>
        <w:spacing w:line="312" w:lineRule="auto"/>
        <w:ind w:firstLine="0"/>
        <w:rPr>
          <w:rFonts w:ascii="宋体" w:hAnsi="宋体"/>
          <w:b/>
          <w:bCs/>
          <w:color w:val="auto"/>
          <w:sz w:val="32"/>
          <w:szCs w:val="32"/>
          <w:highlight w:val="none"/>
        </w:rPr>
      </w:pPr>
    </w:p>
    <w:p w14:paraId="668DDF3F">
      <w:pPr>
        <w:pageBreakBefore w:val="0"/>
        <w:kinsoku/>
        <w:wordWrap/>
        <w:topLinePunct w:val="0"/>
        <w:bidi w:val="0"/>
        <w:snapToGrid w:val="0"/>
        <w:spacing w:before="120" w:beforeLines="50" w:after="50" w:line="312" w:lineRule="auto"/>
        <w:ind w:right="480" w:firstLine="321" w:firstLineChars="100"/>
        <w:jc w:val="center"/>
        <w:rPr>
          <w:rFonts w:ascii="宋体" w:hAnsi="宋体"/>
          <w:b/>
          <w:bCs/>
          <w:color w:val="auto"/>
          <w:sz w:val="32"/>
          <w:szCs w:val="32"/>
          <w:highlight w:val="none"/>
        </w:rPr>
        <w:sectPr>
          <w:footerReference r:id="rId8" w:type="default"/>
          <w:pgSz w:w="11907" w:h="16840"/>
          <w:pgMar w:top="1440" w:right="1440" w:bottom="1440" w:left="1797" w:header="567" w:footer="591" w:gutter="0"/>
          <w:pgNumType w:fmt="decimal"/>
          <w:cols w:space="720" w:num="1"/>
          <w:docGrid w:linePitch="312" w:charSpace="0"/>
        </w:sectPr>
      </w:pPr>
    </w:p>
    <w:p w14:paraId="11094BD3">
      <w:pPr>
        <w:pageBreakBefore w:val="0"/>
        <w:kinsoku/>
        <w:wordWrap/>
        <w:topLinePunct w:val="0"/>
        <w:bidi w:val="0"/>
        <w:snapToGrid w:val="0"/>
        <w:spacing w:before="120" w:beforeLines="50" w:after="50" w:line="312" w:lineRule="auto"/>
        <w:ind w:right="480" w:rightChars="0"/>
        <w:jc w:val="both"/>
        <w:outlineLvl w:val="0"/>
        <w:rPr>
          <w:rFonts w:hint="eastAsia" w:ascii="宋体" w:hAnsi="宋体"/>
          <w:b/>
          <w:color w:val="auto"/>
          <w:sz w:val="32"/>
          <w:szCs w:val="32"/>
          <w:highlight w:val="none"/>
        </w:rPr>
      </w:pPr>
      <w:bookmarkStart w:id="110" w:name="_Toc31060"/>
      <w:r>
        <w:rPr>
          <w:rFonts w:hint="eastAsia" w:ascii="宋体" w:hAnsi="宋体"/>
          <w:b/>
          <w:bCs/>
          <w:color w:val="auto"/>
          <w:sz w:val="32"/>
          <w:szCs w:val="32"/>
          <w:highlight w:val="none"/>
        </w:rPr>
        <w:t>二、</w:t>
      </w:r>
      <w:r>
        <w:rPr>
          <w:rFonts w:hint="eastAsia" w:ascii="宋体" w:hAnsi="宋体"/>
          <w:b/>
          <w:color w:val="auto"/>
          <w:sz w:val="32"/>
          <w:szCs w:val="32"/>
          <w:highlight w:val="none"/>
        </w:rPr>
        <w:t>报价文件格式</w:t>
      </w:r>
      <w:bookmarkEnd w:id="110"/>
    </w:p>
    <w:p w14:paraId="03F23EC1">
      <w:pPr>
        <w:pageBreakBefore w:val="0"/>
        <w:kinsoku/>
        <w:wordWrap/>
        <w:topLinePunct w:val="0"/>
        <w:bidi w:val="0"/>
        <w:snapToGrid w:val="0"/>
        <w:spacing w:before="120" w:beforeLines="50" w:after="50" w:line="312" w:lineRule="auto"/>
        <w:jc w:val="left"/>
        <w:outlineLvl w:val="1"/>
        <w:rPr>
          <w:rFonts w:ascii="宋体" w:hAnsi="宋体"/>
          <w:b/>
          <w:color w:val="auto"/>
          <w:sz w:val="32"/>
          <w:szCs w:val="32"/>
          <w:highlight w:val="none"/>
        </w:rPr>
      </w:pPr>
      <w:r>
        <w:rPr>
          <w:rFonts w:hint="eastAsia" w:ascii="宋体" w:hAnsi="宋体"/>
          <w:b/>
          <w:color w:val="auto"/>
          <w:sz w:val="32"/>
          <w:szCs w:val="32"/>
          <w:highlight w:val="none"/>
        </w:rPr>
        <w:t>1.报价文件封面格式</w:t>
      </w:r>
    </w:p>
    <w:p w14:paraId="0E5DE6C7">
      <w:pPr>
        <w:pageBreakBefore w:val="0"/>
        <w:kinsoku/>
        <w:wordWrap/>
        <w:topLinePunct w:val="0"/>
        <w:bidi w:val="0"/>
        <w:snapToGrid w:val="0"/>
        <w:spacing w:before="120" w:beforeLines="50" w:after="50" w:line="312" w:lineRule="auto"/>
        <w:rPr>
          <w:rFonts w:hint="eastAsia" w:ascii="宋体" w:hAnsi="宋体"/>
          <w:bCs/>
          <w:color w:val="auto"/>
          <w:sz w:val="32"/>
          <w:szCs w:val="20"/>
          <w:highlight w:val="none"/>
        </w:rPr>
      </w:pPr>
      <w:r>
        <w:rPr>
          <w:rFonts w:hint="eastAsia" w:ascii="宋体" w:hAnsi="宋体"/>
          <w:color w:val="auto"/>
          <w:sz w:val="24"/>
          <w:highlight w:val="none"/>
        </w:rPr>
        <w:t xml:space="preserve">                                                    </w:t>
      </w:r>
    </w:p>
    <w:p w14:paraId="43C3E86B">
      <w:pPr>
        <w:pageBreakBefore w:val="0"/>
        <w:kinsoku/>
        <w:wordWrap/>
        <w:topLinePunct w:val="0"/>
        <w:bidi w:val="0"/>
        <w:snapToGrid w:val="0"/>
        <w:spacing w:before="120" w:beforeLines="50" w:after="50" w:line="312" w:lineRule="auto"/>
        <w:rPr>
          <w:rFonts w:hint="eastAsia" w:ascii="宋体" w:hAnsi="宋体"/>
          <w:color w:val="auto"/>
          <w:sz w:val="24"/>
          <w:szCs w:val="20"/>
          <w:highlight w:val="none"/>
        </w:rPr>
      </w:pPr>
    </w:p>
    <w:p w14:paraId="5C1D886C">
      <w:pPr>
        <w:pageBreakBefore w:val="0"/>
        <w:kinsoku/>
        <w:wordWrap/>
        <w:topLinePunct w:val="0"/>
        <w:bidi w:val="0"/>
        <w:snapToGrid w:val="0"/>
        <w:spacing w:before="120" w:beforeLines="50" w:after="50" w:line="312" w:lineRule="auto"/>
        <w:rPr>
          <w:rFonts w:hint="eastAsia" w:ascii="宋体" w:hAnsi="宋体"/>
          <w:color w:val="auto"/>
          <w:sz w:val="24"/>
          <w:szCs w:val="20"/>
          <w:highlight w:val="none"/>
        </w:rPr>
      </w:pPr>
    </w:p>
    <w:p w14:paraId="13112115">
      <w:pPr>
        <w:pageBreakBefore w:val="0"/>
        <w:kinsoku/>
        <w:wordWrap/>
        <w:topLinePunct w:val="0"/>
        <w:bidi w:val="0"/>
        <w:snapToGrid w:val="0"/>
        <w:spacing w:before="120" w:beforeLines="50" w:after="0" w:afterLines="0" w:line="312" w:lineRule="auto"/>
        <w:rPr>
          <w:rFonts w:hint="eastAsia" w:ascii="宋体" w:hAnsi="宋体"/>
          <w:color w:val="auto"/>
          <w:sz w:val="24"/>
          <w:szCs w:val="20"/>
          <w:highlight w:val="none"/>
        </w:rPr>
      </w:pPr>
    </w:p>
    <w:p w14:paraId="180199A6">
      <w:pPr>
        <w:pageBreakBefore w:val="0"/>
        <w:kinsoku/>
        <w:wordWrap/>
        <w:topLinePunct w:val="0"/>
        <w:bidi w:val="0"/>
        <w:snapToGrid w:val="0"/>
        <w:spacing w:before="0" w:beforeLines="0" w:after="0" w:afterLines="0" w:line="312" w:lineRule="auto"/>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报  价  文  件</w:t>
      </w:r>
    </w:p>
    <w:p w14:paraId="0D2549E6">
      <w:pPr>
        <w:pageBreakBefore w:val="0"/>
        <w:kinsoku/>
        <w:wordWrap/>
        <w:topLinePunct w:val="0"/>
        <w:bidi w:val="0"/>
        <w:snapToGrid w:val="0"/>
        <w:spacing w:before="0" w:beforeLines="0" w:after="50" w:line="312" w:lineRule="auto"/>
        <w:rPr>
          <w:rFonts w:hint="eastAsia" w:ascii="宋体" w:hAnsi="宋体"/>
          <w:bCs/>
          <w:color w:val="auto"/>
          <w:sz w:val="24"/>
          <w:szCs w:val="20"/>
          <w:highlight w:val="none"/>
        </w:rPr>
      </w:pPr>
    </w:p>
    <w:p w14:paraId="797E889B">
      <w:pPr>
        <w:pageBreakBefore w:val="0"/>
        <w:kinsoku/>
        <w:wordWrap/>
        <w:topLinePunct w:val="0"/>
        <w:bidi w:val="0"/>
        <w:snapToGrid w:val="0"/>
        <w:spacing w:before="120" w:beforeLines="50" w:after="50" w:line="312" w:lineRule="auto"/>
        <w:rPr>
          <w:rFonts w:hint="eastAsia" w:ascii="宋体" w:hAnsi="宋体"/>
          <w:bCs/>
          <w:color w:val="auto"/>
          <w:sz w:val="24"/>
          <w:szCs w:val="20"/>
          <w:highlight w:val="none"/>
        </w:rPr>
      </w:pPr>
    </w:p>
    <w:p w14:paraId="34A8CD1B">
      <w:pPr>
        <w:pageBreakBefore w:val="0"/>
        <w:kinsoku/>
        <w:wordWrap/>
        <w:topLinePunct w:val="0"/>
        <w:bidi w:val="0"/>
        <w:snapToGrid w:val="0"/>
        <w:spacing w:before="120" w:beforeLines="50" w:after="50" w:line="312" w:lineRule="auto"/>
        <w:rPr>
          <w:rFonts w:hint="eastAsia" w:ascii="宋体" w:hAnsi="宋体"/>
          <w:bCs/>
          <w:color w:val="auto"/>
          <w:sz w:val="24"/>
          <w:szCs w:val="20"/>
          <w:highlight w:val="none"/>
        </w:rPr>
      </w:pPr>
    </w:p>
    <w:p w14:paraId="150CAD9C">
      <w:pPr>
        <w:pageBreakBefore w:val="0"/>
        <w:kinsoku/>
        <w:wordWrap/>
        <w:topLinePunct w:val="0"/>
        <w:bidi w:val="0"/>
        <w:snapToGrid w:val="0"/>
        <w:spacing w:before="120" w:beforeLines="50" w:after="50" w:line="312" w:lineRule="auto"/>
        <w:rPr>
          <w:rFonts w:hint="eastAsia" w:ascii="宋体" w:hAnsi="宋体"/>
          <w:bCs/>
          <w:color w:val="auto"/>
          <w:sz w:val="24"/>
          <w:szCs w:val="20"/>
          <w:highlight w:val="none"/>
        </w:rPr>
      </w:pPr>
    </w:p>
    <w:p w14:paraId="56436AE0">
      <w:pPr>
        <w:pageBreakBefore w:val="0"/>
        <w:kinsoku/>
        <w:wordWrap/>
        <w:topLinePunct w:val="0"/>
        <w:bidi w:val="0"/>
        <w:snapToGrid w:val="0"/>
        <w:spacing w:before="120" w:beforeLines="50" w:after="50" w:line="312" w:lineRule="auto"/>
        <w:rPr>
          <w:rFonts w:hint="eastAsia" w:ascii="宋体" w:hAnsi="宋体"/>
          <w:bCs/>
          <w:color w:val="auto"/>
          <w:sz w:val="24"/>
          <w:szCs w:val="20"/>
          <w:highlight w:val="none"/>
        </w:rPr>
      </w:pPr>
    </w:p>
    <w:p w14:paraId="1FA8E956">
      <w:pPr>
        <w:pageBreakBefore w:val="0"/>
        <w:kinsoku/>
        <w:wordWrap/>
        <w:topLinePunct w:val="0"/>
        <w:bidi w:val="0"/>
        <w:snapToGrid w:val="0"/>
        <w:spacing w:before="120" w:beforeLines="50" w:after="50" w:line="312" w:lineRule="auto"/>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1EBC3302">
      <w:pPr>
        <w:pageBreakBefore w:val="0"/>
        <w:kinsoku/>
        <w:wordWrap/>
        <w:topLinePunct w:val="0"/>
        <w:bidi w:val="0"/>
        <w:snapToGrid w:val="0"/>
        <w:spacing w:before="120" w:beforeLines="50" w:after="50" w:line="312" w:lineRule="auto"/>
        <w:ind w:firstLine="720" w:firstLineChars="225"/>
        <w:rPr>
          <w:rFonts w:hint="eastAsia" w:ascii="宋体" w:hAnsi="宋体" w:cs="仿宋_GB2312"/>
          <w:bCs/>
          <w:color w:val="auto"/>
          <w:sz w:val="32"/>
          <w:szCs w:val="32"/>
          <w:highlight w:val="none"/>
        </w:rPr>
      </w:pPr>
    </w:p>
    <w:p w14:paraId="3380D226">
      <w:pPr>
        <w:pageBreakBefore w:val="0"/>
        <w:kinsoku/>
        <w:wordWrap/>
        <w:topLinePunct w:val="0"/>
        <w:bidi w:val="0"/>
        <w:snapToGrid w:val="0"/>
        <w:spacing w:before="120" w:beforeLines="50" w:after="50" w:line="312" w:lineRule="auto"/>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1019F916">
      <w:pPr>
        <w:pageBreakBefore w:val="0"/>
        <w:kinsoku/>
        <w:wordWrap/>
        <w:topLinePunct w:val="0"/>
        <w:bidi w:val="0"/>
        <w:snapToGrid w:val="0"/>
        <w:spacing w:before="120" w:beforeLines="50" w:after="0" w:afterLines="0" w:line="312" w:lineRule="auto"/>
        <w:ind w:firstLine="720" w:firstLineChars="225"/>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 xml:space="preserve"> </w:t>
      </w:r>
    </w:p>
    <w:p w14:paraId="41ADC90D">
      <w:pPr>
        <w:pageBreakBefore w:val="0"/>
        <w:kinsoku/>
        <w:wordWrap/>
        <w:topLinePunct w:val="0"/>
        <w:bidi w:val="0"/>
        <w:snapToGrid w:val="0"/>
        <w:spacing w:before="0" w:beforeLines="0" w:after="0" w:afterLines="0" w:line="312" w:lineRule="auto"/>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489FE09E">
      <w:pPr>
        <w:pageBreakBefore w:val="0"/>
        <w:kinsoku/>
        <w:wordWrap/>
        <w:topLinePunct w:val="0"/>
        <w:bidi w:val="0"/>
        <w:snapToGrid w:val="0"/>
        <w:spacing w:before="0" w:beforeLines="0" w:after="0" w:afterLines="0" w:line="312" w:lineRule="auto"/>
        <w:ind w:firstLine="720" w:firstLineChars="225"/>
        <w:rPr>
          <w:rFonts w:hint="eastAsia" w:ascii="宋体" w:hAnsi="宋体" w:cs="仿宋_GB2312"/>
          <w:bCs/>
          <w:color w:val="auto"/>
          <w:sz w:val="32"/>
          <w:szCs w:val="32"/>
          <w:highlight w:val="none"/>
        </w:rPr>
      </w:pPr>
    </w:p>
    <w:p w14:paraId="03640789">
      <w:pPr>
        <w:pStyle w:val="7"/>
        <w:pageBreakBefore w:val="0"/>
        <w:kinsoku/>
        <w:wordWrap/>
        <w:topLinePunct w:val="0"/>
        <w:bidi w:val="0"/>
        <w:snapToGrid w:val="0"/>
        <w:spacing w:before="159" w:beforeLines="50" w:after="0" w:afterLines="0" w:line="312" w:lineRule="auto"/>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0541E6C1">
      <w:pPr>
        <w:pStyle w:val="7"/>
        <w:pageBreakBefore w:val="0"/>
        <w:kinsoku/>
        <w:wordWrap/>
        <w:topLinePunct w:val="0"/>
        <w:bidi w:val="0"/>
        <w:snapToGrid w:val="0"/>
        <w:spacing w:before="0" w:beforeLines="0" w:after="50" w:line="312" w:lineRule="auto"/>
        <w:ind w:firstLine="720" w:firstLineChars="225"/>
        <w:rPr>
          <w:rFonts w:hint="eastAsia" w:ascii="宋体" w:hAnsi="宋体" w:cs="仿宋_GB2312"/>
          <w:bCs/>
          <w:color w:val="auto"/>
          <w:sz w:val="32"/>
          <w:szCs w:val="32"/>
          <w:highlight w:val="none"/>
        </w:rPr>
      </w:pPr>
    </w:p>
    <w:p w14:paraId="6762D201">
      <w:pPr>
        <w:pStyle w:val="7"/>
        <w:pageBreakBefore w:val="0"/>
        <w:kinsoku/>
        <w:wordWrap/>
        <w:topLinePunct w:val="0"/>
        <w:bidi w:val="0"/>
        <w:snapToGrid w:val="0"/>
        <w:spacing w:before="50" w:after="50" w:line="312" w:lineRule="auto"/>
        <w:ind w:firstLine="720" w:firstLineChars="225"/>
        <w:rPr>
          <w:rFonts w:hint="eastAsia" w:ascii="宋体" w:hAnsi="宋体" w:cs="仿宋_GB2312"/>
          <w:bCs/>
          <w:color w:val="auto"/>
          <w:sz w:val="32"/>
          <w:szCs w:val="32"/>
          <w:highlight w:val="none"/>
        </w:rPr>
      </w:pPr>
    </w:p>
    <w:p w14:paraId="57E80E0C">
      <w:pPr>
        <w:pageBreakBefore w:val="0"/>
        <w:kinsoku/>
        <w:wordWrap/>
        <w:topLinePunct w:val="0"/>
        <w:bidi w:val="0"/>
        <w:snapToGrid w:val="0"/>
        <w:spacing w:before="120" w:beforeLines="50" w:after="50" w:line="312" w:lineRule="auto"/>
        <w:ind w:left="0" w:firstLine="3520" w:firstLineChars="1100"/>
        <w:jc w:val="left"/>
        <w:rPr>
          <w:rFonts w:hint="eastAsia" w:ascii="宋体" w:hAnsi="宋体"/>
          <w:b/>
          <w:bCs/>
          <w:color w:val="auto"/>
          <w:sz w:val="24"/>
          <w:highlight w:val="none"/>
        </w:rPr>
      </w:pPr>
      <w:r>
        <w:rPr>
          <w:rFonts w:hint="eastAsia" w:ascii="宋体" w:hAnsi="宋体" w:cs="仿宋_GB2312"/>
          <w:color w:val="auto"/>
          <w:sz w:val="32"/>
          <w:szCs w:val="32"/>
          <w:highlight w:val="none"/>
        </w:rPr>
        <w:t>年    月    日</w:t>
      </w:r>
      <w:r>
        <w:rPr>
          <w:rFonts w:ascii="宋体" w:hAnsi="宋体"/>
          <w:color w:val="auto"/>
          <w:sz w:val="24"/>
          <w:highlight w:val="none"/>
        </w:rPr>
        <w:br w:type="page"/>
      </w:r>
      <w:r>
        <w:rPr>
          <w:rFonts w:hint="eastAsia" w:ascii="宋体" w:hAnsi="宋体"/>
          <w:b/>
          <w:bCs/>
          <w:color w:val="auto"/>
          <w:sz w:val="32"/>
          <w:szCs w:val="32"/>
          <w:highlight w:val="none"/>
        </w:rPr>
        <w:t>2.报价文件目录</w:t>
      </w:r>
    </w:p>
    <w:p w14:paraId="509F912E">
      <w:pPr>
        <w:pageBreakBefore w:val="0"/>
        <w:kinsoku/>
        <w:wordWrap/>
        <w:topLinePunct w:val="0"/>
        <w:bidi w:val="0"/>
        <w:snapToGrid w:val="0"/>
        <w:spacing w:before="120" w:beforeLines="50" w:after="50" w:line="312" w:lineRule="auto"/>
        <w:ind w:firstLine="640" w:firstLineChars="200"/>
        <w:rPr>
          <w:rFonts w:ascii="宋体" w:hAnsi="宋体"/>
          <w:color w:val="auto"/>
          <w:sz w:val="32"/>
          <w:szCs w:val="32"/>
          <w:highlight w:val="none"/>
        </w:rPr>
      </w:pPr>
      <w:r>
        <w:rPr>
          <w:rFonts w:hint="eastAsia" w:ascii="宋体" w:hAnsi="宋体"/>
          <w:color w:val="auto"/>
          <w:sz w:val="32"/>
          <w:szCs w:val="32"/>
          <w:highlight w:val="none"/>
        </w:rPr>
        <w:t>根据磋商文件规定及供应商提供的材料自行编写目录（部分格式后附）。</w:t>
      </w:r>
    </w:p>
    <w:p w14:paraId="6B2CC2E2">
      <w:pPr>
        <w:pageBreakBefore w:val="0"/>
        <w:kinsoku/>
        <w:wordWrap/>
        <w:topLinePunct w:val="0"/>
        <w:bidi w:val="0"/>
        <w:spacing w:line="312" w:lineRule="auto"/>
        <w:rPr>
          <w:rFonts w:hint="eastAsia" w:ascii="仿宋_GB2312" w:hAnsi="仿宋_GB2312" w:eastAsia="仿宋_GB2312" w:cs="仿宋_GB2312"/>
          <w:color w:val="auto"/>
          <w:sz w:val="32"/>
          <w:szCs w:val="32"/>
          <w:highlight w:val="none"/>
        </w:rPr>
      </w:pPr>
    </w:p>
    <w:p w14:paraId="2DF61FB8">
      <w:pPr>
        <w:pageBreakBefore w:val="0"/>
        <w:kinsoku/>
        <w:wordWrap/>
        <w:topLinePunct w:val="0"/>
        <w:bidi w:val="0"/>
        <w:spacing w:line="312" w:lineRule="auto"/>
        <w:ind w:firstLine="880" w:firstLineChars="200"/>
        <w:contextualSpacing/>
        <w:jc w:val="center"/>
        <w:rPr>
          <w:rFonts w:hint="eastAsia" w:ascii="仿宋_GB2312" w:hAnsi="仿宋_GB2312" w:eastAsia="仿宋_GB2312" w:cs="仿宋_GB2312"/>
          <w:color w:val="auto"/>
          <w:sz w:val="32"/>
          <w:szCs w:val="32"/>
          <w:highlight w:val="none"/>
        </w:rPr>
      </w:pPr>
      <w:r>
        <w:rPr>
          <w:rFonts w:hint="eastAsia" w:ascii="方正小标宋简体" w:hAnsi="方正小标宋简体" w:eastAsia="方正小标宋简体" w:cs="方正小标宋简体"/>
          <w:color w:val="auto"/>
          <w:sz w:val="44"/>
          <w:szCs w:val="44"/>
          <w:highlight w:val="none"/>
        </w:rPr>
        <w:br w:type="page"/>
      </w:r>
    </w:p>
    <w:p w14:paraId="1DC5D733">
      <w:pPr>
        <w:pageBreakBefore w:val="0"/>
        <w:kinsoku/>
        <w:wordWrap/>
        <w:topLinePunct w:val="0"/>
        <w:bidi w:val="0"/>
        <w:spacing w:line="312" w:lineRule="auto"/>
        <w:jc w:val="center"/>
        <w:rPr>
          <w:rFonts w:hint="eastAsia" w:ascii="方正小标宋简体" w:hAnsi="方正小标宋简体" w:eastAsia="方正小标宋简体" w:cs="方正小标宋简体"/>
          <w:bCs/>
          <w:color w:val="auto"/>
          <w:sz w:val="32"/>
          <w:szCs w:val="32"/>
          <w:highlight w:val="none"/>
        </w:rPr>
      </w:pPr>
      <w:r>
        <w:rPr>
          <w:rFonts w:hint="eastAsia" w:ascii="方正小标宋简体" w:hAnsi="方正小标宋简体" w:eastAsia="方正小标宋简体" w:cs="方正小标宋简体"/>
          <w:bCs/>
          <w:color w:val="auto"/>
          <w:sz w:val="44"/>
          <w:szCs w:val="44"/>
          <w:highlight w:val="none"/>
        </w:rPr>
        <w:t>竞  标  报  价  表</w:t>
      </w:r>
    </w:p>
    <w:p w14:paraId="74CD0F5E">
      <w:pPr>
        <w:pageBreakBefore w:val="0"/>
        <w:kinsoku/>
        <w:wordWrap/>
        <w:topLinePunct w:val="0"/>
        <w:bidi w:val="0"/>
        <w:spacing w:line="312" w:lineRule="auto"/>
        <w:jc w:val="center"/>
        <w:rPr>
          <w:rFonts w:hint="eastAsia" w:ascii="方正小标宋简体" w:hAnsi="方正小标宋简体" w:eastAsia="方正小标宋简体" w:cs="方正小标宋简体"/>
          <w:bCs/>
          <w:color w:val="auto"/>
          <w:sz w:val="32"/>
          <w:szCs w:val="32"/>
          <w:highlight w:val="none"/>
        </w:rPr>
      </w:pPr>
    </w:p>
    <w:p w14:paraId="0F4EB3C1">
      <w:pPr>
        <w:pageBreakBefore w:val="0"/>
        <w:kinsoku/>
        <w:wordWrap/>
        <w:topLinePunct w:val="0"/>
        <w:bidi w:val="0"/>
        <w:spacing w:line="312"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项目名称：</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项目编号：</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 xml:space="preserve">     </w:t>
      </w:r>
    </w:p>
    <w:p w14:paraId="20B40BFF">
      <w:pPr>
        <w:pageBreakBefore w:val="0"/>
        <w:kinsoku/>
        <w:wordWrap/>
        <w:topLinePunct w:val="0"/>
        <w:bidi w:val="0"/>
        <w:spacing w:line="312" w:lineRule="auto"/>
        <w:contextualSpacing/>
        <w:rPr>
          <w:rFonts w:hint="eastAsia" w:ascii="宋体" w:hAnsi="宋体" w:cs="仿宋_GB2312"/>
          <w:color w:val="auto"/>
          <w:sz w:val="24"/>
          <w:highlight w:val="none"/>
          <w:u w:val="single"/>
        </w:rPr>
      </w:pPr>
      <w:r>
        <w:rPr>
          <w:rFonts w:hint="eastAsia" w:ascii="宋体" w:hAnsi="宋体" w:cs="仿宋_GB2312"/>
          <w:color w:val="auto"/>
          <w:sz w:val="24"/>
          <w:highlight w:val="none"/>
        </w:rPr>
        <w:t>分标（如有）：</w:t>
      </w:r>
      <w:r>
        <w:rPr>
          <w:rFonts w:hint="eastAsia" w:ascii="宋体" w:hAnsi="宋体" w:cs="仿宋_GB2312"/>
          <w:color w:val="auto"/>
          <w:sz w:val="24"/>
          <w:highlight w:val="none"/>
          <w:u w:val="single"/>
        </w:rPr>
        <w:t xml:space="preserve">                                         </w:t>
      </w:r>
    </w:p>
    <w:p w14:paraId="14E1184F">
      <w:pPr>
        <w:pageBreakBefore w:val="0"/>
        <w:kinsoku/>
        <w:wordWrap/>
        <w:topLinePunct w:val="0"/>
        <w:bidi w:val="0"/>
        <w:spacing w:line="312" w:lineRule="auto"/>
        <w:contextualSpacing/>
        <w:rPr>
          <w:rFonts w:ascii="宋体" w:hAnsi="宋体" w:cs="仿宋_GB2312"/>
          <w:color w:val="auto"/>
          <w:sz w:val="24"/>
          <w:highlight w:val="none"/>
        </w:rPr>
      </w:pPr>
      <w:r>
        <w:rPr>
          <w:rFonts w:hint="eastAsia" w:ascii="宋体" w:hAnsi="宋体" w:cs="仿宋_GB2312"/>
          <w:color w:val="auto"/>
          <w:sz w:val="24"/>
          <w:highlight w:val="none"/>
        </w:rPr>
        <w:t>供应商名称：</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 xml:space="preserve">   </w:t>
      </w:r>
    </w:p>
    <w:tbl>
      <w:tblPr>
        <w:tblStyle w:val="30"/>
        <w:tblW w:w="0" w:type="auto"/>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3544"/>
        <w:gridCol w:w="1845"/>
        <w:gridCol w:w="1620"/>
        <w:gridCol w:w="1499"/>
      </w:tblGrid>
      <w:tr w14:paraId="36F65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noWrap w:val="0"/>
            <w:vAlign w:val="center"/>
          </w:tcPr>
          <w:p w14:paraId="7B8D7591">
            <w:pPr>
              <w:keepNext w:val="0"/>
              <w:keepLines w:val="0"/>
              <w:pageBreakBefore w:val="0"/>
              <w:suppressLineNumbers w:val="0"/>
              <w:kinsoku/>
              <w:wordWrap/>
              <w:topLinePunct w:val="0"/>
              <w:bidi w:val="0"/>
              <w:spacing w:before="0" w:beforeAutospacing="0" w:after="0" w:afterAutospacing="0" w:line="312" w:lineRule="auto"/>
              <w:ind w:left="0" w:right="0"/>
              <w:contextualSpacing/>
              <w:jc w:val="center"/>
              <w:rPr>
                <w:rFonts w:hint="default" w:ascii="宋体" w:hAnsi="宋体" w:cs="仿宋_GB2312"/>
                <w:color w:val="auto"/>
                <w:sz w:val="24"/>
                <w:highlight w:val="none"/>
              </w:rPr>
            </w:pPr>
            <w:r>
              <w:rPr>
                <w:rFonts w:hint="default" w:ascii="宋体" w:hAnsi="宋体" w:cs="仿宋_GB2312"/>
                <w:color w:val="auto"/>
                <w:sz w:val="24"/>
                <w:highlight w:val="none"/>
              </w:rPr>
              <w:t>序号</w:t>
            </w:r>
          </w:p>
        </w:tc>
        <w:tc>
          <w:tcPr>
            <w:tcW w:w="3544" w:type="dxa"/>
            <w:tcBorders>
              <w:top w:val="single" w:color="auto" w:sz="4" w:space="0"/>
              <w:left w:val="single" w:color="auto" w:sz="4" w:space="0"/>
              <w:bottom w:val="single" w:color="auto" w:sz="4" w:space="0"/>
              <w:right w:val="single" w:color="auto" w:sz="4" w:space="0"/>
            </w:tcBorders>
            <w:noWrap w:val="0"/>
            <w:vAlign w:val="center"/>
          </w:tcPr>
          <w:p w14:paraId="087C4C31">
            <w:pPr>
              <w:keepNext w:val="0"/>
              <w:keepLines w:val="0"/>
              <w:pageBreakBefore w:val="0"/>
              <w:suppressLineNumbers w:val="0"/>
              <w:kinsoku/>
              <w:wordWrap/>
              <w:topLinePunct w:val="0"/>
              <w:bidi w:val="0"/>
              <w:spacing w:before="0" w:beforeAutospacing="0" w:after="0" w:afterAutospacing="0" w:line="312" w:lineRule="auto"/>
              <w:ind w:left="0" w:right="0"/>
              <w:contextualSpacing/>
              <w:jc w:val="center"/>
              <w:rPr>
                <w:rFonts w:hint="default" w:ascii="宋体" w:hAnsi="宋体" w:eastAsia="宋体" w:cs="仿宋_GB2312"/>
                <w:color w:val="auto"/>
                <w:sz w:val="24"/>
                <w:highlight w:val="none"/>
                <w:lang w:val="en-US" w:eastAsia="zh-CN"/>
              </w:rPr>
            </w:pPr>
            <w:r>
              <w:rPr>
                <w:rFonts w:hint="eastAsia" w:ascii="宋体" w:hAnsi="宋体" w:cs="仿宋_GB2312"/>
                <w:color w:val="auto"/>
                <w:sz w:val="24"/>
                <w:highlight w:val="none"/>
                <w:lang w:val="en-US" w:eastAsia="zh-CN"/>
              </w:rPr>
              <w:t>标的名称</w:t>
            </w:r>
          </w:p>
        </w:tc>
        <w:tc>
          <w:tcPr>
            <w:tcW w:w="1845" w:type="dxa"/>
            <w:tcBorders>
              <w:top w:val="single" w:color="auto" w:sz="4" w:space="0"/>
              <w:left w:val="single" w:color="auto" w:sz="4" w:space="0"/>
              <w:bottom w:val="single" w:color="auto" w:sz="4" w:space="0"/>
              <w:right w:val="single" w:color="auto" w:sz="4" w:space="0"/>
            </w:tcBorders>
            <w:noWrap w:val="0"/>
            <w:vAlign w:val="center"/>
          </w:tcPr>
          <w:p w14:paraId="19A26BBC">
            <w:pPr>
              <w:keepNext w:val="0"/>
              <w:keepLines w:val="0"/>
              <w:pageBreakBefore w:val="0"/>
              <w:suppressLineNumbers w:val="0"/>
              <w:kinsoku/>
              <w:wordWrap/>
              <w:topLinePunct w:val="0"/>
              <w:bidi w:val="0"/>
              <w:spacing w:before="0" w:beforeAutospacing="0" w:after="0" w:afterAutospacing="0" w:line="312" w:lineRule="auto"/>
              <w:ind w:left="0" w:right="0"/>
              <w:contextualSpacing/>
              <w:jc w:val="center"/>
              <w:rPr>
                <w:rFonts w:hint="default" w:ascii="宋体" w:hAnsi="宋体" w:cs="仿宋_GB2312"/>
                <w:color w:val="auto"/>
                <w:sz w:val="24"/>
                <w:highlight w:val="none"/>
              </w:rPr>
            </w:pPr>
            <w:r>
              <w:rPr>
                <w:rFonts w:hint="eastAsia" w:ascii="宋体" w:hAnsi="宋体" w:cs="仿宋_GB2312"/>
                <w:color w:val="auto"/>
                <w:sz w:val="24"/>
                <w:highlight w:val="none"/>
              </w:rPr>
              <w:t>数量</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488C0E3E">
            <w:pPr>
              <w:keepNext w:val="0"/>
              <w:keepLines w:val="0"/>
              <w:pageBreakBefore w:val="0"/>
              <w:suppressLineNumbers w:val="0"/>
              <w:kinsoku/>
              <w:wordWrap/>
              <w:topLinePunct w:val="0"/>
              <w:bidi w:val="0"/>
              <w:spacing w:before="0" w:beforeAutospacing="0" w:after="0" w:afterAutospacing="0" w:line="312" w:lineRule="auto"/>
              <w:ind w:left="0" w:right="0"/>
              <w:contextualSpacing/>
              <w:jc w:val="center"/>
              <w:rPr>
                <w:rFonts w:hint="default" w:ascii="宋体" w:hAnsi="宋体" w:cs="仿宋_GB2312"/>
                <w:color w:val="auto"/>
                <w:sz w:val="24"/>
                <w:highlight w:val="none"/>
              </w:rPr>
            </w:pPr>
            <w:r>
              <w:rPr>
                <w:rFonts w:hint="eastAsia" w:ascii="宋体" w:hAnsi="宋体" w:cs="仿宋_GB2312"/>
                <w:color w:val="auto"/>
                <w:sz w:val="24"/>
                <w:highlight w:val="none"/>
              </w:rPr>
              <w:t>单位</w:t>
            </w:r>
          </w:p>
        </w:tc>
        <w:tc>
          <w:tcPr>
            <w:tcW w:w="1499" w:type="dxa"/>
            <w:tcBorders>
              <w:top w:val="single" w:color="auto" w:sz="4" w:space="0"/>
              <w:left w:val="single" w:color="auto" w:sz="4" w:space="0"/>
              <w:bottom w:val="single" w:color="auto" w:sz="4" w:space="0"/>
              <w:right w:val="single" w:color="auto" w:sz="4" w:space="0"/>
            </w:tcBorders>
            <w:noWrap w:val="0"/>
            <w:vAlign w:val="center"/>
          </w:tcPr>
          <w:p w14:paraId="4A636151">
            <w:pPr>
              <w:keepNext w:val="0"/>
              <w:keepLines w:val="0"/>
              <w:pageBreakBefore w:val="0"/>
              <w:suppressLineNumbers w:val="0"/>
              <w:kinsoku/>
              <w:wordWrap/>
              <w:topLinePunct w:val="0"/>
              <w:bidi w:val="0"/>
              <w:spacing w:before="0" w:beforeAutospacing="0" w:after="0" w:afterAutospacing="0" w:line="312" w:lineRule="auto"/>
              <w:ind w:left="0" w:right="0"/>
              <w:contextualSpacing/>
              <w:jc w:val="center"/>
              <w:rPr>
                <w:rFonts w:hint="default" w:ascii="宋体" w:hAnsi="宋体" w:cs="仿宋_GB2312"/>
                <w:color w:val="auto"/>
                <w:sz w:val="24"/>
                <w:highlight w:val="none"/>
              </w:rPr>
            </w:pPr>
            <w:r>
              <w:rPr>
                <w:rFonts w:hint="default" w:ascii="宋体" w:hAnsi="宋体" w:cs="仿宋_GB2312"/>
                <w:color w:val="auto"/>
                <w:sz w:val="24"/>
                <w:highlight w:val="none"/>
              </w:rPr>
              <w:t>备注</w:t>
            </w:r>
          </w:p>
        </w:tc>
      </w:tr>
      <w:tr w14:paraId="1CED6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noWrap w:val="0"/>
            <w:vAlign w:val="center"/>
          </w:tcPr>
          <w:p w14:paraId="768C7746">
            <w:pPr>
              <w:keepNext w:val="0"/>
              <w:keepLines w:val="0"/>
              <w:pageBreakBefore w:val="0"/>
              <w:suppressLineNumbers w:val="0"/>
              <w:kinsoku/>
              <w:wordWrap/>
              <w:topLinePunct w:val="0"/>
              <w:bidi w:val="0"/>
              <w:spacing w:before="0" w:beforeAutospacing="0" w:after="0" w:afterAutospacing="0" w:line="312" w:lineRule="auto"/>
              <w:ind w:left="0" w:right="0"/>
              <w:contextualSpacing/>
              <w:jc w:val="center"/>
              <w:rPr>
                <w:rFonts w:hint="default" w:ascii="宋体" w:hAnsi="宋体" w:cs="仿宋_GB2312"/>
                <w:color w:val="auto"/>
                <w:sz w:val="24"/>
                <w:highlight w:val="none"/>
              </w:rPr>
            </w:pPr>
            <w:r>
              <w:rPr>
                <w:rFonts w:hint="default" w:ascii="宋体" w:hAnsi="宋体" w:cs="仿宋_GB2312"/>
                <w:color w:val="auto"/>
                <w:sz w:val="24"/>
                <w:highlight w:val="none"/>
              </w:rPr>
              <w:t>1</w:t>
            </w:r>
          </w:p>
        </w:tc>
        <w:tc>
          <w:tcPr>
            <w:tcW w:w="3544" w:type="dxa"/>
            <w:tcBorders>
              <w:top w:val="single" w:color="auto" w:sz="4" w:space="0"/>
              <w:left w:val="single" w:color="auto" w:sz="4" w:space="0"/>
              <w:bottom w:val="single" w:color="auto" w:sz="4" w:space="0"/>
              <w:right w:val="single" w:color="auto" w:sz="4" w:space="0"/>
            </w:tcBorders>
            <w:noWrap w:val="0"/>
            <w:vAlign w:val="center"/>
          </w:tcPr>
          <w:p w14:paraId="3EE60ECF">
            <w:pPr>
              <w:keepNext w:val="0"/>
              <w:keepLines w:val="0"/>
              <w:pageBreakBefore w:val="0"/>
              <w:suppressLineNumbers w:val="0"/>
              <w:kinsoku/>
              <w:wordWrap/>
              <w:topLinePunct w:val="0"/>
              <w:bidi w:val="0"/>
              <w:spacing w:before="0" w:beforeAutospacing="0" w:after="0" w:afterAutospacing="0" w:line="312" w:lineRule="auto"/>
              <w:ind w:left="0" w:right="0"/>
              <w:contextualSpacing/>
              <w:jc w:val="center"/>
              <w:rPr>
                <w:rFonts w:hint="default" w:ascii="宋体" w:hAnsi="宋体" w:cs="仿宋_GB2312"/>
                <w:color w:val="auto"/>
                <w:sz w:val="24"/>
                <w:highlight w:val="none"/>
              </w:rPr>
            </w:pPr>
            <w:r>
              <w:rPr>
                <w:rFonts w:hint="eastAsia" w:ascii="宋体" w:hAnsi="宋体" w:cs="仿宋_GB2312"/>
                <w:color w:val="auto"/>
                <w:sz w:val="24"/>
                <w:highlight w:val="none"/>
                <w:lang w:eastAsia="zh-CN"/>
              </w:rPr>
              <w:t>2026年龙圩区松材线虫病疫情枯死树清理项目</w:t>
            </w:r>
          </w:p>
        </w:tc>
        <w:tc>
          <w:tcPr>
            <w:tcW w:w="1845" w:type="dxa"/>
            <w:tcBorders>
              <w:top w:val="single" w:color="auto" w:sz="4" w:space="0"/>
              <w:left w:val="single" w:color="auto" w:sz="4" w:space="0"/>
              <w:bottom w:val="single" w:color="auto" w:sz="4" w:space="0"/>
              <w:right w:val="single" w:color="auto" w:sz="4" w:space="0"/>
            </w:tcBorders>
            <w:noWrap w:val="0"/>
            <w:vAlign w:val="center"/>
          </w:tcPr>
          <w:p w14:paraId="043C86D4">
            <w:pPr>
              <w:keepNext w:val="0"/>
              <w:keepLines w:val="0"/>
              <w:pageBreakBefore w:val="0"/>
              <w:suppressLineNumbers w:val="0"/>
              <w:kinsoku/>
              <w:wordWrap/>
              <w:topLinePunct w:val="0"/>
              <w:bidi w:val="0"/>
              <w:spacing w:before="0" w:beforeAutospacing="0" w:after="0" w:afterAutospacing="0" w:line="312" w:lineRule="auto"/>
              <w:ind w:left="0" w:right="0"/>
              <w:contextualSpacing/>
              <w:jc w:val="center"/>
              <w:rPr>
                <w:rFonts w:hint="default" w:ascii="宋体" w:hAnsi="宋体" w:cs="仿宋_GB2312"/>
                <w:color w:val="auto"/>
                <w:sz w:val="24"/>
                <w:highlight w:val="none"/>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4EB54649">
            <w:pPr>
              <w:keepNext w:val="0"/>
              <w:keepLines w:val="0"/>
              <w:pageBreakBefore w:val="0"/>
              <w:suppressLineNumbers w:val="0"/>
              <w:kinsoku/>
              <w:wordWrap/>
              <w:topLinePunct w:val="0"/>
              <w:bidi w:val="0"/>
              <w:spacing w:before="0" w:beforeAutospacing="0" w:after="0" w:afterAutospacing="0" w:line="312" w:lineRule="auto"/>
              <w:ind w:left="0" w:right="0"/>
              <w:contextualSpacing/>
              <w:rPr>
                <w:rFonts w:hint="default" w:ascii="宋体" w:hAnsi="宋体" w:cs="仿宋_GB2312"/>
                <w:color w:val="auto"/>
                <w:sz w:val="24"/>
                <w:highlight w:val="none"/>
              </w:rPr>
            </w:pPr>
          </w:p>
        </w:tc>
        <w:tc>
          <w:tcPr>
            <w:tcW w:w="1499" w:type="dxa"/>
            <w:tcBorders>
              <w:top w:val="single" w:color="auto" w:sz="4" w:space="0"/>
              <w:left w:val="single" w:color="auto" w:sz="4" w:space="0"/>
              <w:bottom w:val="single" w:color="auto" w:sz="4" w:space="0"/>
              <w:right w:val="single" w:color="auto" w:sz="4" w:space="0"/>
            </w:tcBorders>
            <w:noWrap w:val="0"/>
            <w:vAlign w:val="center"/>
          </w:tcPr>
          <w:p w14:paraId="017D7BC3">
            <w:pPr>
              <w:keepNext w:val="0"/>
              <w:keepLines w:val="0"/>
              <w:pageBreakBefore w:val="0"/>
              <w:suppressLineNumbers w:val="0"/>
              <w:kinsoku/>
              <w:wordWrap/>
              <w:topLinePunct w:val="0"/>
              <w:bidi w:val="0"/>
              <w:spacing w:before="0" w:beforeAutospacing="0" w:after="0" w:afterAutospacing="0" w:line="312" w:lineRule="auto"/>
              <w:ind w:left="0" w:right="0"/>
              <w:contextualSpacing/>
              <w:rPr>
                <w:rFonts w:hint="default" w:ascii="宋体" w:hAnsi="宋体" w:cs="仿宋_GB2312"/>
                <w:color w:val="auto"/>
                <w:sz w:val="24"/>
                <w:highlight w:val="none"/>
              </w:rPr>
            </w:pPr>
          </w:p>
        </w:tc>
      </w:tr>
      <w:tr w14:paraId="01A48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4131" w:type="dxa"/>
            <w:gridSpan w:val="2"/>
            <w:tcBorders>
              <w:top w:val="single" w:color="auto" w:sz="4" w:space="0"/>
              <w:left w:val="single" w:color="auto" w:sz="4" w:space="0"/>
              <w:bottom w:val="single" w:color="auto" w:sz="4" w:space="0"/>
              <w:right w:val="single" w:color="auto" w:sz="4" w:space="0"/>
            </w:tcBorders>
            <w:noWrap w:val="0"/>
            <w:vAlign w:val="center"/>
          </w:tcPr>
          <w:p w14:paraId="1848FDB8">
            <w:pPr>
              <w:keepNext w:val="0"/>
              <w:keepLines w:val="0"/>
              <w:pageBreakBefore w:val="0"/>
              <w:suppressLineNumbers w:val="0"/>
              <w:kinsoku/>
              <w:wordWrap/>
              <w:topLinePunct w:val="0"/>
              <w:bidi w:val="0"/>
              <w:spacing w:before="0" w:beforeAutospacing="0" w:after="0" w:afterAutospacing="0" w:line="312" w:lineRule="auto"/>
              <w:ind w:left="0" w:right="0"/>
              <w:jc w:val="center"/>
              <w:rPr>
                <w:rFonts w:hint="default" w:ascii="宋体" w:hAnsi="宋体" w:cs="仿宋_GB2312"/>
                <w:color w:val="auto"/>
                <w:sz w:val="24"/>
                <w:highlight w:val="none"/>
              </w:rPr>
            </w:pPr>
            <w:r>
              <w:rPr>
                <w:rFonts w:hint="eastAsia" w:ascii="宋体" w:hAnsi="宋体" w:cs="宋体"/>
                <w:b w:val="0"/>
                <w:bCs w:val="0"/>
                <w:color w:val="auto"/>
                <w:sz w:val="24"/>
                <w:szCs w:val="24"/>
                <w:highlight w:val="none"/>
                <w:lang w:val="en-US" w:eastAsia="zh-CN"/>
              </w:rPr>
              <w:t>竞标</w:t>
            </w:r>
            <w:r>
              <w:rPr>
                <w:rFonts w:hint="eastAsia" w:ascii="宋体" w:hAnsi="宋体" w:eastAsia="宋体" w:cs="宋体"/>
                <w:b w:val="0"/>
                <w:bCs w:val="0"/>
                <w:color w:val="auto"/>
                <w:sz w:val="24"/>
                <w:szCs w:val="24"/>
                <w:highlight w:val="none"/>
              </w:rPr>
              <w:t>总报价（元）</w:t>
            </w:r>
          </w:p>
        </w:tc>
        <w:tc>
          <w:tcPr>
            <w:tcW w:w="4964" w:type="dxa"/>
            <w:gridSpan w:val="3"/>
            <w:tcBorders>
              <w:top w:val="single" w:color="auto" w:sz="4" w:space="0"/>
              <w:left w:val="single" w:color="auto" w:sz="4" w:space="0"/>
              <w:bottom w:val="single" w:color="auto" w:sz="4" w:space="0"/>
              <w:right w:val="single" w:color="auto" w:sz="4" w:space="0"/>
            </w:tcBorders>
            <w:noWrap w:val="0"/>
            <w:vAlign w:val="center"/>
          </w:tcPr>
          <w:p w14:paraId="0BB4E6E7">
            <w:pPr>
              <w:keepNext w:val="0"/>
              <w:keepLines w:val="0"/>
              <w:pageBreakBefore w:val="0"/>
              <w:suppressLineNumbers w:val="0"/>
              <w:kinsoku/>
              <w:wordWrap/>
              <w:topLinePunct w:val="0"/>
              <w:bidi w:val="0"/>
              <w:spacing w:before="0" w:beforeAutospacing="0" w:after="0" w:afterAutospacing="0" w:line="312" w:lineRule="auto"/>
              <w:ind w:left="0" w:right="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（大写）人民币</w:t>
            </w:r>
            <w:r>
              <w:rPr>
                <w:rFonts w:hint="eastAsia" w:ascii="宋体" w:hAnsi="宋体" w:eastAsia="宋体" w:cs="宋体"/>
                <w:b w:val="0"/>
                <w:bCs w:val="0"/>
                <w:color w:val="auto"/>
                <w:sz w:val="24"/>
                <w:szCs w:val="24"/>
                <w:highlight w:val="none"/>
                <w:u w:val="single"/>
              </w:rPr>
              <w:t xml:space="preserve"> </w:t>
            </w:r>
            <w:r>
              <w:rPr>
                <w:rFonts w:hint="eastAsia" w:ascii="宋体" w:hAnsi="宋体" w:cs="宋体"/>
                <w:b w:val="0"/>
                <w:bCs w:val="0"/>
                <w:color w:val="auto"/>
                <w:sz w:val="24"/>
                <w:szCs w:val="24"/>
                <w:highlight w:val="none"/>
                <w:u w:val="single"/>
                <w:lang w:val="en-US" w:eastAsia="zh-CN"/>
              </w:rPr>
              <w:t xml:space="preserve">       </w:t>
            </w:r>
            <w:r>
              <w:rPr>
                <w:rFonts w:hint="eastAsia" w:ascii="宋体" w:hAnsi="宋体" w:eastAsia="宋体" w:cs="宋体"/>
                <w:b w:val="0"/>
                <w:bCs w:val="0"/>
                <w:color w:val="auto"/>
                <w:sz w:val="24"/>
                <w:szCs w:val="24"/>
                <w:highlight w:val="none"/>
                <w:u w:val="single"/>
              </w:rPr>
              <w:t xml:space="preserve">     </w:t>
            </w:r>
            <w:r>
              <w:rPr>
                <w:rFonts w:hint="eastAsia" w:ascii="宋体" w:hAnsi="宋体" w:cs="宋体"/>
                <w:b w:val="0"/>
                <w:bCs w:val="0"/>
                <w:color w:val="auto"/>
                <w:sz w:val="24"/>
                <w:szCs w:val="24"/>
                <w:highlight w:val="none"/>
                <w:u w:val="single"/>
                <w:lang w:val="en-US" w:eastAsia="zh-CN"/>
              </w:rPr>
              <w:t xml:space="preserve">       </w:t>
            </w:r>
            <w:r>
              <w:rPr>
                <w:rFonts w:hint="eastAsia" w:ascii="宋体" w:hAnsi="宋体" w:eastAsia="宋体" w:cs="宋体"/>
                <w:b w:val="0"/>
                <w:bCs w:val="0"/>
                <w:color w:val="auto"/>
                <w:sz w:val="24"/>
                <w:szCs w:val="24"/>
                <w:highlight w:val="none"/>
                <w:u w:val="single"/>
              </w:rPr>
              <w:t xml:space="preserve">     </w:t>
            </w:r>
            <w:r>
              <w:rPr>
                <w:rFonts w:hint="eastAsia" w:ascii="宋体" w:hAnsi="宋体" w:eastAsia="宋体" w:cs="宋体"/>
                <w:b w:val="0"/>
                <w:bCs w:val="0"/>
                <w:color w:val="auto"/>
                <w:sz w:val="24"/>
                <w:szCs w:val="24"/>
                <w:highlight w:val="none"/>
              </w:rPr>
              <w:t xml:space="preserve"> </w:t>
            </w:r>
          </w:p>
          <w:p w14:paraId="1E437FC8">
            <w:pPr>
              <w:keepNext w:val="0"/>
              <w:keepLines w:val="0"/>
              <w:pageBreakBefore w:val="0"/>
              <w:suppressLineNumbers w:val="0"/>
              <w:kinsoku/>
              <w:wordWrap/>
              <w:topLinePunct w:val="0"/>
              <w:bidi w:val="0"/>
              <w:spacing w:before="0" w:beforeAutospacing="0" w:after="0" w:afterAutospacing="0" w:line="312" w:lineRule="auto"/>
              <w:ind w:left="0" w:right="0"/>
              <w:rPr>
                <w:rFonts w:hint="eastAsia" w:ascii="宋体" w:hAnsi="宋体" w:cs="仿宋_GB2312"/>
                <w:color w:val="auto"/>
                <w:sz w:val="24"/>
                <w:highlight w:val="none"/>
              </w:rPr>
            </w:pPr>
            <w:r>
              <w:rPr>
                <w:rFonts w:hint="eastAsia" w:ascii="宋体" w:hAnsi="宋体" w:eastAsia="宋体" w:cs="宋体"/>
                <w:b w:val="0"/>
                <w:bCs w:val="0"/>
                <w:color w:val="auto"/>
                <w:sz w:val="24"/>
                <w:szCs w:val="24"/>
                <w:highlight w:val="none"/>
              </w:rPr>
              <w:t xml:space="preserve">（小写）¥ </w:t>
            </w:r>
            <w:r>
              <w:rPr>
                <w:rFonts w:hint="eastAsia" w:ascii="宋体" w:hAnsi="宋体" w:eastAsia="宋体" w:cs="宋体"/>
                <w:b w:val="0"/>
                <w:bCs w:val="0"/>
                <w:color w:val="auto"/>
                <w:sz w:val="24"/>
                <w:szCs w:val="24"/>
                <w:highlight w:val="none"/>
                <w:u w:val="single"/>
              </w:rPr>
              <w:t xml:space="preserve">         </w:t>
            </w:r>
            <w:r>
              <w:rPr>
                <w:rFonts w:hint="eastAsia" w:ascii="宋体" w:hAnsi="宋体" w:cs="宋体"/>
                <w:b w:val="0"/>
                <w:bCs w:val="0"/>
                <w:color w:val="auto"/>
                <w:sz w:val="24"/>
                <w:szCs w:val="24"/>
                <w:highlight w:val="none"/>
                <w:u w:val="single"/>
                <w:lang w:val="en-US" w:eastAsia="zh-CN"/>
              </w:rPr>
              <w:t xml:space="preserve">        </w:t>
            </w:r>
            <w:r>
              <w:rPr>
                <w:rFonts w:hint="eastAsia" w:ascii="宋体" w:hAnsi="宋体" w:eastAsia="宋体" w:cs="宋体"/>
                <w:b w:val="0"/>
                <w:bCs w:val="0"/>
                <w:color w:val="auto"/>
                <w:sz w:val="24"/>
                <w:szCs w:val="24"/>
                <w:highlight w:val="none"/>
                <w:u w:val="single"/>
              </w:rPr>
              <w:t xml:space="preserve">  </w:t>
            </w:r>
            <w:r>
              <w:rPr>
                <w:rFonts w:hint="eastAsia" w:ascii="宋体" w:hAnsi="宋体" w:cs="宋体"/>
                <w:b w:val="0"/>
                <w:bCs w:val="0"/>
                <w:color w:val="auto"/>
                <w:sz w:val="24"/>
                <w:szCs w:val="24"/>
                <w:highlight w:val="none"/>
                <w:u w:val="single"/>
                <w:lang w:val="en-US" w:eastAsia="zh-CN"/>
              </w:rPr>
              <w:t xml:space="preserve">       </w:t>
            </w:r>
            <w:r>
              <w:rPr>
                <w:rFonts w:hint="eastAsia" w:ascii="宋体" w:hAnsi="宋体" w:eastAsia="宋体" w:cs="宋体"/>
                <w:b w:val="0"/>
                <w:bCs w:val="0"/>
                <w:color w:val="auto"/>
                <w:sz w:val="24"/>
                <w:szCs w:val="24"/>
                <w:highlight w:val="none"/>
                <w:u w:val="single"/>
              </w:rPr>
              <w:t xml:space="preserve">   </w:t>
            </w:r>
          </w:p>
        </w:tc>
      </w:tr>
      <w:tr w14:paraId="29D36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4131" w:type="dxa"/>
            <w:gridSpan w:val="2"/>
            <w:tcBorders>
              <w:top w:val="single" w:color="auto" w:sz="4" w:space="0"/>
              <w:left w:val="single" w:color="auto" w:sz="4" w:space="0"/>
              <w:bottom w:val="single" w:color="auto" w:sz="4" w:space="0"/>
              <w:right w:val="single" w:color="auto" w:sz="4" w:space="0"/>
            </w:tcBorders>
            <w:noWrap w:val="0"/>
            <w:vAlign w:val="center"/>
          </w:tcPr>
          <w:p w14:paraId="4980D17A">
            <w:pPr>
              <w:keepNext w:val="0"/>
              <w:keepLines w:val="0"/>
              <w:pageBreakBefore w:val="0"/>
              <w:suppressLineNumbers w:val="0"/>
              <w:kinsoku/>
              <w:wordWrap/>
              <w:topLinePunct w:val="0"/>
              <w:bidi w:val="0"/>
              <w:spacing w:before="0" w:beforeAutospacing="0" w:after="0" w:afterAutospacing="0" w:line="312" w:lineRule="auto"/>
              <w:ind w:left="0" w:right="0"/>
              <w:jc w:val="center"/>
              <w:rPr>
                <w:rFonts w:hint="eastAsia" w:ascii="宋体" w:hAnsi="宋体" w:cs="仿宋_GB2312"/>
                <w:color w:val="auto"/>
                <w:sz w:val="24"/>
                <w:highlight w:val="none"/>
              </w:rPr>
            </w:pPr>
            <w:r>
              <w:rPr>
                <w:rFonts w:hint="eastAsia" w:ascii="宋体" w:hAnsi="宋体" w:cs="宋体"/>
                <w:color w:val="auto"/>
                <w:sz w:val="24"/>
                <w:szCs w:val="24"/>
                <w:lang w:val="en-US" w:eastAsia="zh-CN"/>
              </w:rPr>
              <w:t>合同履约期限</w:t>
            </w:r>
          </w:p>
        </w:tc>
        <w:tc>
          <w:tcPr>
            <w:tcW w:w="4964" w:type="dxa"/>
            <w:gridSpan w:val="3"/>
            <w:tcBorders>
              <w:top w:val="single" w:color="auto" w:sz="4" w:space="0"/>
              <w:left w:val="single" w:color="auto" w:sz="4" w:space="0"/>
              <w:bottom w:val="single" w:color="auto" w:sz="4" w:space="0"/>
              <w:right w:val="single" w:color="auto" w:sz="4" w:space="0"/>
            </w:tcBorders>
            <w:noWrap w:val="0"/>
            <w:vAlign w:val="top"/>
          </w:tcPr>
          <w:p w14:paraId="3D24016E">
            <w:pPr>
              <w:keepNext w:val="0"/>
              <w:keepLines w:val="0"/>
              <w:pageBreakBefore w:val="0"/>
              <w:numPr>
                <w:ilvl w:val="0"/>
                <w:numId w:val="0"/>
              </w:numPr>
              <w:suppressLineNumbers w:val="0"/>
              <w:kinsoku/>
              <w:wordWrap/>
              <w:topLinePunct w:val="0"/>
              <w:bidi w:val="0"/>
              <w:spacing w:before="0" w:beforeAutospacing="0" w:after="0" w:afterAutospacing="0" w:line="312" w:lineRule="auto"/>
              <w:ind w:left="0" w:right="0"/>
              <w:rPr>
                <w:rFonts w:hint="eastAsia" w:ascii="宋体" w:hAnsi="宋体" w:cs="仿宋_GB2312"/>
                <w:color w:val="auto"/>
                <w:sz w:val="24"/>
                <w:highlight w:val="none"/>
              </w:rPr>
            </w:pPr>
          </w:p>
        </w:tc>
      </w:tr>
    </w:tbl>
    <w:p w14:paraId="1B384D19">
      <w:pPr>
        <w:pageBreakBefore w:val="0"/>
        <w:kinsoku/>
        <w:wordWrap/>
        <w:topLinePunct w:val="0"/>
        <w:bidi w:val="0"/>
        <w:spacing w:line="312" w:lineRule="auto"/>
        <w:contextualSpacing/>
        <w:jc w:val="left"/>
        <w:rPr>
          <w:rFonts w:hint="eastAsia" w:ascii="宋体" w:hAnsi="宋体" w:cs="仿宋_GB2312"/>
          <w:color w:val="auto"/>
          <w:sz w:val="24"/>
          <w:highlight w:val="none"/>
        </w:rPr>
      </w:pPr>
    </w:p>
    <w:p w14:paraId="3F66CE49">
      <w:pPr>
        <w:pageBreakBefore w:val="0"/>
        <w:kinsoku/>
        <w:wordWrap/>
        <w:topLinePunct w:val="0"/>
        <w:bidi w:val="0"/>
        <w:spacing w:line="312" w:lineRule="auto"/>
        <w:contextualSpacing/>
        <w:jc w:val="left"/>
        <w:rPr>
          <w:rFonts w:hint="eastAsia" w:ascii="宋体" w:hAnsi="宋体" w:cs="仿宋_GB2312"/>
          <w:color w:val="auto"/>
          <w:sz w:val="24"/>
          <w:highlight w:val="none"/>
        </w:rPr>
      </w:pPr>
      <w:r>
        <w:rPr>
          <w:rFonts w:hint="eastAsia" w:ascii="宋体" w:hAnsi="宋体" w:cs="仿宋_GB2312"/>
          <w:color w:val="auto"/>
          <w:sz w:val="24"/>
          <w:highlight w:val="none"/>
        </w:rPr>
        <w:t xml:space="preserve">注: </w:t>
      </w:r>
    </w:p>
    <w:p w14:paraId="739D7929">
      <w:pPr>
        <w:pageBreakBefore w:val="0"/>
        <w:kinsoku/>
        <w:wordWrap/>
        <w:topLinePunct w:val="0"/>
        <w:bidi w:val="0"/>
        <w:spacing w:line="312" w:lineRule="auto"/>
        <w:ind w:firstLine="480" w:firstLineChars="200"/>
        <w:contextualSpacing/>
        <w:jc w:val="left"/>
        <w:rPr>
          <w:rFonts w:hint="eastAsia" w:ascii="宋体" w:hAnsi="宋体" w:cs="仿宋_GB2312"/>
          <w:color w:val="auto"/>
          <w:sz w:val="24"/>
          <w:highlight w:val="none"/>
        </w:rPr>
      </w:pPr>
      <w:r>
        <w:rPr>
          <w:rFonts w:hint="eastAsia" w:ascii="宋体" w:hAnsi="宋体" w:cs="仿宋_GB2312"/>
          <w:color w:val="auto"/>
          <w:sz w:val="24"/>
          <w:highlight w:val="none"/>
        </w:rPr>
        <w:t>1.供应商的报价表必须加盖供应商公章并由法定代表人或者委托代理人签字，</w:t>
      </w:r>
      <w:r>
        <w:rPr>
          <w:rFonts w:hint="eastAsia" w:ascii="宋体" w:hAnsi="宋体" w:cs="仿宋_GB2312"/>
          <w:b/>
          <w:color w:val="auto"/>
          <w:sz w:val="24"/>
          <w:highlight w:val="none"/>
        </w:rPr>
        <w:t>否则其响应文件按无效响应处理</w:t>
      </w:r>
      <w:r>
        <w:rPr>
          <w:rFonts w:hint="eastAsia" w:ascii="宋体" w:hAnsi="宋体" w:cs="仿宋_GB2312"/>
          <w:color w:val="auto"/>
          <w:sz w:val="24"/>
          <w:highlight w:val="none"/>
        </w:rPr>
        <w:t>。</w:t>
      </w:r>
    </w:p>
    <w:p w14:paraId="6AC12E6A">
      <w:pPr>
        <w:pageBreakBefore w:val="0"/>
        <w:kinsoku/>
        <w:wordWrap/>
        <w:topLinePunct w:val="0"/>
        <w:bidi w:val="0"/>
        <w:spacing w:line="312" w:lineRule="auto"/>
        <w:ind w:firstLine="480" w:firstLineChars="200"/>
        <w:contextualSpacing/>
        <w:jc w:val="left"/>
        <w:rPr>
          <w:rFonts w:hint="eastAsia" w:ascii="宋体" w:hAnsi="宋体" w:cs="仿宋_GB2312"/>
          <w:b/>
          <w:color w:val="auto"/>
          <w:sz w:val="24"/>
          <w:highlight w:val="none"/>
        </w:rPr>
      </w:pPr>
      <w:r>
        <w:rPr>
          <w:rFonts w:hint="eastAsia" w:ascii="宋体" w:hAnsi="宋体" w:cs="仿宋_GB2312"/>
          <w:bCs/>
          <w:color w:val="auto"/>
          <w:sz w:val="24"/>
          <w:highlight w:val="none"/>
        </w:rPr>
        <w:t>2.</w:t>
      </w:r>
      <w:r>
        <w:rPr>
          <w:rFonts w:hint="eastAsia" w:ascii="宋体" w:hAnsi="宋体" w:cs="仿宋_GB2312"/>
          <w:color w:val="auto"/>
          <w:sz w:val="24"/>
          <w:highlight w:val="none"/>
        </w:rPr>
        <w:t>报价一经涂改，应在涂改处加盖供应商公章或者由法定代表人或者委托代理人签字或者盖章</w:t>
      </w:r>
      <w:r>
        <w:rPr>
          <w:rFonts w:hint="eastAsia" w:ascii="宋体" w:hAnsi="宋体" w:cs="仿宋_GB2312"/>
          <w:b/>
          <w:color w:val="auto"/>
          <w:sz w:val="24"/>
          <w:highlight w:val="none"/>
        </w:rPr>
        <w:t>，否则其响应文件按无效响应处理。</w:t>
      </w:r>
    </w:p>
    <w:p w14:paraId="4107D529">
      <w:pPr>
        <w:pageBreakBefore w:val="0"/>
        <w:kinsoku/>
        <w:wordWrap/>
        <w:topLinePunct w:val="0"/>
        <w:bidi w:val="0"/>
        <w:spacing w:line="312" w:lineRule="auto"/>
        <w:ind w:firstLine="480" w:firstLineChars="200"/>
        <w:contextualSpacing/>
        <w:jc w:val="left"/>
        <w:rPr>
          <w:rFonts w:hint="eastAsia" w:ascii="宋体" w:hAnsi="宋体" w:cs="仿宋_GB2312"/>
          <w:color w:val="auto"/>
          <w:sz w:val="24"/>
          <w:highlight w:val="none"/>
        </w:rPr>
      </w:pPr>
      <w:r>
        <w:rPr>
          <w:rFonts w:ascii="宋体" w:hAnsi="宋体" w:cs="仿宋_GB2312"/>
          <w:color w:val="auto"/>
          <w:sz w:val="24"/>
          <w:highlight w:val="none"/>
        </w:rPr>
        <w:t>3</w:t>
      </w:r>
      <w:r>
        <w:rPr>
          <w:rFonts w:hint="eastAsia" w:ascii="宋体" w:hAnsi="宋体" w:cs="仿宋_GB2312"/>
          <w:color w:val="auto"/>
          <w:sz w:val="24"/>
          <w:highlight w:val="none"/>
        </w:rPr>
        <w:t>.如为联合体竞标，“供应商名称”处必须列明联合体各方名称，标注联合体牵头人名称，</w:t>
      </w:r>
      <w:r>
        <w:rPr>
          <w:rFonts w:hint="eastAsia" w:ascii="宋体" w:hAnsi="宋体" w:cs="仿宋_GB2312"/>
          <w:b/>
          <w:color w:val="auto"/>
          <w:sz w:val="24"/>
          <w:highlight w:val="none"/>
        </w:rPr>
        <w:t>否则其响应文件按无效响应处理。（采购人可根据项目情况自行修改是否需要联合体各方签字盖章）。</w:t>
      </w:r>
    </w:p>
    <w:p w14:paraId="7E58FE2F">
      <w:pPr>
        <w:pageBreakBefore w:val="0"/>
        <w:kinsoku/>
        <w:wordWrap/>
        <w:topLinePunct w:val="0"/>
        <w:bidi w:val="0"/>
        <w:spacing w:line="312" w:lineRule="auto"/>
        <w:ind w:firstLine="480" w:firstLineChars="200"/>
        <w:contextualSpacing/>
        <w:jc w:val="left"/>
        <w:rPr>
          <w:rFonts w:hint="eastAsia" w:ascii="宋体" w:hAnsi="宋体" w:cs="仿宋_GB2312"/>
          <w:color w:val="auto"/>
          <w:sz w:val="24"/>
          <w:highlight w:val="none"/>
        </w:rPr>
      </w:pPr>
      <w:r>
        <w:rPr>
          <w:rFonts w:ascii="宋体" w:hAnsi="宋体" w:cs="仿宋_GB2312"/>
          <w:color w:val="auto"/>
          <w:sz w:val="24"/>
          <w:highlight w:val="none"/>
        </w:rPr>
        <w:t>4</w:t>
      </w:r>
      <w:r>
        <w:rPr>
          <w:rFonts w:hint="eastAsia" w:ascii="宋体" w:hAnsi="宋体" w:cs="仿宋_GB2312"/>
          <w:color w:val="auto"/>
          <w:sz w:val="24"/>
          <w:highlight w:val="none"/>
        </w:rPr>
        <w:t>.如为联合体竞标，盖章处须加盖联合体各方公章，</w:t>
      </w:r>
      <w:bookmarkStart w:id="111" w:name="_Hlk65851776"/>
      <w:r>
        <w:rPr>
          <w:rFonts w:hint="eastAsia" w:ascii="宋体" w:hAnsi="宋体" w:cs="仿宋_GB2312"/>
          <w:b/>
          <w:color w:val="auto"/>
          <w:sz w:val="24"/>
          <w:highlight w:val="none"/>
        </w:rPr>
        <w:t>否则其响应文件按无效响应处理。</w:t>
      </w:r>
      <w:bookmarkEnd w:id="111"/>
      <w:r>
        <w:rPr>
          <w:rFonts w:hint="eastAsia" w:ascii="宋体" w:hAnsi="宋体" w:cs="仿宋_GB2312"/>
          <w:b/>
          <w:color w:val="auto"/>
          <w:sz w:val="24"/>
          <w:highlight w:val="none"/>
        </w:rPr>
        <w:t>（采购人可根据项目情况自行修改是否需要联合体各方签字盖章）。</w:t>
      </w:r>
    </w:p>
    <w:p w14:paraId="4557FC47">
      <w:pPr>
        <w:pageBreakBefore w:val="0"/>
        <w:kinsoku/>
        <w:wordWrap/>
        <w:topLinePunct w:val="0"/>
        <w:bidi w:val="0"/>
        <w:spacing w:afterAutospacing="0" w:line="312" w:lineRule="auto"/>
        <w:ind w:firstLine="480" w:firstLineChars="200"/>
        <w:contextualSpacing/>
        <w:rPr>
          <w:rFonts w:hint="eastAsia" w:ascii="宋体" w:hAnsi="宋体" w:cs="仿宋_GB2312"/>
          <w:b/>
          <w:color w:val="auto"/>
          <w:spacing w:val="-6"/>
          <w:sz w:val="24"/>
          <w:highlight w:val="none"/>
        </w:rPr>
      </w:pPr>
      <w:r>
        <w:rPr>
          <w:rFonts w:ascii="宋体" w:hAnsi="宋体" w:cs="仿宋_GB2312"/>
          <w:color w:val="auto"/>
          <w:sz w:val="24"/>
          <w:highlight w:val="none"/>
        </w:rPr>
        <w:t>5</w:t>
      </w:r>
      <w:r>
        <w:rPr>
          <w:rFonts w:hint="eastAsia" w:ascii="宋体" w:hAnsi="宋体" w:cs="仿宋_GB2312"/>
          <w:color w:val="auto"/>
          <w:sz w:val="24"/>
          <w:highlight w:val="none"/>
        </w:rPr>
        <w:t>.</w:t>
      </w:r>
      <w:r>
        <w:rPr>
          <w:rFonts w:hint="eastAsia" w:ascii="宋体" w:hAnsi="宋体" w:cs="仿宋_GB2312"/>
          <w:color w:val="auto"/>
          <w:spacing w:val="-6"/>
          <w:sz w:val="24"/>
          <w:highlight w:val="none"/>
        </w:rPr>
        <w:t>如有多分标，分别列明各分标的报价表，</w:t>
      </w:r>
      <w:r>
        <w:rPr>
          <w:rFonts w:hint="eastAsia" w:ascii="宋体" w:hAnsi="宋体" w:cs="仿宋_GB2312"/>
          <w:b/>
          <w:color w:val="auto"/>
          <w:spacing w:val="-6"/>
          <w:sz w:val="24"/>
          <w:highlight w:val="none"/>
        </w:rPr>
        <w:t>否则其响应文件按无效响应处理。</w:t>
      </w:r>
    </w:p>
    <w:p w14:paraId="6FF073A5">
      <w:pPr>
        <w:pStyle w:val="78"/>
        <w:spacing w:before="0" w:beforeAutospacing="0" w:after="0" w:afterAutospacing="0"/>
        <w:rPr>
          <w:rFonts w:hint="eastAsia"/>
        </w:rPr>
      </w:pPr>
    </w:p>
    <w:p w14:paraId="5602741F">
      <w:pPr>
        <w:pageBreakBefore w:val="0"/>
        <w:kinsoku/>
        <w:wordWrap/>
        <w:topLinePunct w:val="0"/>
        <w:bidi w:val="0"/>
        <w:spacing w:beforeAutospacing="0" w:line="312" w:lineRule="auto"/>
        <w:ind w:right="-817" w:rightChars="-389" w:firstLine="1200" w:firstLineChars="500"/>
        <w:contextualSpacing/>
        <w:rPr>
          <w:rFonts w:hint="eastAsia" w:ascii="宋体" w:hAnsi="宋体" w:cs="仿宋_GB2312"/>
          <w:color w:val="auto"/>
          <w:sz w:val="24"/>
          <w:highlight w:val="none"/>
        </w:rPr>
      </w:pPr>
      <w:r>
        <w:rPr>
          <w:rFonts w:hint="eastAsia" w:ascii="宋体" w:hAnsi="宋体" w:cs="仿宋_GB2312"/>
          <w:color w:val="auto"/>
          <w:sz w:val="24"/>
          <w:highlight w:val="none"/>
        </w:rPr>
        <w:t>法定代表人或者委托代理人（</w:t>
      </w:r>
      <w:r>
        <w:rPr>
          <w:rFonts w:hint="eastAsia" w:ascii="宋体" w:hAnsi="宋体"/>
          <w:color w:val="auto"/>
          <w:sz w:val="24"/>
          <w:highlight w:val="none"/>
          <w:lang w:val="en-US" w:eastAsia="zh-CN"/>
        </w:rPr>
        <w:t>签字或电子签名</w:t>
      </w:r>
      <w:r>
        <w:rPr>
          <w:rFonts w:hint="eastAsia" w:ascii="宋体" w:hAnsi="宋体" w:cs="仿宋_GB2312"/>
          <w:color w:val="auto"/>
          <w:sz w:val="24"/>
          <w:highlight w:val="none"/>
        </w:rPr>
        <w:t>）：</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 xml:space="preserve">        </w:t>
      </w:r>
    </w:p>
    <w:p w14:paraId="1C85C0BF">
      <w:pPr>
        <w:pageBreakBefore w:val="0"/>
        <w:kinsoku/>
        <w:wordWrap/>
        <w:topLinePunct w:val="0"/>
        <w:bidi w:val="0"/>
        <w:spacing w:line="312" w:lineRule="auto"/>
        <w:ind w:left="0" w:leftChars="0" w:right="-817" w:rightChars="-389" w:firstLine="4029" w:firstLineChars="1679"/>
        <w:contextualSpacing/>
        <w:rPr>
          <w:rFonts w:hint="eastAsia" w:ascii="宋体" w:hAnsi="宋体" w:cs="仿宋_GB2312"/>
          <w:color w:val="auto"/>
          <w:sz w:val="24"/>
          <w:highlight w:val="none"/>
          <w:u w:val="single"/>
        </w:rPr>
      </w:pPr>
      <w:r>
        <w:rPr>
          <w:rFonts w:hint="eastAsia" w:ascii="宋体" w:hAnsi="宋体" w:cs="仿宋_GB2312"/>
          <w:color w:val="auto"/>
          <w:sz w:val="24"/>
          <w:highlight w:val="none"/>
        </w:rPr>
        <w:t>供应商（</w:t>
      </w:r>
      <w:r>
        <w:rPr>
          <w:rFonts w:hint="eastAsia" w:ascii="宋体" w:hAnsi="宋体"/>
          <w:color w:val="auto"/>
          <w:spacing w:val="6"/>
          <w:sz w:val="24"/>
          <w:highlight w:val="none"/>
          <w:lang w:val="en-US" w:eastAsia="zh-CN"/>
        </w:rPr>
        <w:t>电子签章</w:t>
      </w:r>
      <w:r>
        <w:rPr>
          <w:rFonts w:hint="eastAsia" w:ascii="宋体" w:hAnsi="宋体" w:cs="仿宋_GB2312"/>
          <w:color w:val="auto"/>
          <w:sz w:val="24"/>
          <w:highlight w:val="none"/>
        </w:rPr>
        <w:t xml:space="preserve">）： </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u w:val="single"/>
          <w:lang w:val="en-US" w:eastAsia="zh-CN"/>
        </w:rPr>
        <w:t xml:space="preserve">      </w:t>
      </w:r>
      <w:r>
        <w:rPr>
          <w:rFonts w:hint="eastAsia" w:ascii="宋体" w:hAnsi="宋体" w:cs="仿宋_GB2312"/>
          <w:color w:val="auto"/>
          <w:sz w:val="24"/>
          <w:highlight w:val="none"/>
          <w:u w:val="single"/>
        </w:rPr>
        <w:t xml:space="preserve"> </w:t>
      </w:r>
    </w:p>
    <w:p w14:paraId="7C3448D9">
      <w:pPr>
        <w:pageBreakBefore w:val="0"/>
        <w:kinsoku/>
        <w:wordWrap/>
        <w:topLinePunct w:val="0"/>
        <w:bidi w:val="0"/>
        <w:spacing w:line="312" w:lineRule="auto"/>
        <w:ind w:right="-817" w:rightChars="-389" w:firstLine="5760" w:firstLineChars="2400"/>
        <w:contextualSpacing/>
        <w:rPr>
          <w:rFonts w:hint="eastAsia" w:ascii="宋体" w:hAnsi="宋体" w:cs="仿宋_GB2312"/>
          <w:color w:val="auto"/>
          <w:sz w:val="24"/>
          <w:highlight w:val="none"/>
        </w:rPr>
      </w:pPr>
      <w:r>
        <w:rPr>
          <w:rFonts w:hint="eastAsia" w:ascii="宋体" w:hAnsi="宋体" w:cs="仿宋_GB2312"/>
          <w:color w:val="auto"/>
          <w:sz w:val="24"/>
          <w:highlight w:val="none"/>
        </w:rPr>
        <w:t>日期：   年   月   日</w:t>
      </w:r>
    </w:p>
    <w:p w14:paraId="55E8F08E">
      <w:pPr>
        <w:pageBreakBefore w:val="0"/>
        <w:kinsoku/>
        <w:wordWrap/>
        <w:topLinePunct w:val="0"/>
        <w:bidi w:val="0"/>
        <w:spacing w:line="312" w:lineRule="auto"/>
        <w:rPr>
          <w:rFonts w:hint="eastAsia" w:ascii="宋体" w:hAnsi="宋体"/>
          <w:b/>
          <w:bCs/>
          <w:color w:val="auto"/>
          <w:sz w:val="24"/>
          <w:highlight w:val="none"/>
        </w:rPr>
      </w:pPr>
    </w:p>
    <w:p w14:paraId="01188CFA">
      <w:pPr>
        <w:pageBreakBefore w:val="0"/>
        <w:kinsoku/>
        <w:wordWrap/>
        <w:topLinePunct w:val="0"/>
        <w:bidi w:val="0"/>
        <w:snapToGrid w:val="0"/>
        <w:spacing w:before="120" w:beforeLines="50" w:after="50" w:line="312" w:lineRule="auto"/>
        <w:ind w:right="480" w:rightChars="0"/>
        <w:jc w:val="left"/>
        <w:outlineLvl w:val="0"/>
        <w:rPr>
          <w:rFonts w:hint="eastAsia" w:ascii="宋体" w:hAnsi="宋体"/>
          <w:b/>
          <w:bCs/>
          <w:color w:val="auto"/>
          <w:sz w:val="32"/>
          <w:szCs w:val="32"/>
          <w:highlight w:val="none"/>
          <w:lang w:val="en-US" w:eastAsia="zh-CN"/>
        </w:rPr>
      </w:pPr>
      <w:bookmarkStart w:id="112" w:name="_Toc7614"/>
    </w:p>
    <w:p w14:paraId="60A2B2E1">
      <w:pPr>
        <w:pageBreakBefore w:val="0"/>
        <w:kinsoku/>
        <w:wordWrap/>
        <w:topLinePunct w:val="0"/>
        <w:bidi w:val="0"/>
        <w:snapToGrid w:val="0"/>
        <w:spacing w:before="120" w:beforeLines="50" w:after="50" w:line="312" w:lineRule="auto"/>
        <w:ind w:right="480" w:rightChars="0"/>
        <w:jc w:val="left"/>
        <w:outlineLvl w:val="0"/>
        <w:rPr>
          <w:rFonts w:hint="eastAsia" w:ascii="宋体" w:hAnsi="宋体"/>
          <w:b/>
          <w:color w:val="auto"/>
          <w:sz w:val="32"/>
          <w:szCs w:val="32"/>
          <w:highlight w:val="none"/>
        </w:rPr>
      </w:pPr>
      <w:r>
        <w:rPr>
          <w:rFonts w:hint="eastAsia" w:ascii="宋体" w:hAnsi="宋体"/>
          <w:b/>
          <w:bCs/>
          <w:color w:val="auto"/>
          <w:sz w:val="32"/>
          <w:szCs w:val="32"/>
          <w:highlight w:val="none"/>
          <w:lang w:val="en-US" w:eastAsia="zh-CN"/>
        </w:rPr>
        <w:t>三</w:t>
      </w:r>
      <w:r>
        <w:rPr>
          <w:rFonts w:hint="eastAsia" w:ascii="宋体" w:hAnsi="宋体"/>
          <w:b/>
          <w:bCs/>
          <w:color w:val="auto"/>
          <w:sz w:val="32"/>
          <w:szCs w:val="32"/>
          <w:highlight w:val="none"/>
        </w:rPr>
        <w:t>、</w:t>
      </w:r>
      <w:r>
        <w:rPr>
          <w:rFonts w:hint="eastAsia" w:ascii="宋体" w:hAnsi="宋体"/>
          <w:b/>
          <w:color w:val="auto"/>
          <w:sz w:val="32"/>
          <w:szCs w:val="32"/>
          <w:highlight w:val="none"/>
        </w:rPr>
        <w:t>商务技术文件格式</w:t>
      </w:r>
      <w:bookmarkEnd w:id="112"/>
    </w:p>
    <w:p w14:paraId="186A5F51">
      <w:pPr>
        <w:pageBreakBefore w:val="0"/>
        <w:kinsoku/>
        <w:wordWrap/>
        <w:topLinePunct w:val="0"/>
        <w:bidi w:val="0"/>
        <w:snapToGrid w:val="0"/>
        <w:spacing w:before="120" w:beforeLines="50" w:after="0" w:afterLines="0" w:line="312" w:lineRule="auto"/>
        <w:jc w:val="left"/>
        <w:outlineLvl w:val="1"/>
        <w:rPr>
          <w:rFonts w:ascii="宋体" w:hAnsi="宋体"/>
          <w:b/>
          <w:color w:val="auto"/>
          <w:sz w:val="32"/>
          <w:szCs w:val="32"/>
          <w:highlight w:val="none"/>
        </w:rPr>
      </w:pPr>
      <w:r>
        <w:rPr>
          <w:rFonts w:hint="eastAsia" w:ascii="宋体" w:hAnsi="宋体"/>
          <w:b/>
          <w:color w:val="auto"/>
          <w:sz w:val="32"/>
          <w:szCs w:val="32"/>
          <w:highlight w:val="none"/>
        </w:rPr>
        <w:t>1.商务技术文件封面格式</w:t>
      </w:r>
    </w:p>
    <w:p w14:paraId="23B25CDD">
      <w:pPr>
        <w:pageBreakBefore w:val="0"/>
        <w:kinsoku/>
        <w:wordWrap/>
        <w:topLinePunct w:val="0"/>
        <w:bidi w:val="0"/>
        <w:snapToGrid w:val="0"/>
        <w:spacing w:before="0" w:beforeLines="0" w:after="50" w:line="312" w:lineRule="auto"/>
        <w:rPr>
          <w:rFonts w:hint="eastAsia" w:ascii="宋体" w:hAnsi="宋体"/>
          <w:bCs/>
          <w:color w:val="auto"/>
          <w:sz w:val="32"/>
          <w:szCs w:val="20"/>
          <w:highlight w:val="none"/>
        </w:rPr>
      </w:pPr>
      <w:r>
        <w:rPr>
          <w:rFonts w:hint="eastAsia" w:ascii="宋体" w:hAnsi="宋体"/>
          <w:color w:val="auto"/>
          <w:sz w:val="24"/>
          <w:highlight w:val="none"/>
        </w:rPr>
        <w:t xml:space="preserve">                                                    </w:t>
      </w:r>
    </w:p>
    <w:p w14:paraId="326142CB">
      <w:pPr>
        <w:pageBreakBefore w:val="0"/>
        <w:kinsoku/>
        <w:wordWrap/>
        <w:topLinePunct w:val="0"/>
        <w:bidi w:val="0"/>
        <w:snapToGrid w:val="0"/>
        <w:spacing w:before="120" w:beforeLines="50" w:after="50" w:line="312" w:lineRule="auto"/>
        <w:rPr>
          <w:rFonts w:hint="eastAsia" w:ascii="宋体" w:hAnsi="宋体"/>
          <w:color w:val="auto"/>
          <w:sz w:val="24"/>
          <w:szCs w:val="20"/>
          <w:highlight w:val="none"/>
        </w:rPr>
      </w:pPr>
    </w:p>
    <w:p w14:paraId="2B781C84">
      <w:pPr>
        <w:pageBreakBefore w:val="0"/>
        <w:kinsoku/>
        <w:wordWrap/>
        <w:topLinePunct w:val="0"/>
        <w:bidi w:val="0"/>
        <w:snapToGrid w:val="0"/>
        <w:spacing w:before="120" w:beforeLines="50" w:after="50" w:line="312" w:lineRule="auto"/>
        <w:rPr>
          <w:rFonts w:hint="eastAsia" w:ascii="宋体" w:hAnsi="宋体"/>
          <w:color w:val="auto"/>
          <w:sz w:val="24"/>
          <w:szCs w:val="20"/>
          <w:highlight w:val="none"/>
        </w:rPr>
      </w:pPr>
    </w:p>
    <w:p w14:paraId="035AFEB7">
      <w:pPr>
        <w:pageBreakBefore w:val="0"/>
        <w:kinsoku/>
        <w:wordWrap/>
        <w:topLinePunct w:val="0"/>
        <w:bidi w:val="0"/>
        <w:snapToGrid w:val="0"/>
        <w:spacing w:before="120" w:beforeLines="50" w:after="0" w:afterLines="0" w:line="312" w:lineRule="auto"/>
        <w:rPr>
          <w:rFonts w:hint="eastAsia" w:ascii="宋体" w:hAnsi="宋体"/>
          <w:color w:val="auto"/>
          <w:sz w:val="24"/>
          <w:szCs w:val="20"/>
          <w:highlight w:val="none"/>
        </w:rPr>
      </w:pPr>
    </w:p>
    <w:p w14:paraId="030B00BF">
      <w:pPr>
        <w:pageBreakBefore w:val="0"/>
        <w:kinsoku/>
        <w:wordWrap/>
        <w:topLinePunct w:val="0"/>
        <w:bidi w:val="0"/>
        <w:snapToGrid w:val="0"/>
        <w:spacing w:before="0" w:beforeLines="0" w:after="0" w:afterLines="0" w:line="312" w:lineRule="auto"/>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商  务  技  术  文  件</w:t>
      </w:r>
    </w:p>
    <w:p w14:paraId="242D2D5B">
      <w:pPr>
        <w:pageBreakBefore w:val="0"/>
        <w:kinsoku/>
        <w:wordWrap/>
        <w:topLinePunct w:val="0"/>
        <w:bidi w:val="0"/>
        <w:snapToGrid w:val="0"/>
        <w:spacing w:before="0" w:beforeLines="0" w:after="50" w:line="312" w:lineRule="auto"/>
        <w:rPr>
          <w:rFonts w:hint="eastAsia" w:ascii="宋体" w:hAnsi="宋体"/>
          <w:bCs/>
          <w:color w:val="auto"/>
          <w:sz w:val="24"/>
          <w:szCs w:val="20"/>
          <w:highlight w:val="none"/>
        </w:rPr>
      </w:pPr>
    </w:p>
    <w:p w14:paraId="4218C42B">
      <w:pPr>
        <w:pageBreakBefore w:val="0"/>
        <w:kinsoku/>
        <w:wordWrap/>
        <w:topLinePunct w:val="0"/>
        <w:bidi w:val="0"/>
        <w:snapToGrid w:val="0"/>
        <w:spacing w:before="120" w:beforeLines="50" w:after="50" w:line="312" w:lineRule="auto"/>
        <w:rPr>
          <w:rFonts w:hint="eastAsia" w:ascii="宋体" w:hAnsi="宋体"/>
          <w:bCs/>
          <w:color w:val="auto"/>
          <w:sz w:val="24"/>
          <w:szCs w:val="20"/>
          <w:highlight w:val="none"/>
        </w:rPr>
      </w:pPr>
    </w:p>
    <w:p w14:paraId="5CD8E560">
      <w:pPr>
        <w:pageBreakBefore w:val="0"/>
        <w:kinsoku/>
        <w:wordWrap/>
        <w:topLinePunct w:val="0"/>
        <w:bidi w:val="0"/>
        <w:snapToGrid w:val="0"/>
        <w:spacing w:before="120" w:beforeLines="50" w:after="50" w:line="312" w:lineRule="auto"/>
        <w:rPr>
          <w:rFonts w:hint="eastAsia" w:ascii="宋体" w:hAnsi="宋体"/>
          <w:bCs/>
          <w:color w:val="auto"/>
          <w:sz w:val="24"/>
          <w:szCs w:val="20"/>
          <w:highlight w:val="none"/>
        </w:rPr>
      </w:pPr>
    </w:p>
    <w:p w14:paraId="0DF8A40A">
      <w:pPr>
        <w:pageBreakBefore w:val="0"/>
        <w:kinsoku/>
        <w:wordWrap/>
        <w:topLinePunct w:val="0"/>
        <w:bidi w:val="0"/>
        <w:snapToGrid w:val="0"/>
        <w:spacing w:before="120" w:beforeLines="50" w:after="50" w:line="312" w:lineRule="auto"/>
        <w:rPr>
          <w:rFonts w:hint="eastAsia" w:ascii="宋体" w:hAnsi="宋体"/>
          <w:bCs/>
          <w:color w:val="auto"/>
          <w:sz w:val="24"/>
          <w:szCs w:val="20"/>
          <w:highlight w:val="none"/>
        </w:rPr>
      </w:pPr>
    </w:p>
    <w:p w14:paraId="15310D59">
      <w:pPr>
        <w:pageBreakBefore w:val="0"/>
        <w:kinsoku/>
        <w:wordWrap/>
        <w:topLinePunct w:val="0"/>
        <w:bidi w:val="0"/>
        <w:snapToGrid w:val="0"/>
        <w:spacing w:before="120" w:beforeLines="50" w:after="50" w:line="312" w:lineRule="auto"/>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2F7BA875">
      <w:pPr>
        <w:pageBreakBefore w:val="0"/>
        <w:kinsoku/>
        <w:wordWrap/>
        <w:topLinePunct w:val="0"/>
        <w:bidi w:val="0"/>
        <w:snapToGrid w:val="0"/>
        <w:spacing w:before="120" w:beforeLines="50" w:after="50" w:line="312" w:lineRule="auto"/>
        <w:ind w:firstLine="720" w:firstLineChars="225"/>
        <w:rPr>
          <w:rFonts w:hint="eastAsia" w:ascii="宋体" w:hAnsi="宋体" w:cs="仿宋_GB2312"/>
          <w:bCs/>
          <w:color w:val="auto"/>
          <w:sz w:val="32"/>
          <w:szCs w:val="32"/>
          <w:highlight w:val="none"/>
        </w:rPr>
      </w:pPr>
    </w:p>
    <w:p w14:paraId="543A119A">
      <w:pPr>
        <w:pageBreakBefore w:val="0"/>
        <w:kinsoku/>
        <w:wordWrap/>
        <w:topLinePunct w:val="0"/>
        <w:bidi w:val="0"/>
        <w:snapToGrid w:val="0"/>
        <w:spacing w:before="120" w:beforeLines="50" w:after="50" w:line="312" w:lineRule="auto"/>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66B768BA">
      <w:pPr>
        <w:pageBreakBefore w:val="0"/>
        <w:kinsoku/>
        <w:wordWrap/>
        <w:topLinePunct w:val="0"/>
        <w:bidi w:val="0"/>
        <w:snapToGrid w:val="0"/>
        <w:spacing w:before="120" w:beforeLines="50" w:after="50" w:line="312" w:lineRule="auto"/>
        <w:ind w:firstLine="720" w:firstLineChars="225"/>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 xml:space="preserve"> </w:t>
      </w:r>
    </w:p>
    <w:p w14:paraId="21671AF2">
      <w:pPr>
        <w:pageBreakBefore w:val="0"/>
        <w:kinsoku/>
        <w:wordWrap/>
        <w:topLinePunct w:val="0"/>
        <w:bidi w:val="0"/>
        <w:snapToGrid w:val="0"/>
        <w:spacing w:before="120" w:beforeLines="50" w:after="0" w:afterLines="0" w:line="312" w:lineRule="auto"/>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34F03413">
      <w:pPr>
        <w:pageBreakBefore w:val="0"/>
        <w:kinsoku/>
        <w:wordWrap/>
        <w:topLinePunct w:val="0"/>
        <w:bidi w:val="0"/>
        <w:snapToGrid w:val="0"/>
        <w:spacing w:before="0" w:beforeLines="0" w:after="50" w:line="312" w:lineRule="auto"/>
        <w:ind w:firstLine="720" w:firstLineChars="225"/>
        <w:rPr>
          <w:rFonts w:hint="eastAsia" w:ascii="宋体" w:hAnsi="宋体" w:cs="仿宋_GB2312"/>
          <w:bCs/>
          <w:color w:val="auto"/>
          <w:sz w:val="32"/>
          <w:szCs w:val="32"/>
          <w:highlight w:val="none"/>
        </w:rPr>
      </w:pPr>
    </w:p>
    <w:p w14:paraId="0B8C9C52">
      <w:pPr>
        <w:pStyle w:val="7"/>
        <w:pageBreakBefore w:val="0"/>
        <w:kinsoku/>
        <w:wordWrap/>
        <w:topLinePunct w:val="0"/>
        <w:bidi w:val="0"/>
        <w:snapToGrid w:val="0"/>
        <w:spacing w:before="50" w:after="0" w:afterLines="0" w:line="312" w:lineRule="auto"/>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4A53C95B">
      <w:pPr>
        <w:pStyle w:val="7"/>
        <w:pageBreakBefore w:val="0"/>
        <w:kinsoku/>
        <w:wordWrap/>
        <w:topLinePunct w:val="0"/>
        <w:bidi w:val="0"/>
        <w:snapToGrid w:val="0"/>
        <w:spacing w:before="0" w:beforeLines="0" w:after="0" w:afterLines="0" w:line="312" w:lineRule="auto"/>
        <w:ind w:firstLine="720" w:firstLineChars="225"/>
        <w:rPr>
          <w:rFonts w:hint="eastAsia" w:ascii="宋体" w:hAnsi="宋体" w:cs="仿宋_GB2312"/>
          <w:bCs/>
          <w:color w:val="auto"/>
          <w:sz w:val="32"/>
          <w:szCs w:val="32"/>
          <w:highlight w:val="none"/>
        </w:rPr>
      </w:pPr>
    </w:p>
    <w:p w14:paraId="48D854AD">
      <w:pPr>
        <w:pStyle w:val="7"/>
        <w:pageBreakBefore w:val="0"/>
        <w:kinsoku/>
        <w:wordWrap/>
        <w:topLinePunct w:val="0"/>
        <w:bidi w:val="0"/>
        <w:snapToGrid w:val="0"/>
        <w:spacing w:before="0" w:beforeLines="0" w:after="0" w:afterLines="0" w:line="312" w:lineRule="auto"/>
        <w:ind w:firstLine="1280" w:firstLineChars="400"/>
        <w:rPr>
          <w:rFonts w:hint="eastAsia" w:ascii="宋体" w:hAnsi="宋体" w:cs="仿宋_GB2312"/>
          <w:bCs/>
          <w:color w:val="auto"/>
          <w:sz w:val="32"/>
          <w:szCs w:val="32"/>
          <w:highlight w:val="none"/>
        </w:rPr>
      </w:pPr>
    </w:p>
    <w:p w14:paraId="4519A578">
      <w:pPr>
        <w:pageBreakBefore w:val="0"/>
        <w:kinsoku/>
        <w:wordWrap/>
        <w:topLinePunct w:val="0"/>
        <w:bidi w:val="0"/>
        <w:snapToGrid/>
        <w:spacing w:before="240" w:beforeLines="100" w:after="120" w:afterLines="50" w:afterAutospacing="0" w:line="312" w:lineRule="auto"/>
        <w:ind w:left="540"/>
        <w:jc w:val="center"/>
        <w:rPr>
          <w:rFonts w:hint="eastAsia" w:ascii="宋体" w:hAnsi="宋体"/>
          <w:b/>
          <w:bCs/>
          <w:color w:val="auto"/>
          <w:sz w:val="32"/>
          <w:szCs w:val="32"/>
          <w:highlight w:val="none"/>
        </w:rPr>
      </w:pPr>
      <w:r>
        <w:rPr>
          <w:rFonts w:hint="eastAsia" w:ascii="宋体" w:hAnsi="宋体" w:cs="仿宋_GB2312"/>
          <w:color w:val="auto"/>
          <w:sz w:val="32"/>
          <w:szCs w:val="32"/>
          <w:highlight w:val="none"/>
        </w:rPr>
        <w:t>年    月    日</w:t>
      </w:r>
    </w:p>
    <w:p w14:paraId="536F9181">
      <w:pPr>
        <w:pageBreakBefore w:val="0"/>
        <w:kinsoku/>
        <w:wordWrap/>
        <w:topLinePunct w:val="0"/>
        <w:bidi w:val="0"/>
        <w:snapToGrid w:val="0"/>
        <w:spacing w:before="120" w:beforeLines="50" w:afterAutospacing="0" w:line="312" w:lineRule="auto"/>
        <w:jc w:val="left"/>
        <w:rPr>
          <w:rFonts w:hint="eastAsia" w:ascii="宋体" w:hAnsi="宋体"/>
          <w:b/>
          <w:bCs/>
          <w:color w:val="auto"/>
          <w:sz w:val="32"/>
          <w:szCs w:val="32"/>
          <w:highlight w:val="none"/>
        </w:rPr>
      </w:pPr>
    </w:p>
    <w:p w14:paraId="5E041FB4">
      <w:pPr>
        <w:pageBreakBefore w:val="0"/>
        <w:kinsoku/>
        <w:wordWrap/>
        <w:topLinePunct w:val="0"/>
        <w:bidi w:val="0"/>
        <w:snapToGrid w:val="0"/>
        <w:spacing w:before="120" w:beforeLines="50" w:afterAutospacing="0" w:line="312" w:lineRule="auto"/>
        <w:jc w:val="left"/>
        <w:outlineLvl w:val="1"/>
        <w:rPr>
          <w:rFonts w:hint="eastAsia" w:ascii="宋体" w:hAnsi="宋体"/>
          <w:b/>
          <w:bCs/>
          <w:color w:val="auto"/>
          <w:sz w:val="24"/>
          <w:highlight w:val="none"/>
        </w:rPr>
      </w:pPr>
      <w:r>
        <w:rPr>
          <w:rFonts w:hint="eastAsia" w:ascii="宋体" w:hAnsi="宋体"/>
          <w:b/>
          <w:bCs/>
          <w:color w:val="auto"/>
          <w:sz w:val="32"/>
          <w:szCs w:val="32"/>
          <w:highlight w:val="none"/>
        </w:rPr>
        <w:t>2.商务技术文件目录</w:t>
      </w:r>
    </w:p>
    <w:p w14:paraId="284B4516">
      <w:pPr>
        <w:pageBreakBefore w:val="0"/>
        <w:kinsoku/>
        <w:wordWrap/>
        <w:topLinePunct w:val="0"/>
        <w:bidi w:val="0"/>
        <w:spacing w:line="312" w:lineRule="auto"/>
        <w:ind w:firstLine="640" w:firstLineChars="200"/>
        <w:contextualSpacing/>
        <w:jc w:val="left"/>
        <w:rPr>
          <w:rFonts w:hint="eastAsia" w:ascii="仿宋_GB2312" w:hAnsi="仿宋_GB2312" w:eastAsia="仿宋_GB2312" w:cs="仿宋_GB2312"/>
          <w:b/>
          <w:color w:val="auto"/>
          <w:sz w:val="32"/>
          <w:szCs w:val="32"/>
          <w:highlight w:val="none"/>
        </w:rPr>
      </w:pPr>
      <w:r>
        <w:rPr>
          <w:rFonts w:hint="eastAsia" w:ascii="宋体" w:hAnsi="宋体"/>
          <w:color w:val="auto"/>
          <w:sz w:val="32"/>
          <w:szCs w:val="32"/>
          <w:highlight w:val="none"/>
        </w:rPr>
        <w:t>根据磋商文件规定及供应商提供的材料自行编写目录（部分格式后</w:t>
      </w:r>
    </w:p>
    <w:p w14:paraId="14CD8276">
      <w:pPr>
        <w:pageBreakBefore w:val="0"/>
        <w:kinsoku/>
        <w:wordWrap/>
        <w:topLinePunct w:val="0"/>
        <w:bidi w:val="0"/>
        <w:adjustRightInd w:val="0"/>
        <w:snapToGrid w:val="0"/>
        <w:spacing w:line="312" w:lineRule="auto"/>
        <w:jc w:val="left"/>
        <w:rPr>
          <w:rFonts w:hint="eastAsia" w:ascii="宋体" w:hAnsi="宋体"/>
          <w:b/>
          <w:color w:val="auto"/>
          <w:szCs w:val="21"/>
          <w:highlight w:val="none"/>
        </w:rPr>
      </w:pPr>
    </w:p>
    <w:p w14:paraId="4A0879F8">
      <w:pPr>
        <w:pageBreakBefore w:val="0"/>
        <w:kinsoku/>
        <w:wordWrap/>
        <w:topLinePunct w:val="0"/>
        <w:bidi w:val="0"/>
        <w:spacing w:line="312" w:lineRule="auto"/>
        <w:jc w:val="center"/>
        <w:rPr>
          <w:rFonts w:hint="eastAsia" w:ascii="方正小标宋简体" w:hAnsi="方正小标宋简体" w:eastAsia="方正小标宋简体" w:cs="方正小标宋简体"/>
          <w:color w:val="auto"/>
          <w:sz w:val="44"/>
          <w:szCs w:val="44"/>
          <w:highlight w:val="none"/>
        </w:rPr>
        <w:sectPr>
          <w:footerReference r:id="rId10" w:type="first"/>
          <w:footerReference r:id="rId9" w:type="default"/>
          <w:pgSz w:w="11906" w:h="16838"/>
          <w:pgMar w:top="1440" w:right="1440" w:bottom="1440" w:left="1587" w:header="851" w:footer="992" w:gutter="0"/>
          <w:pgNumType w:fmt="decimal"/>
          <w:cols w:space="720" w:num="1"/>
          <w:titlePg/>
          <w:docGrid w:type="lines" w:linePitch="312" w:charSpace="0"/>
        </w:sectPr>
      </w:pPr>
      <w:r>
        <w:rPr>
          <w:rFonts w:hint="eastAsia" w:ascii="方正小标宋简体" w:hAnsi="方正小标宋简体" w:eastAsia="方正小标宋简体" w:cs="方正小标宋简体"/>
          <w:color w:val="auto"/>
          <w:sz w:val="44"/>
          <w:szCs w:val="44"/>
          <w:highlight w:val="none"/>
        </w:rPr>
        <w:br w:type="page"/>
      </w:r>
    </w:p>
    <w:p w14:paraId="08D2E3C0">
      <w:pPr>
        <w:pageBreakBefore w:val="0"/>
        <w:kinsoku/>
        <w:wordWrap/>
        <w:topLinePunct w:val="0"/>
        <w:bidi w:val="0"/>
        <w:spacing w:line="312" w:lineRule="auto"/>
        <w:jc w:val="center"/>
        <w:outlineLvl w:val="2"/>
        <w:rPr>
          <w:rFonts w:hint="eastAsia" w:ascii="仿宋_GB2312" w:hAnsi="仿宋_GB2312" w:eastAsia="仿宋_GB2312" w:cs="仿宋_GB2312"/>
          <w:color w:val="auto"/>
          <w:sz w:val="32"/>
          <w:szCs w:val="32"/>
          <w:highlight w:val="none"/>
        </w:rPr>
      </w:pPr>
      <w:r>
        <w:rPr>
          <w:rFonts w:hint="eastAsia" w:ascii="方正小标宋简体" w:hAnsi="方正小标宋简体" w:eastAsia="方正小标宋简体" w:cs="方正小标宋简体"/>
          <w:color w:val="auto"/>
          <w:sz w:val="44"/>
          <w:szCs w:val="44"/>
          <w:highlight w:val="none"/>
        </w:rPr>
        <w:t>无串通竞标行为的承诺函</w:t>
      </w:r>
    </w:p>
    <w:p w14:paraId="32183C5A">
      <w:pPr>
        <w:pageBreakBefore w:val="0"/>
        <w:kinsoku/>
        <w:wordWrap/>
        <w:topLinePunct w:val="0"/>
        <w:bidi w:val="0"/>
        <w:spacing w:line="312" w:lineRule="auto"/>
        <w:ind w:firstLine="640" w:firstLineChars="200"/>
        <w:contextualSpacing/>
        <w:rPr>
          <w:rFonts w:hint="eastAsia" w:ascii="仿宋_GB2312" w:hAnsi="仿宋_GB2312" w:eastAsia="仿宋_GB2312" w:cs="仿宋_GB2312"/>
          <w:color w:val="auto"/>
          <w:sz w:val="32"/>
          <w:szCs w:val="32"/>
          <w:highlight w:val="none"/>
        </w:rPr>
      </w:pPr>
    </w:p>
    <w:p w14:paraId="3234C4C4">
      <w:pPr>
        <w:pageBreakBefore w:val="0"/>
        <w:kinsoku/>
        <w:wordWrap/>
        <w:topLinePunct w:val="0"/>
        <w:bidi w:val="0"/>
        <w:spacing w:line="312" w:lineRule="auto"/>
        <w:ind w:firstLine="482" w:firstLineChars="200"/>
        <w:contextualSpacing/>
        <w:outlineLvl w:val="2"/>
        <w:rPr>
          <w:rFonts w:hint="eastAsia" w:ascii="宋体" w:hAnsi="宋体" w:cs="仿宋_GB2312"/>
          <w:b/>
          <w:bCs/>
          <w:color w:val="auto"/>
          <w:sz w:val="24"/>
          <w:highlight w:val="none"/>
        </w:rPr>
      </w:pPr>
      <w:r>
        <w:rPr>
          <w:rFonts w:hint="eastAsia" w:ascii="宋体" w:hAnsi="宋体" w:cs="仿宋_GB2312"/>
          <w:b/>
          <w:bCs/>
          <w:color w:val="auto"/>
          <w:sz w:val="24"/>
          <w:highlight w:val="none"/>
        </w:rPr>
        <w:t>一、我方承诺无下列相互串通竞标的情形：</w:t>
      </w:r>
    </w:p>
    <w:p w14:paraId="70C0CD2B">
      <w:pPr>
        <w:pageBreakBefore w:val="0"/>
        <w:kinsoku/>
        <w:wordWrap/>
        <w:topLinePunct w:val="0"/>
        <w:bidi w:val="0"/>
        <w:spacing w:line="312"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1.不同供应商的响应文件由同一单位或者个人编制； </w:t>
      </w:r>
    </w:p>
    <w:p w14:paraId="4BCB4F7F">
      <w:pPr>
        <w:pageBreakBefore w:val="0"/>
        <w:kinsoku/>
        <w:wordWrap/>
        <w:topLinePunct w:val="0"/>
        <w:bidi w:val="0"/>
        <w:spacing w:line="312"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2.不同供应商委托同一单位或者个人办理竞标事宜；</w:t>
      </w:r>
    </w:p>
    <w:p w14:paraId="60549215">
      <w:pPr>
        <w:pageBreakBefore w:val="0"/>
        <w:kinsoku/>
        <w:wordWrap/>
        <w:topLinePunct w:val="0"/>
        <w:bidi w:val="0"/>
        <w:spacing w:line="312"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3.不同供应商的响应文件载明的项目管理员为同一个人；</w:t>
      </w:r>
    </w:p>
    <w:p w14:paraId="575F07D1">
      <w:pPr>
        <w:pageBreakBefore w:val="0"/>
        <w:kinsoku/>
        <w:wordWrap/>
        <w:topLinePunct w:val="0"/>
        <w:bidi w:val="0"/>
        <w:spacing w:line="312"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4.不</w:t>
      </w:r>
      <w:r>
        <w:rPr>
          <w:rFonts w:hint="eastAsia" w:ascii="宋体" w:hAnsi="宋体" w:cs="仿宋_GB2312"/>
          <w:color w:val="auto"/>
          <w:spacing w:val="-6"/>
          <w:sz w:val="24"/>
          <w:highlight w:val="none"/>
        </w:rPr>
        <w:t>同供应商的响应文件异常一致或者竞标报价呈规律性差异；</w:t>
      </w:r>
    </w:p>
    <w:p w14:paraId="4F9D22BC">
      <w:pPr>
        <w:pageBreakBefore w:val="0"/>
        <w:kinsoku/>
        <w:wordWrap/>
        <w:topLinePunct w:val="0"/>
        <w:bidi w:val="0"/>
        <w:spacing w:line="312"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5.不同供应商的响应文件相互混装；</w:t>
      </w:r>
    </w:p>
    <w:p w14:paraId="2F64381A">
      <w:pPr>
        <w:pageBreakBefore w:val="0"/>
        <w:kinsoku/>
        <w:wordWrap/>
        <w:topLinePunct w:val="0"/>
        <w:bidi w:val="0"/>
        <w:spacing w:line="312"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6.不同供应商的磋商保证金从同一单位或者个人账户转出。</w:t>
      </w:r>
    </w:p>
    <w:p w14:paraId="1132A12D">
      <w:pPr>
        <w:pageBreakBefore w:val="0"/>
        <w:kinsoku/>
        <w:wordWrap/>
        <w:topLinePunct w:val="0"/>
        <w:bidi w:val="0"/>
        <w:spacing w:line="312" w:lineRule="auto"/>
        <w:ind w:firstLine="482" w:firstLineChars="200"/>
        <w:contextualSpacing/>
        <w:outlineLvl w:val="2"/>
        <w:rPr>
          <w:rFonts w:hint="eastAsia" w:ascii="宋体" w:hAnsi="宋体" w:cs="仿宋_GB2312"/>
          <w:b/>
          <w:bCs/>
          <w:color w:val="auto"/>
          <w:sz w:val="24"/>
          <w:highlight w:val="none"/>
        </w:rPr>
      </w:pPr>
      <w:r>
        <w:rPr>
          <w:rFonts w:hint="eastAsia" w:ascii="宋体" w:hAnsi="宋体" w:cs="仿宋_GB2312"/>
          <w:b/>
          <w:bCs/>
          <w:color w:val="auto"/>
          <w:sz w:val="24"/>
          <w:highlight w:val="none"/>
        </w:rPr>
        <w:t>二、我方承诺无下列恶意串通的情形：</w:t>
      </w:r>
    </w:p>
    <w:p w14:paraId="2EAE1F01">
      <w:pPr>
        <w:pageBreakBefore w:val="0"/>
        <w:kinsoku/>
        <w:wordWrap/>
        <w:topLinePunct w:val="0"/>
        <w:bidi w:val="0"/>
        <w:spacing w:line="312"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1.供应商直接或者间接从采购人或者采购代理机构处获得其他供应商的相关信息并修改其响应文件；</w:t>
      </w:r>
    </w:p>
    <w:p w14:paraId="392D0699">
      <w:pPr>
        <w:pageBreakBefore w:val="0"/>
        <w:kinsoku/>
        <w:wordWrap/>
        <w:topLinePunct w:val="0"/>
        <w:bidi w:val="0"/>
        <w:spacing w:line="312"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2.供应商按照采购人或者采购代理机构的授意撤换、修改响应文件；</w:t>
      </w:r>
    </w:p>
    <w:p w14:paraId="52FC6C22">
      <w:pPr>
        <w:pageBreakBefore w:val="0"/>
        <w:kinsoku/>
        <w:wordWrap/>
        <w:topLinePunct w:val="0"/>
        <w:bidi w:val="0"/>
        <w:spacing w:line="312"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3.供</w:t>
      </w:r>
      <w:r>
        <w:rPr>
          <w:rFonts w:hint="eastAsia" w:ascii="宋体" w:hAnsi="宋体" w:cs="仿宋_GB2312"/>
          <w:color w:val="auto"/>
          <w:spacing w:val="-6"/>
          <w:sz w:val="24"/>
          <w:highlight w:val="none"/>
        </w:rPr>
        <w:t>应商之间协商报价、技术方案等响应文件的实质性内容；</w:t>
      </w:r>
    </w:p>
    <w:p w14:paraId="5BA81AE7">
      <w:pPr>
        <w:pageBreakBefore w:val="0"/>
        <w:kinsoku/>
        <w:wordWrap/>
        <w:topLinePunct w:val="0"/>
        <w:bidi w:val="0"/>
        <w:spacing w:line="312"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4.属于同一集团、协会、商会等组织成员的供应商按照该组织要求协同参加政府采购活动；</w:t>
      </w:r>
    </w:p>
    <w:p w14:paraId="0030EAEA">
      <w:pPr>
        <w:pageBreakBefore w:val="0"/>
        <w:kinsoku/>
        <w:wordWrap/>
        <w:topLinePunct w:val="0"/>
        <w:bidi w:val="0"/>
        <w:spacing w:line="312"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5.供应商之间事先约定一致抬高或者压低竞标报价，或者在竞争性磋商项目中事先约定轮流以高价位或者低价位成交，或者事先约定由某一特定供应商成交，然后再参加竞标；</w:t>
      </w:r>
    </w:p>
    <w:p w14:paraId="673B36F8">
      <w:pPr>
        <w:pageBreakBefore w:val="0"/>
        <w:kinsoku/>
        <w:wordWrap/>
        <w:topLinePunct w:val="0"/>
        <w:bidi w:val="0"/>
        <w:spacing w:line="312"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6.供应商之间商定部分供应商放弃参加政府采购活动或者放弃成交；</w:t>
      </w:r>
    </w:p>
    <w:p w14:paraId="330C0B36">
      <w:pPr>
        <w:pageBreakBefore w:val="0"/>
        <w:kinsoku/>
        <w:wordWrap/>
        <w:topLinePunct w:val="0"/>
        <w:bidi w:val="0"/>
        <w:spacing w:line="312"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7.供应商与采购人或者采购代理机构之间、供应商相互之间，为</w:t>
      </w:r>
      <w:r>
        <w:rPr>
          <w:rFonts w:hint="eastAsia" w:ascii="宋体" w:hAnsi="宋体" w:cs="仿宋_GB2312"/>
          <w:color w:val="auto"/>
          <w:spacing w:val="-6"/>
          <w:sz w:val="24"/>
          <w:highlight w:val="none"/>
        </w:rPr>
        <w:t>谋求特定供应商成交或者排斥其他供应商的其他串通行为。</w:t>
      </w:r>
    </w:p>
    <w:p w14:paraId="5B7AFD37">
      <w:pPr>
        <w:pageBreakBefore w:val="0"/>
        <w:kinsoku/>
        <w:wordWrap/>
        <w:topLinePunct w:val="0"/>
        <w:bidi w:val="0"/>
        <w:spacing w:line="312" w:lineRule="auto"/>
        <w:ind w:firstLine="480" w:firstLineChars="200"/>
        <w:contextualSpacing/>
        <w:rPr>
          <w:rFonts w:hint="eastAsia" w:ascii="宋体" w:hAnsi="宋体" w:cs="仿宋_GB2312"/>
          <w:color w:val="auto"/>
          <w:sz w:val="24"/>
          <w:highlight w:val="none"/>
        </w:rPr>
      </w:pPr>
    </w:p>
    <w:p w14:paraId="51FC3EA4">
      <w:pPr>
        <w:pageBreakBefore w:val="0"/>
        <w:kinsoku/>
        <w:wordWrap/>
        <w:topLinePunct w:val="0"/>
        <w:bidi w:val="0"/>
        <w:spacing w:line="312" w:lineRule="auto"/>
        <w:ind w:firstLine="482" w:firstLineChars="200"/>
        <w:contextualSpacing/>
        <w:rPr>
          <w:rFonts w:hint="eastAsia" w:ascii="宋体" w:hAnsi="宋体" w:cs="仿宋_GB2312"/>
          <w:b/>
          <w:bCs/>
          <w:color w:val="auto"/>
          <w:sz w:val="24"/>
          <w:highlight w:val="none"/>
        </w:rPr>
      </w:pPr>
      <w:r>
        <w:rPr>
          <w:rFonts w:hint="eastAsia" w:ascii="宋体" w:hAnsi="宋体" w:cs="仿宋_GB2312"/>
          <w:b/>
          <w:bCs/>
          <w:color w:val="auto"/>
          <w:sz w:val="24"/>
          <w:highlight w:val="none"/>
        </w:rPr>
        <w:t>以上情形一经核查属实，我方愿意承担一切后果，并不再寻求任何旨在减轻或者免除法律责任的辩解。</w:t>
      </w:r>
    </w:p>
    <w:p w14:paraId="50061DD6">
      <w:pPr>
        <w:pageBreakBefore w:val="0"/>
        <w:kinsoku/>
        <w:wordWrap/>
        <w:topLinePunct w:val="0"/>
        <w:bidi w:val="0"/>
        <w:spacing w:line="312" w:lineRule="auto"/>
        <w:contextualSpacing/>
        <w:rPr>
          <w:rFonts w:hint="eastAsia" w:ascii="宋体" w:hAnsi="宋体" w:cs="仿宋_GB2312"/>
          <w:color w:val="auto"/>
          <w:sz w:val="24"/>
          <w:highlight w:val="none"/>
        </w:rPr>
      </w:pPr>
    </w:p>
    <w:p w14:paraId="67796A5F">
      <w:pPr>
        <w:pageBreakBefore w:val="0"/>
        <w:kinsoku/>
        <w:wordWrap/>
        <w:topLinePunct w:val="0"/>
        <w:bidi w:val="0"/>
        <w:spacing w:line="312" w:lineRule="auto"/>
        <w:ind w:firstLine="3600" w:firstLineChars="1500"/>
        <w:contextualSpacing/>
        <w:rPr>
          <w:rFonts w:hint="eastAsia" w:ascii="宋体" w:hAnsi="宋体" w:cs="仿宋_GB2312"/>
          <w:color w:val="auto"/>
          <w:sz w:val="24"/>
          <w:highlight w:val="none"/>
        </w:rPr>
      </w:pPr>
      <w:r>
        <w:rPr>
          <w:rFonts w:hint="eastAsia" w:ascii="宋体" w:hAnsi="宋体" w:cs="仿宋_GB2312"/>
          <w:color w:val="auto"/>
          <w:sz w:val="24"/>
          <w:highlight w:val="none"/>
        </w:rPr>
        <w:t>供应商（</w:t>
      </w:r>
      <w:r>
        <w:rPr>
          <w:rFonts w:hint="eastAsia" w:ascii="宋体" w:hAnsi="宋体"/>
          <w:color w:val="auto"/>
          <w:spacing w:val="6"/>
          <w:sz w:val="24"/>
          <w:highlight w:val="none"/>
          <w:lang w:val="en-US" w:eastAsia="zh-CN"/>
        </w:rPr>
        <w:t>电子签章</w:t>
      </w:r>
      <w:r>
        <w:rPr>
          <w:rFonts w:hint="eastAsia" w:ascii="宋体" w:hAnsi="宋体" w:cs="仿宋_GB2312"/>
          <w:color w:val="auto"/>
          <w:sz w:val="24"/>
          <w:highlight w:val="none"/>
        </w:rPr>
        <w:t>）：</w:t>
      </w:r>
    </w:p>
    <w:p w14:paraId="5B2224F4">
      <w:pPr>
        <w:pageBreakBefore w:val="0"/>
        <w:kinsoku/>
        <w:wordWrap/>
        <w:topLinePunct w:val="0"/>
        <w:bidi w:val="0"/>
        <w:spacing w:line="312" w:lineRule="auto"/>
        <w:ind w:firstLine="480" w:firstLineChars="200"/>
        <w:contextualSpacing/>
        <w:jc w:val="center"/>
        <w:rPr>
          <w:rFonts w:hint="eastAsia" w:ascii="仿宋_GB2312" w:hAnsi="仿宋_GB2312" w:eastAsia="仿宋_GB2312" w:cs="仿宋_GB2312"/>
          <w:color w:val="auto"/>
          <w:sz w:val="32"/>
          <w:szCs w:val="32"/>
          <w:highlight w:val="none"/>
        </w:rPr>
      </w:pPr>
      <w:r>
        <w:rPr>
          <w:rFonts w:hint="eastAsia" w:ascii="宋体" w:hAnsi="宋体" w:cs="仿宋_GB2312"/>
          <w:color w:val="auto"/>
          <w:sz w:val="24"/>
          <w:highlight w:val="none"/>
        </w:rPr>
        <w:t xml:space="preserve">                               年   月   日</w:t>
      </w:r>
    </w:p>
    <w:p w14:paraId="58589E2B">
      <w:pPr>
        <w:pageBreakBefore w:val="0"/>
        <w:kinsoku/>
        <w:wordWrap/>
        <w:topLinePunct w:val="0"/>
        <w:bidi w:val="0"/>
        <w:spacing w:line="312" w:lineRule="auto"/>
        <w:jc w:val="center"/>
        <w:rPr>
          <w:rFonts w:ascii="方正小标宋简体" w:hAnsi="方正小标宋简体" w:eastAsia="方正小标宋简体" w:cs="方正小标宋简体"/>
          <w:color w:val="auto"/>
          <w:sz w:val="44"/>
          <w:szCs w:val="44"/>
          <w:highlight w:val="none"/>
        </w:rPr>
        <w:sectPr>
          <w:pgSz w:w="11906" w:h="16838"/>
          <w:pgMar w:top="1440" w:right="1440" w:bottom="1440" w:left="1587" w:header="851" w:footer="992" w:gutter="0"/>
          <w:pgNumType w:fmt="decimal"/>
          <w:cols w:space="720" w:num="1"/>
          <w:titlePg/>
          <w:docGrid w:type="lines" w:linePitch="312" w:charSpace="0"/>
        </w:sectPr>
      </w:pPr>
    </w:p>
    <w:p w14:paraId="0DE74E6D">
      <w:pPr>
        <w:pageBreakBefore w:val="0"/>
        <w:kinsoku/>
        <w:wordWrap/>
        <w:topLinePunct w:val="0"/>
        <w:bidi w:val="0"/>
        <w:spacing w:line="312" w:lineRule="auto"/>
        <w:jc w:val="center"/>
        <w:outlineLvl w:val="2"/>
        <w:rPr>
          <w:rFonts w:hint="eastAsia" w:ascii="方正小标宋简体" w:hAnsi="方正小标宋简体" w:eastAsia="方正小标宋简体" w:cs="方正小标宋简体"/>
          <w:bCs/>
          <w:color w:val="auto"/>
          <w:sz w:val="44"/>
          <w:szCs w:val="44"/>
          <w:highlight w:val="none"/>
        </w:rPr>
      </w:pPr>
      <w:r>
        <w:rPr>
          <w:rFonts w:ascii="方正小标宋简体" w:hAnsi="方正小标宋简体" w:eastAsia="方正小标宋简体" w:cs="方正小标宋简体"/>
          <w:color w:val="auto"/>
          <w:sz w:val="44"/>
          <w:szCs w:val="44"/>
          <w:highlight w:val="none"/>
        </w:rPr>
        <w:t xml:space="preserve"> </w:t>
      </w:r>
      <w:r>
        <w:rPr>
          <w:rFonts w:hint="eastAsia" w:ascii="方正小标宋简体" w:hAnsi="方正小标宋简体" w:eastAsia="方正小标宋简体" w:cs="方正小标宋简体"/>
          <w:bCs/>
          <w:color w:val="auto"/>
          <w:sz w:val="44"/>
          <w:szCs w:val="44"/>
          <w:highlight w:val="none"/>
        </w:rPr>
        <w:t>商务条款偏离表格式</w:t>
      </w:r>
    </w:p>
    <w:p w14:paraId="255ED9B7">
      <w:pPr>
        <w:pageBreakBefore w:val="0"/>
        <w:kinsoku/>
        <w:wordWrap/>
        <w:topLinePunct w:val="0"/>
        <w:bidi w:val="0"/>
        <w:spacing w:line="312" w:lineRule="auto"/>
        <w:contextualSpacing/>
        <w:jc w:val="left"/>
        <w:rPr>
          <w:rFonts w:hint="eastAsia" w:ascii="宋体" w:hAnsi="宋体"/>
          <w:color w:val="auto"/>
          <w:sz w:val="24"/>
          <w:highlight w:val="none"/>
        </w:rPr>
      </w:pPr>
    </w:p>
    <w:p w14:paraId="2EF276D8">
      <w:pPr>
        <w:pStyle w:val="17"/>
        <w:pageBreakBefore w:val="0"/>
        <w:kinsoku/>
        <w:wordWrap/>
        <w:topLinePunct w:val="0"/>
        <w:bidi w:val="0"/>
        <w:spacing w:line="312" w:lineRule="auto"/>
        <w:contextualSpacing/>
        <w:rPr>
          <w:rFonts w:hint="eastAsia" w:hAnsi="宋体" w:cs="仿宋_GB2312"/>
          <w:color w:val="auto"/>
          <w:sz w:val="24"/>
          <w:szCs w:val="24"/>
          <w:highlight w:val="none"/>
        </w:rPr>
      </w:pPr>
      <w:r>
        <w:rPr>
          <w:rFonts w:hint="eastAsia" w:ascii="宋体" w:hAnsi="宋体" w:cs="仿宋_GB2312"/>
          <w:color w:val="auto"/>
          <w:sz w:val="24"/>
          <w:highlight w:val="none"/>
        </w:rPr>
        <w:t>项目名称：</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项目编号：</w:t>
      </w:r>
      <w:r>
        <w:rPr>
          <w:rFonts w:hint="eastAsia" w:ascii="宋体" w:hAnsi="宋体" w:cs="仿宋_GB2312"/>
          <w:color w:val="auto"/>
          <w:sz w:val="24"/>
          <w:highlight w:val="none"/>
          <w:u w:val="single"/>
        </w:rPr>
        <w:t xml:space="preserve">                   </w:t>
      </w:r>
    </w:p>
    <w:p w14:paraId="5182DB60">
      <w:pPr>
        <w:pageBreakBefore w:val="0"/>
        <w:kinsoku/>
        <w:wordWrap/>
        <w:topLinePunct w:val="0"/>
        <w:bidi w:val="0"/>
        <w:spacing w:line="312" w:lineRule="auto"/>
        <w:contextualSpacing/>
        <w:jc w:val="left"/>
        <w:rPr>
          <w:rFonts w:hint="eastAsia" w:ascii="宋体" w:hAnsi="宋体" w:cs="仿宋_GB2312"/>
          <w:color w:val="auto"/>
          <w:sz w:val="24"/>
          <w:highlight w:val="none"/>
          <w:u w:val="single"/>
        </w:rPr>
      </w:pPr>
    </w:p>
    <w:tbl>
      <w:tblPr>
        <w:tblStyle w:val="30"/>
        <w:tblpPr w:leftFromText="180" w:rightFromText="180" w:vertAnchor="text" w:horzAnchor="margin" w:tblpY="-9"/>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2350"/>
        <w:gridCol w:w="2112"/>
      </w:tblGrid>
      <w:tr w14:paraId="1A2857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0C8FB97D">
            <w:pPr>
              <w:keepNext w:val="0"/>
              <w:keepLines w:val="0"/>
              <w:pageBreakBefore w:val="0"/>
              <w:suppressLineNumbers w:val="0"/>
              <w:kinsoku/>
              <w:wordWrap/>
              <w:topLinePunct w:val="0"/>
              <w:bidi w:val="0"/>
              <w:spacing w:before="0" w:beforeAutospacing="0" w:after="0" w:afterAutospacing="0" w:line="312" w:lineRule="auto"/>
              <w:ind w:left="0" w:right="0"/>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项目</w:t>
            </w:r>
          </w:p>
        </w:tc>
        <w:tc>
          <w:tcPr>
            <w:tcW w:w="2668" w:type="dxa"/>
            <w:tcBorders>
              <w:top w:val="single" w:color="auto" w:sz="4" w:space="0"/>
              <w:left w:val="single" w:color="auto" w:sz="4" w:space="0"/>
              <w:bottom w:val="single" w:color="auto" w:sz="4" w:space="0"/>
              <w:right w:val="single" w:color="auto" w:sz="4" w:space="0"/>
            </w:tcBorders>
            <w:noWrap w:val="0"/>
            <w:vAlign w:val="center"/>
          </w:tcPr>
          <w:p w14:paraId="56F8647B">
            <w:pPr>
              <w:keepNext w:val="0"/>
              <w:keepLines w:val="0"/>
              <w:pageBreakBefore w:val="0"/>
              <w:suppressLineNumbers w:val="0"/>
              <w:kinsoku/>
              <w:wordWrap/>
              <w:topLinePunct w:val="0"/>
              <w:bidi w:val="0"/>
              <w:spacing w:before="0" w:beforeAutospacing="0" w:after="0" w:afterAutospacing="0" w:line="312" w:lineRule="auto"/>
              <w:ind w:left="0" w:right="0"/>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磋商文件商务条款要求</w:t>
            </w:r>
          </w:p>
        </w:tc>
        <w:tc>
          <w:tcPr>
            <w:tcW w:w="2350" w:type="dxa"/>
            <w:tcBorders>
              <w:top w:val="single" w:color="auto" w:sz="4" w:space="0"/>
              <w:left w:val="single" w:color="auto" w:sz="4" w:space="0"/>
              <w:bottom w:val="single" w:color="auto" w:sz="4" w:space="0"/>
              <w:right w:val="single" w:color="auto" w:sz="4" w:space="0"/>
            </w:tcBorders>
            <w:noWrap w:val="0"/>
            <w:vAlign w:val="center"/>
          </w:tcPr>
          <w:p w14:paraId="38EF0146">
            <w:pPr>
              <w:keepNext w:val="0"/>
              <w:keepLines w:val="0"/>
              <w:pageBreakBefore w:val="0"/>
              <w:suppressLineNumbers w:val="0"/>
              <w:kinsoku/>
              <w:wordWrap/>
              <w:topLinePunct w:val="0"/>
              <w:bidi w:val="0"/>
              <w:spacing w:before="0" w:beforeAutospacing="0" w:after="0" w:afterAutospacing="0" w:line="312" w:lineRule="auto"/>
              <w:ind w:left="0" w:right="0"/>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供应商的响应</w:t>
            </w:r>
          </w:p>
        </w:tc>
        <w:tc>
          <w:tcPr>
            <w:tcW w:w="2112" w:type="dxa"/>
            <w:tcBorders>
              <w:top w:val="single" w:color="auto" w:sz="4" w:space="0"/>
              <w:left w:val="single" w:color="auto" w:sz="4" w:space="0"/>
              <w:bottom w:val="single" w:color="auto" w:sz="4" w:space="0"/>
              <w:right w:val="single" w:color="auto" w:sz="4" w:space="0"/>
            </w:tcBorders>
            <w:noWrap w:val="0"/>
            <w:vAlign w:val="center"/>
          </w:tcPr>
          <w:p w14:paraId="7DEA5B61">
            <w:pPr>
              <w:keepNext w:val="0"/>
              <w:keepLines w:val="0"/>
              <w:pageBreakBefore w:val="0"/>
              <w:suppressLineNumbers w:val="0"/>
              <w:kinsoku/>
              <w:wordWrap/>
              <w:topLinePunct w:val="0"/>
              <w:bidi w:val="0"/>
              <w:spacing w:before="0" w:beforeAutospacing="0" w:after="0" w:afterAutospacing="0" w:line="312" w:lineRule="auto"/>
              <w:ind w:left="0" w:right="0"/>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偏离说明</w:t>
            </w:r>
          </w:p>
        </w:tc>
      </w:tr>
      <w:tr w14:paraId="4CFB4E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569A2538">
            <w:pPr>
              <w:keepNext w:val="0"/>
              <w:keepLines w:val="0"/>
              <w:pageBreakBefore w:val="0"/>
              <w:suppressLineNumbers w:val="0"/>
              <w:kinsoku/>
              <w:wordWrap/>
              <w:topLinePunct w:val="0"/>
              <w:bidi w:val="0"/>
              <w:spacing w:before="0" w:beforeAutospacing="0" w:after="0" w:afterAutospacing="0" w:line="312" w:lineRule="auto"/>
              <w:ind w:left="0" w:right="0"/>
              <w:contextualSpacing/>
              <w:jc w:val="center"/>
              <w:rPr>
                <w:rFonts w:hint="eastAsia" w:ascii="宋体" w:hAnsi="宋体" w:cs="仿宋_GB2312"/>
                <w:color w:val="auto"/>
                <w:sz w:val="24"/>
                <w:highlight w:val="none"/>
              </w:rPr>
            </w:pPr>
            <w:r>
              <w:rPr>
                <w:rFonts w:hint="eastAsia" w:ascii="宋体" w:hAnsi="宋体" w:cs="宋体"/>
                <w:color w:val="auto"/>
                <w:sz w:val="24"/>
                <w:szCs w:val="24"/>
                <w:lang w:val="en-US" w:eastAsia="zh-CN"/>
              </w:rPr>
              <w:t>合同履约期限</w:t>
            </w:r>
          </w:p>
        </w:tc>
        <w:tc>
          <w:tcPr>
            <w:tcW w:w="2668" w:type="dxa"/>
            <w:tcBorders>
              <w:top w:val="single" w:color="auto" w:sz="4" w:space="0"/>
              <w:left w:val="single" w:color="auto" w:sz="4" w:space="0"/>
              <w:bottom w:val="single" w:color="auto" w:sz="4" w:space="0"/>
              <w:right w:val="single" w:color="auto" w:sz="4" w:space="0"/>
            </w:tcBorders>
            <w:noWrap w:val="0"/>
            <w:vAlign w:val="center"/>
          </w:tcPr>
          <w:p w14:paraId="27BF6780">
            <w:pPr>
              <w:keepNext w:val="0"/>
              <w:keepLines w:val="0"/>
              <w:pageBreakBefore w:val="0"/>
              <w:suppressLineNumbers w:val="0"/>
              <w:kinsoku/>
              <w:wordWrap/>
              <w:topLinePunct w:val="0"/>
              <w:bidi w:val="0"/>
              <w:spacing w:before="0" w:beforeAutospacing="0" w:after="0" w:afterAutospacing="0" w:line="312" w:lineRule="auto"/>
              <w:ind w:left="0" w:right="0"/>
              <w:contextualSpacing/>
              <w:jc w:val="center"/>
              <w:rPr>
                <w:rFonts w:hint="eastAsia" w:ascii="宋体" w:hAnsi="宋体" w:cs="仿宋_GB2312"/>
                <w:color w:val="auto"/>
                <w:sz w:val="24"/>
                <w:highlight w:val="none"/>
              </w:rPr>
            </w:pPr>
          </w:p>
        </w:tc>
        <w:tc>
          <w:tcPr>
            <w:tcW w:w="2350" w:type="dxa"/>
            <w:tcBorders>
              <w:top w:val="single" w:color="auto" w:sz="4" w:space="0"/>
              <w:left w:val="single" w:color="auto" w:sz="4" w:space="0"/>
              <w:bottom w:val="single" w:color="auto" w:sz="4" w:space="0"/>
              <w:right w:val="single" w:color="auto" w:sz="4" w:space="0"/>
            </w:tcBorders>
            <w:noWrap w:val="0"/>
            <w:vAlign w:val="center"/>
          </w:tcPr>
          <w:p w14:paraId="52501B83">
            <w:pPr>
              <w:keepNext w:val="0"/>
              <w:keepLines w:val="0"/>
              <w:pageBreakBefore w:val="0"/>
              <w:suppressLineNumbers w:val="0"/>
              <w:kinsoku/>
              <w:wordWrap/>
              <w:topLinePunct w:val="0"/>
              <w:bidi w:val="0"/>
              <w:spacing w:before="0" w:beforeAutospacing="0" w:after="0" w:afterAutospacing="0" w:line="312" w:lineRule="auto"/>
              <w:ind w:left="0" w:right="0"/>
              <w:contextualSpacing/>
              <w:jc w:val="center"/>
              <w:rPr>
                <w:rFonts w:hint="eastAsia" w:ascii="宋体" w:hAnsi="宋体" w:cs="仿宋_GB2312"/>
                <w:color w:val="auto"/>
                <w:sz w:val="24"/>
                <w:highlight w:val="none"/>
              </w:rPr>
            </w:pPr>
          </w:p>
        </w:tc>
        <w:tc>
          <w:tcPr>
            <w:tcW w:w="2112" w:type="dxa"/>
            <w:tcBorders>
              <w:top w:val="single" w:color="auto" w:sz="4" w:space="0"/>
              <w:left w:val="single" w:color="auto" w:sz="4" w:space="0"/>
              <w:bottom w:val="single" w:color="auto" w:sz="4" w:space="0"/>
              <w:right w:val="single" w:color="auto" w:sz="4" w:space="0"/>
            </w:tcBorders>
            <w:noWrap w:val="0"/>
            <w:vAlign w:val="center"/>
          </w:tcPr>
          <w:p w14:paraId="3A380DFF">
            <w:pPr>
              <w:keepNext w:val="0"/>
              <w:keepLines w:val="0"/>
              <w:pageBreakBefore w:val="0"/>
              <w:suppressLineNumbers w:val="0"/>
              <w:kinsoku/>
              <w:wordWrap/>
              <w:topLinePunct w:val="0"/>
              <w:bidi w:val="0"/>
              <w:spacing w:before="0" w:beforeAutospacing="0" w:after="0" w:afterAutospacing="0" w:line="312" w:lineRule="auto"/>
              <w:ind w:left="0" w:right="0"/>
              <w:contextualSpacing/>
              <w:jc w:val="center"/>
              <w:rPr>
                <w:rFonts w:hint="eastAsia" w:ascii="宋体" w:hAnsi="宋体" w:cs="仿宋_GB2312"/>
                <w:color w:val="auto"/>
                <w:sz w:val="24"/>
                <w:highlight w:val="none"/>
              </w:rPr>
            </w:pPr>
          </w:p>
        </w:tc>
      </w:tr>
      <w:tr w14:paraId="2C9267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372D4B98">
            <w:pPr>
              <w:keepNext w:val="0"/>
              <w:keepLines w:val="0"/>
              <w:pageBreakBefore w:val="0"/>
              <w:suppressLineNumbers w:val="0"/>
              <w:kinsoku/>
              <w:wordWrap/>
              <w:topLinePunct w:val="0"/>
              <w:bidi w:val="0"/>
              <w:spacing w:before="0" w:beforeAutospacing="0" w:after="0" w:afterAutospacing="0" w:line="312" w:lineRule="auto"/>
              <w:ind w:left="0" w:right="0"/>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交付或者实施时间及地点</w:t>
            </w:r>
          </w:p>
        </w:tc>
        <w:tc>
          <w:tcPr>
            <w:tcW w:w="2668" w:type="dxa"/>
            <w:tcBorders>
              <w:top w:val="single" w:color="auto" w:sz="4" w:space="0"/>
              <w:left w:val="single" w:color="auto" w:sz="4" w:space="0"/>
              <w:bottom w:val="single" w:color="auto" w:sz="4" w:space="0"/>
              <w:right w:val="single" w:color="auto" w:sz="4" w:space="0"/>
            </w:tcBorders>
            <w:noWrap w:val="0"/>
            <w:vAlign w:val="center"/>
          </w:tcPr>
          <w:p w14:paraId="335A1A23">
            <w:pPr>
              <w:keepNext w:val="0"/>
              <w:keepLines w:val="0"/>
              <w:pageBreakBefore w:val="0"/>
              <w:suppressLineNumbers w:val="0"/>
              <w:kinsoku/>
              <w:wordWrap/>
              <w:topLinePunct w:val="0"/>
              <w:bidi w:val="0"/>
              <w:spacing w:before="0" w:beforeAutospacing="0" w:after="0" w:afterAutospacing="0" w:line="312" w:lineRule="auto"/>
              <w:ind w:left="0" w:right="0"/>
              <w:contextualSpacing/>
              <w:jc w:val="center"/>
              <w:rPr>
                <w:rFonts w:hint="eastAsia" w:ascii="宋体" w:hAnsi="宋体" w:cs="仿宋_GB2312"/>
                <w:color w:val="auto"/>
                <w:sz w:val="24"/>
                <w:highlight w:val="none"/>
              </w:rPr>
            </w:pPr>
          </w:p>
        </w:tc>
        <w:tc>
          <w:tcPr>
            <w:tcW w:w="2350" w:type="dxa"/>
            <w:tcBorders>
              <w:top w:val="single" w:color="auto" w:sz="4" w:space="0"/>
              <w:left w:val="single" w:color="auto" w:sz="4" w:space="0"/>
              <w:bottom w:val="single" w:color="auto" w:sz="4" w:space="0"/>
              <w:right w:val="single" w:color="auto" w:sz="4" w:space="0"/>
            </w:tcBorders>
            <w:noWrap w:val="0"/>
            <w:vAlign w:val="center"/>
          </w:tcPr>
          <w:p w14:paraId="57EF9FD0">
            <w:pPr>
              <w:keepNext w:val="0"/>
              <w:keepLines w:val="0"/>
              <w:pageBreakBefore w:val="0"/>
              <w:suppressLineNumbers w:val="0"/>
              <w:kinsoku/>
              <w:wordWrap/>
              <w:topLinePunct w:val="0"/>
              <w:bidi w:val="0"/>
              <w:spacing w:before="0" w:beforeAutospacing="0" w:after="0" w:afterAutospacing="0" w:line="312" w:lineRule="auto"/>
              <w:ind w:left="43" w:right="0"/>
              <w:contextualSpacing/>
              <w:jc w:val="center"/>
              <w:rPr>
                <w:rFonts w:hint="eastAsia" w:ascii="宋体" w:hAnsi="宋体" w:cs="仿宋_GB2312"/>
                <w:color w:val="auto"/>
                <w:sz w:val="24"/>
                <w:highlight w:val="none"/>
              </w:rPr>
            </w:pPr>
          </w:p>
        </w:tc>
        <w:tc>
          <w:tcPr>
            <w:tcW w:w="2112" w:type="dxa"/>
            <w:tcBorders>
              <w:top w:val="single" w:color="auto" w:sz="4" w:space="0"/>
              <w:left w:val="single" w:color="auto" w:sz="4" w:space="0"/>
              <w:bottom w:val="single" w:color="auto" w:sz="4" w:space="0"/>
              <w:right w:val="single" w:color="auto" w:sz="4" w:space="0"/>
            </w:tcBorders>
            <w:noWrap w:val="0"/>
            <w:vAlign w:val="center"/>
          </w:tcPr>
          <w:p w14:paraId="147867DB">
            <w:pPr>
              <w:keepNext w:val="0"/>
              <w:keepLines w:val="0"/>
              <w:pageBreakBefore w:val="0"/>
              <w:suppressLineNumbers w:val="0"/>
              <w:kinsoku/>
              <w:wordWrap/>
              <w:topLinePunct w:val="0"/>
              <w:bidi w:val="0"/>
              <w:spacing w:before="0" w:beforeAutospacing="0" w:after="0" w:afterAutospacing="0" w:line="312" w:lineRule="auto"/>
              <w:ind w:left="43" w:right="0"/>
              <w:contextualSpacing/>
              <w:jc w:val="center"/>
              <w:rPr>
                <w:rFonts w:hint="eastAsia" w:ascii="宋体" w:hAnsi="宋体" w:cs="仿宋_GB2312"/>
                <w:color w:val="auto"/>
                <w:sz w:val="24"/>
                <w:highlight w:val="none"/>
              </w:rPr>
            </w:pPr>
          </w:p>
        </w:tc>
      </w:tr>
      <w:tr w14:paraId="616E9B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60906978">
            <w:pPr>
              <w:keepNext w:val="0"/>
              <w:keepLines w:val="0"/>
              <w:pageBreakBefore w:val="0"/>
              <w:suppressLineNumbers w:val="0"/>
              <w:kinsoku/>
              <w:wordWrap/>
              <w:topLinePunct w:val="0"/>
              <w:bidi w:val="0"/>
              <w:spacing w:before="0" w:beforeAutospacing="0" w:after="0" w:afterAutospacing="0" w:line="312" w:lineRule="auto"/>
              <w:ind w:left="0" w:right="0"/>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付款方式、时间和条件</w:t>
            </w:r>
          </w:p>
        </w:tc>
        <w:tc>
          <w:tcPr>
            <w:tcW w:w="2668" w:type="dxa"/>
            <w:tcBorders>
              <w:top w:val="single" w:color="auto" w:sz="4" w:space="0"/>
              <w:left w:val="single" w:color="auto" w:sz="4" w:space="0"/>
              <w:bottom w:val="single" w:color="auto" w:sz="4" w:space="0"/>
              <w:right w:val="single" w:color="auto" w:sz="4" w:space="0"/>
            </w:tcBorders>
            <w:noWrap w:val="0"/>
            <w:vAlign w:val="center"/>
          </w:tcPr>
          <w:p w14:paraId="2DFCD103">
            <w:pPr>
              <w:keepNext w:val="0"/>
              <w:keepLines w:val="0"/>
              <w:pageBreakBefore w:val="0"/>
              <w:suppressLineNumbers w:val="0"/>
              <w:kinsoku/>
              <w:wordWrap/>
              <w:topLinePunct w:val="0"/>
              <w:bidi w:val="0"/>
              <w:spacing w:before="0" w:beforeAutospacing="0" w:after="0" w:afterAutospacing="0" w:line="312" w:lineRule="auto"/>
              <w:ind w:left="0" w:right="0"/>
              <w:contextualSpacing/>
              <w:jc w:val="center"/>
              <w:rPr>
                <w:rFonts w:hint="eastAsia" w:ascii="宋体" w:hAnsi="宋体" w:cs="仿宋_GB2312"/>
                <w:color w:val="auto"/>
                <w:sz w:val="24"/>
                <w:highlight w:val="none"/>
              </w:rPr>
            </w:pPr>
          </w:p>
        </w:tc>
        <w:tc>
          <w:tcPr>
            <w:tcW w:w="2350" w:type="dxa"/>
            <w:tcBorders>
              <w:top w:val="single" w:color="auto" w:sz="4" w:space="0"/>
              <w:left w:val="single" w:color="auto" w:sz="4" w:space="0"/>
              <w:bottom w:val="single" w:color="auto" w:sz="4" w:space="0"/>
              <w:right w:val="single" w:color="auto" w:sz="4" w:space="0"/>
            </w:tcBorders>
            <w:noWrap w:val="0"/>
            <w:vAlign w:val="center"/>
          </w:tcPr>
          <w:p w14:paraId="24470735">
            <w:pPr>
              <w:keepNext w:val="0"/>
              <w:keepLines w:val="0"/>
              <w:pageBreakBefore w:val="0"/>
              <w:suppressLineNumbers w:val="0"/>
              <w:kinsoku/>
              <w:wordWrap/>
              <w:topLinePunct w:val="0"/>
              <w:bidi w:val="0"/>
              <w:spacing w:before="0" w:beforeAutospacing="0" w:after="0" w:afterAutospacing="0" w:line="312" w:lineRule="auto"/>
              <w:ind w:left="0" w:right="0"/>
              <w:contextualSpacing/>
              <w:jc w:val="center"/>
              <w:rPr>
                <w:rFonts w:hint="eastAsia" w:ascii="宋体" w:hAnsi="宋体" w:cs="仿宋_GB2312"/>
                <w:color w:val="auto"/>
                <w:sz w:val="24"/>
                <w:highlight w:val="none"/>
              </w:rPr>
            </w:pPr>
          </w:p>
        </w:tc>
        <w:tc>
          <w:tcPr>
            <w:tcW w:w="2112" w:type="dxa"/>
            <w:tcBorders>
              <w:top w:val="single" w:color="auto" w:sz="4" w:space="0"/>
              <w:left w:val="single" w:color="auto" w:sz="4" w:space="0"/>
              <w:bottom w:val="single" w:color="auto" w:sz="4" w:space="0"/>
              <w:right w:val="single" w:color="auto" w:sz="4" w:space="0"/>
            </w:tcBorders>
            <w:noWrap w:val="0"/>
            <w:vAlign w:val="center"/>
          </w:tcPr>
          <w:p w14:paraId="73D66216">
            <w:pPr>
              <w:keepNext w:val="0"/>
              <w:keepLines w:val="0"/>
              <w:pageBreakBefore w:val="0"/>
              <w:suppressLineNumbers w:val="0"/>
              <w:kinsoku/>
              <w:wordWrap/>
              <w:topLinePunct w:val="0"/>
              <w:bidi w:val="0"/>
              <w:spacing w:before="0" w:beforeAutospacing="0" w:after="0" w:afterAutospacing="0" w:line="312" w:lineRule="auto"/>
              <w:ind w:left="0" w:right="0"/>
              <w:contextualSpacing/>
              <w:jc w:val="center"/>
              <w:rPr>
                <w:rFonts w:hint="eastAsia" w:ascii="宋体" w:hAnsi="宋体" w:cs="仿宋_GB2312"/>
                <w:color w:val="auto"/>
                <w:sz w:val="24"/>
                <w:highlight w:val="none"/>
              </w:rPr>
            </w:pPr>
          </w:p>
        </w:tc>
      </w:tr>
      <w:tr w14:paraId="4EBD61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noWrap w:val="0"/>
            <w:vAlign w:val="center"/>
          </w:tcPr>
          <w:p w14:paraId="499D8162">
            <w:pPr>
              <w:keepNext w:val="0"/>
              <w:keepLines w:val="0"/>
              <w:pageBreakBefore w:val="0"/>
              <w:suppressLineNumbers w:val="0"/>
              <w:kinsoku/>
              <w:wordWrap/>
              <w:topLinePunct w:val="0"/>
              <w:bidi w:val="0"/>
              <w:spacing w:before="0" w:beforeAutospacing="0" w:after="0" w:afterAutospacing="0" w:line="312" w:lineRule="auto"/>
              <w:ind w:left="0" w:right="0"/>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w:t>
            </w:r>
          </w:p>
        </w:tc>
        <w:tc>
          <w:tcPr>
            <w:tcW w:w="2668" w:type="dxa"/>
            <w:tcBorders>
              <w:top w:val="single" w:color="auto" w:sz="4" w:space="0"/>
              <w:left w:val="single" w:color="auto" w:sz="4" w:space="0"/>
              <w:bottom w:val="single" w:color="auto" w:sz="4" w:space="0"/>
              <w:right w:val="single" w:color="auto" w:sz="4" w:space="0"/>
            </w:tcBorders>
            <w:noWrap w:val="0"/>
            <w:vAlign w:val="center"/>
          </w:tcPr>
          <w:p w14:paraId="23147E88">
            <w:pPr>
              <w:keepNext w:val="0"/>
              <w:keepLines w:val="0"/>
              <w:pageBreakBefore w:val="0"/>
              <w:suppressLineNumbers w:val="0"/>
              <w:kinsoku/>
              <w:wordWrap/>
              <w:topLinePunct w:val="0"/>
              <w:bidi w:val="0"/>
              <w:spacing w:before="0" w:beforeAutospacing="0" w:after="0" w:afterAutospacing="0" w:line="312" w:lineRule="auto"/>
              <w:ind w:left="0" w:right="0"/>
              <w:contextualSpacing/>
              <w:jc w:val="center"/>
              <w:rPr>
                <w:rFonts w:hint="eastAsia" w:ascii="宋体" w:hAnsi="宋体" w:cs="仿宋_GB2312"/>
                <w:color w:val="auto"/>
                <w:sz w:val="24"/>
                <w:highlight w:val="none"/>
              </w:rPr>
            </w:pPr>
          </w:p>
        </w:tc>
        <w:tc>
          <w:tcPr>
            <w:tcW w:w="2350" w:type="dxa"/>
            <w:tcBorders>
              <w:top w:val="single" w:color="auto" w:sz="4" w:space="0"/>
              <w:left w:val="single" w:color="auto" w:sz="4" w:space="0"/>
              <w:bottom w:val="single" w:color="auto" w:sz="4" w:space="0"/>
              <w:right w:val="single" w:color="auto" w:sz="4" w:space="0"/>
            </w:tcBorders>
            <w:noWrap w:val="0"/>
            <w:vAlign w:val="center"/>
          </w:tcPr>
          <w:p w14:paraId="4A7B9683">
            <w:pPr>
              <w:keepNext w:val="0"/>
              <w:keepLines w:val="0"/>
              <w:pageBreakBefore w:val="0"/>
              <w:suppressLineNumbers w:val="0"/>
              <w:kinsoku/>
              <w:wordWrap/>
              <w:topLinePunct w:val="0"/>
              <w:bidi w:val="0"/>
              <w:spacing w:before="0" w:beforeAutospacing="0" w:after="0" w:afterAutospacing="0" w:line="312" w:lineRule="auto"/>
              <w:ind w:left="0" w:right="0"/>
              <w:contextualSpacing/>
              <w:jc w:val="center"/>
              <w:rPr>
                <w:rFonts w:hint="eastAsia" w:ascii="宋体" w:hAnsi="宋体" w:cs="仿宋_GB2312"/>
                <w:color w:val="auto"/>
                <w:sz w:val="24"/>
                <w:highlight w:val="none"/>
              </w:rPr>
            </w:pPr>
          </w:p>
        </w:tc>
        <w:tc>
          <w:tcPr>
            <w:tcW w:w="2112" w:type="dxa"/>
            <w:tcBorders>
              <w:top w:val="single" w:color="auto" w:sz="4" w:space="0"/>
              <w:left w:val="single" w:color="auto" w:sz="4" w:space="0"/>
              <w:bottom w:val="single" w:color="auto" w:sz="4" w:space="0"/>
              <w:right w:val="single" w:color="auto" w:sz="4" w:space="0"/>
            </w:tcBorders>
            <w:noWrap w:val="0"/>
            <w:vAlign w:val="center"/>
          </w:tcPr>
          <w:p w14:paraId="767C3173">
            <w:pPr>
              <w:keepNext w:val="0"/>
              <w:keepLines w:val="0"/>
              <w:pageBreakBefore w:val="0"/>
              <w:suppressLineNumbers w:val="0"/>
              <w:kinsoku/>
              <w:wordWrap/>
              <w:topLinePunct w:val="0"/>
              <w:bidi w:val="0"/>
              <w:spacing w:before="0" w:beforeAutospacing="0" w:after="0" w:afterAutospacing="0" w:line="312" w:lineRule="auto"/>
              <w:ind w:left="0" w:right="0"/>
              <w:contextualSpacing/>
              <w:jc w:val="center"/>
              <w:rPr>
                <w:rFonts w:hint="eastAsia" w:ascii="宋体" w:hAnsi="宋体" w:cs="仿宋_GB2312"/>
                <w:color w:val="auto"/>
                <w:sz w:val="24"/>
                <w:highlight w:val="none"/>
              </w:rPr>
            </w:pPr>
          </w:p>
        </w:tc>
      </w:tr>
    </w:tbl>
    <w:p w14:paraId="45AC341F">
      <w:pPr>
        <w:pStyle w:val="11"/>
        <w:pageBreakBefore w:val="0"/>
        <w:kinsoku/>
        <w:wordWrap/>
        <w:topLinePunct w:val="0"/>
        <w:bidi w:val="0"/>
        <w:spacing w:after="0" w:line="312" w:lineRule="auto"/>
        <w:contextualSpacing/>
        <w:rPr>
          <w:rFonts w:hint="eastAsia" w:ascii="宋体" w:hAnsi="宋体"/>
          <w:color w:val="auto"/>
          <w:kern w:val="0"/>
          <w:sz w:val="24"/>
          <w:szCs w:val="24"/>
          <w:highlight w:val="none"/>
        </w:rPr>
      </w:pPr>
      <w:r>
        <w:rPr>
          <w:rFonts w:hint="eastAsia" w:ascii="宋体" w:hAnsi="宋体"/>
          <w:color w:val="auto"/>
          <w:kern w:val="0"/>
          <w:sz w:val="24"/>
          <w:szCs w:val="24"/>
          <w:highlight w:val="none"/>
        </w:rPr>
        <w:t>注：</w:t>
      </w:r>
    </w:p>
    <w:p w14:paraId="4B2C2C04">
      <w:pPr>
        <w:pStyle w:val="11"/>
        <w:pageBreakBefore w:val="0"/>
        <w:kinsoku/>
        <w:wordWrap/>
        <w:topLinePunct w:val="0"/>
        <w:bidi w:val="0"/>
        <w:spacing w:after="0" w:line="312" w:lineRule="auto"/>
        <w:contextualSpacing/>
        <w:rPr>
          <w:rFonts w:hint="eastAsia" w:ascii="宋体" w:hAnsi="宋体"/>
          <w:color w:val="auto"/>
          <w:kern w:val="0"/>
          <w:sz w:val="24"/>
          <w:szCs w:val="24"/>
          <w:highlight w:val="none"/>
        </w:rPr>
      </w:pPr>
      <w:r>
        <w:rPr>
          <w:rFonts w:hint="eastAsia" w:ascii="宋体" w:hAnsi="宋体"/>
          <w:color w:val="auto"/>
          <w:kern w:val="0"/>
          <w:sz w:val="24"/>
          <w:szCs w:val="24"/>
          <w:highlight w:val="none"/>
        </w:rPr>
        <w:t>1. 说明：应对照磋商文件“第三章 采购需求”中的商务条款逐条</w:t>
      </w:r>
      <w:r>
        <w:rPr>
          <w:rFonts w:hint="eastAsia" w:ascii="宋体" w:hAnsi="宋体"/>
          <w:color w:val="auto"/>
          <w:kern w:val="0"/>
          <w:sz w:val="24"/>
          <w:szCs w:val="24"/>
          <w:highlight w:val="none"/>
          <w:lang w:eastAsia="zh-CN"/>
        </w:rPr>
        <w:t>作出明确</w:t>
      </w:r>
      <w:r>
        <w:rPr>
          <w:rFonts w:hint="eastAsia" w:ascii="宋体" w:hAnsi="宋体"/>
          <w:color w:val="auto"/>
          <w:kern w:val="0"/>
          <w:sz w:val="24"/>
          <w:szCs w:val="24"/>
          <w:highlight w:val="none"/>
        </w:rPr>
        <w:t>响应，并作出偏离说明。</w:t>
      </w:r>
    </w:p>
    <w:p w14:paraId="1C111C00">
      <w:pPr>
        <w:pageBreakBefore w:val="0"/>
        <w:kinsoku/>
        <w:wordWrap/>
        <w:topLinePunct w:val="0"/>
        <w:bidi w:val="0"/>
        <w:spacing w:line="312" w:lineRule="auto"/>
        <w:contextualSpacing/>
        <w:jc w:val="left"/>
        <w:rPr>
          <w:rFonts w:hint="eastAsia" w:ascii="宋体" w:hAnsi="宋体" w:cs="仿宋_GB2312"/>
          <w:color w:val="auto"/>
          <w:sz w:val="24"/>
          <w:highlight w:val="none"/>
          <w:u w:val="single"/>
        </w:rPr>
      </w:pPr>
      <w:r>
        <w:rPr>
          <w:rFonts w:hint="eastAsia" w:ascii="宋体" w:hAnsi="宋体"/>
          <w:color w:val="auto"/>
          <w:kern w:val="0"/>
          <w:sz w:val="24"/>
          <w:highlight w:val="none"/>
        </w:rPr>
        <w:t>2.供应商应根据自身的承诺，对照磋商文件要求在“偏离说明”中注明“正偏离”、“负偏离”或者“无偏离”。既不属于“正偏离”也不属于“负偏离”即为“无偏离”。</w:t>
      </w:r>
    </w:p>
    <w:p w14:paraId="744B4A09">
      <w:pPr>
        <w:pageBreakBefore w:val="0"/>
        <w:kinsoku/>
        <w:wordWrap/>
        <w:topLinePunct w:val="0"/>
        <w:bidi w:val="0"/>
        <w:spacing w:line="312" w:lineRule="auto"/>
        <w:ind w:right="-817" w:rightChars="-389"/>
        <w:contextualSpacing/>
        <w:rPr>
          <w:rFonts w:hint="eastAsia" w:ascii="宋体" w:hAnsi="宋体" w:cs="仿宋_GB2312"/>
          <w:color w:val="auto"/>
          <w:sz w:val="24"/>
          <w:highlight w:val="none"/>
        </w:rPr>
      </w:pPr>
    </w:p>
    <w:p w14:paraId="59EC7DA6">
      <w:pPr>
        <w:pageBreakBefore w:val="0"/>
        <w:kinsoku/>
        <w:wordWrap/>
        <w:topLinePunct w:val="0"/>
        <w:bidi w:val="0"/>
        <w:spacing w:line="312" w:lineRule="auto"/>
        <w:ind w:right="-817" w:rightChars="-389" w:firstLine="960" w:firstLineChars="400"/>
        <w:contextualSpacing/>
        <w:rPr>
          <w:rFonts w:hint="eastAsia" w:ascii="宋体" w:hAnsi="宋体" w:cs="仿宋_GB2312"/>
          <w:color w:val="auto"/>
          <w:sz w:val="24"/>
          <w:highlight w:val="none"/>
        </w:rPr>
      </w:pPr>
      <w:r>
        <w:rPr>
          <w:rFonts w:hint="eastAsia" w:ascii="宋体" w:hAnsi="宋体" w:cs="仿宋_GB2312"/>
          <w:color w:val="auto"/>
          <w:sz w:val="24"/>
          <w:highlight w:val="none"/>
        </w:rPr>
        <w:t>法定代表人或者委托代理人（</w:t>
      </w:r>
      <w:r>
        <w:rPr>
          <w:rFonts w:hint="eastAsia" w:ascii="宋体" w:hAnsi="宋体"/>
          <w:color w:val="auto"/>
          <w:sz w:val="24"/>
          <w:highlight w:val="none"/>
          <w:lang w:val="en-US" w:eastAsia="zh-CN"/>
        </w:rPr>
        <w:t>签字或电子签名</w:t>
      </w:r>
      <w:r>
        <w:rPr>
          <w:rFonts w:hint="eastAsia" w:ascii="宋体" w:hAnsi="宋体" w:cs="仿宋_GB2312"/>
          <w:color w:val="auto"/>
          <w:sz w:val="24"/>
          <w:highlight w:val="none"/>
        </w:rPr>
        <w:t xml:space="preserve">）：                    </w:t>
      </w:r>
    </w:p>
    <w:p w14:paraId="5433FF66">
      <w:pPr>
        <w:pageBreakBefore w:val="0"/>
        <w:kinsoku/>
        <w:wordWrap/>
        <w:topLinePunct w:val="0"/>
        <w:bidi w:val="0"/>
        <w:spacing w:line="312" w:lineRule="auto"/>
        <w:ind w:left="0" w:leftChars="0" w:right="-817" w:rightChars="-389" w:firstLine="3789" w:firstLineChars="1579"/>
        <w:contextualSpacing/>
        <w:rPr>
          <w:rFonts w:hint="eastAsia" w:ascii="宋体" w:hAnsi="宋体" w:cs="仿宋_GB2312"/>
          <w:color w:val="auto"/>
          <w:sz w:val="24"/>
          <w:highlight w:val="none"/>
        </w:rPr>
      </w:pPr>
      <w:r>
        <w:rPr>
          <w:rFonts w:hint="eastAsia" w:ascii="宋体" w:hAnsi="宋体" w:cs="仿宋_GB2312"/>
          <w:color w:val="auto"/>
          <w:sz w:val="24"/>
          <w:highlight w:val="none"/>
        </w:rPr>
        <w:t>供应商（</w:t>
      </w:r>
      <w:r>
        <w:rPr>
          <w:rFonts w:hint="eastAsia" w:ascii="宋体" w:hAnsi="宋体"/>
          <w:color w:val="auto"/>
          <w:spacing w:val="6"/>
          <w:sz w:val="24"/>
          <w:highlight w:val="none"/>
          <w:lang w:val="en-US" w:eastAsia="zh-CN"/>
        </w:rPr>
        <w:t>电子签章</w:t>
      </w:r>
      <w:r>
        <w:rPr>
          <w:rFonts w:hint="eastAsia" w:ascii="宋体" w:hAnsi="宋体" w:cs="仿宋_GB2312"/>
          <w:color w:val="auto"/>
          <w:sz w:val="24"/>
          <w:highlight w:val="none"/>
        </w:rPr>
        <w:t xml:space="preserve">）：      </w:t>
      </w:r>
    </w:p>
    <w:p w14:paraId="2893EA11">
      <w:pPr>
        <w:pageBreakBefore w:val="0"/>
        <w:kinsoku/>
        <w:wordWrap/>
        <w:topLinePunct w:val="0"/>
        <w:bidi w:val="0"/>
        <w:spacing w:line="312" w:lineRule="auto"/>
        <w:ind w:left="0" w:leftChars="0" w:right="-817" w:rightChars="-389" w:firstLine="5520" w:firstLineChars="0"/>
        <w:contextualSpacing/>
        <w:rPr>
          <w:rFonts w:hint="eastAsia" w:ascii="仿宋_GB2312" w:hAnsi="仿宋_GB2312" w:eastAsia="仿宋_GB2312" w:cs="仿宋_GB2312"/>
          <w:b/>
          <w:color w:val="auto"/>
          <w:sz w:val="32"/>
          <w:szCs w:val="32"/>
          <w:highlight w:val="none"/>
        </w:rPr>
      </w:pPr>
      <w:r>
        <w:rPr>
          <w:rFonts w:hint="eastAsia" w:ascii="宋体" w:hAnsi="宋体" w:cs="仿宋_GB2312"/>
          <w:color w:val="auto"/>
          <w:sz w:val="24"/>
          <w:highlight w:val="none"/>
        </w:rPr>
        <w:t>日期：   年   月   日</w:t>
      </w:r>
    </w:p>
    <w:p w14:paraId="01D18B5A">
      <w:pPr>
        <w:pageBreakBefore w:val="0"/>
        <w:kinsoku/>
        <w:wordWrap/>
        <w:topLinePunct w:val="0"/>
        <w:bidi w:val="0"/>
        <w:adjustRightInd w:val="0"/>
        <w:snapToGrid w:val="0"/>
        <w:spacing w:line="312" w:lineRule="auto"/>
        <w:ind w:firstLine="7040" w:firstLineChars="1600"/>
        <w:jc w:val="center"/>
        <w:rPr>
          <w:rFonts w:hint="eastAsia" w:ascii="方正小标宋简体" w:hAnsi="方正小标宋简体" w:eastAsia="方正小标宋简体" w:cs="方正小标宋简体"/>
          <w:bCs/>
          <w:color w:val="auto"/>
          <w:sz w:val="44"/>
          <w:szCs w:val="44"/>
          <w:highlight w:val="none"/>
        </w:rPr>
      </w:pPr>
    </w:p>
    <w:p w14:paraId="25FF2C52">
      <w:pPr>
        <w:pageBreakBefore w:val="0"/>
        <w:kinsoku/>
        <w:wordWrap/>
        <w:topLinePunct w:val="0"/>
        <w:bidi w:val="0"/>
        <w:adjustRightInd w:val="0"/>
        <w:snapToGrid w:val="0"/>
        <w:spacing w:line="312" w:lineRule="auto"/>
        <w:ind w:firstLine="7040" w:firstLineChars="1600"/>
        <w:jc w:val="center"/>
        <w:rPr>
          <w:rFonts w:hint="eastAsia" w:ascii="方正小标宋简体" w:hAnsi="方正小标宋简体" w:eastAsia="方正小标宋简体" w:cs="方正小标宋简体"/>
          <w:bCs/>
          <w:color w:val="auto"/>
          <w:sz w:val="44"/>
          <w:szCs w:val="44"/>
          <w:highlight w:val="none"/>
        </w:rPr>
      </w:pPr>
    </w:p>
    <w:p w14:paraId="54400666">
      <w:pPr>
        <w:pageBreakBefore w:val="0"/>
        <w:kinsoku/>
        <w:wordWrap/>
        <w:topLinePunct w:val="0"/>
        <w:bidi w:val="0"/>
        <w:adjustRightInd w:val="0"/>
        <w:snapToGrid w:val="0"/>
        <w:spacing w:line="312" w:lineRule="auto"/>
        <w:ind w:firstLine="7040" w:firstLineChars="1600"/>
        <w:jc w:val="center"/>
        <w:rPr>
          <w:rFonts w:hint="eastAsia" w:ascii="方正小标宋简体" w:hAnsi="方正小标宋简体" w:eastAsia="方正小标宋简体" w:cs="方正小标宋简体"/>
          <w:bCs/>
          <w:color w:val="auto"/>
          <w:sz w:val="44"/>
          <w:szCs w:val="44"/>
          <w:highlight w:val="none"/>
        </w:rPr>
      </w:pPr>
    </w:p>
    <w:p w14:paraId="6B6E6136">
      <w:pPr>
        <w:pageBreakBefore w:val="0"/>
        <w:kinsoku/>
        <w:wordWrap/>
        <w:topLinePunct w:val="0"/>
        <w:bidi w:val="0"/>
        <w:adjustRightInd w:val="0"/>
        <w:snapToGrid w:val="0"/>
        <w:spacing w:line="312" w:lineRule="auto"/>
        <w:ind w:firstLine="7040" w:firstLineChars="1600"/>
        <w:jc w:val="center"/>
        <w:rPr>
          <w:rFonts w:hint="eastAsia" w:ascii="方正小标宋简体" w:hAnsi="方正小标宋简体" w:eastAsia="方正小标宋简体" w:cs="方正小标宋简体"/>
          <w:bCs/>
          <w:color w:val="auto"/>
          <w:sz w:val="44"/>
          <w:szCs w:val="44"/>
          <w:highlight w:val="none"/>
        </w:rPr>
      </w:pPr>
    </w:p>
    <w:p w14:paraId="02AFB0C7">
      <w:pPr>
        <w:pageBreakBefore w:val="0"/>
        <w:kinsoku/>
        <w:wordWrap/>
        <w:topLinePunct w:val="0"/>
        <w:bidi w:val="0"/>
        <w:adjustRightInd w:val="0"/>
        <w:snapToGrid w:val="0"/>
        <w:spacing w:line="312" w:lineRule="auto"/>
        <w:rPr>
          <w:rFonts w:hint="eastAsia" w:ascii="宋体" w:hAnsi="宋体"/>
          <w:color w:val="auto"/>
          <w:szCs w:val="21"/>
          <w:highlight w:val="none"/>
          <w:u w:val="single"/>
        </w:rPr>
      </w:pPr>
    </w:p>
    <w:p w14:paraId="405CE1D1">
      <w:pPr>
        <w:pageBreakBefore w:val="0"/>
        <w:kinsoku/>
        <w:wordWrap/>
        <w:topLinePunct w:val="0"/>
        <w:bidi w:val="0"/>
        <w:adjustRightInd w:val="0"/>
        <w:snapToGrid w:val="0"/>
        <w:spacing w:line="312" w:lineRule="auto"/>
        <w:jc w:val="center"/>
        <w:outlineLvl w:val="2"/>
        <w:rPr>
          <w:rFonts w:hint="eastAsia" w:ascii="方正小标宋简体" w:hAnsi="方正小标宋简体" w:eastAsia="方正小标宋简体" w:cs="方正小标宋简体"/>
          <w:bCs/>
          <w:color w:val="auto"/>
          <w:sz w:val="44"/>
          <w:szCs w:val="44"/>
          <w:highlight w:val="none"/>
        </w:rPr>
      </w:pPr>
      <w:r>
        <w:rPr>
          <w:rFonts w:ascii="方正小标宋简体" w:hAnsi="方正小标宋简体" w:eastAsia="方正小标宋简体" w:cs="方正小标宋简体"/>
          <w:bCs/>
          <w:color w:val="auto"/>
          <w:sz w:val="44"/>
          <w:szCs w:val="44"/>
          <w:highlight w:val="none"/>
        </w:rPr>
        <w:br w:type="page"/>
      </w:r>
      <w:r>
        <w:rPr>
          <w:rFonts w:hint="eastAsia" w:ascii="方正小标宋简体" w:hAnsi="方正小标宋简体" w:eastAsia="方正小标宋简体" w:cs="方正小标宋简体"/>
          <w:bCs/>
          <w:color w:val="auto"/>
          <w:sz w:val="44"/>
          <w:szCs w:val="44"/>
          <w:highlight w:val="none"/>
          <w:lang w:val="en-US" w:eastAsia="zh-CN"/>
        </w:rPr>
        <w:t>技术</w:t>
      </w:r>
      <w:r>
        <w:rPr>
          <w:rFonts w:hint="eastAsia" w:ascii="方正小标宋简体" w:hAnsi="方正小标宋简体" w:eastAsia="方正小标宋简体" w:cs="方正小标宋简体"/>
          <w:bCs/>
          <w:color w:val="auto"/>
          <w:sz w:val="44"/>
          <w:szCs w:val="44"/>
          <w:highlight w:val="none"/>
        </w:rPr>
        <w:t>需求偏离表</w:t>
      </w:r>
    </w:p>
    <w:p w14:paraId="0286C0B0">
      <w:pPr>
        <w:pageBreakBefore w:val="0"/>
        <w:kinsoku/>
        <w:wordWrap/>
        <w:topLinePunct w:val="0"/>
        <w:bidi w:val="0"/>
        <w:spacing w:line="312" w:lineRule="auto"/>
        <w:rPr>
          <w:rFonts w:hint="eastAsia" w:ascii="仿宋_GB2312" w:hAnsi="仿宋_GB2312" w:eastAsia="仿宋_GB2312" w:cs="仿宋_GB2312"/>
          <w:color w:val="auto"/>
          <w:sz w:val="32"/>
          <w:szCs w:val="32"/>
          <w:highlight w:val="none"/>
        </w:rPr>
      </w:pPr>
    </w:p>
    <w:p w14:paraId="2E0E4F18">
      <w:pPr>
        <w:pageBreakBefore w:val="0"/>
        <w:kinsoku/>
        <w:wordWrap/>
        <w:topLinePunct w:val="0"/>
        <w:bidi w:val="0"/>
        <w:spacing w:line="312" w:lineRule="auto"/>
        <w:contextualSpacing/>
        <w:rPr>
          <w:rFonts w:hint="eastAsia" w:ascii="宋体" w:hAnsi="宋体" w:cs="仿宋_GB2312"/>
          <w:color w:val="auto"/>
          <w:sz w:val="24"/>
          <w:highlight w:val="none"/>
          <w:u w:val="single"/>
        </w:rPr>
      </w:pPr>
      <w:r>
        <w:rPr>
          <w:rFonts w:hint="eastAsia" w:ascii="宋体" w:hAnsi="宋体" w:cs="仿宋_GB2312"/>
          <w:color w:val="auto"/>
          <w:sz w:val="24"/>
          <w:highlight w:val="none"/>
        </w:rPr>
        <w:t>采购项目编号：</w:t>
      </w:r>
      <w:r>
        <w:rPr>
          <w:rFonts w:hint="eastAsia" w:ascii="宋体" w:hAnsi="宋体" w:cs="仿宋_GB2312"/>
          <w:color w:val="auto"/>
          <w:sz w:val="24"/>
          <w:highlight w:val="none"/>
          <w:u w:val="single"/>
        </w:rPr>
        <w:t xml:space="preserve">                 </w:t>
      </w:r>
    </w:p>
    <w:p w14:paraId="35B2A768">
      <w:pPr>
        <w:pageBreakBefore w:val="0"/>
        <w:kinsoku/>
        <w:wordWrap/>
        <w:topLinePunct w:val="0"/>
        <w:bidi w:val="0"/>
        <w:spacing w:line="312"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采购项目名称：</w:t>
      </w:r>
      <w:r>
        <w:rPr>
          <w:rFonts w:hint="eastAsia" w:ascii="宋体" w:hAnsi="宋体" w:cs="仿宋_GB2312"/>
          <w:color w:val="auto"/>
          <w:sz w:val="24"/>
          <w:highlight w:val="none"/>
          <w:u w:val="single"/>
        </w:rPr>
        <w:t xml:space="preserve">                 </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00"/>
        <w:gridCol w:w="900"/>
        <w:gridCol w:w="2989"/>
        <w:gridCol w:w="2690"/>
        <w:gridCol w:w="1467"/>
      </w:tblGrid>
      <w:tr w14:paraId="1267FFF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00" w:type="dxa"/>
            <w:noWrap w:val="0"/>
            <w:vAlign w:val="center"/>
          </w:tcPr>
          <w:p w14:paraId="27622398">
            <w:pPr>
              <w:pStyle w:val="13"/>
              <w:keepNext w:val="0"/>
              <w:keepLines w:val="0"/>
              <w:pageBreakBefore w:val="0"/>
              <w:suppressLineNumbers w:val="0"/>
              <w:kinsoku/>
              <w:wordWrap/>
              <w:topLinePunct w:val="0"/>
              <w:bidi w:val="0"/>
              <w:spacing w:before="0" w:beforeAutospacing="0" w:after="0" w:afterAutospacing="0" w:line="312" w:lineRule="auto"/>
              <w:ind w:left="0" w:right="0" w:firstLine="0" w:firstLineChars="0"/>
              <w:contextualSpacing/>
              <w:jc w:val="center"/>
              <w:rPr>
                <w:rFonts w:hint="eastAsia" w:ascii="宋体" w:hAnsi="宋体" w:eastAsia="宋体" w:cs="仿宋_GB2312"/>
                <w:color w:val="auto"/>
                <w:kern w:val="2"/>
                <w:sz w:val="24"/>
                <w:szCs w:val="24"/>
                <w:highlight w:val="none"/>
                <w:lang w:val="en-US" w:eastAsia="zh-CN"/>
              </w:rPr>
            </w:pPr>
            <w:bookmarkStart w:id="113" w:name="_Toc295404981"/>
            <w:bookmarkStart w:id="114" w:name="_Toc297193185"/>
            <w:bookmarkStart w:id="115" w:name="_Toc383699906"/>
            <w:bookmarkStart w:id="116" w:name="_Toc254970588"/>
            <w:bookmarkStart w:id="117" w:name="_Toc254970729"/>
            <w:bookmarkStart w:id="118" w:name="_Toc173211900"/>
            <w:bookmarkStart w:id="119" w:name="_Toc373333689"/>
            <w:bookmarkStart w:id="120" w:name="_Toc301781611"/>
            <w:bookmarkStart w:id="121" w:name="_Toc173066401"/>
            <w:r>
              <w:rPr>
                <w:rFonts w:hint="eastAsia" w:ascii="宋体" w:hAnsi="宋体" w:eastAsia="宋体" w:cs="仿宋_GB2312"/>
                <w:color w:val="auto"/>
                <w:kern w:val="2"/>
                <w:sz w:val="24"/>
                <w:szCs w:val="24"/>
                <w:highlight w:val="none"/>
                <w:lang w:val="en-US" w:eastAsia="zh-CN"/>
              </w:rPr>
              <w:t>序号</w:t>
            </w:r>
            <w:bookmarkEnd w:id="113"/>
            <w:bookmarkEnd w:id="114"/>
            <w:bookmarkEnd w:id="115"/>
            <w:bookmarkEnd w:id="116"/>
            <w:bookmarkEnd w:id="117"/>
            <w:bookmarkEnd w:id="118"/>
            <w:bookmarkEnd w:id="119"/>
            <w:bookmarkEnd w:id="120"/>
            <w:bookmarkEnd w:id="121"/>
          </w:p>
        </w:tc>
        <w:tc>
          <w:tcPr>
            <w:tcW w:w="900" w:type="dxa"/>
            <w:tcBorders>
              <w:right w:val="single" w:color="auto" w:sz="4" w:space="0"/>
            </w:tcBorders>
            <w:noWrap w:val="0"/>
            <w:vAlign w:val="center"/>
          </w:tcPr>
          <w:p w14:paraId="2F0FD986">
            <w:pPr>
              <w:pStyle w:val="13"/>
              <w:keepNext w:val="0"/>
              <w:keepLines w:val="0"/>
              <w:pageBreakBefore w:val="0"/>
              <w:suppressLineNumbers w:val="0"/>
              <w:kinsoku/>
              <w:wordWrap/>
              <w:topLinePunct w:val="0"/>
              <w:bidi w:val="0"/>
              <w:spacing w:before="0" w:beforeAutospacing="0" w:after="0" w:afterAutospacing="0" w:line="312" w:lineRule="auto"/>
              <w:ind w:left="0" w:right="0" w:firstLine="0" w:firstLineChars="0"/>
              <w:contextualSpacing/>
              <w:jc w:val="center"/>
              <w:rPr>
                <w:rFonts w:hint="eastAsia" w:ascii="宋体" w:hAnsi="宋体" w:eastAsia="宋体" w:cs="仿宋_GB2312"/>
                <w:color w:val="auto"/>
                <w:kern w:val="2"/>
                <w:sz w:val="24"/>
                <w:szCs w:val="24"/>
                <w:highlight w:val="none"/>
                <w:lang w:val="en-US" w:eastAsia="zh-CN"/>
              </w:rPr>
            </w:pPr>
            <w:r>
              <w:rPr>
                <w:rFonts w:hint="eastAsia" w:ascii="宋体" w:hAnsi="宋体" w:eastAsia="宋体" w:cs="仿宋_GB2312"/>
                <w:color w:val="auto"/>
                <w:kern w:val="2"/>
                <w:sz w:val="24"/>
                <w:szCs w:val="24"/>
                <w:highlight w:val="none"/>
                <w:lang w:val="en-US" w:eastAsia="zh-CN"/>
              </w:rPr>
              <w:t>名称</w:t>
            </w:r>
          </w:p>
        </w:tc>
        <w:tc>
          <w:tcPr>
            <w:tcW w:w="2989" w:type="dxa"/>
            <w:tcBorders>
              <w:left w:val="single" w:color="auto" w:sz="4" w:space="0"/>
            </w:tcBorders>
            <w:noWrap w:val="0"/>
            <w:vAlign w:val="center"/>
          </w:tcPr>
          <w:p w14:paraId="5577954A">
            <w:pPr>
              <w:pStyle w:val="13"/>
              <w:keepNext w:val="0"/>
              <w:keepLines w:val="0"/>
              <w:pageBreakBefore w:val="0"/>
              <w:suppressLineNumbers w:val="0"/>
              <w:kinsoku/>
              <w:wordWrap/>
              <w:topLinePunct w:val="0"/>
              <w:bidi w:val="0"/>
              <w:spacing w:before="0" w:beforeAutospacing="0" w:after="0" w:afterAutospacing="0" w:line="312" w:lineRule="auto"/>
              <w:ind w:left="0" w:right="0" w:firstLine="0" w:firstLineChars="0"/>
              <w:contextualSpacing/>
              <w:jc w:val="center"/>
              <w:rPr>
                <w:rFonts w:hint="eastAsia" w:ascii="宋体" w:hAnsi="宋体" w:eastAsia="宋体" w:cs="仿宋_GB2312"/>
                <w:color w:val="auto"/>
                <w:kern w:val="2"/>
                <w:sz w:val="24"/>
                <w:szCs w:val="24"/>
                <w:highlight w:val="none"/>
                <w:lang w:val="en-US" w:eastAsia="zh-CN"/>
              </w:rPr>
            </w:pPr>
            <w:r>
              <w:rPr>
                <w:rFonts w:hint="eastAsia" w:ascii="宋体" w:hAnsi="宋体" w:eastAsia="宋体" w:cs="仿宋_GB2312"/>
                <w:color w:val="auto"/>
                <w:kern w:val="2"/>
                <w:sz w:val="24"/>
                <w:szCs w:val="24"/>
                <w:highlight w:val="none"/>
                <w:lang w:val="en-US" w:eastAsia="zh-CN"/>
              </w:rPr>
              <w:t>磋商文件技术需求</w:t>
            </w:r>
          </w:p>
        </w:tc>
        <w:tc>
          <w:tcPr>
            <w:tcW w:w="2690" w:type="dxa"/>
            <w:noWrap w:val="0"/>
            <w:vAlign w:val="center"/>
          </w:tcPr>
          <w:p w14:paraId="77E51A6B">
            <w:pPr>
              <w:pStyle w:val="13"/>
              <w:keepNext w:val="0"/>
              <w:keepLines w:val="0"/>
              <w:pageBreakBefore w:val="0"/>
              <w:suppressLineNumbers w:val="0"/>
              <w:kinsoku/>
              <w:wordWrap/>
              <w:topLinePunct w:val="0"/>
              <w:bidi w:val="0"/>
              <w:spacing w:before="0" w:beforeAutospacing="0" w:after="0" w:afterAutospacing="0" w:line="312" w:lineRule="auto"/>
              <w:ind w:left="0" w:right="0" w:firstLine="0" w:firstLineChars="0"/>
              <w:contextualSpacing/>
              <w:jc w:val="center"/>
              <w:rPr>
                <w:rFonts w:hint="eastAsia" w:ascii="宋体" w:hAnsi="宋体" w:eastAsia="宋体" w:cs="仿宋_GB2312"/>
                <w:color w:val="auto"/>
                <w:kern w:val="2"/>
                <w:sz w:val="24"/>
                <w:szCs w:val="24"/>
                <w:highlight w:val="none"/>
                <w:lang w:val="en-US" w:eastAsia="zh-CN"/>
              </w:rPr>
            </w:pPr>
            <w:bookmarkStart w:id="122" w:name="_Toc301781613"/>
            <w:bookmarkStart w:id="123" w:name="_Toc254970731"/>
            <w:bookmarkStart w:id="124" w:name="_Toc173066403"/>
            <w:bookmarkStart w:id="125" w:name="_Toc173211902"/>
            <w:bookmarkStart w:id="126" w:name="_Toc295404983"/>
            <w:bookmarkStart w:id="127" w:name="_Toc373333691"/>
            <w:bookmarkStart w:id="128" w:name="_Toc383699908"/>
            <w:bookmarkStart w:id="129" w:name="_Toc254970590"/>
            <w:bookmarkStart w:id="130" w:name="_Toc297193187"/>
            <w:r>
              <w:rPr>
                <w:rFonts w:hint="eastAsia" w:ascii="宋体" w:hAnsi="宋体" w:eastAsia="宋体" w:cs="仿宋_GB2312"/>
                <w:color w:val="auto"/>
                <w:kern w:val="2"/>
                <w:sz w:val="24"/>
                <w:szCs w:val="24"/>
                <w:highlight w:val="none"/>
                <w:lang w:val="en-US" w:eastAsia="zh-CN"/>
              </w:rPr>
              <w:t>竞标响应</w:t>
            </w:r>
            <w:bookmarkEnd w:id="122"/>
            <w:bookmarkEnd w:id="123"/>
            <w:bookmarkEnd w:id="124"/>
            <w:bookmarkEnd w:id="125"/>
            <w:bookmarkEnd w:id="126"/>
            <w:bookmarkEnd w:id="127"/>
            <w:bookmarkEnd w:id="128"/>
            <w:bookmarkEnd w:id="129"/>
            <w:bookmarkEnd w:id="130"/>
          </w:p>
        </w:tc>
        <w:tc>
          <w:tcPr>
            <w:tcW w:w="1467" w:type="dxa"/>
            <w:noWrap w:val="0"/>
            <w:vAlign w:val="center"/>
          </w:tcPr>
          <w:p w14:paraId="46F4FDAA">
            <w:pPr>
              <w:pStyle w:val="13"/>
              <w:keepNext w:val="0"/>
              <w:keepLines w:val="0"/>
              <w:pageBreakBefore w:val="0"/>
              <w:suppressLineNumbers w:val="0"/>
              <w:kinsoku/>
              <w:wordWrap/>
              <w:topLinePunct w:val="0"/>
              <w:bidi w:val="0"/>
              <w:spacing w:before="0" w:beforeAutospacing="0" w:after="0" w:afterAutospacing="0" w:line="312" w:lineRule="auto"/>
              <w:ind w:left="0" w:right="0" w:firstLine="0" w:firstLineChars="0"/>
              <w:contextualSpacing/>
              <w:jc w:val="center"/>
              <w:rPr>
                <w:rFonts w:hint="eastAsia" w:ascii="宋体" w:hAnsi="宋体" w:eastAsia="宋体" w:cs="仿宋_GB2312"/>
                <w:color w:val="auto"/>
                <w:kern w:val="2"/>
                <w:sz w:val="24"/>
                <w:szCs w:val="24"/>
                <w:highlight w:val="none"/>
                <w:lang w:val="en-US" w:eastAsia="zh-CN"/>
              </w:rPr>
            </w:pPr>
            <w:bookmarkStart w:id="131" w:name="_Toc383699909"/>
            <w:bookmarkStart w:id="132" w:name="_Toc173066404"/>
            <w:bookmarkStart w:id="133" w:name="_Toc254970732"/>
            <w:bookmarkStart w:id="134" w:name="_Toc373333692"/>
            <w:bookmarkStart w:id="135" w:name="_Toc295404984"/>
            <w:bookmarkStart w:id="136" w:name="_Toc297193188"/>
            <w:bookmarkStart w:id="137" w:name="_Toc254970591"/>
            <w:bookmarkStart w:id="138" w:name="_Toc301781614"/>
            <w:bookmarkStart w:id="139" w:name="_Toc173211903"/>
            <w:r>
              <w:rPr>
                <w:rFonts w:hint="eastAsia" w:ascii="宋体" w:hAnsi="宋体" w:eastAsia="宋体" w:cs="仿宋_GB2312"/>
                <w:color w:val="auto"/>
                <w:kern w:val="2"/>
                <w:sz w:val="24"/>
                <w:szCs w:val="24"/>
                <w:highlight w:val="none"/>
                <w:lang w:val="en-US" w:eastAsia="zh-CN"/>
              </w:rPr>
              <w:t>偏离</w:t>
            </w:r>
            <w:bookmarkEnd w:id="131"/>
            <w:bookmarkEnd w:id="132"/>
            <w:bookmarkEnd w:id="133"/>
            <w:bookmarkEnd w:id="134"/>
            <w:bookmarkEnd w:id="135"/>
            <w:bookmarkEnd w:id="136"/>
            <w:bookmarkEnd w:id="137"/>
            <w:bookmarkEnd w:id="138"/>
            <w:bookmarkEnd w:id="139"/>
            <w:bookmarkStart w:id="140" w:name="_Toc297193189"/>
            <w:bookmarkStart w:id="141" w:name="_Toc254970733"/>
            <w:bookmarkStart w:id="142" w:name="_Toc301781615"/>
            <w:bookmarkStart w:id="143" w:name="_Toc173211904"/>
            <w:bookmarkStart w:id="144" w:name="_Toc383699910"/>
            <w:bookmarkStart w:id="145" w:name="_Toc173066405"/>
            <w:bookmarkStart w:id="146" w:name="_Toc254970592"/>
            <w:bookmarkStart w:id="147" w:name="_Toc295404985"/>
            <w:bookmarkStart w:id="148" w:name="_Toc373333693"/>
            <w:r>
              <w:rPr>
                <w:rFonts w:hint="eastAsia" w:ascii="宋体" w:hAnsi="宋体" w:eastAsia="宋体" w:cs="仿宋_GB2312"/>
                <w:color w:val="auto"/>
                <w:kern w:val="2"/>
                <w:sz w:val="24"/>
                <w:szCs w:val="24"/>
                <w:highlight w:val="none"/>
                <w:lang w:val="en-US" w:eastAsia="zh-CN"/>
              </w:rPr>
              <w:t>说明</w:t>
            </w:r>
            <w:bookmarkEnd w:id="140"/>
            <w:bookmarkEnd w:id="141"/>
            <w:bookmarkEnd w:id="142"/>
            <w:bookmarkEnd w:id="143"/>
            <w:bookmarkEnd w:id="144"/>
            <w:bookmarkEnd w:id="145"/>
            <w:bookmarkEnd w:id="146"/>
            <w:bookmarkEnd w:id="147"/>
            <w:bookmarkEnd w:id="148"/>
          </w:p>
        </w:tc>
      </w:tr>
      <w:tr w14:paraId="1656B9A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00" w:type="dxa"/>
            <w:noWrap w:val="0"/>
            <w:vAlign w:val="center"/>
          </w:tcPr>
          <w:p w14:paraId="174C8F6B">
            <w:pPr>
              <w:pStyle w:val="13"/>
              <w:keepNext w:val="0"/>
              <w:keepLines w:val="0"/>
              <w:pageBreakBefore w:val="0"/>
              <w:suppressLineNumbers w:val="0"/>
              <w:kinsoku/>
              <w:wordWrap/>
              <w:topLinePunct w:val="0"/>
              <w:bidi w:val="0"/>
              <w:spacing w:before="0" w:beforeAutospacing="0" w:after="0" w:afterAutospacing="0" w:line="312" w:lineRule="auto"/>
              <w:ind w:left="0" w:right="0" w:firstLine="0" w:firstLineChars="0"/>
              <w:contextualSpacing/>
              <w:jc w:val="center"/>
              <w:rPr>
                <w:rFonts w:hint="eastAsia" w:ascii="宋体" w:hAnsi="宋体" w:eastAsia="宋体" w:cs="仿宋_GB2312"/>
                <w:color w:val="auto"/>
                <w:kern w:val="2"/>
                <w:sz w:val="24"/>
                <w:szCs w:val="24"/>
                <w:highlight w:val="none"/>
                <w:lang w:val="en-US" w:eastAsia="zh-CN"/>
              </w:rPr>
            </w:pPr>
            <w:bookmarkStart w:id="149" w:name="_Toc254970734"/>
            <w:bookmarkStart w:id="150" w:name="_Toc173066406"/>
            <w:bookmarkStart w:id="151" w:name="_Toc173211905"/>
            <w:bookmarkStart w:id="152" w:name="_Toc383699911"/>
            <w:bookmarkStart w:id="153" w:name="_Toc301781616"/>
            <w:bookmarkStart w:id="154" w:name="_Toc295404986"/>
            <w:bookmarkStart w:id="155" w:name="_Toc254970593"/>
            <w:bookmarkStart w:id="156" w:name="_Toc297193190"/>
            <w:bookmarkStart w:id="157" w:name="_Toc373333694"/>
            <w:r>
              <w:rPr>
                <w:rFonts w:hint="eastAsia" w:ascii="宋体" w:hAnsi="宋体" w:eastAsia="宋体" w:cs="仿宋_GB2312"/>
                <w:color w:val="auto"/>
                <w:kern w:val="2"/>
                <w:sz w:val="24"/>
                <w:szCs w:val="24"/>
                <w:highlight w:val="none"/>
                <w:lang w:val="en-US" w:eastAsia="zh-CN"/>
              </w:rPr>
              <w:t>1</w:t>
            </w:r>
            <w:bookmarkEnd w:id="149"/>
            <w:bookmarkEnd w:id="150"/>
            <w:bookmarkEnd w:id="151"/>
            <w:bookmarkEnd w:id="152"/>
            <w:bookmarkEnd w:id="153"/>
            <w:bookmarkEnd w:id="154"/>
            <w:bookmarkEnd w:id="155"/>
            <w:bookmarkEnd w:id="156"/>
            <w:bookmarkEnd w:id="157"/>
          </w:p>
        </w:tc>
        <w:tc>
          <w:tcPr>
            <w:tcW w:w="900" w:type="dxa"/>
            <w:tcBorders>
              <w:right w:val="single" w:color="auto" w:sz="4" w:space="0"/>
            </w:tcBorders>
            <w:noWrap w:val="0"/>
            <w:vAlign w:val="center"/>
          </w:tcPr>
          <w:p w14:paraId="0C4FFF3E">
            <w:pPr>
              <w:pStyle w:val="13"/>
              <w:keepNext w:val="0"/>
              <w:keepLines w:val="0"/>
              <w:pageBreakBefore w:val="0"/>
              <w:suppressLineNumbers w:val="0"/>
              <w:kinsoku/>
              <w:wordWrap/>
              <w:topLinePunct w:val="0"/>
              <w:bidi w:val="0"/>
              <w:spacing w:before="0" w:beforeAutospacing="0" w:after="0" w:afterAutospacing="0" w:line="312" w:lineRule="auto"/>
              <w:ind w:left="0" w:right="0" w:firstLine="0" w:firstLineChars="0"/>
              <w:contextualSpacing/>
              <w:jc w:val="center"/>
              <w:rPr>
                <w:rFonts w:hint="eastAsia" w:ascii="宋体" w:hAnsi="宋体" w:eastAsia="宋体" w:cs="仿宋_GB2312"/>
                <w:color w:val="auto"/>
                <w:kern w:val="2"/>
                <w:sz w:val="24"/>
                <w:szCs w:val="24"/>
                <w:highlight w:val="none"/>
                <w:lang w:val="en-US" w:eastAsia="zh-CN"/>
              </w:rPr>
            </w:pPr>
          </w:p>
        </w:tc>
        <w:tc>
          <w:tcPr>
            <w:tcW w:w="2989" w:type="dxa"/>
            <w:tcBorders>
              <w:left w:val="single" w:color="auto" w:sz="4" w:space="0"/>
            </w:tcBorders>
            <w:noWrap w:val="0"/>
            <w:vAlign w:val="center"/>
          </w:tcPr>
          <w:p w14:paraId="17C60266">
            <w:pPr>
              <w:pStyle w:val="13"/>
              <w:keepNext w:val="0"/>
              <w:keepLines w:val="0"/>
              <w:pageBreakBefore w:val="0"/>
              <w:suppressLineNumbers w:val="0"/>
              <w:kinsoku/>
              <w:wordWrap/>
              <w:topLinePunct w:val="0"/>
              <w:bidi w:val="0"/>
              <w:spacing w:before="0" w:beforeAutospacing="0" w:after="0" w:afterAutospacing="0" w:line="312" w:lineRule="auto"/>
              <w:ind w:left="0" w:right="0" w:firstLine="0" w:firstLineChars="0"/>
              <w:contextualSpacing/>
              <w:jc w:val="center"/>
              <w:rPr>
                <w:rFonts w:hint="eastAsia" w:ascii="宋体" w:hAnsi="宋体" w:eastAsia="宋体" w:cs="仿宋_GB2312"/>
                <w:color w:val="auto"/>
                <w:kern w:val="2"/>
                <w:sz w:val="24"/>
                <w:szCs w:val="24"/>
                <w:highlight w:val="none"/>
                <w:lang w:val="en-US" w:eastAsia="zh-CN"/>
              </w:rPr>
            </w:pPr>
          </w:p>
        </w:tc>
        <w:tc>
          <w:tcPr>
            <w:tcW w:w="2690" w:type="dxa"/>
            <w:noWrap w:val="0"/>
            <w:vAlign w:val="center"/>
          </w:tcPr>
          <w:p w14:paraId="46DF0416">
            <w:pPr>
              <w:pStyle w:val="13"/>
              <w:keepNext w:val="0"/>
              <w:keepLines w:val="0"/>
              <w:pageBreakBefore w:val="0"/>
              <w:suppressLineNumbers w:val="0"/>
              <w:kinsoku/>
              <w:wordWrap/>
              <w:topLinePunct w:val="0"/>
              <w:bidi w:val="0"/>
              <w:spacing w:before="0" w:beforeAutospacing="0" w:after="0" w:afterAutospacing="0" w:line="312" w:lineRule="auto"/>
              <w:ind w:left="0" w:right="0" w:firstLine="0" w:firstLineChars="0"/>
              <w:contextualSpacing/>
              <w:jc w:val="center"/>
              <w:rPr>
                <w:rFonts w:hint="eastAsia" w:ascii="宋体" w:hAnsi="宋体" w:eastAsia="宋体" w:cs="仿宋_GB2312"/>
                <w:color w:val="auto"/>
                <w:kern w:val="2"/>
                <w:sz w:val="24"/>
                <w:szCs w:val="24"/>
                <w:highlight w:val="none"/>
                <w:lang w:val="en-US" w:eastAsia="zh-CN"/>
              </w:rPr>
            </w:pPr>
          </w:p>
        </w:tc>
        <w:tc>
          <w:tcPr>
            <w:tcW w:w="1467" w:type="dxa"/>
            <w:noWrap w:val="0"/>
            <w:vAlign w:val="center"/>
          </w:tcPr>
          <w:p w14:paraId="33FF98C4">
            <w:pPr>
              <w:pStyle w:val="13"/>
              <w:keepNext w:val="0"/>
              <w:keepLines w:val="0"/>
              <w:pageBreakBefore w:val="0"/>
              <w:suppressLineNumbers w:val="0"/>
              <w:kinsoku/>
              <w:wordWrap/>
              <w:topLinePunct w:val="0"/>
              <w:bidi w:val="0"/>
              <w:spacing w:before="0" w:beforeAutospacing="0" w:after="0" w:afterAutospacing="0" w:line="312" w:lineRule="auto"/>
              <w:ind w:left="0" w:right="0" w:firstLine="0" w:firstLineChars="0"/>
              <w:contextualSpacing/>
              <w:jc w:val="center"/>
              <w:rPr>
                <w:rFonts w:hint="eastAsia" w:ascii="宋体" w:hAnsi="宋体" w:eastAsia="宋体" w:cs="仿宋_GB2312"/>
                <w:color w:val="auto"/>
                <w:kern w:val="2"/>
                <w:sz w:val="24"/>
                <w:szCs w:val="24"/>
                <w:highlight w:val="none"/>
                <w:lang w:val="en-US" w:eastAsia="zh-CN"/>
              </w:rPr>
            </w:pPr>
          </w:p>
        </w:tc>
      </w:tr>
      <w:tr w14:paraId="6E29407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00" w:type="dxa"/>
            <w:noWrap w:val="0"/>
            <w:vAlign w:val="center"/>
          </w:tcPr>
          <w:p w14:paraId="6B0E9847">
            <w:pPr>
              <w:pStyle w:val="13"/>
              <w:keepNext w:val="0"/>
              <w:keepLines w:val="0"/>
              <w:pageBreakBefore w:val="0"/>
              <w:suppressLineNumbers w:val="0"/>
              <w:kinsoku/>
              <w:wordWrap/>
              <w:topLinePunct w:val="0"/>
              <w:bidi w:val="0"/>
              <w:spacing w:before="0" w:beforeAutospacing="0" w:after="0" w:afterAutospacing="0" w:line="312" w:lineRule="auto"/>
              <w:ind w:left="0" w:right="0" w:firstLine="0" w:firstLineChars="0"/>
              <w:contextualSpacing/>
              <w:jc w:val="center"/>
              <w:rPr>
                <w:rFonts w:hint="eastAsia" w:ascii="宋体" w:hAnsi="宋体" w:eastAsia="宋体" w:cs="仿宋_GB2312"/>
                <w:color w:val="auto"/>
                <w:kern w:val="2"/>
                <w:sz w:val="24"/>
                <w:szCs w:val="24"/>
                <w:highlight w:val="none"/>
                <w:lang w:val="en-US" w:eastAsia="zh-CN"/>
              </w:rPr>
            </w:pPr>
            <w:bookmarkStart w:id="158" w:name="_Toc295404987"/>
            <w:bookmarkStart w:id="159" w:name="_Toc254970594"/>
            <w:bookmarkStart w:id="160" w:name="_Toc297193191"/>
            <w:bookmarkStart w:id="161" w:name="_Toc301781617"/>
            <w:bookmarkStart w:id="162" w:name="_Toc254970735"/>
            <w:bookmarkStart w:id="163" w:name="_Toc173211906"/>
            <w:bookmarkStart w:id="164" w:name="_Toc173066407"/>
            <w:bookmarkStart w:id="165" w:name="_Toc383699912"/>
            <w:bookmarkStart w:id="166" w:name="_Toc373333695"/>
            <w:r>
              <w:rPr>
                <w:rFonts w:hint="eastAsia" w:ascii="宋体" w:hAnsi="宋体" w:eastAsia="宋体" w:cs="仿宋_GB2312"/>
                <w:color w:val="auto"/>
                <w:kern w:val="2"/>
                <w:sz w:val="24"/>
                <w:szCs w:val="24"/>
                <w:highlight w:val="none"/>
                <w:lang w:val="en-US" w:eastAsia="zh-CN"/>
              </w:rPr>
              <w:t>2</w:t>
            </w:r>
            <w:bookmarkEnd w:id="158"/>
            <w:bookmarkEnd w:id="159"/>
            <w:bookmarkEnd w:id="160"/>
            <w:bookmarkEnd w:id="161"/>
            <w:bookmarkEnd w:id="162"/>
            <w:bookmarkEnd w:id="163"/>
            <w:bookmarkEnd w:id="164"/>
            <w:bookmarkEnd w:id="165"/>
            <w:bookmarkEnd w:id="166"/>
          </w:p>
        </w:tc>
        <w:tc>
          <w:tcPr>
            <w:tcW w:w="900" w:type="dxa"/>
            <w:tcBorders>
              <w:right w:val="single" w:color="auto" w:sz="4" w:space="0"/>
            </w:tcBorders>
            <w:noWrap w:val="0"/>
            <w:vAlign w:val="center"/>
          </w:tcPr>
          <w:p w14:paraId="48613932">
            <w:pPr>
              <w:pStyle w:val="13"/>
              <w:keepNext w:val="0"/>
              <w:keepLines w:val="0"/>
              <w:pageBreakBefore w:val="0"/>
              <w:suppressLineNumbers w:val="0"/>
              <w:kinsoku/>
              <w:wordWrap/>
              <w:topLinePunct w:val="0"/>
              <w:bidi w:val="0"/>
              <w:spacing w:before="0" w:beforeAutospacing="0" w:after="0" w:afterAutospacing="0" w:line="312" w:lineRule="auto"/>
              <w:ind w:left="0" w:right="0" w:firstLine="0" w:firstLineChars="0"/>
              <w:contextualSpacing/>
              <w:jc w:val="center"/>
              <w:rPr>
                <w:rFonts w:hint="eastAsia" w:ascii="宋体" w:hAnsi="宋体" w:eastAsia="宋体" w:cs="仿宋_GB2312"/>
                <w:color w:val="auto"/>
                <w:kern w:val="2"/>
                <w:sz w:val="24"/>
                <w:szCs w:val="24"/>
                <w:highlight w:val="none"/>
                <w:lang w:val="en-US" w:eastAsia="zh-CN"/>
              </w:rPr>
            </w:pPr>
          </w:p>
        </w:tc>
        <w:tc>
          <w:tcPr>
            <w:tcW w:w="2989" w:type="dxa"/>
            <w:tcBorders>
              <w:left w:val="single" w:color="auto" w:sz="4" w:space="0"/>
            </w:tcBorders>
            <w:noWrap w:val="0"/>
            <w:vAlign w:val="center"/>
          </w:tcPr>
          <w:p w14:paraId="0883DF29">
            <w:pPr>
              <w:pStyle w:val="13"/>
              <w:keepNext w:val="0"/>
              <w:keepLines w:val="0"/>
              <w:pageBreakBefore w:val="0"/>
              <w:suppressLineNumbers w:val="0"/>
              <w:kinsoku/>
              <w:wordWrap/>
              <w:topLinePunct w:val="0"/>
              <w:bidi w:val="0"/>
              <w:spacing w:before="0" w:beforeAutospacing="0" w:after="0" w:afterAutospacing="0" w:line="312" w:lineRule="auto"/>
              <w:ind w:left="0" w:right="0" w:firstLine="0" w:firstLineChars="0"/>
              <w:contextualSpacing/>
              <w:jc w:val="center"/>
              <w:rPr>
                <w:rFonts w:hint="eastAsia" w:ascii="宋体" w:hAnsi="宋体" w:eastAsia="宋体" w:cs="仿宋_GB2312"/>
                <w:color w:val="auto"/>
                <w:kern w:val="2"/>
                <w:sz w:val="24"/>
                <w:szCs w:val="24"/>
                <w:highlight w:val="none"/>
                <w:lang w:val="en-US" w:eastAsia="zh-CN"/>
              </w:rPr>
            </w:pPr>
          </w:p>
        </w:tc>
        <w:tc>
          <w:tcPr>
            <w:tcW w:w="2690" w:type="dxa"/>
            <w:noWrap w:val="0"/>
            <w:vAlign w:val="center"/>
          </w:tcPr>
          <w:p w14:paraId="2359D996">
            <w:pPr>
              <w:pStyle w:val="13"/>
              <w:keepNext w:val="0"/>
              <w:keepLines w:val="0"/>
              <w:pageBreakBefore w:val="0"/>
              <w:suppressLineNumbers w:val="0"/>
              <w:kinsoku/>
              <w:wordWrap/>
              <w:topLinePunct w:val="0"/>
              <w:bidi w:val="0"/>
              <w:spacing w:before="0" w:beforeAutospacing="0" w:after="0" w:afterAutospacing="0" w:line="312" w:lineRule="auto"/>
              <w:ind w:left="0" w:right="0" w:firstLine="0" w:firstLineChars="0"/>
              <w:contextualSpacing/>
              <w:jc w:val="center"/>
              <w:rPr>
                <w:rFonts w:hint="eastAsia" w:ascii="宋体" w:hAnsi="宋体" w:eastAsia="宋体" w:cs="仿宋_GB2312"/>
                <w:color w:val="auto"/>
                <w:kern w:val="2"/>
                <w:sz w:val="24"/>
                <w:szCs w:val="24"/>
                <w:highlight w:val="none"/>
                <w:lang w:val="en-US" w:eastAsia="zh-CN"/>
              </w:rPr>
            </w:pPr>
          </w:p>
        </w:tc>
        <w:tc>
          <w:tcPr>
            <w:tcW w:w="1467" w:type="dxa"/>
            <w:noWrap w:val="0"/>
            <w:vAlign w:val="center"/>
          </w:tcPr>
          <w:p w14:paraId="438F3F58">
            <w:pPr>
              <w:pStyle w:val="13"/>
              <w:keepNext w:val="0"/>
              <w:keepLines w:val="0"/>
              <w:pageBreakBefore w:val="0"/>
              <w:suppressLineNumbers w:val="0"/>
              <w:kinsoku/>
              <w:wordWrap/>
              <w:topLinePunct w:val="0"/>
              <w:bidi w:val="0"/>
              <w:spacing w:before="0" w:beforeAutospacing="0" w:after="0" w:afterAutospacing="0" w:line="312" w:lineRule="auto"/>
              <w:ind w:left="0" w:right="0" w:firstLine="0" w:firstLineChars="0"/>
              <w:contextualSpacing/>
              <w:jc w:val="center"/>
              <w:rPr>
                <w:rFonts w:hint="eastAsia" w:ascii="宋体" w:hAnsi="宋体" w:eastAsia="宋体" w:cs="仿宋_GB2312"/>
                <w:color w:val="auto"/>
                <w:kern w:val="2"/>
                <w:sz w:val="24"/>
                <w:szCs w:val="24"/>
                <w:highlight w:val="none"/>
                <w:lang w:val="en-US" w:eastAsia="zh-CN"/>
              </w:rPr>
            </w:pPr>
          </w:p>
        </w:tc>
      </w:tr>
      <w:tr w14:paraId="6425AF3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00" w:type="dxa"/>
            <w:noWrap w:val="0"/>
            <w:vAlign w:val="center"/>
          </w:tcPr>
          <w:p w14:paraId="1A7DDDF1">
            <w:pPr>
              <w:pStyle w:val="13"/>
              <w:keepNext w:val="0"/>
              <w:keepLines w:val="0"/>
              <w:pageBreakBefore w:val="0"/>
              <w:suppressLineNumbers w:val="0"/>
              <w:kinsoku/>
              <w:wordWrap/>
              <w:topLinePunct w:val="0"/>
              <w:bidi w:val="0"/>
              <w:spacing w:before="0" w:beforeAutospacing="0" w:after="0" w:afterAutospacing="0" w:line="312" w:lineRule="auto"/>
              <w:ind w:left="0" w:right="0" w:firstLine="0" w:firstLineChars="0"/>
              <w:contextualSpacing/>
              <w:jc w:val="center"/>
              <w:rPr>
                <w:rFonts w:hint="eastAsia" w:ascii="宋体" w:hAnsi="宋体" w:eastAsia="宋体" w:cs="仿宋_GB2312"/>
                <w:color w:val="auto"/>
                <w:kern w:val="2"/>
                <w:sz w:val="24"/>
                <w:szCs w:val="24"/>
                <w:highlight w:val="none"/>
                <w:lang w:val="en-US" w:eastAsia="zh-CN"/>
              </w:rPr>
            </w:pPr>
            <w:bookmarkStart w:id="167" w:name="_Toc173066408"/>
            <w:bookmarkStart w:id="168" w:name="_Toc297193192"/>
            <w:bookmarkStart w:id="169" w:name="_Toc173211907"/>
            <w:bookmarkStart w:id="170" w:name="_Toc301781618"/>
            <w:bookmarkStart w:id="171" w:name="_Toc373333696"/>
            <w:bookmarkStart w:id="172" w:name="_Toc383699913"/>
            <w:bookmarkStart w:id="173" w:name="_Toc254970736"/>
            <w:bookmarkStart w:id="174" w:name="_Toc295404988"/>
            <w:bookmarkStart w:id="175" w:name="_Toc254970595"/>
            <w:r>
              <w:rPr>
                <w:rFonts w:hint="eastAsia" w:ascii="宋体" w:hAnsi="宋体" w:eastAsia="宋体" w:cs="仿宋_GB2312"/>
                <w:color w:val="auto"/>
                <w:kern w:val="2"/>
                <w:sz w:val="24"/>
                <w:szCs w:val="24"/>
                <w:highlight w:val="none"/>
                <w:lang w:val="en-US" w:eastAsia="zh-CN"/>
              </w:rPr>
              <w:t>3</w:t>
            </w:r>
            <w:bookmarkEnd w:id="167"/>
            <w:bookmarkEnd w:id="168"/>
            <w:bookmarkEnd w:id="169"/>
            <w:bookmarkEnd w:id="170"/>
            <w:bookmarkEnd w:id="171"/>
            <w:bookmarkEnd w:id="172"/>
            <w:bookmarkEnd w:id="173"/>
            <w:bookmarkEnd w:id="174"/>
            <w:bookmarkEnd w:id="175"/>
          </w:p>
        </w:tc>
        <w:tc>
          <w:tcPr>
            <w:tcW w:w="900" w:type="dxa"/>
            <w:tcBorders>
              <w:right w:val="single" w:color="auto" w:sz="4" w:space="0"/>
            </w:tcBorders>
            <w:noWrap w:val="0"/>
            <w:vAlign w:val="center"/>
          </w:tcPr>
          <w:p w14:paraId="4C844B9B">
            <w:pPr>
              <w:pStyle w:val="13"/>
              <w:keepNext w:val="0"/>
              <w:keepLines w:val="0"/>
              <w:pageBreakBefore w:val="0"/>
              <w:suppressLineNumbers w:val="0"/>
              <w:kinsoku/>
              <w:wordWrap/>
              <w:topLinePunct w:val="0"/>
              <w:bidi w:val="0"/>
              <w:spacing w:before="0" w:beforeAutospacing="0" w:after="0" w:afterAutospacing="0" w:line="312" w:lineRule="auto"/>
              <w:ind w:left="0" w:right="0" w:firstLine="0" w:firstLineChars="0"/>
              <w:contextualSpacing/>
              <w:jc w:val="center"/>
              <w:rPr>
                <w:rFonts w:hint="eastAsia" w:ascii="宋体" w:hAnsi="宋体" w:eastAsia="宋体" w:cs="仿宋_GB2312"/>
                <w:color w:val="auto"/>
                <w:kern w:val="2"/>
                <w:sz w:val="24"/>
                <w:szCs w:val="24"/>
                <w:highlight w:val="none"/>
                <w:lang w:val="en-US" w:eastAsia="zh-CN"/>
              </w:rPr>
            </w:pPr>
          </w:p>
        </w:tc>
        <w:tc>
          <w:tcPr>
            <w:tcW w:w="2989" w:type="dxa"/>
            <w:tcBorders>
              <w:left w:val="single" w:color="auto" w:sz="4" w:space="0"/>
            </w:tcBorders>
            <w:noWrap w:val="0"/>
            <w:vAlign w:val="center"/>
          </w:tcPr>
          <w:p w14:paraId="11EAAC82">
            <w:pPr>
              <w:pStyle w:val="13"/>
              <w:keepNext w:val="0"/>
              <w:keepLines w:val="0"/>
              <w:pageBreakBefore w:val="0"/>
              <w:suppressLineNumbers w:val="0"/>
              <w:kinsoku/>
              <w:wordWrap/>
              <w:topLinePunct w:val="0"/>
              <w:bidi w:val="0"/>
              <w:spacing w:before="0" w:beforeAutospacing="0" w:after="0" w:afterAutospacing="0" w:line="312" w:lineRule="auto"/>
              <w:ind w:left="0" w:right="0" w:firstLine="0" w:firstLineChars="0"/>
              <w:contextualSpacing/>
              <w:jc w:val="center"/>
              <w:rPr>
                <w:rFonts w:hint="eastAsia" w:ascii="宋体" w:hAnsi="宋体" w:eastAsia="宋体" w:cs="仿宋_GB2312"/>
                <w:color w:val="auto"/>
                <w:kern w:val="2"/>
                <w:sz w:val="24"/>
                <w:szCs w:val="24"/>
                <w:highlight w:val="none"/>
                <w:lang w:val="en-US" w:eastAsia="zh-CN"/>
              </w:rPr>
            </w:pPr>
          </w:p>
        </w:tc>
        <w:tc>
          <w:tcPr>
            <w:tcW w:w="2690" w:type="dxa"/>
            <w:noWrap w:val="0"/>
            <w:vAlign w:val="center"/>
          </w:tcPr>
          <w:p w14:paraId="4DD36213">
            <w:pPr>
              <w:pStyle w:val="13"/>
              <w:keepNext w:val="0"/>
              <w:keepLines w:val="0"/>
              <w:pageBreakBefore w:val="0"/>
              <w:suppressLineNumbers w:val="0"/>
              <w:kinsoku/>
              <w:wordWrap/>
              <w:topLinePunct w:val="0"/>
              <w:bidi w:val="0"/>
              <w:spacing w:before="0" w:beforeAutospacing="0" w:after="0" w:afterAutospacing="0" w:line="312" w:lineRule="auto"/>
              <w:ind w:left="0" w:right="0" w:firstLine="0" w:firstLineChars="0"/>
              <w:contextualSpacing/>
              <w:jc w:val="center"/>
              <w:rPr>
                <w:rFonts w:hint="eastAsia" w:ascii="宋体" w:hAnsi="宋体" w:eastAsia="宋体" w:cs="仿宋_GB2312"/>
                <w:color w:val="auto"/>
                <w:kern w:val="2"/>
                <w:sz w:val="24"/>
                <w:szCs w:val="24"/>
                <w:highlight w:val="none"/>
                <w:lang w:val="en-US" w:eastAsia="zh-CN"/>
              </w:rPr>
            </w:pPr>
          </w:p>
        </w:tc>
        <w:tc>
          <w:tcPr>
            <w:tcW w:w="1467" w:type="dxa"/>
            <w:noWrap w:val="0"/>
            <w:vAlign w:val="center"/>
          </w:tcPr>
          <w:p w14:paraId="72B5CE0E">
            <w:pPr>
              <w:pStyle w:val="13"/>
              <w:keepNext w:val="0"/>
              <w:keepLines w:val="0"/>
              <w:pageBreakBefore w:val="0"/>
              <w:suppressLineNumbers w:val="0"/>
              <w:kinsoku/>
              <w:wordWrap/>
              <w:topLinePunct w:val="0"/>
              <w:bidi w:val="0"/>
              <w:spacing w:before="0" w:beforeAutospacing="0" w:after="0" w:afterAutospacing="0" w:line="312" w:lineRule="auto"/>
              <w:ind w:left="0" w:right="0" w:firstLine="0" w:firstLineChars="0"/>
              <w:contextualSpacing/>
              <w:jc w:val="center"/>
              <w:rPr>
                <w:rFonts w:hint="eastAsia" w:ascii="宋体" w:hAnsi="宋体" w:eastAsia="宋体" w:cs="仿宋_GB2312"/>
                <w:color w:val="auto"/>
                <w:kern w:val="2"/>
                <w:sz w:val="24"/>
                <w:szCs w:val="24"/>
                <w:highlight w:val="none"/>
                <w:lang w:val="en-US" w:eastAsia="zh-CN"/>
              </w:rPr>
            </w:pPr>
          </w:p>
        </w:tc>
      </w:tr>
      <w:tr w14:paraId="7B548FD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00" w:type="dxa"/>
            <w:noWrap w:val="0"/>
            <w:vAlign w:val="center"/>
          </w:tcPr>
          <w:p w14:paraId="558BD68E">
            <w:pPr>
              <w:pStyle w:val="13"/>
              <w:keepNext w:val="0"/>
              <w:keepLines w:val="0"/>
              <w:pageBreakBefore w:val="0"/>
              <w:suppressLineNumbers w:val="0"/>
              <w:kinsoku/>
              <w:wordWrap/>
              <w:topLinePunct w:val="0"/>
              <w:bidi w:val="0"/>
              <w:spacing w:before="0" w:beforeAutospacing="0" w:after="0" w:afterAutospacing="0" w:line="312" w:lineRule="auto"/>
              <w:ind w:left="0" w:right="0" w:firstLine="0" w:firstLineChars="0"/>
              <w:contextualSpacing/>
              <w:jc w:val="center"/>
              <w:rPr>
                <w:rFonts w:hint="eastAsia" w:ascii="宋体" w:hAnsi="宋体" w:eastAsia="宋体" w:cs="仿宋_GB2312"/>
                <w:color w:val="auto"/>
                <w:kern w:val="2"/>
                <w:sz w:val="24"/>
                <w:szCs w:val="24"/>
                <w:highlight w:val="none"/>
                <w:lang w:val="en-US" w:eastAsia="zh-CN"/>
              </w:rPr>
            </w:pPr>
            <w:bookmarkStart w:id="176" w:name="_Toc383699914"/>
            <w:bookmarkStart w:id="177" w:name="_Toc373333697"/>
            <w:bookmarkStart w:id="178" w:name="_Toc173211908"/>
            <w:bookmarkStart w:id="179" w:name="_Toc254970596"/>
            <w:bookmarkStart w:id="180" w:name="_Toc301781619"/>
            <w:bookmarkStart w:id="181" w:name="_Toc297193193"/>
            <w:bookmarkStart w:id="182" w:name="_Toc295404989"/>
            <w:bookmarkStart w:id="183" w:name="_Toc173066409"/>
            <w:bookmarkStart w:id="184" w:name="_Toc254970737"/>
            <w:r>
              <w:rPr>
                <w:rFonts w:hint="eastAsia" w:ascii="宋体" w:hAnsi="宋体" w:eastAsia="宋体" w:cs="仿宋_GB2312"/>
                <w:color w:val="auto"/>
                <w:kern w:val="2"/>
                <w:sz w:val="24"/>
                <w:szCs w:val="24"/>
                <w:highlight w:val="none"/>
                <w:lang w:val="en-US" w:eastAsia="zh-CN"/>
              </w:rPr>
              <w:t>4</w:t>
            </w:r>
            <w:bookmarkEnd w:id="176"/>
            <w:bookmarkEnd w:id="177"/>
            <w:bookmarkEnd w:id="178"/>
            <w:bookmarkEnd w:id="179"/>
            <w:bookmarkEnd w:id="180"/>
            <w:bookmarkEnd w:id="181"/>
            <w:bookmarkEnd w:id="182"/>
            <w:bookmarkEnd w:id="183"/>
            <w:bookmarkEnd w:id="184"/>
          </w:p>
        </w:tc>
        <w:tc>
          <w:tcPr>
            <w:tcW w:w="900" w:type="dxa"/>
            <w:tcBorders>
              <w:right w:val="single" w:color="auto" w:sz="4" w:space="0"/>
            </w:tcBorders>
            <w:noWrap w:val="0"/>
            <w:vAlign w:val="center"/>
          </w:tcPr>
          <w:p w14:paraId="3457AFB9">
            <w:pPr>
              <w:pStyle w:val="13"/>
              <w:keepNext w:val="0"/>
              <w:keepLines w:val="0"/>
              <w:pageBreakBefore w:val="0"/>
              <w:suppressLineNumbers w:val="0"/>
              <w:kinsoku/>
              <w:wordWrap/>
              <w:topLinePunct w:val="0"/>
              <w:bidi w:val="0"/>
              <w:spacing w:before="0" w:beforeAutospacing="0" w:after="0" w:afterAutospacing="0" w:line="312" w:lineRule="auto"/>
              <w:ind w:left="0" w:right="0" w:firstLine="0" w:firstLineChars="0"/>
              <w:contextualSpacing/>
              <w:jc w:val="center"/>
              <w:rPr>
                <w:rFonts w:hint="eastAsia" w:ascii="宋体" w:hAnsi="宋体" w:eastAsia="宋体" w:cs="仿宋_GB2312"/>
                <w:color w:val="auto"/>
                <w:kern w:val="2"/>
                <w:sz w:val="24"/>
                <w:szCs w:val="24"/>
                <w:highlight w:val="none"/>
                <w:lang w:val="en-US" w:eastAsia="zh-CN"/>
              </w:rPr>
            </w:pPr>
          </w:p>
        </w:tc>
        <w:tc>
          <w:tcPr>
            <w:tcW w:w="2989" w:type="dxa"/>
            <w:tcBorders>
              <w:left w:val="single" w:color="auto" w:sz="4" w:space="0"/>
            </w:tcBorders>
            <w:noWrap w:val="0"/>
            <w:vAlign w:val="center"/>
          </w:tcPr>
          <w:p w14:paraId="768ECCF2">
            <w:pPr>
              <w:pStyle w:val="13"/>
              <w:keepNext w:val="0"/>
              <w:keepLines w:val="0"/>
              <w:pageBreakBefore w:val="0"/>
              <w:suppressLineNumbers w:val="0"/>
              <w:kinsoku/>
              <w:wordWrap/>
              <w:topLinePunct w:val="0"/>
              <w:bidi w:val="0"/>
              <w:spacing w:before="0" w:beforeAutospacing="0" w:after="0" w:afterAutospacing="0" w:line="312" w:lineRule="auto"/>
              <w:ind w:left="0" w:right="0" w:firstLine="0" w:firstLineChars="0"/>
              <w:contextualSpacing/>
              <w:jc w:val="center"/>
              <w:rPr>
                <w:rFonts w:hint="eastAsia" w:ascii="宋体" w:hAnsi="宋体" w:eastAsia="宋体" w:cs="仿宋_GB2312"/>
                <w:color w:val="auto"/>
                <w:kern w:val="2"/>
                <w:sz w:val="24"/>
                <w:szCs w:val="24"/>
                <w:highlight w:val="none"/>
                <w:lang w:val="en-US" w:eastAsia="zh-CN"/>
              </w:rPr>
            </w:pPr>
          </w:p>
        </w:tc>
        <w:tc>
          <w:tcPr>
            <w:tcW w:w="2690" w:type="dxa"/>
            <w:noWrap w:val="0"/>
            <w:vAlign w:val="center"/>
          </w:tcPr>
          <w:p w14:paraId="173811E9">
            <w:pPr>
              <w:pStyle w:val="13"/>
              <w:keepNext w:val="0"/>
              <w:keepLines w:val="0"/>
              <w:pageBreakBefore w:val="0"/>
              <w:suppressLineNumbers w:val="0"/>
              <w:kinsoku/>
              <w:wordWrap/>
              <w:topLinePunct w:val="0"/>
              <w:bidi w:val="0"/>
              <w:spacing w:before="0" w:beforeAutospacing="0" w:after="0" w:afterAutospacing="0" w:line="312" w:lineRule="auto"/>
              <w:ind w:left="0" w:right="0" w:firstLine="0" w:firstLineChars="0"/>
              <w:contextualSpacing/>
              <w:jc w:val="center"/>
              <w:rPr>
                <w:rFonts w:hint="eastAsia" w:ascii="宋体" w:hAnsi="宋体" w:eastAsia="宋体" w:cs="仿宋_GB2312"/>
                <w:color w:val="auto"/>
                <w:kern w:val="2"/>
                <w:sz w:val="24"/>
                <w:szCs w:val="24"/>
                <w:highlight w:val="none"/>
                <w:lang w:val="en-US" w:eastAsia="zh-CN"/>
              </w:rPr>
            </w:pPr>
          </w:p>
        </w:tc>
        <w:tc>
          <w:tcPr>
            <w:tcW w:w="1467" w:type="dxa"/>
            <w:noWrap w:val="0"/>
            <w:vAlign w:val="center"/>
          </w:tcPr>
          <w:p w14:paraId="4A7A9F46">
            <w:pPr>
              <w:pStyle w:val="13"/>
              <w:keepNext w:val="0"/>
              <w:keepLines w:val="0"/>
              <w:pageBreakBefore w:val="0"/>
              <w:suppressLineNumbers w:val="0"/>
              <w:kinsoku/>
              <w:wordWrap/>
              <w:topLinePunct w:val="0"/>
              <w:bidi w:val="0"/>
              <w:spacing w:before="0" w:beforeAutospacing="0" w:after="0" w:afterAutospacing="0" w:line="312" w:lineRule="auto"/>
              <w:ind w:left="0" w:right="0" w:firstLine="0" w:firstLineChars="0"/>
              <w:contextualSpacing/>
              <w:jc w:val="center"/>
              <w:rPr>
                <w:rFonts w:hint="eastAsia" w:ascii="宋体" w:hAnsi="宋体" w:eastAsia="宋体" w:cs="仿宋_GB2312"/>
                <w:color w:val="auto"/>
                <w:kern w:val="2"/>
                <w:sz w:val="24"/>
                <w:szCs w:val="24"/>
                <w:highlight w:val="none"/>
                <w:lang w:val="en-US" w:eastAsia="zh-CN"/>
              </w:rPr>
            </w:pPr>
          </w:p>
        </w:tc>
      </w:tr>
      <w:tr w14:paraId="56197A0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00" w:type="dxa"/>
            <w:noWrap w:val="0"/>
            <w:vAlign w:val="center"/>
          </w:tcPr>
          <w:p w14:paraId="65726112">
            <w:pPr>
              <w:pStyle w:val="13"/>
              <w:keepNext w:val="0"/>
              <w:keepLines w:val="0"/>
              <w:pageBreakBefore w:val="0"/>
              <w:suppressLineNumbers w:val="0"/>
              <w:kinsoku/>
              <w:wordWrap/>
              <w:topLinePunct w:val="0"/>
              <w:bidi w:val="0"/>
              <w:spacing w:before="0" w:beforeAutospacing="0" w:after="0" w:afterAutospacing="0" w:line="312" w:lineRule="auto"/>
              <w:ind w:left="0" w:right="0" w:firstLine="0" w:firstLineChars="0"/>
              <w:contextualSpacing/>
              <w:jc w:val="center"/>
              <w:rPr>
                <w:rFonts w:hint="eastAsia" w:ascii="宋体" w:hAnsi="宋体" w:eastAsia="宋体" w:cs="仿宋_GB2312"/>
                <w:color w:val="auto"/>
                <w:kern w:val="2"/>
                <w:sz w:val="24"/>
                <w:szCs w:val="24"/>
                <w:highlight w:val="none"/>
                <w:lang w:val="en-US" w:eastAsia="zh-CN"/>
              </w:rPr>
            </w:pPr>
            <w:bookmarkStart w:id="185" w:name="_Toc173066410"/>
            <w:bookmarkStart w:id="186" w:name="_Toc373333698"/>
            <w:bookmarkStart w:id="187" w:name="_Toc254970738"/>
            <w:bookmarkStart w:id="188" w:name="_Toc295404990"/>
            <w:bookmarkStart w:id="189" w:name="_Toc254970597"/>
            <w:bookmarkStart w:id="190" w:name="_Toc173211909"/>
            <w:bookmarkStart w:id="191" w:name="_Toc301781620"/>
            <w:bookmarkStart w:id="192" w:name="_Toc297193194"/>
            <w:bookmarkStart w:id="193" w:name="_Toc383699915"/>
            <w:r>
              <w:rPr>
                <w:rFonts w:hint="eastAsia" w:ascii="宋体" w:hAnsi="宋体" w:eastAsia="宋体" w:cs="仿宋_GB2312"/>
                <w:color w:val="auto"/>
                <w:kern w:val="2"/>
                <w:sz w:val="24"/>
                <w:szCs w:val="24"/>
                <w:highlight w:val="none"/>
                <w:lang w:val="en-US" w:eastAsia="zh-CN"/>
              </w:rPr>
              <w:t>5</w:t>
            </w:r>
            <w:bookmarkEnd w:id="185"/>
            <w:bookmarkEnd w:id="186"/>
            <w:bookmarkEnd w:id="187"/>
            <w:bookmarkEnd w:id="188"/>
            <w:bookmarkEnd w:id="189"/>
            <w:bookmarkEnd w:id="190"/>
            <w:bookmarkEnd w:id="191"/>
            <w:bookmarkEnd w:id="192"/>
            <w:bookmarkEnd w:id="193"/>
          </w:p>
        </w:tc>
        <w:tc>
          <w:tcPr>
            <w:tcW w:w="900" w:type="dxa"/>
            <w:tcBorders>
              <w:right w:val="single" w:color="auto" w:sz="4" w:space="0"/>
            </w:tcBorders>
            <w:noWrap w:val="0"/>
            <w:vAlign w:val="center"/>
          </w:tcPr>
          <w:p w14:paraId="01AC2480">
            <w:pPr>
              <w:pStyle w:val="13"/>
              <w:keepNext w:val="0"/>
              <w:keepLines w:val="0"/>
              <w:pageBreakBefore w:val="0"/>
              <w:suppressLineNumbers w:val="0"/>
              <w:kinsoku/>
              <w:wordWrap/>
              <w:topLinePunct w:val="0"/>
              <w:bidi w:val="0"/>
              <w:spacing w:before="0" w:beforeAutospacing="0" w:after="0" w:afterAutospacing="0" w:line="312" w:lineRule="auto"/>
              <w:ind w:left="0" w:right="0" w:firstLine="0" w:firstLineChars="0"/>
              <w:contextualSpacing/>
              <w:jc w:val="center"/>
              <w:rPr>
                <w:rFonts w:hint="eastAsia" w:ascii="宋体" w:hAnsi="宋体" w:eastAsia="宋体" w:cs="仿宋_GB2312"/>
                <w:color w:val="auto"/>
                <w:kern w:val="2"/>
                <w:sz w:val="24"/>
                <w:szCs w:val="24"/>
                <w:highlight w:val="none"/>
                <w:lang w:val="en-US" w:eastAsia="zh-CN"/>
              </w:rPr>
            </w:pPr>
          </w:p>
        </w:tc>
        <w:tc>
          <w:tcPr>
            <w:tcW w:w="2989" w:type="dxa"/>
            <w:tcBorders>
              <w:left w:val="single" w:color="auto" w:sz="4" w:space="0"/>
            </w:tcBorders>
            <w:noWrap w:val="0"/>
            <w:vAlign w:val="center"/>
          </w:tcPr>
          <w:p w14:paraId="0996F338">
            <w:pPr>
              <w:pStyle w:val="13"/>
              <w:keepNext w:val="0"/>
              <w:keepLines w:val="0"/>
              <w:pageBreakBefore w:val="0"/>
              <w:suppressLineNumbers w:val="0"/>
              <w:kinsoku/>
              <w:wordWrap/>
              <w:topLinePunct w:val="0"/>
              <w:bidi w:val="0"/>
              <w:spacing w:before="0" w:beforeAutospacing="0" w:after="0" w:afterAutospacing="0" w:line="312" w:lineRule="auto"/>
              <w:ind w:left="0" w:right="0" w:firstLine="0" w:firstLineChars="0"/>
              <w:contextualSpacing/>
              <w:jc w:val="center"/>
              <w:rPr>
                <w:rFonts w:hint="eastAsia" w:ascii="宋体" w:hAnsi="宋体" w:eastAsia="宋体" w:cs="仿宋_GB2312"/>
                <w:color w:val="auto"/>
                <w:kern w:val="2"/>
                <w:sz w:val="24"/>
                <w:szCs w:val="24"/>
                <w:highlight w:val="none"/>
                <w:lang w:val="en-US" w:eastAsia="zh-CN"/>
              </w:rPr>
            </w:pPr>
          </w:p>
        </w:tc>
        <w:tc>
          <w:tcPr>
            <w:tcW w:w="2690" w:type="dxa"/>
            <w:noWrap w:val="0"/>
            <w:vAlign w:val="center"/>
          </w:tcPr>
          <w:p w14:paraId="41AF27D3">
            <w:pPr>
              <w:pStyle w:val="13"/>
              <w:keepNext w:val="0"/>
              <w:keepLines w:val="0"/>
              <w:pageBreakBefore w:val="0"/>
              <w:suppressLineNumbers w:val="0"/>
              <w:kinsoku/>
              <w:wordWrap/>
              <w:topLinePunct w:val="0"/>
              <w:bidi w:val="0"/>
              <w:spacing w:before="0" w:beforeAutospacing="0" w:after="0" w:afterAutospacing="0" w:line="312" w:lineRule="auto"/>
              <w:ind w:left="0" w:right="0" w:firstLine="0" w:firstLineChars="0"/>
              <w:contextualSpacing/>
              <w:jc w:val="center"/>
              <w:rPr>
                <w:rFonts w:hint="eastAsia" w:ascii="宋体" w:hAnsi="宋体" w:eastAsia="宋体" w:cs="仿宋_GB2312"/>
                <w:color w:val="auto"/>
                <w:kern w:val="2"/>
                <w:sz w:val="24"/>
                <w:szCs w:val="24"/>
                <w:highlight w:val="none"/>
                <w:lang w:val="en-US" w:eastAsia="zh-CN"/>
              </w:rPr>
            </w:pPr>
          </w:p>
        </w:tc>
        <w:tc>
          <w:tcPr>
            <w:tcW w:w="1467" w:type="dxa"/>
            <w:noWrap w:val="0"/>
            <w:vAlign w:val="center"/>
          </w:tcPr>
          <w:p w14:paraId="1BCF4E04">
            <w:pPr>
              <w:pStyle w:val="13"/>
              <w:keepNext w:val="0"/>
              <w:keepLines w:val="0"/>
              <w:pageBreakBefore w:val="0"/>
              <w:suppressLineNumbers w:val="0"/>
              <w:kinsoku/>
              <w:wordWrap/>
              <w:topLinePunct w:val="0"/>
              <w:bidi w:val="0"/>
              <w:spacing w:before="0" w:beforeAutospacing="0" w:after="0" w:afterAutospacing="0" w:line="312" w:lineRule="auto"/>
              <w:ind w:left="0" w:right="0" w:firstLine="0" w:firstLineChars="0"/>
              <w:contextualSpacing/>
              <w:jc w:val="center"/>
              <w:rPr>
                <w:rFonts w:hint="eastAsia" w:ascii="宋体" w:hAnsi="宋体" w:eastAsia="宋体" w:cs="仿宋_GB2312"/>
                <w:color w:val="auto"/>
                <w:kern w:val="2"/>
                <w:sz w:val="24"/>
                <w:szCs w:val="24"/>
                <w:highlight w:val="none"/>
                <w:lang w:val="en-US" w:eastAsia="zh-CN"/>
              </w:rPr>
            </w:pPr>
          </w:p>
        </w:tc>
      </w:tr>
      <w:tr w14:paraId="3457815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900" w:type="dxa"/>
            <w:noWrap w:val="0"/>
            <w:vAlign w:val="center"/>
          </w:tcPr>
          <w:p w14:paraId="75496F3E">
            <w:pPr>
              <w:pStyle w:val="13"/>
              <w:keepNext w:val="0"/>
              <w:keepLines w:val="0"/>
              <w:pageBreakBefore w:val="0"/>
              <w:suppressLineNumbers w:val="0"/>
              <w:kinsoku/>
              <w:wordWrap/>
              <w:topLinePunct w:val="0"/>
              <w:bidi w:val="0"/>
              <w:spacing w:before="0" w:beforeAutospacing="0" w:after="0" w:afterAutospacing="0" w:line="312" w:lineRule="auto"/>
              <w:ind w:left="0" w:right="0" w:firstLine="0" w:firstLineChars="0"/>
              <w:contextualSpacing/>
              <w:jc w:val="center"/>
              <w:rPr>
                <w:rFonts w:hint="eastAsia" w:ascii="宋体" w:hAnsi="宋体" w:eastAsia="宋体" w:cs="仿宋_GB2312"/>
                <w:color w:val="auto"/>
                <w:kern w:val="2"/>
                <w:sz w:val="24"/>
                <w:szCs w:val="24"/>
                <w:highlight w:val="none"/>
                <w:lang w:val="en-US" w:eastAsia="zh-CN"/>
              </w:rPr>
            </w:pPr>
            <w:bookmarkStart w:id="194" w:name="_Toc373333699"/>
            <w:bookmarkStart w:id="195" w:name="_Toc173211914"/>
            <w:bookmarkStart w:id="196" w:name="_Toc295404991"/>
            <w:bookmarkStart w:id="197" w:name="_Toc301781621"/>
            <w:bookmarkStart w:id="198" w:name="_Toc254970602"/>
            <w:bookmarkStart w:id="199" w:name="_Toc173066415"/>
            <w:bookmarkStart w:id="200" w:name="_Toc254970743"/>
            <w:bookmarkStart w:id="201" w:name="_Toc383699916"/>
            <w:bookmarkStart w:id="202" w:name="_Toc297193195"/>
            <w:r>
              <w:rPr>
                <w:rFonts w:hint="eastAsia" w:ascii="宋体" w:hAnsi="宋体" w:eastAsia="宋体" w:cs="仿宋_GB2312"/>
                <w:color w:val="auto"/>
                <w:kern w:val="2"/>
                <w:sz w:val="24"/>
                <w:szCs w:val="24"/>
                <w:highlight w:val="none"/>
                <w:lang w:val="en-US" w:eastAsia="zh-CN"/>
              </w:rPr>
              <w:t>…</w:t>
            </w:r>
            <w:bookmarkEnd w:id="194"/>
            <w:bookmarkEnd w:id="195"/>
            <w:bookmarkEnd w:id="196"/>
            <w:bookmarkEnd w:id="197"/>
            <w:bookmarkEnd w:id="198"/>
            <w:bookmarkEnd w:id="199"/>
            <w:bookmarkEnd w:id="200"/>
            <w:bookmarkEnd w:id="201"/>
            <w:bookmarkEnd w:id="202"/>
          </w:p>
        </w:tc>
        <w:tc>
          <w:tcPr>
            <w:tcW w:w="900" w:type="dxa"/>
            <w:tcBorders>
              <w:right w:val="single" w:color="auto" w:sz="4" w:space="0"/>
            </w:tcBorders>
            <w:noWrap w:val="0"/>
            <w:vAlign w:val="center"/>
          </w:tcPr>
          <w:p w14:paraId="7F2C40EC">
            <w:pPr>
              <w:pStyle w:val="13"/>
              <w:keepNext w:val="0"/>
              <w:keepLines w:val="0"/>
              <w:pageBreakBefore w:val="0"/>
              <w:suppressLineNumbers w:val="0"/>
              <w:kinsoku/>
              <w:wordWrap/>
              <w:topLinePunct w:val="0"/>
              <w:bidi w:val="0"/>
              <w:spacing w:before="0" w:beforeAutospacing="0" w:after="0" w:afterAutospacing="0" w:line="312" w:lineRule="auto"/>
              <w:ind w:left="0" w:right="0" w:firstLine="0" w:firstLineChars="0"/>
              <w:contextualSpacing/>
              <w:jc w:val="center"/>
              <w:rPr>
                <w:rFonts w:hint="eastAsia" w:ascii="宋体" w:hAnsi="宋体" w:eastAsia="宋体" w:cs="仿宋_GB2312"/>
                <w:color w:val="auto"/>
                <w:kern w:val="2"/>
                <w:sz w:val="24"/>
                <w:szCs w:val="24"/>
                <w:highlight w:val="none"/>
                <w:lang w:val="en-US" w:eastAsia="zh-CN"/>
              </w:rPr>
            </w:pPr>
          </w:p>
        </w:tc>
        <w:tc>
          <w:tcPr>
            <w:tcW w:w="2989" w:type="dxa"/>
            <w:tcBorders>
              <w:left w:val="single" w:color="auto" w:sz="4" w:space="0"/>
            </w:tcBorders>
            <w:noWrap w:val="0"/>
            <w:vAlign w:val="center"/>
          </w:tcPr>
          <w:p w14:paraId="0F9E9301">
            <w:pPr>
              <w:pStyle w:val="13"/>
              <w:keepNext w:val="0"/>
              <w:keepLines w:val="0"/>
              <w:pageBreakBefore w:val="0"/>
              <w:suppressLineNumbers w:val="0"/>
              <w:kinsoku/>
              <w:wordWrap/>
              <w:topLinePunct w:val="0"/>
              <w:bidi w:val="0"/>
              <w:spacing w:before="0" w:beforeAutospacing="0" w:after="0" w:afterAutospacing="0" w:line="312" w:lineRule="auto"/>
              <w:ind w:left="0" w:right="0" w:firstLine="0" w:firstLineChars="0"/>
              <w:contextualSpacing/>
              <w:jc w:val="center"/>
              <w:rPr>
                <w:rFonts w:hint="eastAsia" w:ascii="宋体" w:hAnsi="宋体" w:eastAsia="宋体" w:cs="仿宋_GB2312"/>
                <w:color w:val="auto"/>
                <w:kern w:val="2"/>
                <w:sz w:val="24"/>
                <w:szCs w:val="24"/>
                <w:highlight w:val="none"/>
                <w:lang w:val="en-US" w:eastAsia="zh-CN"/>
              </w:rPr>
            </w:pPr>
          </w:p>
        </w:tc>
        <w:tc>
          <w:tcPr>
            <w:tcW w:w="2690" w:type="dxa"/>
            <w:noWrap w:val="0"/>
            <w:vAlign w:val="center"/>
          </w:tcPr>
          <w:p w14:paraId="01289252">
            <w:pPr>
              <w:pStyle w:val="13"/>
              <w:keepNext w:val="0"/>
              <w:keepLines w:val="0"/>
              <w:pageBreakBefore w:val="0"/>
              <w:suppressLineNumbers w:val="0"/>
              <w:kinsoku/>
              <w:wordWrap/>
              <w:topLinePunct w:val="0"/>
              <w:bidi w:val="0"/>
              <w:spacing w:before="0" w:beforeAutospacing="0" w:after="0" w:afterAutospacing="0" w:line="312" w:lineRule="auto"/>
              <w:ind w:left="0" w:right="0" w:firstLine="0" w:firstLineChars="0"/>
              <w:contextualSpacing/>
              <w:jc w:val="center"/>
              <w:rPr>
                <w:rFonts w:hint="eastAsia" w:ascii="宋体" w:hAnsi="宋体" w:eastAsia="宋体" w:cs="仿宋_GB2312"/>
                <w:color w:val="auto"/>
                <w:kern w:val="2"/>
                <w:sz w:val="24"/>
                <w:szCs w:val="24"/>
                <w:highlight w:val="none"/>
                <w:lang w:val="en-US" w:eastAsia="zh-CN"/>
              </w:rPr>
            </w:pPr>
          </w:p>
        </w:tc>
        <w:tc>
          <w:tcPr>
            <w:tcW w:w="1467" w:type="dxa"/>
            <w:tcBorders>
              <w:right w:val="single" w:color="auto" w:sz="4" w:space="0"/>
            </w:tcBorders>
            <w:noWrap w:val="0"/>
            <w:vAlign w:val="center"/>
          </w:tcPr>
          <w:p w14:paraId="27C7DFC9">
            <w:pPr>
              <w:pStyle w:val="13"/>
              <w:keepNext w:val="0"/>
              <w:keepLines w:val="0"/>
              <w:pageBreakBefore w:val="0"/>
              <w:suppressLineNumbers w:val="0"/>
              <w:kinsoku/>
              <w:wordWrap/>
              <w:topLinePunct w:val="0"/>
              <w:bidi w:val="0"/>
              <w:spacing w:before="0" w:beforeAutospacing="0" w:after="0" w:afterAutospacing="0" w:line="312" w:lineRule="auto"/>
              <w:ind w:left="0" w:right="0" w:firstLine="0" w:firstLineChars="0"/>
              <w:contextualSpacing/>
              <w:jc w:val="center"/>
              <w:rPr>
                <w:rFonts w:hint="eastAsia" w:ascii="宋体" w:hAnsi="宋体" w:eastAsia="宋体" w:cs="仿宋_GB2312"/>
                <w:color w:val="auto"/>
                <w:kern w:val="2"/>
                <w:sz w:val="24"/>
                <w:szCs w:val="24"/>
                <w:highlight w:val="none"/>
                <w:lang w:val="en-US" w:eastAsia="zh-CN"/>
              </w:rPr>
            </w:pPr>
          </w:p>
        </w:tc>
      </w:tr>
    </w:tbl>
    <w:p w14:paraId="0521B8B4">
      <w:pPr>
        <w:pageBreakBefore w:val="0"/>
        <w:kinsoku/>
        <w:wordWrap/>
        <w:topLinePunct w:val="0"/>
        <w:bidi w:val="0"/>
        <w:adjustRightInd w:val="0"/>
        <w:spacing w:line="312" w:lineRule="auto"/>
        <w:contextualSpacing/>
        <w:rPr>
          <w:rFonts w:hint="eastAsia" w:ascii="宋体" w:hAnsi="宋体" w:cs="仿宋_GB2312"/>
          <w:color w:val="auto"/>
          <w:sz w:val="24"/>
          <w:highlight w:val="none"/>
        </w:rPr>
      </w:pPr>
    </w:p>
    <w:p w14:paraId="39A8E140">
      <w:pPr>
        <w:pStyle w:val="13"/>
        <w:pageBreakBefore w:val="0"/>
        <w:kinsoku/>
        <w:wordWrap/>
        <w:topLinePunct w:val="0"/>
        <w:bidi w:val="0"/>
        <w:spacing w:line="312" w:lineRule="auto"/>
        <w:ind w:firstLine="0" w:firstLineChars="0"/>
        <w:contextualSpacing/>
        <w:rPr>
          <w:rFonts w:hint="eastAsia"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注：</w:t>
      </w:r>
    </w:p>
    <w:p w14:paraId="3449444C">
      <w:pPr>
        <w:pStyle w:val="13"/>
        <w:pageBreakBefore w:val="0"/>
        <w:kinsoku/>
        <w:wordWrap/>
        <w:topLinePunct w:val="0"/>
        <w:bidi w:val="0"/>
        <w:spacing w:line="312" w:lineRule="auto"/>
        <w:ind w:firstLine="0" w:firstLineChars="0"/>
        <w:contextualSpacing/>
        <w:rPr>
          <w:rFonts w:hint="eastAsia"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1. 说明：应对照磋商文件“第三章 采购需求”中的</w:t>
      </w:r>
      <w:r>
        <w:rPr>
          <w:rFonts w:hint="eastAsia" w:ascii="宋体" w:hAnsi="宋体" w:eastAsia="宋体" w:cs="仿宋_GB2312"/>
          <w:color w:val="auto"/>
          <w:kern w:val="2"/>
          <w:sz w:val="24"/>
          <w:szCs w:val="24"/>
          <w:highlight w:val="none"/>
          <w:lang w:val="en-US" w:eastAsia="zh-CN"/>
        </w:rPr>
        <w:t>技术</w:t>
      </w:r>
      <w:r>
        <w:rPr>
          <w:rFonts w:hint="eastAsia" w:ascii="宋体" w:hAnsi="宋体" w:eastAsia="宋体" w:cs="仿宋_GB2312"/>
          <w:color w:val="auto"/>
          <w:sz w:val="24"/>
          <w:szCs w:val="24"/>
          <w:highlight w:val="none"/>
        </w:rPr>
        <w:t>需求逐条作出明确响应，并作出偏离说明。</w:t>
      </w:r>
    </w:p>
    <w:p w14:paraId="15DB713B">
      <w:pPr>
        <w:pStyle w:val="13"/>
        <w:pageBreakBefore w:val="0"/>
        <w:kinsoku/>
        <w:wordWrap/>
        <w:topLinePunct w:val="0"/>
        <w:bidi w:val="0"/>
        <w:spacing w:line="312" w:lineRule="auto"/>
        <w:ind w:firstLine="0" w:firstLineChars="0"/>
        <w:contextualSpacing/>
        <w:rPr>
          <w:rFonts w:hint="eastAsia"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2.供应商应根据自身的承诺，对照磋商文件要求，在“偏离说明”中注明“正偏离”、“负偏离”或者“无偏离”。既不属于“正偏离”也不属于“负偏离”即为“无偏离”。</w:t>
      </w:r>
    </w:p>
    <w:p w14:paraId="2EBFFC21">
      <w:pPr>
        <w:pStyle w:val="17"/>
        <w:pageBreakBefore w:val="0"/>
        <w:kinsoku/>
        <w:wordWrap/>
        <w:topLinePunct w:val="0"/>
        <w:bidi w:val="0"/>
        <w:spacing w:line="312" w:lineRule="auto"/>
        <w:contextualSpacing/>
        <w:rPr>
          <w:rFonts w:hint="eastAsia" w:hAnsi="宋体" w:cs="仿宋_GB2312"/>
          <w:color w:val="auto"/>
          <w:sz w:val="24"/>
          <w:szCs w:val="24"/>
          <w:highlight w:val="none"/>
        </w:rPr>
      </w:pPr>
    </w:p>
    <w:p w14:paraId="6F598DD1">
      <w:pPr>
        <w:pageBreakBefore w:val="0"/>
        <w:kinsoku/>
        <w:wordWrap/>
        <w:topLinePunct w:val="0"/>
        <w:bidi w:val="0"/>
        <w:spacing w:line="312" w:lineRule="auto"/>
        <w:ind w:right="-817" w:rightChars="-389"/>
        <w:contextualSpacing/>
        <w:rPr>
          <w:rFonts w:hint="eastAsia" w:ascii="宋体" w:hAnsi="宋体" w:cs="仿宋_GB2312"/>
          <w:color w:val="auto"/>
          <w:sz w:val="24"/>
          <w:highlight w:val="none"/>
        </w:rPr>
      </w:pPr>
    </w:p>
    <w:p w14:paraId="16756B6B">
      <w:pPr>
        <w:pageBreakBefore w:val="0"/>
        <w:kinsoku/>
        <w:wordWrap/>
        <w:topLinePunct w:val="0"/>
        <w:bidi w:val="0"/>
        <w:spacing w:line="312" w:lineRule="auto"/>
        <w:ind w:right="-817" w:rightChars="-389" w:firstLine="960" w:firstLineChars="400"/>
        <w:contextualSpacing/>
        <w:rPr>
          <w:rFonts w:hint="eastAsia" w:ascii="宋体" w:hAnsi="宋体" w:cs="仿宋_GB2312"/>
          <w:color w:val="auto"/>
          <w:sz w:val="24"/>
          <w:highlight w:val="none"/>
        </w:rPr>
      </w:pPr>
      <w:r>
        <w:rPr>
          <w:rFonts w:hint="eastAsia" w:ascii="宋体" w:hAnsi="宋体" w:cs="仿宋_GB2312"/>
          <w:color w:val="auto"/>
          <w:sz w:val="24"/>
          <w:highlight w:val="none"/>
        </w:rPr>
        <w:t>法定代表人或者委托代理人（</w:t>
      </w:r>
      <w:r>
        <w:rPr>
          <w:rFonts w:hint="eastAsia" w:ascii="宋体" w:hAnsi="宋体"/>
          <w:color w:val="auto"/>
          <w:sz w:val="24"/>
          <w:highlight w:val="none"/>
          <w:lang w:val="en-US" w:eastAsia="zh-CN"/>
        </w:rPr>
        <w:t>签字或电子签名</w:t>
      </w:r>
      <w:r>
        <w:rPr>
          <w:rFonts w:hint="eastAsia" w:ascii="宋体" w:hAnsi="宋体" w:cs="仿宋_GB2312"/>
          <w:color w:val="auto"/>
          <w:sz w:val="24"/>
          <w:highlight w:val="none"/>
        </w:rPr>
        <w:t xml:space="preserve">）：                    </w:t>
      </w:r>
    </w:p>
    <w:p w14:paraId="41B1B7A5">
      <w:pPr>
        <w:pageBreakBefore w:val="0"/>
        <w:kinsoku/>
        <w:wordWrap/>
        <w:topLinePunct w:val="0"/>
        <w:bidi w:val="0"/>
        <w:spacing w:line="312" w:lineRule="auto"/>
        <w:ind w:right="-817" w:rightChars="-389" w:firstLine="3840" w:firstLineChars="1600"/>
        <w:contextualSpacing/>
        <w:rPr>
          <w:rFonts w:hint="eastAsia" w:ascii="宋体" w:hAnsi="宋体" w:cs="仿宋_GB2312"/>
          <w:color w:val="auto"/>
          <w:sz w:val="24"/>
          <w:highlight w:val="none"/>
        </w:rPr>
      </w:pPr>
      <w:r>
        <w:rPr>
          <w:rFonts w:hint="eastAsia" w:ascii="宋体" w:hAnsi="宋体" w:cs="仿宋_GB2312"/>
          <w:color w:val="auto"/>
          <w:sz w:val="24"/>
          <w:highlight w:val="none"/>
        </w:rPr>
        <w:t>供应商（</w:t>
      </w:r>
      <w:r>
        <w:rPr>
          <w:rFonts w:hint="eastAsia" w:hAnsi="宋体"/>
          <w:color w:val="auto"/>
          <w:sz w:val="24"/>
          <w:highlight w:val="none"/>
          <w:lang w:val="en-US" w:eastAsia="zh-CN"/>
        </w:rPr>
        <w:t>电子签章</w:t>
      </w:r>
      <w:r>
        <w:rPr>
          <w:rFonts w:hint="eastAsia" w:ascii="宋体" w:hAnsi="宋体" w:cs="仿宋_GB2312"/>
          <w:color w:val="auto"/>
          <w:sz w:val="24"/>
          <w:highlight w:val="none"/>
        </w:rPr>
        <w:t xml:space="preserve">）：      </w:t>
      </w:r>
    </w:p>
    <w:p w14:paraId="5D03378B">
      <w:pPr>
        <w:pageBreakBefore w:val="0"/>
        <w:kinsoku/>
        <w:wordWrap/>
        <w:topLinePunct w:val="0"/>
        <w:bidi w:val="0"/>
        <w:spacing w:line="312" w:lineRule="auto"/>
        <w:ind w:right="-817" w:rightChars="-389" w:firstLine="5520" w:firstLineChars="2300"/>
        <w:contextualSpacing/>
        <w:rPr>
          <w:rFonts w:ascii="宋体" w:hAnsi="宋体" w:cs="仿宋_GB2312"/>
          <w:color w:val="auto"/>
          <w:sz w:val="24"/>
          <w:highlight w:val="none"/>
        </w:rPr>
      </w:pPr>
      <w:r>
        <w:rPr>
          <w:rFonts w:hint="eastAsia" w:ascii="宋体" w:hAnsi="宋体" w:cs="仿宋_GB2312"/>
          <w:color w:val="auto"/>
          <w:sz w:val="24"/>
          <w:highlight w:val="none"/>
        </w:rPr>
        <w:t>日期：   年   月   日</w:t>
      </w:r>
    </w:p>
    <w:p w14:paraId="065C3078">
      <w:pPr>
        <w:pageBreakBefore w:val="0"/>
        <w:kinsoku/>
        <w:wordWrap/>
        <w:topLinePunct w:val="0"/>
        <w:bidi w:val="0"/>
        <w:snapToGrid w:val="0"/>
        <w:spacing w:before="120" w:beforeLines="50" w:after="50" w:line="312" w:lineRule="auto"/>
        <w:ind w:left="142"/>
        <w:jc w:val="left"/>
        <w:rPr>
          <w:rFonts w:hint="eastAsia" w:ascii="宋体" w:hAnsi="宋体"/>
          <w:b/>
          <w:color w:val="000000" w:themeColor="text1"/>
          <w:sz w:val="24"/>
          <w:highlight w:val="none"/>
          <w14:textFill>
            <w14:solidFill>
              <w14:schemeClr w14:val="tx1"/>
            </w14:solidFill>
          </w14:textFill>
        </w:rPr>
      </w:pPr>
      <w:r>
        <w:rPr>
          <w:rFonts w:ascii="宋体" w:hAnsi="宋体" w:cs="仿宋_GB2312"/>
          <w:color w:val="auto"/>
          <w:sz w:val="24"/>
          <w:highlight w:val="none"/>
        </w:rPr>
        <w:br w:type="page"/>
      </w:r>
      <w:r>
        <w:rPr>
          <w:rFonts w:hint="eastAsia" w:ascii="宋体" w:hAnsi="宋体"/>
          <w:b/>
          <w:color w:val="000000" w:themeColor="text1"/>
          <w:sz w:val="24"/>
          <w:highlight w:val="none"/>
          <w14:textFill>
            <w14:solidFill>
              <w14:schemeClr w14:val="tx1"/>
            </w14:solidFill>
          </w14:textFill>
        </w:rPr>
        <w:t>项目实施人员一览表格式</w:t>
      </w:r>
    </w:p>
    <w:p w14:paraId="2584E545">
      <w:pPr>
        <w:pageBreakBefore w:val="0"/>
        <w:kinsoku/>
        <w:wordWrap/>
        <w:topLinePunct w:val="0"/>
        <w:bidi w:val="0"/>
        <w:snapToGrid w:val="0"/>
        <w:spacing w:before="120" w:beforeLines="50" w:after="50" w:line="312" w:lineRule="auto"/>
        <w:ind w:left="142"/>
        <w:jc w:val="left"/>
        <w:rPr>
          <w:rFonts w:hint="eastAsia" w:ascii="宋体" w:hAnsi="宋体"/>
          <w:b/>
          <w:color w:val="000000" w:themeColor="text1"/>
          <w:sz w:val="24"/>
          <w:highlight w:val="none"/>
          <w14:textFill>
            <w14:solidFill>
              <w14:schemeClr w14:val="tx1"/>
            </w14:solidFill>
          </w14:textFill>
        </w:rPr>
      </w:pPr>
    </w:p>
    <w:p w14:paraId="00761B93">
      <w:pPr>
        <w:pageBreakBefore w:val="0"/>
        <w:kinsoku/>
        <w:wordWrap/>
        <w:topLinePunct w:val="0"/>
        <w:bidi w:val="0"/>
        <w:spacing w:line="312" w:lineRule="auto"/>
        <w:ind w:left="142"/>
        <w:contextualSpacing/>
        <w:jc w:val="center"/>
        <w:rPr>
          <w:rFonts w:hint="eastAsia"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项目实施人员一览表</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697"/>
        <w:gridCol w:w="3315"/>
        <w:gridCol w:w="3165"/>
      </w:tblGrid>
      <w:tr w14:paraId="69FA7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14:paraId="69F1B723">
            <w:pPr>
              <w:keepNext w:val="0"/>
              <w:keepLines w:val="0"/>
              <w:pageBreakBefore w:val="0"/>
              <w:suppressLineNumbers w:val="0"/>
              <w:kinsoku/>
              <w:wordWrap/>
              <w:topLinePunct w:val="0"/>
              <w:bidi w:val="0"/>
              <w:spacing w:before="0" w:beforeAutospacing="0" w:after="0" w:afterAutospacing="0" w:line="312" w:lineRule="auto"/>
              <w:ind w:left="0" w:right="0"/>
              <w:contextualSpacing/>
              <w:jc w:val="center"/>
              <w:rPr>
                <w:rFonts w:hint="eastAsia"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姓名</w:t>
            </w:r>
          </w:p>
        </w:tc>
        <w:tc>
          <w:tcPr>
            <w:tcW w:w="1697" w:type="dxa"/>
            <w:noWrap w:val="0"/>
            <w:vAlign w:val="center"/>
          </w:tcPr>
          <w:p w14:paraId="055BBDFB">
            <w:pPr>
              <w:keepNext w:val="0"/>
              <w:keepLines w:val="0"/>
              <w:pageBreakBefore w:val="0"/>
              <w:suppressLineNumbers w:val="0"/>
              <w:kinsoku/>
              <w:wordWrap/>
              <w:topLinePunct w:val="0"/>
              <w:bidi w:val="0"/>
              <w:spacing w:before="0" w:beforeAutospacing="0" w:after="0" w:afterAutospacing="0" w:line="312" w:lineRule="auto"/>
              <w:ind w:left="0" w:right="0"/>
              <w:contextualSpacing/>
              <w:jc w:val="center"/>
              <w:rPr>
                <w:rFonts w:hint="eastAsia"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职务</w:t>
            </w:r>
          </w:p>
        </w:tc>
        <w:tc>
          <w:tcPr>
            <w:tcW w:w="3315" w:type="dxa"/>
            <w:noWrap w:val="0"/>
            <w:vAlign w:val="center"/>
          </w:tcPr>
          <w:p w14:paraId="0F471F75">
            <w:pPr>
              <w:keepNext w:val="0"/>
              <w:keepLines w:val="0"/>
              <w:pageBreakBefore w:val="0"/>
              <w:suppressLineNumbers w:val="0"/>
              <w:kinsoku/>
              <w:wordWrap/>
              <w:topLinePunct w:val="0"/>
              <w:bidi w:val="0"/>
              <w:spacing w:before="0" w:beforeAutospacing="0" w:after="0" w:afterAutospacing="0" w:line="312" w:lineRule="auto"/>
              <w:ind w:left="0" w:right="0"/>
              <w:contextualSpacing/>
              <w:jc w:val="center"/>
              <w:rPr>
                <w:rFonts w:hint="eastAsia"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参加本单位工作时间</w:t>
            </w:r>
          </w:p>
        </w:tc>
        <w:tc>
          <w:tcPr>
            <w:tcW w:w="3165" w:type="dxa"/>
            <w:noWrap w:val="0"/>
            <w:vAlign w:val="center"/>
          </w:tcPr>
          <w:p w14:paraId="0696A04A">
            <w:pPr>
              <w:keepNext w:val="0"/>
              <w:keepLines w:val="0"/>
              <w:pageBreakBefore w:val="0"/>
              <w:suppressLineNumbers w:val="0"/>
              <w:kinsoku/>
              <w:wordWrap/>
              <w:topLinePunct w:val="0"/>
              <w:bidi w:val="0"/>
              <w:spacing w:before="0" w:beforeAutospacing="0" w:after="0" w:afterAutospacing="0" w:line="312" w:lineRule="auto"/>
              <w:ind w:left="0" w:right="0"/>
              <w:contextualSpacing/>
              <w:jc w:val="center"/>
              <w:rPr>
                <w:rFonts w:hint="eastAsia"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劳动合同编号</w:t>
            </w:r>
          </w:p>
        </w:tc>
      </w:tr>
      <w:tr w14:paraId="71104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14:paraId="6C141E34">
            <w:pPr>
              <w:keepNext w:val="0"/>
              <w:keepLines w:val="0"/>
              <w:pageBreakBefore w:val="0"/>
              <w:suppressLineNumbers w:val="0"/>
              <w:kinsoku/>
              <w:wordWrap/>
              <w:topLinePunct w:val="0"/>
              <w:bidi w:val="0"/>
              <w:spacing w:before="0" w:beforeAutospacing="0" w:after="0" w:afterAutospacing="0" w:line="312" w:lineRule="auto"/>
              <w:ind w:left="0" w:right="0"/>
              <w:contextualSpacing/>
              <w:jc w:val="center"/>
              <w:rPr>
                <w:rFonts w:hint="eastAsia" w:ascii="宋体" w:hAnsi="宋体"/>
                <w:color w:val="000000" w:themeColor="text1"/>
                <w:sz w:val="24"/>
                <w:szCs w:val="20"/>
                <w:highlight w:val="none"/>
                <w14:textFill>
                  <w14:solidFill>
                    <w14:schemeClr w14:val="tx1"/>
                  </w14:solidFill>
                </w14:textFill>
              </w:rPr>
            </w:pPr>
          </w:p>
        </w:tc>
        <w:tc>
          <w:tcPr>
            <w:tcW w:w="1697" w:type="dxa"/>
            <w:noWrap w:val="0"/>
            <w:vAlign w:val="center"/>
          </w:tcPr>
          <w:p w14:paraId="749FA86A">
            <w:pPr>
              <w:keepNext w:val="0"/>
              <w:keepLines w:val="0"/>
              <w:pageBreakBefore w:val="0"/>
              <w:suppressLineNumbers w:val="0"/>
              <w:kinsoku/>
              <w:wordWrap/>
              <w:topLinePunct w:val="0"/>
              <w:bidi w:val="0"/>
              <w:spacing w:before="0" w:beforeAutospacing="0" w:after="0" w:afterAutospacing="0" w:line="312" w:lineRule="auto"/>
              <w:ind w:left="0" w:right="0"/>
              <w:contextualSpacing/>
              <w:jc w:val="center"/>
              <w:rPr>
                <w:rFonts w:hint="default" w:ascii="宋体" w:hAnsi="宋体" w:eastAsia="宋体"/>
                <w:color w:val="000000" w:themeColor="text1"/>
                <w:sz w:val="24"/>
                <w:szCs w:val="20"/>
                <w:highlight w:val="none"/>
                <w:lang w:val="en-US" w:eastAsia="zh-CN"/>
                <w14:textFill>
                  <w14:solidFill>
                    <w14:schemeClr w14:val="tx1"/>
                  </w14:solidFill>
                </w14:textFill>
              </w:rPr>
            </w:pPr>
            <w:r>
              <w:rPr>
                <w:rFonts w:hint="eastAsia" w:ascii="宋体" w:hAnsi="宋体"/>
                <w:color w:val="000000" w:themeColor="text1"/>
                <w:sz w:val="24"/>
                <w:szCs w:val="20"/>
                <w:highlight w:val="none"/>
                <w:lang w:val="en-US" w:eastAsia="zh-CN"/>
                <w14:textFill>
                  <w14:solidFill>
                    <w14:schemeClr w14:val="tx1"/>
                  </w14:solidFill>
                </w14:textFill>
              </w:rPr>
              <w:t>项目负责人</w:t>
            </w:r>
          </w:p>
        </w:tc>
        <w:tc>
          <w:tcPr>
            <w:tcW w:w="3315" w:type="dxa"/>
            <w:noWrap w:val="0"/>
            <w:vAlign w:val="center"/>
          </w:tcPr>
          <w:p w14:paraId="3F57424F">
            <w:pPr>
              <w:keepNext w:val="0"/>
              <w:keepLines w:val="0"/>
              <w:pageBreakBefore w:val="0"/>
              <w:suppressLineNumbers w:val="0"/>
              <w:kinsoku/>
              <w:wordWrap/>
              <w:topLinePunct w:val="0"/>
              <w:bidi w:val="0"/>
              <w:spacing w:before="0" w:beforeAutospacing="0" w:after="0" w:afterAutospacing="0" w:line="312" w:lineRule="auto"/>
              <w:ind w:left="0" w:right="0"/>
              <w:contextualSpacing/>
              <w:jc w:val="center"/>
              <w:rPr>
                <w:rFonts w:hint="eastAsia" w:ascii="宋体" w:hAnsi="宋体"/>
                <w:color w:val="000000" w:themeColor="text1"/>
                <w:sz w:val="24"/>
                <w:szCs w:val="20"/>
                <w:highlight w:val="none"/>
                <w14:textFill>
                  <w14:solidFill>
                    <w14:schemeClr w14:val="tx1"/>
                  </w14:solidFill>
                </w14:textFill>
              </w:rPr>
            </w:pPr>
          </w:p>
        </w:tc>
        <w:tc>
          <w:tcPr>
            <w:tcW w:w="3165" w:type="dxa"/>
            <w:noWrap w:val="0"/>
            <w:vAlign w:val="center"/>
          </w:tcPr>
          <w:p w14:paraId="7C9DD864">
            <w:pPr>
              <w:keepNext w:val="0"/>
              <w:keepLines w:val="0"/>
              <w:pageBreakBefore w:val="0"/>
              <w:suppressLineNumbers w:val="0"/>
              <w:kinsoku/>
              <w:wordWrap/>
              <w:topLinePunct w:val="0"/>
              <w:bidi w:val="0"/>
              <w:spacing w:before="0" w:beforeAutospacing="0" w:after="0" w:afterAutospacing="0" w:line="312" w:lineRule="auto"/>
              <w:ind w:left="0" w:right="0"/>
              <w:contextualSpacing/>
              <w:jc w:val="center"/>
              <w:rPr>
                <w:rFonts w:hint="eastAsia" w:ascii="宋体" w:hAnsi="宋体"/>
                <w:color w:val="000000" w:themeColor="text1"/>
                <w:sz w:val="24"/>
                <w:szCs w:val="20"/>
                <w:highlight w:val="none"/>
                <w14:textFill>
                  <w14:solidFill>
                    <w14:schemeClr w14:val="tx1"/>
                  </w14:solidFill>
                </w14:textFill>
              </w:rPr>
            </w:pPr>
          </w:p>
        </w:tc>
      </w:tr>
      <w:tr w14:paraId="0BC69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14:paraId="596A1A45">
            <w:pPr>
              <w:keepNext w:val="0"/>
              <w:keepLines w:val="0"/>
              <w:pageBreakBefore w:val="0"/>
              <w:suppressLineNumbers w:val="0"/>
              <w:kinsoku/>
              <w:wordWrap/>
              <w:topLinePunct w:val="0"/>
              <w:bidi w:val="0"/>
              <w:spacing w:before="0" w:beforeAutospacing="0" w:after="0" w:afterAutospacing="0" w:line="312" w:lineRule="auto"/>
              <w:ind w:left="0" w:right="0"/>
              <w:contextualSpacing/>
              <w:jc w:val="center"/>
              <w:rPr>
                <w:rFonts w:hint="eastAsia" w:ascii="宋体" w:hAnsi="宋体"/>
                <w:color w:val="000000" w:themeColor="text1"/>
                <w:sz w:val="24"/>
                <w:szCs w:val="20"/>
                <w:highlight w:val="none"/>
                <w14:textFill>
                  <w14:solidFill>
                    <w14:schemeClr w14:val="tx1"/>
                  </w14:solidFill>
                </w14:textFill>
              </w:rPr>
            </w:pPr>
          </w:p>
        </w:tc>
        <w:tc>
          <w:tcPr>
            <w:tcW w:w="1697" w:type="dxa"/>
            <w:noWrap w:val="0"/>
            <w:vAlign w:val="center"/>
          </w:tcPr>
          <w:p w14:paraId="36D0EE23">
            <w:pPr>
              <w:keepNext w:val="0"/>
              <w:keepLines w:val="0"/>
              <w:pageBreakBefore w:val="0"/>
              <w:suppressLineNumbers w:val="0"/>
              <w:kinsoku/>
              <w:wordWrap/>
              <w:topLinePunct w:val="0"/>
              <w:bidi w:val="0"/>
              <w:spacing w:before="0" w:beforeAutospacing="0" w:after="0" w:afterAutospacing="0" w:line="312" w:lineRule="auto"/>
              <w:ind w:left="0" w:right="0"/>
              <w:contextualSpacing/>
              <w:jc w:val="center"/>
              <w:rPr>
                <w:rFonts w:hint="default" w:ascii="宋体" w:hAnsi="宋体" w:eastAsia="宋体"/>
                <w:color w:val="000000" w:themeColor="text1"/>
                <w:sz w:val="24"/>
                <w:szCs w:val="20"/>
                <w:highlight w:val="none"/>
                <w:lang w:val="en-US" w:eastAsia="zh-CN"/>
                <w14:textFill>
                  <w14:solidFill>
                    <w14:schemeClr w14:val="tx1"/>
                  </w14:solidFill>
                </w14:textFill>
              </w:rPr>
            </w:pPr>
          </w:p>
        </w:tc>
        <w:tc>
          <w:tcPr>
            <w:tcW w:w="3315" w:type="dxa"/>
            <w:noWrap w:val="0"/>
            <w:vAlign w:val="center"/>
          </w:tcPr>
          <w:p w14:paraId="325A15DC">
            <w:pPr>
              <w:keepNext w:val="0"/>
              <w:keepLines w:val="0"/>
              <w:pageBreakBefore w:val="0"/>
              <w:suppressLineNumbers w:val="0"/>
              <w:kinsoku/>
              <w:wordWrap/>
              <w:topLinePunct w:val="0"/>
              <w:bidi w:val="0"/>
              <w:spacing w:before="0" w:beforeAutospacing="0" w:after="0" w:afterAutospacing="0" w:line="312" w:lineRule="auto"/>
              <w:ind w:left="0" w:right="0"/>
              <w:contextualSpacing/>
              <w:jc w:val="center"/>
              <w:rPr>
                <w:rFonts w:hint="eastAsia" w:ascii="宋体" w:hAnsi="宋体"/>
                <w:color w:val="000000" w:themeColor="text1"/>
                <w:sz w:val="24"/>
                <w:szCs w:val="20"/>
                <w:highlight w:val="none"/>
                <w14:textFill>
                  <w14:solidFill>
                    <w14:schemeClr w14:val="tx1"/>
                  </w14:solidFill>
                </w14:textFill>
              </w:rPr>
            </w:pPr>
          </w:p>
        </w:tc>
        <w:tc>
          <w:tcPr>
            <w:tcW w:w="3165" w:type="dxa"/>
            <w:noWrap w:val="0"/>
            <w:vAlign w:val="center"/>
          </w:tcPr>
          <w:p w14:paraId="517E1D60">
            <w:pPr>
              <w:keepNext w:val="0"/>
              <w:keepLines w:val="0"/>
              <w:pageBreakBefore w:val="0"/>
              <w:suppressLineNumbers w:val="0"/>
              <w:kinsoku/>
              <w:wordWrap/>
              <w:topLinePunct w:val="0"/>
              <w:bidi w:val="0"/>
              <w:spacing w:before="0" w:beforeAutospacing="0" w:after="0" w:afterAutospacing="0" w:line="312" w:lineRule="auto"/>
              <w:ind w:left="0" w:right="0"/>
              <w:contextualSpacing/>
              <w:jc w:val="center"/>
              <w:rPr>
                <w:rFonts w:hint="eastAsia" w:ascii="宋体" w:hAnsi="宋体"/>
                <w:color w:val="000000" w:themeColor="text1"/>
                <w:sz w:val="24"/>
                <w:szCs w:val="20"/>
                <w:highlight w:val="none"/>
                <w14:textFill>
                  <w14:solidFill>
                    <w14:schemeClr w14:val="tx1"/>
                  </w14:solidFill>
                </w14:textFill>
              </w:rPr>
            </w:pPr>
          </w:p>
        </w:tc>
      </w:tr>
      <w:tr w14:paraId="4C49D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14:paraId="5FE9A9A9">
            <w:pPr>
              <w:keepNext w:val="0"/>
              <w:keepLines w:val="0"/>
              <w:pageBreakBefore w:val="0"/>
              <w:suppressLineNumbers w:val="0"/>
              <w:kinsoku/>
              <w:wordWrap/>
              <w:topLinePunct w:val="0"/>
              <w:bidi w:val="0"/>
              <w:spacing w:before="0" w:beforeAutospacing="0" w:after="0" w:afterAutospacing="0" w:line="312" w:lineRule="auto"/>
              <w:ind w:left="0" w:right="0"/>
              <w:contextualSpacing/>
              <w:jc w:val="center"/>
              <w:rPr>
                <w:rFonts w:hint="eastAsia" w:ascii="宋体" w:hAnsi="宋体"/>
                <w:color w:val="000000" w:themeColor="text1"/>
                <w:sz w:val="24"/>
                <w:szCs w:val="20"/>
                <w:highlight w:val="none"/>
                <w14:textFill>
                  <w14:solidFill>
                    <w14:schemeClr w14:val="tx1"/>
                  </w14:solidFill>
                </w14:textFill>
              </w:rPr>
            </w:pPr>
          </w:p>
        </w:tc>
        <w:tc>
          <w:tcPr>
            <w:tcW w:w="1697" w:type="dxa"/>
            <w:noWrap w:val="0"/>
            <w:vAlign w:val="center"/>
          </w:tcPr>
          <w:p w14:paraId="3B25138B">
            <w:pPr>
              <w:keepNext w:val="0"/>
              <w:keepLines w:val="0"/>
              <w:pageBreakBefore w:val="0"/>
              <w:suppressLineNumbers w:val="0"/>
              <w:kinsoku/>
              <w:wordWrap/>
              <w:topLinePunct w:val="0"/>
              <w:bidi w:val="0"/>
              <w:spacing w:before="0" w:beforeAutospacing="0" w:after="0" w:afterAutospacing="0" w:line="312" w:lineRule="auto"/>
              <w:ind w:left="0" w:right="0"/>
              <w:contextualSpacing/>
              <w:jc w:val="center"/>
              <w:rPr>
                <w:rFonts w:hint="default" w:ascii="宋体" w:hAnsi="宋体" w:eastAsia="宋体"/>
                <w:color w:val="000000" w:themeColor="text1"/>
                <w:sz w:val="24"/>
                <w:szCs w:val="20"/>
                <w:highlight w:val="none"/>
                <w:lang w:val="en-US" w:eastAsia="zh-CN"/>
                <w14:textFill>
                  <w14:solidFill>
                    <w14:schemeClr w14:val="tx1"/>
                  </w14:solidFill>
                </w14:textFill>
              </w:rPr>
            </w:pPr>
          </w:p>
        </w:tc>
        <w:tc>
          <w:tcPr>
            <w:tcW w:w="3315" w:type="dxa"/>
            <w:noWrap w:val="0"/>
            <w:vAlign w:val="center"/>
          </w:tcPr>
          <w:p w14:paraId="45193D8E">
            <w:pPr>
              <w:keepNext w:val="0"/>
              <w:keepLines w:val="0"/>
              <w:pageBreakBefore w:val="0"/>
              <w:suppressLineNumbers w:val="0"/>
              <w:kinsoku/>
              <w:wordWrap/>
              <w:topLinePunct w:val="0"/>
              <w:bidi w:val="0"/>
              <w:spacing w:before="0" w:beforeAutospacing="0" w:after="0" w:afterAutospacing="0" w:line="312" w:lineRule="auto"/>
              <w:ind w:left="0" w:right="0"/>
              <w:contextualSpacing/>
              <w:jc w:val="center"/>
              <w:rPr>
                <w:rFonts w:hint="eastAsia" w:ascii="宋体" w:hAnsi="宋体"/>
                <w:color w:val="000000" w:themeColor="text1"/>
                <w:sz w:val="24"/>
                <w:szCs w:val="20"/>
                <w:highlight w:val="none"/>
                <w14:textFill>
                  <w14:solidFill>
                    <w14:schemeClr w14:val="tx1"/>
                  </w14:solidFill>
                </w14:textFill>
              </w:rPr>
            </w:pPr>
          </w:p>
        </w:tc>
        <w:tc>
          <w:tcPr>
            <w:tcW w:w="3165" w:type="dxa"/>
            <w:noWrap w:val="0"/>
            <w:vAlign w:val="center"/>
          </w:tcPr>
          <w:p w14:paraId="47A6CBDA">
            <w:pPr>
              <w:keepNext w:val="0"/>
              <w:keepLines w:val="0"/>
              <w:pageBreakBefore w:val="0"/>
              <w:suppressLineNumbers w:val="0"/>
              <w:kinsoku/>
              <w:wordWrap/>
              <w:topLinePunct w:val="0"/>
              <w:bidi w:val="0"/>
              <w:spacing w:before="0" w:beforeAutospacing="0" w:after="0" w:afterAutospacing="0" w:line="312" w:lineRule="auto"/>
              <w:ind w:left="0" w:right="0"/>
              <w:contextualSpacing/>
              <w:jc w:val="center"/>
              <w:rPr>
                <w:rFonts w:hint="eastAsia" w:ascii="宋体" w:hAnsi="宋体"/>
                <w:color w:val="000000" w:themeColor="text1"/>
                <w:sz w:val="24"/>
                <w:szCs w:val="20"/>
                <w:highlight w:val="none"/>
                <w14:textFill>
                  <w14:solidFill>
                    <w14:schemeClr w14:val="tx1"/>
                  </w14:solidFill>
                </w14:textFill>
              </w:rPr>
            </w:pPr>
          </w:p>
        </w:tc>
      </w:tr>
      <w:tr w14:paraId="38351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14:paraId="74F451B0">
            <w:pPr>
              <w:keepNext w:val="0"/>
              <w:keepLines w:val="0"/>
              <w:pageBreakBefore w:val="0"/>
              <w:suppressLineNumbers w:val="0"/>
              <w:kinsoku/>
              <w:wordWrap/>
              <w:topLinePunct w:val="0"/>
              <w:bidi w:val="0"/>
              <w:spacing w:before="0" w:beforeAutospacing="0" w:after="0" w:afterAutospacing="0" w:line="312" w:lineRule="auto"/>
              <w:ind w:left="0" w:right="0"/>
              <w:contextualSpacing/>
              <w:jc w:val="center"/>
              <w:rPr>
                <w:rFonts w:hint="eastAsia" w:ascii="宋体" w:hAnsi="宋体"/>
                <w:color w:val="000000" w:themeColor="text1"/>
                <w:sz w:val="24"/>
                <w:szCs w:val="20"/>
                <w:highlight w:val="none"/>
                <w14:textFill>
                  <w14:solidFill>
                    <w14:schemeClr w14:val="tx1"/>
                  </w14:solidFill>
                </w14:textFill>
              </w:rPr>
            </w:pPr>
          </w:p>
        </w:tc>
        <w:tc>
          <w:tcPr>
            <w:tcW w:w="1697" w:type="dxa"/>
            <w:noWrap w:val="0"/>
            <w:vAlign w:val="center"/>
          </w:tcPr>
          <w:p w14:paraId="089098AA">
            <w:pPr>
              <w:keepNext w:val="0"/>
              <w:keepLines w:val="0"/>
              <w:pageBreakBefore w:val="0"/>
              <w:suppressLineNumbers w:val="0"/>
              <w:kinsoku/>
              <w:wordWrap/>
              <w:topLinePunct w:val="0"/>
              <w:bidi w:val="0"/>
              <w:spacing w:before="0" w:beforeAutospacing="0" w:after="0" w:afterAutospacing="0" w:line="312" w:lineRule="auto"/>
              <w:ind w:left="0" w:right="0"/>
              <w:contextualSpacing/>
              <w:jc w:val="center"/>
              <w:rPr>
                <w:rFonts w:hint="default" w:ascii="宋体" w:hAnsi="宋体" w:eastAsia="宋体" w:cs="Times New Roman"/>
                <w:color w:val="000000" w:themeColor="text1"/>
                <w:kern w:val="2"/>
                <w:sz w:val="24"/>
                <w:szCs w:val="20"/>
                <w:highlight w:val="none"/>
                <w:lang w:val="en-US" w:eastAsia="zh-CN" w:bidi="ar-SA"/>
                <w14:textFill>
                  <w14:solidFill>
                    <w14:schemeClr w14:val="tx1"/>
                  </w14:solidFill>
                </w14:textFill>
              </w:rPr>
            </w:pPr>
          </w:p>
        </w:tc>
        <w:tc>
          <w:tcPr>
            <w:tcW w:w="3315" w:type="dxa"/>
            <w:noWrap w:val="0"/>
            <w:vAlign w:val="center"/>
          </w:tcPr>
          <w:p w14:paraId="04FB95F7">
            <w:pPr>
              <w:keepNext w:val="0"/>
              <w:keepLines w:val="0"/>
              <w:pageBreakBefore w:val="0"/>
              <w:suppressLineNumbers w:val="0"/>
              <w:kinsoku/>
              <w:wordWrap/>
              <w:topLinePunct w:val="0"/>
              <w:bidi w:val="0"/>
              <w:spacing w:before="0" w:beforeAutospacing="0" w:after="0" w:afterAutospacing="0" w:line="312" w:lineRule="auto"/>
              <w:ind w:left="0" w:right="0"/>
              <w:contextualSpacing/>
              <w:jc w:val="center"/>
              <w:rPr>
                <w:rFonts w:hint="eastAsia" w:ascii="宋体" w:hAnsi="宋体"/>
                <w:color w:val="000000" w:themeColor="text1"/>
                <w:sz w:val="24"/>
                <w:szCs w:val="20"/>
                <w:highlight w:val="none"/>
                <w14:textFill>
                  <w14:solidFill>
                    <w14:schemeClr w14:val="tx1"/>
                  </w14:solidFill>
                </w14:textFill>
              </w:rPr>
            </w:pPr>
          </w:p>
        </w:tc>
        <w:tc>
          <w:tcPr>
            <w:tcW w:w="3165" w:type="dxa"/>
            <w:noWrap w:val="0"/>
            <w:vAlign w:val="center"/>
          </w:tcPr>
          <w:p w14:paraId="62EDAB00">
            <w:pPr>
              <w:keepNext w:val="0"/>
              <w:keepLines w:val="0"/>
              <w:pageBreakBefore w:val="0"/>
              <w:suppressLineNumbers w:val="0"/>
              <w:kinsoku/>
              <w:wordWrap/>
              <w:topLinePunct w:val="0"/>
              <w:bidi w:val="0"/>
              <w:spacing w:before="0" w:beforeAutospacing="0" w:after="0" w:afterAutospacing="0" w:line="312" w:lineRule="auto"/>
              <w:ind w:left="0" w:right="0"/>
              <w:contextualSpacing/>
              <w:jc w:val="center"/>
              <w:rPr>
                <w:rFonts w:hint="eastAsia" w:ascii="宋体" w:hAnsi="宋体"/>
                <w:color w:val="000000" w:themeColor="text1"/>
                <w:sz w:val="24"/>
                <w:szCs w:val="20"/>
                <w:highlight w:val="none"/>
                <w14:textFill>
                  <w14:solidFill>
                    <w14:schemeClr w14:val="tx1"/>
                  </w14:solidFill>
                </w14:textFill>
              </w:rPr>
            </w:pPr>
          </w:p>
        </w:tc>
      </w:tr>
      <w:tr w14:paraId="1F585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14:paraId="760E4F50">
            <w:pPr>
              <w:keepNext w:val="0"/>
              <w:keepLines w:val="0"/>
              <w:pageBreakBefore w:val="0"/>
              <w:suppressLineNumbers w:val="0"/>
              <w:kinsoku/>
              <w:wordWrap/>
              <w:topLinePunct w:val="0"/>
              <w:bidi w:val="0"/>
              <w:spacing w:before="0" w:beforeAutospacing="0" w:after="0" w:afterAutospacing="0" w:line="312" w:lineRule="auto"/>
              <w:ind w:left="0" w:right="0"/>
              <w:contextualSpacing/>
              <w:jc w:val="center"/>
              <w:rPr>
                <w:rFonts w:hint="eastAsia" w:ascii="宋体" w:hAnsi="宋体"/>
                <w:color w:val="000000" w:themeColor="text1"/>
                <w:sz w:val="24"/>
                <w:szCs w:val="20"/>
                <w:highlight w:val="none"/>
                <w14:textFill>
                  <w14:solidFill>
                    <w14:schemeClr w14:val="tx1"/>
                  </w14:solidFill>
                </w14:textFill>
              </w:rPr>
            </w:pPr>
          </w:p>
        </w:tc>
        <w:tc>
          <w:tcPr>
            <w:tcW w:w="1697" w:type="dxa"/>
            <w:noWrap w:val="0"/>
            <w:vAlign w:val="center"/>
          </w:tcPr>
          <w:p w14:paraId="74271D34">
            <w:pPr>
              <w:keepNext w:val="0"/>
              <w:keepLines w:val="0"/>
              <w:pageBreakBefore w:val="0"/>
              <w:suppressLineNumbers w:val="0"/>
              <w:kinsoku/>
              <w:wordWrap/>
              <w:topLinePunct w:val="0"/>
              <w:bidi w:val="0"/>
              <w:spacing w:before="0" w:beforeAutospacing="0" w:after="0" w:afterAutospacing="0" w:line="312" w:lineRule="auto"/>
              <w:ind w:left="0" w:right="0"/>
              <w:contextualSpacing/>
              <w:jc w:val="center"/>
              <w:rPr>
                <w:rFonts w:hint="eastAsia" w:ascii="宋体" w:hAnsi="宋体" w:eastAsia="宋体" w:cs="Times New Roman"/>
                <w:color w:val="000000" w:themeColor="text1"/>
                <w:kern w:val="2"/>
                <w:sz w:val="24"/>
                <w:szCs w:val="20"/>
                <w:highlight w:val="none"/>
                <w:lang w:val="en-US" w:eastAsia="zh-CN" w:bidi="ar-SA"/>
                <w14:textFill>
                  <w14:solidFill>
                    <w14:schemeClr w14:val="tx1"/>
                  </w14:solidFill>
                </w14:textFill>
              </w:rPr>
            </w:pPr>
          </w:p>
        </w:tc>
        <w:tc>
          <w:tcPr>
            <w:tcW w:w="3315" w:type="dxa"/>
            <w:noWrap w:val="0"/>
            <w:vAlign w:val="center"/>
          </w:tcPr>
          <w:p w14:paraId="296DC025">
            <w:pPr>
              <w:keepNext w:val="0"/>
              <w:keepLines w:val="0"/>
              <w:pageBreakBefore w:val="0"/>
              <w:suppressLineNumbers w:val="0"/>
              <w:kinsoku/>
              <w:wordWrap/>
              <w:topLinePunct w:val="0"/>
              <w:bidi w:val="0"/>
              <w:spacing w:before="0" w:beforeAutospacing="0" w:after="0" w:afterAutospacing="0" w:line="312" w:lineRule="auto"/>
              <w:ind w:left="0" w:right="0"/>
              <w:contextualSpacing/>
              <w:jc w:val="center"/>
              <w:rPr>
                <w:rFonts w:hint="eastAsia" w:ascii="宋体" w:hAnsi="宋体"/>
                <w:color w:val="000000" w:themeColor="text1"/>
                <w:sz w:val="24"/>
                <w:szCs w:val="20"/>
                <w:highlight w:val="none"/>
                <w14:textFill>
                  <w14:solidFill>
                    <w14:schemeClr w14:val="tx1"/>
                  </w14:solidFill>
                </w14:textFill>
              </w:rPr>
            </w:pPr>
          </w:p>
        </w:tc>
        <w:tc>
          <w:tcPr>
            <w:tcW w:w="3165" w:type="dxa"/>
            <w:noWrap w:val="0"/>
            <w:vAlign w:val="center"/>
          </w:tcPr>
          <w:p w14:paraId="19B43657">
            <w:pPr>
              <w:keepNext w:val="0"/>
              <w:keepLines w:val="0"/>
              <w:pageBreakBefore w:val="0"/>
              <w:suppressLineNumbers w:val="0"/>
              <w:kinsoku/>
              <w:wordWrap/>
              <w:topLinePunct w:val="0"/>
              <w:bidi w:val="0"/>
              <w:spacing w:before="0" w:beforeAutospacing="0" w:after="0" w:afterAutospacing="0" w:line="312" w:lineRule="auto"/>
              <w:ind w:left="0" w:right="0"/>
              <w:contextualSpacing/>
              <w:jc w:val="center"/>
              <w:rPr>
                <w:rFonts w:hint="eastAsia" w:ascii="宋体" w:hAnsi="宋体"/>
                <w:color w:val="000000" w:themeColor="text1"/>
                <w:sz w:val="24"/>
                <w:szCs w:val="20"/>
                <w:highlight w:val="none"/>
                <w14:textFill>
                  <w14:solidFill>
                    <w14:schemeClr w14:val="tx1"/>
                  </w14:solidFill>
                </w14:textFill>
              </w:rPr>
            </w:pPr>
          </w:p>
        </w:tc>
      </w:tr>
      <w:tr w14:paraId="68458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14:paraId="0D2F0CB2">
            <w:pPr>
              <w:keepNext w:val="0"/>
              <w:keepLines w:val="0"/>
              <w:pageBreakBefore w:val="0"/>
              <w:suppressLineNumbers w:val="0"/>
              <w:kinsoku/>
              <w:wordWrap/>
              <w:topLinePunct w:val="0"/>
              <w:bidi w:val="0"/>
              <w:spacing w:before="0" w:beforeAutospacing="0" w:after="0" w:afterAutospacing="0" w:line="312" w:lineRule="auto"/>
              <w:ind w:left="0" w:right="0"/>
              <w:contextualSpacing/>
              <w:jc w:val="center"/>
              <w:rPr>
                <w:rFonts w:hint="eastAsia" w:ascii="宋体" w:hAnsi="宋体"/>
                <w:color w:val="000000" w:themeColor="text1"/>
                <w:sz w:val="24"/>
                <w:szCs w:val="20"/>
                <w:highlight w:val="none"/>
                <w14:textFill>
                  <w14:solidFill>
                    <w14:schemeClr w14:val="tx1"/>
                  </w14:solidFill>
                </w14:textFill>
              </w:rPr>
            </w:pPr>
          </w:p>
        </w:tc>
        <w:tc>
          <w:tcPr>
            <w:tcW w:w="1697" w:type="dxa"/>
            <w:noWrap w:val="0"/>
            <w:vAlign w:val="center"/>
          </w:tcPr>
          <w:p w14:paraId="6B190813">
            <w:pPr>
              <w:keepNext w:val="0"/>
              <w:keepLines w:val="0"/>
              <w:pageBreakBefore w:val="0"/>
              <w:suppressLineNumbers w:val="0"/>
              <w:kinsoku/>
              <w:wordWrap/>
              <w:topLinePunct w:val="0"/>
              <w:bidi w:val="0"/>
              <w:spacing w:before="0" w:beforeAutospacing="0" w:after="0" w:afterAutospacing="0" w:line="312" w:lineRule="auto"/>
              <w:ind w:left="0" w:right="0"/>
              <w:contextualSpacing/>
              <w:jc w:val="center"/>
              <w:rPr>
                <w:rFonts w:hint="eastAsia" w:ascii="宋体" w:hAnsi="宋体" w:eastAsia="宋体" w:cs="Times New Roman"/>
                <w:color w:val="000000" w:themeColor="text1"/>
                <w:kern w:val="2"/>
                <w:sz w:val="24"/>
                <w:szCs w:val="20"/>
                <w:highlight w:val="none"/>
                <w:lang w:val="en-US" w:eastAsia="zh-CN" w:bidi="ar-SA"/>
                <w14:textFill>
                  <w14:solidFill>
                    <w14:schemeClr w14:val="tx1"/>
                  </w14:solidFill>
                </w14:textFill>
              </w:rPr>
            </w:pPr>
          </w:p>
        </w:tc>
        <w:tc>
          <w:tcPr>
            <w:tcW w:w="3315" w:type="dxa"/>
            <w:noWrap w:val="0"/>
            <w:vAlign w:val="center"/>
          </w:tcPr>
          <w:p w14:paraId="22BF028D">
            <w:pPr>
              <w:keepNext w:val="0"/>
              <w:keepLines w:val="0"/>
              <w:pageBreakBefore w:val="0"/>
              <w:suppressLineNumbers w:val="0"/>
              <w:kinsoku/>
              <w:wordWrap/>
              <w:topLinePunct w:val="0"/>
              <w:bidi w:val="0"/>
              <w:spacing w:before="0" w:beforeAutospacing="0" w:after="0" w:afterAutospacing="0" w:line="312" w:lineRule="auto"/>
              <w:ind w:left="0" w:right="0"/>
              <w:contextualSpacing/>
              <w:jc w:val="center"/>
              <w:rPr>
                <w:rFonts w:hint="eastAsia" w:ascii="宋体" w:hAnsi="宋体"/>
                <w:color w:val="000000" w:themeColor="text1"/>
                <w:sz w:val="24"/>
                <w:szCs w:val="20"/>
                <w:highlight w:val="none"/>
                <w14:textFill>
                  <w14:solidFill>
                    <w14:schemeClr w14:val="tx1"/>
                  </w14:solidFill>
                </w14:textFill>
              </w:rPr>
            </w:pPr>
          </w:p>
        </w:tc>
        <w:tc>
          <w:tcPr>
            <w:tcW w:w="3165" w:type="dxa"/>
            <w:noWrap w:val="0"/>
            <w:vAlign w:val="center"/>
          </w:tcPr>
          <w:p w14:paraId="74BBF122">
            <w:pPr>
              <w:keepNext w:val="0"/>
              <w:keepLines w:val="0"/>
              <w:pageBreakBefore w:val="0"/>
              <w:suppressLineNumbers w:val="0"/>
              <w:kinsoku/>
              <w:wordWrap/>
              <w:topLinePunct w:val="0"/>
              <w:bidi w:val="0"/>
              <w:spacing w:before="0" w:beforeAutospacing="0" w:after="0" w:afterAutospacing="0" w:line="312" w:lineRule="auto"/>
              <w:ind w:left="0" w:right="0"/>
              <w:contextualSpacing/>
              <w:jc w:val="center"/>
              <w:rPr>
                <w:rFonts w:hint="eastAsia" w:ascii="宋体" w:hAnsi="宋体"/>
                <w:color w:val="000000" w:themeColor="text1"/>
                <w:sz w:val="24"/>
                <w:szCs w:val="20"/>
                <w:highlight w:val="none"/>
                <w14:textFill>
                  <w14:solidFill>
                    <w14:schemeClr w14:val="tx1"/>
                  </w14:solidFill>
                </w14:textFill>
              </w:rPr>
            </w:pPr>
          </w:p>
        </w:tc>
      </w:tr>
    </w:tbl>
    <w:p w14:paraId="23D84A0B">
      <w:pPr>
        <w:pageBreakBefore w:val="0"/>
        <w:kinsoku/>
        <w:wordWrap/>
        <w:topLinePunct w:val="0"/>
        <w:bidi w:val="0"/>
        <w:spacing w:line="312" w:lineRule="auto"/>
        <w:contextualSpacing/>
        <w:jc w:val="left"/>
        <w:rPr>
          <w:rFonts w:hint="eastAsia" w:ascii="宋体" w:hAnsi="宋体"/>
          <w:color w:val="000000" w:themeColor="text1"/>
          <w:sz w:val="24"/>
          <w:szCs w:val="20"/>
          <w:highlight w:val="none"/>
          <w14:textFill>
            <w14:solidFill>
              <w14:schemeClr w14:val="tx1"/>
            </w14:solidFill>
          </w14:textFill>
        </w:rPr>
      </w:pPr>
    </w:p>
    <w:p w14:paraId="243B4B49">
      <w:pPr>
        <w:pageBreakBefore w:val="0"/>
        <w:kinsoku/>
        <w:wordWrap/>
        <w:topLinePunct w:val="0"/>
        <w:bidi w:val="0"/>
        <w:spacing w:line="312" w:lineRule="auto"/>
        <w:contextualSpacing/>
        <w:jc w:val="left"/>
        <w:rPr>
          <w:rFonts w:hint="eastAsia"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注：在填写时，如本表格不适合供应商的实际情况，可根据本表格式自行制表填写。</w:t>
      </w:r>
    </w:p>
    <w:p w14:paraId="63A4D4F3">
      <w:pPr>
        <w:pageBreakBefore w:val="0"/>
        <w:kinsoku/>
        <w:wordWrap/>
        <w:topLinePunct w:val="0"/>
        <w:bidi w:val="0"/>
        <w:spacing w:line="312" w:lineRule="auto"/>
        <w:contextualSpacing/>
        <w:rPr>
          <w:rFonts w:hint="eastAsia" w:ascii="宋体" w:hAnsi="宋体"/>
          <w:color w:val="000000" w:themeColor="text1"/>
          <w:sz w:val="24"/>
          <w:highlight w:val="none"/>
          <w14:textFill>
            <w14:solidFill>
              <w14:schemeClr w14:val="tx1"/>
            </w14:solidFill>
          </w14:textFill>
        </w:rPr>
      </w:pPr>
    </w:p>
    <w:p w14:paraId="75F2AA98">
      <w:pPr>
        <w:pageBreakBefore w:val="0"/>
        <w:kinsoku/>
        <w:wordWrap/>
        <w:topLinePunct w:val="0"/>
        <w:bidi w:val="0"/>
        <w:spacing w:line="312" w:lineRule="auto"/>
        <w:contextualSpacing/>
        <w:rPr>
          <w:rFonts w:hint="eastAsia" w:ascii="宋体" w:hAnsi="宋体"/>
          <w:color w:val="000000" w:themeColor="text1"/>
          <w:spacing w:val="20"/>
          <w:sz w:val="24"/>
          <w:szCs w:val="20"/>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法定代表人或者委托代理人（</w:t>
      </w:r>
      <w:r>
        <w:rPr>
          <w:rFonts w:hint="eastAsia" w:ascii="宋体" w:hAnsi="宋体"/>
          <w:color w:val="000000" w:themeColor="text1"/>
          <w:sz w:val="24"/>
          <w:highlight w:val="none"/>
          <w:lang w:val="en-US" w:eastAsia="zh-CN"/>
          <w14:textFill>
            <w14:solidFill>
              <w14:schemeClr w14:val="tx1"/>
            </w14:solidFill>
          </w14:textFill>
        </w:rPr>
        <w:t>签字或电子签名</w:t>
      </w: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pacing w:val="20"/>
          <w:sz w:val="24"/>
          <w:highlight w:val="none"/>
          <w14:textFill>
            <w14:solidFill>
              <w14:schemeClr w14:val="tx1"/>
            </w14:solidFill>
          </w14:textFill>
        </w:rPr>
        <w:t>：</w:t>
      </w:r>
      <w:r>
        <w:rPr>
          <w:rFonts w:hint="eastAsia" w:ascii="宋体" w:hAnsi="宋体"/>
          <w:color w:val="000000" w:themeColor="text1"/>
          <w:spacing w:val="20"/>
          <w:sz w:val="24"/>
          <w:highlight w:val="none"/>
          <w:u w:val="single"/>
          <w14:textFill>
            <w14:solidFill>
              <w14:schemeClr w14:val="tx1"/>
            </w14:solidFill>
          </w14:textFill>
        </w:rPr>
        <w:t xml:space="preserve">        </w:t>
      </w:r>
    </w:p>
    <w:p w14:paraId="2589B1CF">
      <w:pPr>
        <w:pageBreakBefore w:val="0"/>
        <w:kinsoku/>
        <w:wordWrap/>
        <w:topLinePunct w:val="0"/>
        <w:bidi w:val="0"/>
        <w:spacing w:line="312" w:lineRule="auto"/>
        <w:contextualSpacing/>
        <w:jc w:val="left"/>
        <w:rPr>
          <w:rFonts w:hint="eastAsia" w:ascii="宋体" w:hAnsi="宋体"/>
          <w:color w:val="000000" w:themeColor="text1"/>
          <w:spacing w:val="20"/>
          <w:sz w:val="24"/>
          <w:highlight w:val="none"/>
          <w14:textFill>
            <w14:solidFill>
              <w14:schemeClr w14:val="tx1"/>
            </w14:solidFill>
          </w14:textFill>
        </w:rPr>
      </w:pPr>
      <w:r>
        <w:rPr>
          <w:rFonts w:hint="eastAsia" w:ascii="宋体" w:hAnsi="宋体"/>
          <w:color w:val="000000" w:themeColor="text1"/>
          <w:spacing w:val="20"/>
          <w:sz w:val="24"/>
          <w:highlight w:val="none"/>
          <w14:textFill>
            <w14:solidFill>
              <w14:schemeClr w14:val="tx1"/>
            </w14:solidFill>
          </w14:textFill>
        </w:rPr>
        <w:t>供应商（</w:t>
      </w:r>
      <w:r>
        <w:rPr>
          <w:rFonts w:hint="eastAsia" w:ascii="宋体" w:hAnsi="宋体"/>
          <w:color w:val="000000" w:themeColor="text1"/>
          <w:spacing w:val="6"/>
          <w:sz w:val="24"/>
          <w:highlight w:val="none"/>
          <w:lang w:val="en-US" w:eastAsia="zh-CN"/>
          <w14:textFill>
            <w14:solidFill>
              <w14:schemeClr w14:val="tx1"/>
            </w14:solidFill>
          </w14:textFill>
        </w:rPr>
        <w:t>电子签章</w:t>
      </w:r>
      <w:r>
        <w:rPr>
          <w:rFonts w:hint="eastAsia" w:ascii="宋体" w:hAnsi="宋体"/>
          <w:color w:val="000000" w:themeColor="text1"/>
          <w:spacing w:val="20"/>
          <w:sz w:val="24"/>
          <w:highlight w:val="none"/>
          <w14:textFill>
            <w14:solidFill>
              <w14:schemeClr w14:val="tx1"/>
            </w14:solidFill>
          </w14:textFill>
        </w:rPr>
        <w:t>）：</w:t>
      </w:r>
      <w:r>
        <w:rPr>
          <w:rFonts w:hint="eastAsia" w:ascii="宋体" w:hAnsi="宋体"/>
          <w:color w:val="000000" w:themeColor="text1"/>
          <w:spacing w:val="20"/>
          <w:sz w:val="24"/>
          <w:highlight w:val="none"/>
          <w:u w:val="single"/>
          <w14:textFill>
            <w14:solidFill>
              <w14:schemeClr w14:val="tx1"/>
            </w14:solidFill>
          </w14:textFill>
        </w:rPr>
        <w:t xml:space="preserve">            </w:t>
      </w:r>
      <w:r>
        <w:rPr>
          <w:rFonts w:hint="eastAsia" w:ascii="宋体" w:hAnsi="宋体"/>
          <w:color w:val="000000" w:themeColor="text1"/>
          <w:spacing w:val="20"/>
          <w:sz w:val="24"/>
          <w:highlight w:val="none"/>
          <w14:textFill>
            <w14:solidFill>
              <w14:schemeClr w14:val="tx1"/>
            </w14:solidFill>
          </w14:textFill>
        </w:rPr>
        <w:t xml:space="preserve">             </w:t>
      </w:r>
    </w:p>
    <w:p w14:paraId="554C6B28">
      <w:pPr>
        <w:pageBreakBefore w:val="0"/>
        <w:kinsoku/>
        <w:wordWrap/>
        <w:topLinePunct w:val="0"/>
        <w:bidi w:val="0"/>
        <w:spacing w:line="312" w:lineRule="auto"/>
        <w:contextualSpacing/>
        <w:jc w:val="left"/>
        <w:rPr>
          <w:rFonts w:hint="eastAsia"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pacing w:val="20"/>
          <w:sz w:val="24"/>
          <w:highlight w:val="none"/>
          <w14:textFill>
            <w14:solidFill>
              <w14:schemeClr w14:val="tx1"/>
            </w14:solidFill>
          </w14:textFill>
        </w:rPr>
        <w:t>日 期：</w:t>
      </w:r>
      <w:r>
        <w:rPr>
          <w:rFonts w:hint="eastAsia" w:ascii="宋体" w:hAnsi="宋体"/>
          <w:color w:val="000000" w:themeColor="text1"/>
          <w:spacing w:val="20"/>
          <w:sz w:val="24"/>
          <w:highlight w:val="none"/>
          <w:u w:val="single"/>
          <w14:textFill>
            <w14:solidFill>
              <w14:schemeClr w14:val="tx1"/>
            </w14:solidFill>
          </w14:textFill>
        </w:rPr>
        <w:t xml:space="preserve">         </w:t>
      </w:r>
    </w:p>
    <w:p w14:paraId="4234702B">
      <w:pPr>
        <w:pageBreakBefore w:val="0"/>
        <w:kinsoku/>
        <w:wordWrap/>
        <w:topLinePunct w:val="0"/>
        <w:bidi w:val="0"/>
        <w:snapToGrid w:val="0"/>
        <w:spacing w:before="50" w:after="120" w:afterLines="50" w:line="312" w:lineRule="auto"/>
        <w:jc w:val="left"/>
        <w:rPr>
          <w:rFonts w:hint="eastAsia" w:ascii="宋体" w:hAnsi="宋体"/>
          <w:color w:val="000000" w:themeColor="text1"/>
          <w:sz w:val="24"/>
          <w:szCs w:val="20"/>
          <w:highlight w:val="none"/>
          <w14:textFill>
            <w14:solidFill>
              <w14:schemeClr w14:val="tx1"/>
            </w14:solidFill>
          </w14:textFill>
        </w:rPr>
      </w:pPr>
    </w:p>
    <w:p w14:paraId="5FECD031">
      <w:pPr>
        <w:pStyle w:val="39"/>
        <w:pageBreakBefore w:val="0"/>
        <w:kinsoku/>
        <w:wordWrap/>
        <w:topLinePunct w:val="0"/>
        <w:bidi w:val="0"/>
        <w:spacing w:line="312" w:lineRule="auto"/>
        <w:rPr>
          <w:rFonts w:hint="eastAsia" w:ascii="宋体" w:hAnsi="宋体"/>
          <w:color w:val="auto"/>
          <w:sz w:val="24"/>
          <w:szCs w:val="20"/>
          <w:highlight w:val="none"/>
        </w:rPr>
      </w:pPr>
    </w:p>
    <w:p w14:paraId="69B2F320">
      <w:pPr>
        <w:pStyle w:val="39"/>
        <w:pageBreakBefore w:val="0"/>
        <w:kinsoku/>
        <w:wordWrap/>
        <w:topLinePunct w:val="0"/>
        <w:bidi w:val="0"/>
        <w:spacing w:line="312" w:lineRule="auto"/>
        <w:rPr>
          <w:rFonts w:hint="eastAsia" w:ascii="宋体" w:hAnsi="宋体"/>
          <w:color w:val="auto"/>
          <w:sz w:val="24"/>
          <w:szCs w:val="20"/>
          <w:highlight w:val="none"/>
        </w:rPr>
      </w:pPr>
    </w:p>
    <w:p w14:paraId="60FAC202">
      <w:pPr>
        <w:pStyle w:val="39"/>
        <w:pageBreakBefore w:val="0"/>
        <w:kinsoku/>
        <w:wordWrap/>
        <w:topLinePunct w:val="0"/>
        <w:bidi w:val="0"/>
        <w:spacing w:line="312" w:lineRule="auto"/>
        <w:rPr>
          <w:rFonts w:hint="eastAsia" w:ascii="宋体" w:hAnsi="宋体"/>
          <w:color w:val="auto"/>
          <w:sz w:val="24"/>
          <w:szCs w:val="20"/>
          <w:highlight w:val="none"/>
        </w:rPr>
      </w:pPr>
    </w:p>
    <w:p w14:paraId="3E6AF429">
      <w:pPr>
        <w:pStyle w:val="39"/>
        <w:pageBreakBefore w:val="0"/>
        <w:kinsoku/>
        <w:wordWrap/>
        <w:topLinePunct w:val="0"/>
        <w:bidi w:val="0"/>
        <w:spacing w:line="312" w:lineRule="auto"/>
        <w:rPr>
          <w:rFonts w:hint="eastAsia" w:ascii="宋体" w:hAnsi="宋体"/>
          <w:color w:val="auto"/>
          <w:sz w:val="24"/>
          <w:szCs w:val="20"/>
          <w:highlight w:val="none"/>
        </w:rPr>
      </w:pPr>
    </w:p>
    <w:p w14:paraId="24BC1A64">
      <w:pPr>
        <w:pStyle w:val="39"/>
        <w:pageBreakBefore w:val="0"/>
        <w:kinsoku/>
        <w:wordWrap/>
        <w:topLinePunct w:val="0"/>
        <w:bidi w:val="0"/>
        <w:spacing w:line="312" w:lineRule="auto"/>
        <w:rPr>
          <w:rFonts w:hint="eastAsia" w:ascii="宋体" w:hAnsi="宋体"/>
          <w:color w:val="auto"/>
          <w:sz w:val="24"/>
          <w:szCs w:val="20"/>
          <w:highlight w:val="none"/>
        </w:rPr>
      </w:pPr>
    </w:p>
    <w:p w14:paraId="1F192A13">
      <w:pPr>
        <w:pStyle w:val="39"/>
        <w:pageBreakBefore w:val="0"/>
        <w:kinsoku/>
        <w:wordWrap/>
        <w:topLinePunct w:val="0"/>
        <w:bidi w:val="0"/>
        <w:spacing w:line="312" w:lineRule="auto"/>
        <w:rPr>
          <w:rFonts w:hint="eastAsia" w:ascii="宋体" w:hAnsi="宋体"/>
          <w:color w:val="auto"/>
          <w:sz w:val="24"/>
          <w:szCs w:val="20"/>
          <w:highlight w:val="none"/>
        </w:rPr>
      </w:pPr>
    </w:p>
    <w:p w14:paraId="35FF3255">
      <w:pPr>
        <w:pStyle w:val="39"/>
        <w:pageBreakBefore w:val="0"/>
        <w:kinsoku/>
        <w:wordWrap/>
        <w:topLinePunct w:val="0"/>
        <w:bidi w:val="0"/>
        <w:spacing w:line="312" w:lineRule="auto"/>
        <w:rPr>
          <w:rFonts w:hint="eastAsia" w:ascii="宋体" w:hAnsi="宋体"/>
          <w:color w:val="auto"/>
          <w:sz w:val="24"/>
          <w:szCs w:val="20"/>
          <w:highlight w:val="none"/>
        </w:rPr>
      </w:pPr>
    </w:p>
    <w:p w14:paraId="2367FF06">
      <w:pPr>
        <w:pStyle w:val="39"/>
        <w:pageBreakBefore w:val="0"/>
        <w:kinsoku/>
        <w:wordWrap/>
        <w:topLinePunct w:val="0"/>
        <w:bidi w:val="0"/>
        <w:spacing w:line="312" w:lineRule="auto"/>
        <w:rPr>
          <w:rFonts w:hint="eastAsia" w:ascii="宋体" w:hAnsi="宋体"/>
          <w:color w:val="auto"/>
          <w:sz w:val="24"/>
          <w:szCs w:val="20"/>
          <w:highlight w:val="none"/>
        </w:rPr>
      </w:pPr>
    </w:p>
    <w:p w14:paraId="11BA3971">
      <w:pPr>
        <w:pStyle w:val="39"/>
        <w:pageBreakBefore w:val="0"/>
        <w:kinsoku/>
        <w:wordWrap/>
        <w:topLinePunct w:val="0"/>
        <w:bidi w:val="0"/>
        <w:spacing w:line="312" w:lineRule="auto"/>
        <w:rPr>
          <w:rFonts w:hint="eastAsia" w:ascii="宋体" w:hAnsi="宋体"/>
          <w:color w:val="auto"/>
          <w:sz w:val="24"/>
          <w:szCs w:val="20"/>
          <w:highlight w:val="none"/>
        </w:rPr>
      </w:pPr>
    </w:p>
    <w:p w14:paraId="25135A2B">
      <w:pPr>
        <w:pStyle w:val="39"/>
        <w:pageBreakBefore w:val="0"/>
        <w:kinsoku/>
        <w:wordWrap/>
        <w:topLinePunct w:val="0"/>
        <w:bidi w:val="0"/>
        <w:spacing w:line="312" w:lineRule="auto"/>
        <w:rPr>
          <w:rFonts w:hint="eastAsia" w:ascii="宋体" w:hAnsi="宋体"/>
          <w:color w:val="auto"/>
          <w:sz w:val="24"/>
          <w:szCs w:val="20"/>
          <w:highlight w:val="none"/>
        </w:rPr>
      </w:pPr>
    </w:p>
    <w:p w14:paraId="5F4D9C30">
      <w:pPr>
        <w:pStyle w:val="39"/>
        <w:pageBreakBefore w:val="0"/>
        <w:kinsoku/>
        <w:wordWrap/>
        <w:topLinePunct w:val="0"/>
        <w:bidi w:val="0"/>
        <w:spacing w:line="312" w:lineRule="auto"/>
        <w:rPr>
          <w:rFonts w:hint="eastAsia" w:ascii="宋体" w:hAnsi="宋体"/>
          <w:color w:val="auto"/>
          <w:sz w:val="24"/>
          <w:szCs w:val="20"/>
          <w:highlight w:val="none"/>
        </w:rPr>
      </w:pPr>
    </w:p>
    <w:p w14:paraId="4C9B5B02">
      <w:pPr>
        <w:pStyle w:val="39"/>
        <w:pageBreakBefore w:val="0"/>
        <w:kinsoku/>
        <w:wordWrap/>
        <w:topLinePunct w:val="0"/>
        <w:bidi w:val="0"/>
        <w:spacing w:line="312" w:lineRule="auto"/>
        <w:rPr>
          <w:rFonts w:hint="eastAsia" w:ascii="宋体" w:hAnsi="宋体"/>
          <w:color w:val="auto"/>
          <w:sz w:val="24"/>
          <w:szCs w:val="20"/>
          <w:highlight w:val="none"/>
        </w:rPr>
      </w:pPr>
    </w:p>
    <w:p w14:paraId="1A0DC89A">
      <w:pPr>
        <w:pStyle w:val="39"/>
        <w:pageBreakBefore w:val="0"/>
        <w:kinsoku/>
        <w:wordWrap/>
        <w:topLinePunct w:val="0"/>
        <w:bidi w:val="0"/>
        <w:spacing w:line="312" w:lineRule="auto"/>
        <w:rPr>
          <w:rFonts w:hint="eastAsia" w:ascii="宋体" w:hAnsi="宋体"/>
          <w:color w:val="auto"/>
          <w:sz w:val="24"/>
          <w:szCs w:val="20"/>
          <w:highlight w:val="none"/>
        </w:rPr>
      </w:pPr>
    </w:p>
    <w:p w14:paraId="30846466">
      <w:pPr>
        <w:pStyle w:val="39"/>
        <w:pageBreakBefore w:val="0"/>
        <w:kinsoku/>
        <w:wordWrap/>
        <w:topLinePunct w:val="0"/>
        <w:bidi w:val="0"/>
        <w:spacing w:line="312" w:lineRule="auto"/>
        <w:rPr>
          <w:rFonts w:hint="eastAsia" w:ascii="宋体" w:hAnsi="宋体"/>
          <w:color w:val="auto"/>
          <w:sz w:val="24"/>
          <w:szCs w:val="20"/>
          <w:highlight w:val="none"/>
        </w:rPr>
      </w:pPr>
    </w:p>
    <w:p w14:paraId="39952877">
      <w:pPr>
        <w:pStyle w:val="39"/>
        <w:pageBreakBefore w:val="0"/>
        <w:kinsoku/>
        <w:wordWrap/>
        <w:topLinePunct w:val="0"/>
        <w:bidi w:val="0"/>
        <w:spacing w:line="312" w:lineRule="auto"/>
        <w:rPr>
          <w:rFonts w:hint="eastAsia" w:ascii="宋体" w:hAnsi="宋体"/>
          <w:color w:val="auto"/>
          <w:sz w:val="24"/>
          <w:szCs w:val="20"/>
          <w:highlight w:val="none"/>
        </w:rPr>
      </w:pPr>
    </w:p>
    <w:p w14:paraId="271AE062">
      <w:pPr>
        <w:pageBreakBefore w:val="0"/>
        <w:kinsoku/>
        <w:wordWrap/>
        <w:topLinePunct w:val="0"/>
        <w:bidi w:val="0"/>
        <w:spacing w:line="312" w:lineRule="auto"/>
        <w:rPr>
          <w:rFonts w:hint="eastAsia" w:ascii="宋体" w:hAnsi="宋体"/>
          <w:color w:val="auto"/>
          <w:szCs w:val="21"/>
          <w:highlight w:val="none"/>
        </w:rPr>
      </w:pPr>
      <w:r>
        <w:rPr>
          <w:rFonts w:hint="eastAsia" w:ascii="宋体" w:hAnsi="宋体"/>
          <w:b/>
          <w:bCs/>
          <w:color w:val="auto"/>
          <w:sz w:val="24"/>
          <w:highlight w:val="none"/>
        </w:rPr>
        <w:t>其他文书、文件格式</w:t>
      </w:r>
    </w:p>
    <w:p w14:paraId="7454D4B0">
      <w:pPr>
        <w:pStyle w:val="2"/>
        <w:pageBreakBefore w:val="0"/>
        <w:kinsoku/>
        <w:wordWrap/>
        <w:topLinePunct w:val="0"/>
        <w:bidi w:val="0"/>
        <w:spacing w:before="146" w:after="240" w:afterLines="76" w:afterAutospacing="0" w:line="360" w:lineRule="auto"/>
        <w:ind w:right="142" w:rightChars="0"/>
        <w:jc w:val="center"/>
        <w:outlineLvl w:val="2"/>
        <w:rPr>
          <w:rFonts w:ascii="宋体" w:hAnsi="宋体" w:cs="宋体"/>
          <w:b/>
          <w:bCs/>
          <w:color w:val="auto"/>
          <w:sz w:val="24"/>
          <w:highlight w:val="none"/>
        </w:rPr>
      </w:pPr>
      <w:r>
        <w:rPr>
          <w:color w:val="auto"/>
          <w:sz w:val="36"/>
          <w:szCs w:val="36"/>
          <w:highlight w:val="none"/>
        </w:rPr>
        <w:t>中小企业声明函（</w:t>
      </w:r>
      <w:r>
        <w:rPr>
          <w:rFonts w:hint="eastAsia" w:cs="宋体"/>
          <w:color w:val="auto"/>
          <w:sz w:val="36"/>
          <w:szCs w:val="36"/>
          <w:highlight w:val="none"/>
        </w:rPr>
        <w:t>服务</w:t>
      </w:r>
      <w:r>
        <w:rPr>
          <w:color w:val="auto"/>
          <w:sz w:val="36"/>
          <w:szCs w:val="36"/>
          <w:highlight w:val="none"/>
        </w:rPr>
        <w:t>）</w:t>
      </w:r>
    </w:p>
    <w:p w14:paraId="22AF01F6">
      <w:pPr>
        <w:pStyle w:val="12"/>
        <w:pageBreakBefore w:val="0"/>
        <w:kinsoku/>
        <w:wordWrap/>
        <w:topLinePunct w:val="0"/>
        <w:bidi w:val="0"/>
        <w:spacing w:beforeAutospacing="0" w:line="360" w:lineRule="auto"/>
        <w:ind w:right="142" w:firstLine="705" w:firstLineChars="294"/>
        <w:rPr>
          <w:rFonts w:ascii="宋体" w:hAnsi="宋体"/>
          <w:color w:val="auto"/>
          <w:sz w:val="24"/>
          <w:highlight w:val="none"/>
        </w:rPr>
      </w:pPr>
      <w:r>
        <w:rPr>
          <w:rFonts w:ascii="宋体" w:hAnsi="宋体"/>
          <w:color w:val="auto"/>
          <w:sz w:val="24"/>
          <w:highlight w:val="none"/>
        </w:rPr>
        <w:t>本公司（联合体）郑重声明，根据《政府采购促进中小企业发展管理办法》（财库﹝2020﹞46号）的规定，本公司（联合体）参加</w:t>
      </w:r>
      <w:r>
        <w:rPr>
          <w:rFonts w:ascii="宋体" w:hAnsi="宋体"/>
          <w:color w:val="auto"/>
          <w:sz w:val="24"/>
          <w:highlight w:val="none"/>
          <w:u w:val="single"/>
        </w:rPr>
        <w:t>（单位名称）</w:t>
      </w:r>
      <w:r>
        <w:rPr>
          <w:rFonts w:ascii="宋体" w:hAnsi="宋体"/>
          <w:color w:val="auto"/>
          <w:sz w:val="24"/>
          <w:highlight w:val="none"/>
        </w:rPr>
        <w:t>的</w:t>
      </w:r>
      <w:r>
        <w:rPr>
          <w:rFonts w:ascii="宋体" w:hAnsi="宋体"/>
          <w:color w:val="auto"/>
          <w:sz w:val="24"/>
          <w:highlight w:val="none"/>
          <w:u w:val="single"/>
        </w:rPr>
        <w:t>（项目名称）</w:t>
      </w:r>
      <w:r>
        <w:rPr>
          <w:rFonts w:ascii="宋体" w:hAnsi="宋体"/>
          <w:color w:val="auto"/>
          <w:sz w:val="24"/>
          <w:highlight w:val="none"/>
        </w:rPr>
        <w:t>采购活动，</w:t>
      </w:r>
      <w:r>
        <w:rPr>
          <w:rFonts w:hint="eastAsia" w:ascii="宋体" w:hAnsi="宋体"/>
          <w:color w:val="auto"/>
          <w:sz w:val="24"/>
          <w:highlight w:val="none"/>
        </w:rPr>
        <w:t>服务全部由符合政策要求的中小企业承接。相关企业（含联合体中的中小企业、签订分包意向协议的中小企业）的具体情况如下：</w:t>
      </w:r>
    </w:p>
    <w:p w14:paraId="33002515">
      <w:pPr>
        <w:pageBreakBefore w:val="0"/>
        <w:tabs>
          <w:tab w:val="left" w:pos="1384"/>
          <w:tab w:val="left" w:pos="4562"/>
          <w:tab w:val="left" w:pos="6803"/>
        </w:tabs>
        <w:kinsoku/>
        <w:wordWrap/>
        <w:topLinePunct w:val="0"/>
        <w:bidi w:val="0"/>
        <w:spacing w:before="13" w:line="360" w:lineRule="auto"/>
        <w:ind w:right="142" w:firstLine="772" w:firstLineChars="322"/>
        <w:rPr>
          <w:rFonts w:ascii="宋体" w:hAnsi="宋体"/>
          <w:color w:val="auto"/>
          <w:sz w:val="24"/>
          <w:highlight w:val="none"/>
        </w:rPr>
      </w:pPr>
      <w:r>
        <w:rPr>
          <w:rFonts w:ascii="宋体" w:hAnsi="宋体"/>
          <w:color w:val="auto"/>
          <w:sz w:val="24"/>
          <w:highlight w:val="none"/>
        </w:rPr>
        <w:t>1.</w:t>
      </w:r>
      <w:r>
        <w:rPr>
          <w:rFonts w:ascii="宋体" w:hAnsi="宋体"/>
          <w:color w:val="auto"/>
          <w:sz w:val="24"/>
          <w:highlight w:val="none"/>
          <w:u w:val="single"/>
        </w:rPr>
        <w:t>（标的名称）</w:t>
      </w:r>
      <w:r>
        <w:rPr>
          <w:rFonts w:ascii="宋体" w:hAnsi="宋体"/>
          <w:color w:val="auto"/>
          <w:sz w:val="24"/>
          <w:highlight w:val="none"/>
        </w:rPr>
        <w:t>，属于</w:t>
      </w:r>
      <w:r>
        <w:rPr>
          <w:rFonts w:ascii="宋体" w:hAnsi="宋体"/>
          <w:color w:val="auto"/>
          <w:sz w:val="24"/>
          <w:highlight w:val="none"/>
          <w:u w:val="single"/>
        </w:rPr>
        <w:t>（采购文件中明确的所属</w:t>
      </w:r>
      <w:r>
        <w:rPr>
          <w:rFonts w:hint="eastAsia" w:ascii="宋体" w:hAnsi="宋体"/>
          <w:color w:val="auto"/>
          <w:sz w:val="24"/>
          <w:highlight w:val="none"/>
          <w:u w:val="single"/>
        </w:rPr>
        <w:t>行</w:t>
      </w:r>
      <w:r>
        <w:rPr>
          <w:rFonts w:ascii="宋体" w:hAnsi="宋体"/>
          <w:color w:val="auto"/>
          <w:sz w:val="24"/>
          <w:highlight w:val="none"/>
          <w:u w:val="single"/>
        </w:rPr>
        <w:t>业）</w:t>
      </w:r>
      <w:r>
        <w:rPr>
          <w:rFonts w:ascii="宋体" w:hAnsi="宋体"/>
          <w:color w:val="auto"/>
          <w:sz w:val="24"/>
          <w:highlight w:val="none"/>
        </w:rPr>
        <w:t>；</w:t>
      </w:r>
      <w:r>
        <w:rPr>
          <w:rFonts w:hint="eastAsia" w:ascii="宋体" w:hAnsi="宋体"/>
          <w:color w:val="auto"/>
          <w:sz w:val="24"/>
          <w:highlight w:val="none"/>
        </w:rPr>
        <w:t>承接企业为</w:t>
      </w:r>
      <w:r>
        <w:rPr>
          <w:rFonts w:hint="eastAsia" w:ascii="宋体" w:hAnsi="宋体"/>
          <w:color w:val="auto"/>
          <w:sz w:val="24"/>
          <w:highlight w:val="none"/>
          <w:u w:val="single"/>
        </w:rPr>
        <w:t>（企业名称）</w:t>
      </w:r>
      <w:r>
        <w:rPr>
          <w:rFonts w:hint="eastAsia" w:ascii="宋体" w:hAnsi="宋体"/>
          <w:color w:val="auto"/>
          <w:sz w:val="24"/>
          <w:highlight w:val="none"/>
        </w:rPr>
        <w:t>，从业人员</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人，营业收入为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万元，资产总额为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w:t>
      </w:r>
      <w:r>
        <w:rPr>
          <w:rFonts w:ascii="宋体" w:hAnsi="宋体"/>
          <w:color w:val="auto"/>
          <w:sz w:val="24"/>
          <w:highlight w:val="none"/>
        </w:rPr>
        <w:t>，属于</w:t>
      </w:r>
      <w:r>
        <w:rPr>
          <w:rFonts w:ascii="宋体" w:hAnsi="宋体"/>
          <w:color w:val="auto"/>
          <w:sz w:val="24"/>
          <w:highlight w:val="none"/>
          <w:u w:val="single"/>
        </w:rPr>
        <w:t>（中型企业、</w:t>
      </w:r>
      <w:r>
        <w:rPr>
          <w:rFonts w:hint="eastAsia" w:ascii="宋体" w:hAnsi="宋体"/>
          <w:color w:val="auto"/>
          <w:sz w:val="24"/>
          <w:highlight w:val="none"/>
          <w:u w:val="single"/>
        </w:rPr>
        <w:t>小型企业、微型企业）</w:t>
      </w:r>
      <w:r>
        <w:rPr>
          <w:rFonts w:hint="eastAsia" w:ascii="宋体" w:hAnsi="宋体"/>
          <w:color w:val="auto"/>
          <w:sz w:val="24"/>
          <w:highlight w:val="none"/>
        </w:rPr>
        <w:t>；</w:t>
      </w:r>
    </w:p>
    <w:p w14:paraId="1B3605DA">
      <w:pPr>
        <w:pageBreakBefore w:val="0"/>
        <w:tabs>
          <w:tab w:val="left" w:pos="1065"/>
          <w:tab w:val="left" w:pos="4262"/>
          <w:tab w:val="left" w:pos="6477"/>
        </w:tabs>
        <w:kinsoku/>
        <w:wordWrap/>
        <w:topLinePunct w:val="0"/>
        <w:bidi w:val="0"/>
        <w:spacing w:before="20" w:line="360" w:lineRule="auto"/>
        <w:ind w:right="84" w:firstLine="772" w:firstLineChars="322"/>
        <w:rPr>
          <w:rFonts w:ascii="宋体" w:hAnsi="宋体"/>
          <w:color w:val="auto"/>
          <w:sz w:val="24"/>
          <w:highlight w:val="none"/>
          <w:u w:val="single"/>
        </w:rPr>
      </w:pPr>
      <w:r>
        <w:rPr>
          <w:rFonts w:ascii="宋体" w:hAnsi="宋体"/>
          <w:color w:val="auto"/>
          <w:sz w:val="24"/>
          <w:highlight w:val="none"/>
        </w:rPr>
        <w:t>2.</w:t>
      </w:r>
      <w:r>
        <w:rPr>
          <w:rFonts w:ascii="宋体" w:hAnsi="宋体"/>
          <w:color w:val="auto"/>
          <w:sz w:val="24"/>
          <w:highlight w:val="none"/>
          <w:u w:val="single"/>
        </w:rPr>
        <w:t>（标的名称）</w:t>
      </w:r>
      <w:r>
        <w:rPr>
          <w:rFonts w:ascii="宋体" w:hAnsi="宋体"/>
          <w:color w:val="auto"/>
          <w:sz w:val="24"/>
          <w:highlight w:val="none"/>
        </w:rPr>
        <w:t>，属于</w:t>
      </w:r>
      <w:r>
        <w:rPr>
          <w:rFonts w:ascii="宋体" w:hAnsi="宋体"/>
          <w:color w:val="auto"/>
          <w:sz w:val="24"/>
          <w:highlight w:val="none"/>
          <w:u w:val="single"/>
        </w:rPr>
        <w:t>（采购文件中明确的所属</w:t>
      </w:r>
      <w:r>
        <w:rPr>
          <w:rFonts w:hint="eastAsia" w:ascii="宋体" w:hAnsi="宋体"/>
          <w:color w:val="auto"/>
          <w:sz w:val="24"/>
          <w:highlight w:val="none"/>
          <w:u w:val="single"/>
        </w:rPr>
        <w:t>行业</w:t>
      </w:r>
      <w:r>
        <w:rPr>
          <w:rFonts w:ascii="宋体" w:hAnsi="宋体"/>
          <w:color w:val="auto"/>
          <w:sz w:val="24"/>
          <w:highlight w:val="none"/>
          <w:u w:val="single"/>
        </w:rPr>
        <w:t>）</w:t>
      </w:r>
      <w:r>
        <w:rPr>
          <w:rFonts w:ascii="宋体" w:hAnsi="宋体"/>
          <w:color w:val="auto"/>
          <w:sz w:val="24"/>
          <w:highlight w:val="none"/>
        </w:rPr>
        <w:t>；</w:t>
      </w:r>
      <w:r>
        <w:rPr>
          <w:rFonts w:hint="eastAsia" w:ascii="宋体" w:hAnsi="宋体"/>
          <w:color w:val="auto"/>
          <w:sz w:val="24"/>
          <w:highlight w:val="none"/>
        </w:rPr>
        <w:t>承接企业为</w:t>
      </w:r>
      <w:r>
        <w:rPr>
          <w:rFonts w:hint="eastAsia" w:ascii="宋体" w:hAnsi="宋体"/>
          <w:color w:val="auto"/>
          <w:sz w:val="24"/>
          <w:highlight w:val="none"/>
          <w:u w:val="single"/>
        </w:rPr>
        <w:t>（企业名称）</w:t>
      </w:r>
      <w:r>
        <w:rPr>
          <w:rFonts w:hint="eastAsia" w:ascii="宋体" w:hAnsi="宋体"/>
          <w:color w:val="auto"/>
          <w:sz w:val="24"/>
          <w:highlight w:val="none"/>
        </w:rPr>
        <w:t>，从业人员</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人，营业收入为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万元，资产总额为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w:t>
      </w:r>
      <w:r>
        <w:rPr>
          <w:rFonts w:ascii="宋体" w:hAnsi="宋体"/>
          <w:color w:val="auto"/>
          <w:sz w:val="24"/>
          <w:highlight w:val="none"/>
        </w:rPr>
        <w:t>，属于</w:t>
      </w:r>
      <w:r>
        <w:rPr>
          <w:rFonts w:ascii="宋体" w:hAnsi="宋体"/>
          <w:color w:val="auto"/>
          <w:sz w:val="24"/>
          <w:highlight w:val="none"/>
          <w:u w:val="single"/>
        </w:rPr>
        <w:t>（中型企业、</w:t>
      </w:r>
      <w:r>
        <w:rPr>
          <w:rFonts w:hint="eastAsia" w:ascii="宋体" w:hAnsi="宋体"/>
          <w:color w:val="auto"/>
          <w:sz w:val="24"/>
          <w:highlight w:val="none"/>
          <w:u w:val="single"/>
        </w:rPr>
        <w:t>小型企业、微型企业）</w:t>
      </w:r>
      <w:r>
        <w:rPr>
          <w:rFonts w:hint="eastAsia" w:ascii="宋体" w:hAnsi="宋体"/>
          <w:color w:val="auto"/>
          <w:sz w:val="24"/>
          <w:highlight w:val="none"/>
        </w:rPr>
        <w:t>；</w:t>
      </w:r>
    </w:p>
    <w:p w14:paraId="1D9F9351">
      <w:pPr>
        <w:pStyle w:val="12"/>
        <w:pageBreakBefore w:val="0"/>
        <w:kinsoku/>
        <w:wordWrap/>
        <w:topLinePunct w:val="0"/>
        <w:bidi w:val="0"/>
        <w:spacing w:before="34" w:after="0" w:afterAutospacing="0" w:line="360" w:lineRule="auto"/>
        <w:ind w:right="142" w:firstLine="705" w:firstLineChars="294"/>
        <w:rPr>
          <w:rFonts w:ascii="宋体" w:hAnsi="宋体"/>
          <w:color w:val="auto"/>
          <w:sz w:val="24"/>
          <w:highlight w:val="none"/>
        </w:rPr>
      </w:pPr>
      <w:r>
        <w:rPr>
          <w:rFonts w:ascii="宋体" w:hAnsi="宋体"/>
          <w:color w:val="auto"/>
          <w:sz w:val="24"/>
          <w:highlight w:val="none"/>
        </w:rPr>
        <w:t xml:space="preserve">…… </w:t>
      </w:r>
    </w:p>
    <w:p w14:paraId="58D1D248">
      <w:pPr>
        <w:pStyle w:val="12"/>
        <w:pageBreakBefore w:val="0"/>
        <w:kinsoku/>
        <w:wordWrap/>
        <w:topLinePunct w:val="0"/>
        <w:bidi w:val="0"/>
        <w:spacing w:beforeAutospacing="0" w:line="360" w:lineRule="auto"/>
        <w:ind w:right="142" w:firstLine="705" w:firstLineChars="294"/>
        <w:rPr>
          <w:rFonts w:ascii="宋体" w:hAnsi="宋体"/>
          <w:color w:val="auto"/>
          <w:sz w:val="24"/>
          <w:highlight w:val="none"/>
        </w:rPr>
      </w:pPr>
      <w:r>
        <w:rPr>
          <w:rFonts w:ascii="宋体" w:hAnsi="宋体"/>
          <w:color w:val="auto"/>
          <w:sz w:val="24"/>
          <w:highlight w:val="none"/>
        </w:rPr>
        <w:t>以上企业，不属于大企业的分支机构，不存在控股股东为大企业的情形，也不存在与大企业的负责人为同一人的情形。</w:t>
      </w:r>
    </w:p>
    <w:p w14:paraId="379AE24E">
      <w:pPr>
        <w:pStyle w:val="12"/>
        <w:pageBreakBefore w:val="0"/>
        <w:kinsoku/>
        <w:wordWrap/>
        <w:topLinePunct w:val="0"/>
        <w:bidi w:val="0"/>
        <w:spacing w:before="25" w:after="0" w:afterAutospacing="0" w:line="360" w:lineRule="auto"/>
        <w:ind w:right="142" w:firstLine="705" w:firstLineChars="294"/>
        <w:rPr>
          <w:rFonts w:ascii="宋体" w:hAnsi="宋体"/>
          <w:color w:val="auto"/>
          <w:sz w:val="24"/>
          <w:highlight w:val="none"/>
        </w:rPr>
      </w:pPr>
      <w:r>
        <w:rPr>
          <w:rFonts w:ascii="宋体" w:hAnsi="宋体"/>
          <w:color w:val="auto"/>
          <w:sz w:val="24"/>
          <w:highlight w:val="none"/>
        </w:rPr>
        <w:t>本企业对上述声明内容的真实性负责。如有虚假，将依法承担相应责任。</w:t>
      </w:r>
    </w:p>
    <w:p w14:paraId="24722B5E">
      <w:pPr>
        <w:pStyle w:val="12"/>
        <w:pageBreakBefore w:val="0"/>
        <w:kinsoku/>
        <w:wordWrap/>
        <w:topLinePunct w:val="0"/>
        <w:bidi w:val="0"/>
        <w:spacing w:beforeAutospacing="0" w:after="0" w:afterAutospacing="0" w:line="360" w:lineRule="auto"/>
        <w:ind w:right="1808" w:firstLine="705" w:firstLineChars="294"/>
        <w:rPr>
          <w:rFonts w:hint="eastAsia" w:ascii="宋体" w:hAnsi="宋体"/>
          <w:color w:val="auto"/>
          <w:sz w:val="24"/>
          <w:highlight w:val="none"/>
          <w:lang w:eastAsia="zh-CN"/>
        </w:rPr>
      </w:pPr>
    </w:p>
    <w:p w14:paraId="40CD2E20">
      <w:pPr>
        <w:pStyle w:val="12"/>
        <w:pageBreakBefore w:val="0"/>
        <w:kinsoku/>
        <w:wordWrap/>
        <w:topLinePunct w:val="0"/>
        <w:bidi w:val="0"/>
        <w:spacing w:beforeAutospacing="0" w:line="360" w:lineRule="auto"/>
        <w:ind w:right="650" w:firstLine="3840" w:firstLineChars="1600"/>
        <w:rPr>
          <w:rFonts w:ascii="宋体" w:hAnsi="宋体"/>
          <w:color w:val="auto"/>
          <w:sz w:val="24"/>
          <w:highlight w:val="none"/>
        </w:rPr>
      </w:pPr>
      <w:r>
        <w:rPr>
          <w:rFonts w:ascii="宋体" w:hAnsi="宋体"/>
          <w:color w:val="auto"/>
          <w:sz w:val="24"/>
          <w:highlight w:val="none"/>
        </w:rPr>
        <w:t>企业名称（</w:t>
      </w:r>
      <w:r>
        <w:rPr>
          <w:rFonts w:hint="eastAsia" w:ascii="宋体" w:hAnsi="宋体"/>
          <w:color w:val="auto"/>
          <w:spacing w:val="6"/>
          <w:sz w:val="24"/>
          <w:highlight w:val="none"/>
          <w:lang w:val="en-US" w:eastAsia="zh-CN"/>
        </w:rPr>
        <w:t>电子签章</w:t>
      </w:r>
      <w:r>
        <w:rPr>
          <w:rFonts w:ascii="宋体" w:hAnsi="宋体"/>
          <w:color w:val="auto"/>
          <w:sz w:val="24"/>
          <w:highlight w:val="none"/>
        </w:rPr>
        <w:t xml:space="preserve">）： </w:t>
      </w:r>
    </w:p>
    <w:p w14:paraId="5C12C29E">
      <w:pPr>
        <w:pStyle w:val="12"/>
        <w:pageBreakBefore w:val="0"/>
        <w:kinsoku/>
        <w:wordWrap/>
        <w:topLinePunct w:val="0"/>
        <w:bidi w:val="0"/>
        <w:spacing w:before="56" w:line="360" w:lineRule="auto"/>
        <w:ind w:right="1808" w:firstLine="5625" w:firstLineChars="2344"/>
        <w:rPr>
          <w:rFonts w:ascii="宋体" w:hAnsi="宋体"/>
          <w:color w:val="auto"/>
          <w:sz w:val="24"/>
          <w:highlight w:val="none"/>
        </w:rPr>
      </w:pPr>
      <w:r>
        <w:rPr>
          <w:rFonts w:ascii="宋体" w:hAnsi="宋体"/>
          <w:color w:val="auto"/>
          <w:sz w:val="24"/>
          <w:highlight w:val="none"/>
        </w:rPr>
        <w:t>日 期：</w:t>
      </w:r>
    </w:p>
    <w:p w14:paraId="7A21FFFD">
      <w:pPr>
        <w:pageBreakBefore w:val="0"/>
        <w:kinsoku/>
        <w:wordWrap/>
        <w:topLinePunct w:val="0"/>
        <w:bidi w:val="0"/>
        <w:spacing w:line="360" w:lineRule="auto"/>
        <w:rPr>
          <w:color w:val="auto"/>
        </w:rPr>
      </w:pPr>
    </w:p>
    <w:p w14:paraId="6F06F580">
      <w:pPr>
        <w:pStyle w:val="39"/>
        <w:pageBreakBefore w:val="0"/>
        <w:kinsoku/>
        <w:wordWrap/>
        <w:topLinePunct w:val="0"/>
        <w:bidi w:val="0"/>
        <w:spacing w:line="360" w:lineRule="auto"/>
        <w:rPr>
          <w:rFonts w:hint="eastAsia" w:ascii="宋体" w:hAnsi="宋体"/>
          <w:color w:val="auto"/>
          <w:sz w:val="24"/>
          <w:szCs w:val="20"/>
          <w:highlight w:val="none"/>
        </w:rPr>
      </w:pPr>
      <w:r>
        <w:rPr>
          <w:rFonts w:hint="eastAsia" w:ascii="宋体" w:hAnsi="宋体" w:cs="仿宋_GB2312"/>
          <w:b w:val="0"/>
          <w:bCs w:val="0"/>
          <w:color w:val="auto"/>
          <w:sz w:val="24"/>
          <w:highlight w:val="none"/>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4FCAF4CF">
      <w:pPr>
        <w:pageBreakBefore w:val="0"/>
        <w:kinsoku/>
        <w:wordWrap/>
        <w:topLinePunct w:val="0"/>
        <w:bidi w:val="0"/>
        <w:snapToGrid w:val="0"/>
        <w:spacing w:before="50" w:after="50" w:line="312" w:lineRule="auto"/>
        <w:ind w:right="-817" w:rightChars="-389" w:firstLine="5461" w:firstLineChars="1700"/>
        <w:rPr>
          <w:rFonts w:hint="eastAsia" w:ascii="仿宋_GB2312" w:hAnsi="仿宋_GB2312" w:eastAsia="仿宋_GB2312" w:cs="仿宋_GB2312"/>
          <w:b/>
          <w:color w:val="auto"/>
          <w:sz w:val="32"/>
          <w:szCs w:val="32"/>
          <w:highlight w:val="none"/>
        </w:rPr>
      </w:pPr>
    </w:p>
    <w:p w14:paraId="0F832783">
      <w:pPr>
        <w:pageBreakBefore w:val="0"/>
        <w:kinsoku/>
        <w:wordWrap/>
        <w:topLinePunct w:val="0"/>
        <w:bidi w:val="0"/>
        <w:spacing w:line="312" w:lineRule="auto"/>
        <w:jc w:val="center"/>
        <w:outlineLvl w:val="2"/>
        <w:rPr>
          <w:rFonts w:hint="eastAsia" w:ascii="仿宋_GB2312" w:hAnsi="仿宋_GB2312" w:eastAsia="仿宋_GB2312" w:cs="仿宋_GB2312"/>
          <w:color w:val="auto"/>
          <w:sz w:val="32"/>
          <w:szCs w:val="32"/>
          <w:highlight w:val="none"/>
        </w:rPr>
      </w:pPr>
      <w:r>
        <w:rPr>
          <w:rFonts w:ascii="宋体" w:hAnsi="宋体"/>
          <w:color w:val="auto"/>
          <w:sz w:val="24"/>
          <w:highlight w:val="none"/>
        </w:rPr>
        <w:br w:type="page"/>
      </w:r>
      <w:r>
        <w:rPr>
          <w:rFonts w:hint="eastAsia" w:ascii="方正小标宋简体" w:hAnsi="方正小标宋简体" w:eastAsia="方正小标宋简体" w:cs="方正小标宋简体"/>
          <w:color w:val="auto"/>
          <w:sz w:val="44"/>
          <w:szCs w:val="44"/>
          <w:highlight w:val="none"/>
        </w:rPr>
        <w:t>残疾人福利性单位声明函</w:t>
      </w:r>
    </w:p>
    <w:p w14:paraId="68231A0C">
      <w:pPr>
        <w:pageBreakBefore w:val="0"/>
        <w:kinsoku/>
        <w:wordWrap/>
        <w:topLinePunct w:val="0"/>
        <w:bidi w:val="0"/>
        <w:spacing w:line="312" w:lineRule="auto"/>
        <w:contextualSpacing/>
        <w:rPr>
          <w:rFonts w:hint="eastAsia" w:ascii="仿宋_GB2312" w:hAnsi="仿宋_GB2312" w:eastAsia="仿宋_GB2312" w:cs="仿宋_GB2312"/>
          <w:color w:val="auto"/>
          <w:sz w:val="32"/>
          <w:szCs w:val="32"/>
          <w:highlight w:val="none"/>
        </w:rPr>
      </w:pPr>
    </w:p>
    <w:p w14:paraId="16F2F175">
      <w:pPr>
        <w:pageBreakBefore w:val="0"/>
        <w:kinsoku/>
        <w:wordWrap/>
        <w:topLinePunct w:val="0"/>
        <w:bidi w:val="0"/>
        <w:spacing w:line="312"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单位的</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项目采购活动提供本单位制造的货物（由本单位承担工程/提供服务），或者提供其他残疾人福利性单位制造的货物（不包括使用非残疾人福利性单位注册商标的货物）。</w:t>
      </w:r>
    </w:p>
    <w:p w14:paraId="66C5E184">
      <w:pPr>
        <w:pageBreakBefore w:val="0"/>
        <w:kinsoku/>
        <w:wordWrap/>
        <w:topLinePunct w:val="0"/>
        <w:bidi w:val="0"/>
        <w:spacing w:line="312"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本单位对上述声明的真实性负责。如有虚假，将依法承担相应责任。</w:t>
      </w:r>
    </w:p>
    <w:p w14:paraId="22E9BC5C">
      <w:pPr>
        <w:pageBreakBefore w:val="0"/>
        <w:kinsoku/>
        <w:wordWrap/>
        <w:topLinePunct w:val="0"/>
        <w:bidi w:val="0"/>
        <w:spacing w:line="312" w:lineRule="auto"/>
        <w:contextualSpacing/>
        <w:rPr>
          <w:rFonts w:hint="eastAsia" w:ascii="宋体" w:hAnsi="宋体" w:cs="仿宋_GB2312"/>
          <w:color w:val="auto"/>
          <w:sz w:val="24"/>
          <w:highlight w:val="none"/>
        </w:rPr>
      </w:pPr>
    </w:p>
    <w:p w14:paraId="209AC7AF">
      <w:pPr>
        <w:pageBreakBefore w:val="0"/>
        <w:kinsoku/>
        <w:wordWrap/>
        <w:topLinePunct w:val="0"/>
        <w:bidi w:val="0"/>
        <w:spacing w:line="312" w:lineRule="auto"/>
        <w:contextualSpacing/>
        <w:rPr>
          <w:rFonts w:hint="eastAsia" w:ascii="宋体" w:hAnsi="宋体" w:cs="仿宋_GB2312"/>
          <w:color w:val="auto"/>
          <w:sz w:val="24"/>
          <w:highlight w:val="none"/>
        </w:rPr>
      </w:pPr>
    </w:p>
    <w:p w14:paraId="4A581249">
      <w:pPr>
        <w:pageBreakBefore w:val="0"/>
        <w:kinsoku/>
        <w:wordWrap/>
        <w:topLinePunct w:val="0"/>
        <w:bidi w:val="0"/>
        <w:spacing w:line="312" w:lineRule="auto"/>
        <w:contextualSpacing/>
        <w:rPr>
          <w:rFonts w:hint="eastAsia" w:ascii="宋体" w:hAnsi="宋体" w:cs="仿宋_GB2312"/>
          <w:color w:val="auto"/>
          <w:sz w:val="24"/>
          <w:highlight w:val="none"/>
        </w:rPr>
      </w:pPr>
    </w:p>
    <w:p w14:paraId="7C08D8DE">
      <w:pPr>
        <w:pageBreakBefore w:val="0"/>
        <w:kinsoku/>
        <w:wordWrap/>
        <w:topLinePunct w:val="0"/>
        <w:bidi w:val="0"/>
        <w:spacing w:line="312" w:lineRule="auto"/>
        <w:ind w:firstLine="2400" w:firstLineChars="1000"/>
        <w:contextualSpacing/>
        <w:rPr>
          <w:rFonts w:hint="eastAsia" w:ascii="宋体" w:hAnsi="宋体" w:cs="仿宋_GB2312"/>
          <w:color w:val="auto"/>
          <w:sz w:val="24"/>
          <w:highlight w:val="none"/>
        </w:rPr>
      </w:pPr>
      <w:r>
        <w:rPr>
          <w:rFonts w:hint="eastAsia" w:ascii="宋体" w:hAnsi="宋体" w:cs="仿宋_GB2312"/>
          <w:color w:val="auto"/>
          <w:sz w:val="24"/>
          <w:highlight w:val="none"/>
        </w:rPr>
        <w:t>单位名称（</w:t>
      </w:r>
      <w:r>
        <w:rPr>
          <w:rFonts w:hint="eastAsia" w:hAnsi="宋体"/>
          <w:color w:val="auto"/>
          <w:sz w:val="24"/>
          <w:highlight w:val="none"/>
          <w:lang w:val="en-US" w:eastAsia="zh-CN"/>
        </w:rPr>
        <w:t>电子签章</w:t>
      </w:r>
      <w:r>
        <w:rPr>
          <w:rFonts w:hint="eastAsia" w:ascii="宋体" w:hAnsi="宋体" w:cs="仿宋_GB2312"/>
          <w:color w:val="auto"/>
          <w:sz w:val="24"/>
          <w:highlight w:val="none"/>
        </w:rPr>
        <w:t>）：</w:t>
      </w:r>
    </w:p>
    <w:p w14:paraId="4D02F1A8">
      <w:pPr>
        <w:pageBreakBefore w:val="0"/>
        <w:kinsoku/>
        <w:wordWrap/>
        <w:topLinePunct w:val="0"/>
        <w:bidi w:val="0"/>
        <w:spacing w:line="312" w:lineRule="auto"/>
        <w:ind w:firstLine="4080" w:firstLineChars="1700"/>
        <w:contextualSpacing/>
        <w:rPr>
          <w:rFonts w:hint="eastAsia" w:ascii="宋体" w:hAnsi="宋体" w:cs="仿宋_GB2312"/>
          <w:color w:val="auto"/>
          <w:sz w:val="24"/>
          <w:highlight w:val="none"/>
        </w:rPr>
      </w:pPr>
      <w:r>
        <w:rPr>
          <w:rFonts w:hint="eastAsia" w:ascii="宋体" w:hAnsi="宋体" w:cs="仿宋_GB2312"/>
          <w:color w:val="auto"/>
          <w:sz w:val="24"/>
          <w:highlight w:val="none"/>
        </w:rPr>
        <w:t>日  期：</w:t>
      </w:r>
    </w:p>
    <w:p w14:paraId="3F4ECB17">
      <w:pPr>
        <w:pageBreakBefore w:val="0"/>
        <w:kinsoku/>
        <w:wordWrap/>
        <w:topLinePunct w:val="0"/>
        <w:bidi w:val="0"/>
        <w:spacing w:line="312" w:lineRule="auto"/>
        <w:contextualSpacing/>
        <w:rPr>
          <w:rFonts w:hint="eastAsia" w:ascii="宋体" w:hAnsi="宋体" w:cs="仿宋_GB2312"/>
          <w:color w:val="auto"/>
          <w:sz w:val="24"/>
          <w:highlight w:val="none"/>
        </w:rPr>
      </w:pPr>
    </w:p>
    <w:p w14:paraId="60325949">
      <w:pPr>
        <w:pageBreakBefore w:val="0"/>
        <w:kinsoku/>
        <w:wordWrap/>
        <w:topLinePunct w:val="0"/>
        <w:bidi w:val="0"/>
        <w:spacing w:line="312" w:lineRule="auto"/>
        <w:contextualSpacing/>
        <w:rPr>
          <w:rFonts w:hint="eastAsia" w:ascii="宋体" w:hAnsi="宋体" w:cs="仿宋_GB2312"/>
          <w:color w:val="auto"/>
          <w:sz w:val="24"/>
          <w:highlight w:val="none"/>
        </w:rPr>
      </w:pPr>
    </w:p>
    <w:p w14:paraId="384B178A">
      <w:pPr>
        <w:pageBreakBefore w:val="0"/>
        <w:kinsoku/>
        <w:wordWrap/>
        <w:topLinePunct w:val="0"/>
        <w:bidi w:val="0"/>
        <w:spacing w:line="312" w:lineRule="auto"/>
        <w:contextualSpacing/>
        <w:rPr>
          <w:rFonts w:hint="eastAsia" w:ascii="宋体" w:hAnsi="宋体" w:cs="仿宋_GB2312"/>
          <w:color w:val="auto"/>
          <w:sz w:val="24"/>
          <w:highlight w:val="none"/>
        </w:rPr>
      </w:pPr>
    </w:p>
    <w:p w14:paraId="4988E7E8">
      <w:pPr>
        <w:pageBreakBefore w:val="0"/>
        <w:kinsoku/>
        <w:wordWrap/>
        <w:topLinePunct w:val="0"/>
        <w:bidi w:val="0"/>
        <w:spacing w:line="312" w:lineRule="auto"/>
        <w:contextualSpacing/>
        <w:rPr>
          <w:rFonts w:ascii="宋体" w:hAnsi="宋体" w:cs="仿宋_GB2312"/>
          <w:color w:val="auto"/>
          <w:sz w:val="24"/>
          <w:highlight w:val="none"/>
        </w:rPr>
      </w:pPr>
      <w:r>
        <w:rPr>
          <w:rFonts w:hint="eastAsia" w:ascii="宋体" w:hAnsi="宋体" w:cs="仿宋_GB2312"/>
          <w:color w:val="auto"/>
          <w:sz w:val="24"/>
          <w:highlight w:val="none"/>
        </w:rPr>
        <w:t>注：请根据自己的真实情况出具《残疾人福利性单位声明函》。依法享受中小企业优惠政策的，采购人或者采购代理机构在公告中标结果时，同时公告其《残疾人福利性单位声明函》，接受社会监督。</w:t>
      </w:r>
    </w:p>
    <w:p w14:paraId="1C43AF92">
      <w:pPr>
        <w:pageBreakBefore w:val="0"/>
        <w:kinsoku/>
        <w:wordWrap/>
        <w:topLinePunct w:val="0"/>
        <w:bidi w:val="0"/>
        <w:spacing w:line="240" w:lineRule="auto"/>
        <w:jc w:val="center"/>
        <w:outlineLvl w:val="2"/>
        <w:rPr>
          <w:rFonts w:hint="eastAsia" w:ascii="宋体" w:hAnsi="宋体"/>
          <w:b/>
          <w:bCs/>
          <w:color w:val="auto"/>
          <w:sz w:val="32"/>
          <w:szCs w:val="32"/>
          <w:highlight w:val="none"/>
        </w:rPr>
      </w:pPr>
      <w:r>
        <w:rPr>
          <w:rFonts w:ascii="宋体" w:hAnsi="宋体" w:cs="仿宋_GB2312"/>
          <w:color w:val="auto"/>
          <w:sz w:val="24"/>
          <w:highlight w:val="none"/>
        </w:rPr>
        <w:br w:type="page"/>
      </w:r>
      <w:r>
        <w:rPr>
          <w:rFonts w:hint="eastAsia" w:ascii="宋体" w:hAnsi="宋体"/>
          <w:b/>
          <w:bCs/>
          <w:color w:val="auto"/>
          <w:sz w:val="32"/>
          <w:szCs w:val="32"/>
          <w:highlight w:val="none"/>
        </w:rPr>
        <w:t>质疑函（格式）</w:t>
      </w:r>
    </w:p>
    <w:p w14:paraId="19599AA1">
      <w:pPr>
        <w:pStyle w:val="17"/>
        <w:pageBreakBefore w:val="0"/>
        <w:kinsoku/>
        <w:wordWrap/>
        <w:topLinePunct w:val="0"/>
        <w:bidi w:val="0"/>
        <w:spacing w:line="240" w:lineRule="auto"/>
        <w:ind w:firstLine="482" w:firstLineChars="200"/>
        <w:contextualSpacing/>
        <w:outlineLvl w:val="2"/>
        <w:rPr>
          <w:rFonts w:hAnsi="宋体"/>
          <w:b/>
          <w:bCs/>
          <w:color w:val="auto"/>
          <w:sz w:val="24"/>
          <w:szCs w:val="24"/>
          <w:highlight w:val="none"/>
        </w:rPr>
      </w:pPr>
      <w:r>
        <w:rPr>
          <w:rFonts w:hint="eastAsia" w:hAnsi="宋体"/>
          <w:b/>
          <w:bCs/>
          <w:color w:val="auto"/>
          <w:sz w:val="24"/>
          <w:szCs w:val="24"/>
          <w:highlight w:val="none"/>
        </w:rPr>
        <w:t>一、质疑供应商基本信息：</w:t>
      </w:r>
    </w:p>
    <w:p w14:paraId="6BD3AC55">
      <w:pPr>
        <w:pStyle w:val="17"/>
        <w:pageBreakBefore w:val="0"/>
        <w:kinsoku/>
        <w:wordWrap/>
        <w:topLinePunct w:val="0"/>
        <w:bidi w:val="0"/>
        <w:spacing w:line="240" w:lineRule="auto"/>
        <w:ind w:firstLine="480" w:firstLineChars="200"/>
        <w:contextualSpacing/>
        <w:rPr>
          <w:rFonts w:hint="eastAsia" w:hAnsi="宋体"/>
          <w:bCs/>
          <w:color w:val="auto"/>
          <w:sz w:val="24"/>
          <w:szCs w:val="24"/>
          <w:highlight w:val="none"/>
          <w:u w:val="single"/>
        </w:rPr>
      </w:pPr>
      <w:r>
        <w:rPr>
          <w:rFonts w:hint="eastAsia" w:hAnsi="宋体"/>
          <w:bCs/>
          <w:color w:val="auto"/>
          <w:sz w:val="24"/>
          <w:szCs w:val="24"/>
          <w:highlight w:val="none"/>
        </w:rPr>
        <w:t>质疑供应商：</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413AA7A6">
      <w:pPr>
        <w:pStyle w:val="17"/>
        <w:pageBreakBefore w:val="0"/>
        <w:kinsoku/>
        <w:wordWrap/>
        <w:topLinePunct w:val="0"/>
        <w:bidi w:val="0"/>
        <w:spacing w:line="240" w:lineRule="auto"/>
        <w:ind w:firstLine="480" w:firstLineChars="200"/>
        <w:contextualSpacing/>
        <w:rPr>
          <w:rFonts w:hint="eastAsia"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11EBF436">
      <w:pPr>
        <w:pStyle w:val="17"/>
        <w:pageBreakBefore w:val="0"/>
        <w:kinsoku/>
        <w:wordWrap/>
        <w:topLinePunct w:val="0"/>
        <w:bidi w:val="0"/>
        <w:spacing w:line="240" w:lineRule="auto"/>
        <w:ind w:firstLine="480" w:firstLineChars="200"/>
        <w:contextualSpacing/>
        <w:rPr>
          <w:rFonts w:hint="eastAsia" w:hAnsi="宋体"/>
          <w:bCs/>
          <w:color w:val="auto"/>
          <w:sz w:val="24"/>
          <w:szCs w:val="24"/>
          <w:highlight w:val="none"/>
        </w:rPr>
      </w:pPr>
      <w:r>
        <w:rPr>
          <w:rFonts w:hAnsi="宋体"/>
          <w:bCs/>
          <w:color w:val="auto"/>
          <w:sz w:val="24"/>
          <w:szCs w:val="24"/>
          <w:highlight w:val="none"/>
        </w:rPr>
        <w:t>联系人</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联系电话</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3700A1BA">
      <w:pPr>
        <w:pStyle w:val="17"/>
        <w:pageBreakBefore w:val="0"/>
        <w:kinsoku/>
        <w:wordWrap/>
        <w:topLinePunct w:val="0"/>
        <w:bidi w:val="0"/>
        <w:spacing w:line="240" w:lineRule="auto"/>
        <w:ind w:firstLine="480" w:firstLineChars="200"/>
        <w:contextualSpacing/>
        <w:rPr>
          <w:rFonts w:hint="eastAsia" w:hAnsi="宋体"/>
          <w:bCs/>
          <w:color w:val="auto"/>
          <w:sz w:val="24"/>
          <w:szCs w:val="24"/>
          <w:highlight w:val="none"/>
        </w:rPr>
      </w:pPr>
      <w:r>
        <w:rPr>
          <w:rFonts w:hint="eastAsia" w:hAnsi="宋体"/>
          <w:bCs/>
          <w:color w:val="auto"/>
          <w:sz w:val="24"/>
          <w:szCs w:val="24"/>
          <w:highlight w:val="none"/>
        </w:rPr>
        <w:t>授权代表：</w:t>
      </w:r>
      <w:r>
        <w:rPr>
          <w:rFonts w:hint="eastAsia" w:hAnsi="宋体"/>
          <w:bCs/>
          <w:color w:val="auto"/>
          <w:sz w:val="24"/>
          <w:szCs w:val="24"/>
          <w:highlight w:val="none"/>
          <w:u w:val="single"/>
        </w:rPr>
        <w:t xml:space="preserve">                      </w:t>
      </w:r>
    </w:p>
    <w:p w14:paraId="5996E291">
      <w:pPr>
        <w:pStyle w:val="17"/>
        <w:pageBreakBefore w:val="0"/>
        <w:kinsoku/>
        <w:wordWrap/>
        <w:topLinePunct w:val="0"/>
        <w:bidi w:val="0"/>
        <w:spacing w:line="240" w:lineRule="auto"/>
        <w:ind w:firstLine="480" w:firstLineChars="200"/>
        <w:contextualSpacing/>
        <w:rPr>
          <w:rFonts w:hint="eastAsia" w:hAnsi="宋体"/>
          <w:bCs/>
          <w:color w:val="auto"/>
          <w:sz w:val="24"/>
          <w:szCs w:val="24"/>
          <w:highlight w:val="none"/>
          <w:u w:val="single"/>
        </w:rPr>
      </w:pP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374D5999">
      <w:pPr>
        <w:pStyle w:val="17"/>
        <w:pageBreakBefore w:val="0"/>
        <w:kinsoku/>
        <w:wordWrap/>
        <w:topLinePunct w:val="0"/>
        <w:bidi w:val="0"/>
        <w:spacing w:line="240" w:lineRule="auto"/>
        <w:ind w:firstLine="480" w:firstLineChars="200"/>
        <w:contextualSpacing/>
        <w:rPr>
          <w:rFonts w:hint="eastAsia"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408D030E">
      <w:pPr>
        <w:pStyle w:val="17"/>
        <w:pageBreakBefore w:val="0"/>
        <w:kinsoku/>
        <w:wordWrap/>
        <w:topLinePunct w:val="0"/>
        <w:bidi w:val="0"/>
        <w:spacing w:line="240" w:lineRule="auto"/>
        <w:ind w:firstLine="482" w:firstLineChars="200"/>
        <w:contextualSpacing/>
        <w:outlineLvl w:val="2"/>
        <w:rPr>
          <w:rFonts w:hint="eastAsia" w:hAnsi="宋体"/>
          <w:b/>
          <w:bCs/>
          <w:color w:val="auto"/>
          <w:sz w:val="24"/>
          <w:szCs w:val="24"/>
          <w:highlight w:val="none"/>
        </w:rPr>
      </w:pPr>
      <w:r>
        <w:rPr>
          <w:rFonts w:hint="eastAsia" w:hAnsi="宋体"/>
          <w:b/>
          <w:bCs/>
          <w:color w:val="auto"/>
          <w:sz w:val="24"/>
          <w:szCs w:val="24"/>
          <w:highlight w:val="none"/>
        </w:rPr>
        <w:t>二、质疑项目基本情况：</w:t>
      </w:r>
    </w:p>
    <w:p w14:paraId="19DDF586">
      <w:pPr>
        <w:pStyle w:val="17"/>
        <w:pageBreakBefore w:val="0"/>
        <w:kinsoku/>
        <w:wordWrap/>
        <w:topLinePunct w:val="0"/>
        <w:bidi w:val="0"/>
        <w:spacing w:line="240" w:lineRule="auto"/>
        <w:ind w:left="25" w:leftChars="12" w:firstLine="472" w:firstLineChars="197"/>
        <w:contextualSpacing/>
        <w:rPr>
          <w:rFonts w:hint="eastAsia" w:hAnsi="宋体"/>
          <w:color w:val="auto"/>
          <w:sz w:val="24"/>
          <w:szCs w:val="24"/>
          <w:highlight w:val="none"/>
        </w:rPr>
      </w:pPr>
      <w:r>
        <w:rPr>
          <w:rFonts w:hint="eastAsia" w:hAnsi="宋体"/>
          <w:bCs/>
          <w:color w:val="auto"/>
          <w:sz w:val="24"/>
          <w:szCs w:val="24"/>
          <w:highlight w:val="none"/>
        </w:rPr>
        <w:t>质疑</w:t>
      </w:r>
      <w:r>
        <w:rPr>
          <w:rFonts w:hint="eastAsia" w:hAnsi="宋体"/>
          <w:color w:val="auto"/>
          <w:sz w:val="24"/>
          <w:szCs w:val="24"/>
          <w:highlight w:val="none"/>
        </w:rPr>
        <w:t>项目的名称：</w:t>
      </w:r>
      <w:r>
        <w:rPr>
          <w:rFonts w:hint="eastAsia" w:hAnsi="宋体"/>
          <w:bCs/>
          <w:color w:val="auto"/>
          <w:sz w:val="24"/>
          <w:szCs w:val="24"/>
          <w:highlight w:val="none"/>
          <w:u w:val="single"/>
        </w:rPr>
        <w:t xml:space="preserve">                                     </w:t>
      </w:r>
    </w:p>
    <w:p w14:paraId="3A9D8080">
      <w:pPr>
        <w:pStyle w:val="17"/>
        <w:pageBreakBefore w:val="0"/>
        <w:kinsoku/>
        <w:wordWrap/>
        <w:topLinePunct w:val="0"/>
        <w:bidi w:val="0"/>
        <w:spacing w:line="240" w:lineRule="auto"/>
        <w:ind w:left="25" w:leftChars="12" w:firstLine="472" w:firstLineChars="197"/>
        <w:contextualSpacing/>
        <w:rPr>
          <w:rFonts w:hint="eastAsia" w:hAnsi="宋体"/>
          <w:color w:val="auto"/>
          <w:sz w:val="24"/>
          <w:szCs w:val="24"/>
          <w:highlight w:val="none"/>
        </w:rPr>
      </w:pPr>
      <w:r>
        <w:rPr>
          <w:rFonts w:hint="eastAsia" w:hAnsi="宋体"/>
          <w:bCs/>
          <w:color w:val="auto"/>
          <w:sz w:val="24"/>
          <w:szCs w:val="24"/>
          <w:highlight w:val="none"/>
        </w:rPr>
        <w:t>质疑</w:t>
      </w:r>
      <w:r>
        <w:rPr>
          <w:rFonts w:hint="eastAsia" w:hAnsi="宋体"/>
          <w:color w:val="auto"/>
          <w:sz w:val="24"/>
          <w:szCs w:val="24"/>
          <w:highlight w:val="none"/>
        </w:rPr>
        <w:t>项目的编号：</w:t>
      </w:r>
      <w:r>
        <w:rPr>
          <w:rFonts w:hint="eastAsia" w:hAnsi="宋体"/>
          <w:bCs/>
          <w:color w:val="auto"/>
          <w:sz w:val="24"/>
          <w:szCs w:val="24"/>
          <w:highlight w:val="none"/>
          <w:u w:val="single"/>
        </w:rPr>
        <w:t xml:space="preserve">                                     </w:t>
      </w:r>
    </w:p>
    <w:p w14:paraId="17F879ED">
      <w:pPr>
        <w:pStyle w:val="17"/>
        <w:pageBreakBefore w:val="0"/>
        <w:kinsoku/>
        <w:wordWrap/>
        <w:topLinePunct w:val="0"/>
        <w:bidi w:val="0"/>
        <w:spacing w:line="24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采购人名称：</w:t>
      </w:r>
      <w:r>
        <w:rPr>
          <w:rFonts w:hint="eastAsia" w:hAnsi="宋体"/>
          <w:bCs/>
          <w:color w:val="auto"/>
          <w:sz w:val="24"/>
          <w:szCs w:val="24"/>
          <w:highlight w:val="none"/>
          <w:u w:val="single"/>
        </w:rPr>
        <w:t xml:space="preserve">                                         </w:t>
      </w:r>
    </w:p>
    <w:p w14:paraId="282B5F42">
      <w:pPr>
        <w:pStyle w:val="17"/>
        <w:pageBreakBefore w:val="0"/>
        <w:kinsoku/>
        <w:wordWrap/>
        <w:topLinePunct w:val="0"/>
        <w:bidi w:val="0"/>
        <w:spacing w:line="24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质疑事项：</w:t>
      </w:r>
    </w:p>
    <w:p w14:paraId="5FC27659">
      <w:pPr>
        <w:pStyle w:val="17"/>
        <w:pageBreakBefore w:val="0"/>
        <w:kinsoku/>
        <w:wordWrap/>
        <w:topLinePunct w:val="0"/>
        <w:bidi w:val="0"/>
        <w:spacing w:line="240" w:lineRule="auto"/>
        <w:ind w:left="25" w:leftChars="12" w:firstLine="352" w:firstLineChars="147"/>
        <w:contextualSpacing/>
        <w:rPr>
          <w:rFonts w:hint="eastAsia" w:hAnsi="宋体"/>
          <w:color w:val="auto"/>
          <w:sz w:val="24"/>
          <w:szCs w:val="24"/>
          <w:highlight w:val="none"/>
        </w:rPr>
      </w:pPr>
      <w:r>
        <w:rPr>
          <w:rFonts w:hint="eastAsia" w:hAnsi="宋体"/>
          <w:color w:val="auto"/>
          <w:sz w:val="24"/>
          <w:szCs w:val="24"/>
          <w:highlight w:val="none"/>
        </w:rPr>
        <w:t>□采购文件   采购文件获取日期：</w:t>
      </w:r>
      <w:r>
        <w:rPr>
          <w:rFonts w:hint="eastAsia" w:hAnsi="宋体"/>
          <w:bCs/>
          <w:color w:val="auto"/>
          <w:sz w:val="24"/>
          <w:szCs w:val="24"/>
          <w:highlight w:val="none"/>
          <w:u w:val="single"/>
        </w:rPr>
        <w:t xml:space="preserve">                                   </w:t>
      </w:r>
    </w:p>
    <w:p w14:paraId="20B6D734">
      <w:pPr>
        <w:pStyle w:val="17"/>
        <w:pageBreakBefore w:val="0"/>
        <w:kinsoku/>
        <w:wordWrap/>
        <w:topLinePunct w:val="0"/>
        <w:bidi w:val="0"/>
        <w:spacing w:line="240" w:lineRule="auto"/>
        <w:ind w:left="25" w:leftChars="12" w:firstLine="352" w:firstLineChars="147"/>
        <w:contextualSpacing/>
        <w:rPr>
          <w:rFonts w:hint="eastAsia" w:hAnsi="宋体"/>
          <w:color w:val="auto"/>
          <w:sz w:val="24"/>
          <w:szCs w:val="24"/>
          <w:highlight w:val="none"/>
        </w:rPr>
      </w:pPr>
      <w:r>
        <w:rPr>
          <w:rFonts w:hint="eastAsia" w:hAnsi="宋体"/>
          <w:color w:val="auto"/>
          <w:sz w:val="24"/>
          <w:szCs w:val="24"/>
          <w:highlight w:val="none"/>
        </w:rPr>
        <w:t xml:space="preserve">□采购过程   </w:t>
      </w:r>
    </w:p>
    <w:p w14:paraId="2C96B69C">
      <w:pPr>
        <w:pStyle w:val="17"/>
        <w:pageBreakBefore w:val="0"/>
        <w:kinsoku/>
        <w:wordWrap/>
        <w:topLinePunct w:val="0"/>
        <w:bidi w:val="0"/>
        <w:spacing w:line="240" w:lineRule="auto"/>
        <w:ind w:left="25" w:leftChars="12" w:firstLine="352" w:firstLineChars="147"/>
        <w:contextualSpacing/>
        <w:rPr>
          <w:rFonts w:hint="eastAsia" w:hAnsi="宋体"/>
          <w:bCs/>
          <w:color w:val="auto"/>
          <w:sz w:val="24"/>
          <w:szCs w:val="24"/>
          <w:highlight w:val="none"/>
          <w:u w:val="single"/>
        </w:rPr>
      </w:pPr>
      <w:r>
        <w:rPr>
          <w:rFonts w:hint="eastAsia" w:hAnsi="宋体"/>
          <w:color w:val="auto"/>
          <w:sz w:val="24"/>
          <w:szCs w:val="24"/>
          <w:highlight w:val="none"/>
        </w:rPr>
        <w:t xml:space="preserve">□成交结果   </w:t>
      </w:r>
    </w:p>
    <w:p w14:paraId="7E32E30F">
      <w:pPr>
        <w:pStyle w:val="17"/>
        <w:pageBreakBefore w:val="0"/>
        <w:kinsoku/>
        <w:wordWrap/>
        <w:topLinePunct w:val="0"/>
        <w:bidi w:val="0"/>
        <w:spacing w:line="240" w:lineRule="auto"/>
        <w:ind w:left="25" w:leftChars="12" w:firstLine="472" w:firstLineChars="196"/>
        <w:contextualSpacing/>
        <w:outlineLvl w:val="2"/>
        <w:rPr>
          <w:rFonts w:hint="eastAsia" w:hAnsi="宋体"/>
          <w:b/>
          <w:color w:val="auto"/>
          <w:sz w:val="24"/>
          <w:szCs w:val="24"/>
          <w:highlight w:val="none"/>
        </w:rPr>
      </w:pPr>
      <w:r>
        <w:rPr>
          <w:rFonts w:hint="eastAsia" w:hAnsi="宋体"/>
          <w:b/>
          <w:color w:val="auto"/>
          <w:sz w:val="24"/>
          <w:szCs w:val="24"/>
          <w:highlight w:val="none"/>
        </w:rPr>
        <w:t>三、质疑事项具体内容</w:t>
      </w:r>
    </w:p>
    <w:p w14:paraId="57F5DD4E">
      <w:pPr>
        <w:pStyle w:val="17"/>
        <w:pageBreakBefore w:val="0"/>
        <w:kinsoku/>
        <w:wordWrap/>
        <w:topLinePunct w:val="0"/>
        <w:bidi w:val="0"/>
        <w:spacing w:line="24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质疑事项1：</w:t>
      </w:r>
      <w:r>
        <w:rPr>
          <w:rFonts w:hint="eastAsia" w:hAnsi="宋体"/>
          <w:bCs/>
          <w:color w:val="auto"/>
          <w:sz w:val="24"/>
          <w:szCs w:val="24"/>
          <w:highlight w:val="none"/>
          <w:u w:val="single"/>
        </w:rPr>
        <w:t xml:space="preserve">                                                                    </w:t>
      </w:r>
    </w:p>
    <w:p w14:paraId="194DC217">
      <w:pPr>
        <w:pStyle w:val="17"/>
        <w:pageBreakBefore w:val="0"/>
        <w:kinsoku/>
        <w:wordWrap/>
        <w:topLinePunct w:val="0"/>
        <w:bidi w:val="0"/>
        <w:spacing w:line="24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事实依据：</w:t>
      </w:r>
      <w:r>
        <w:rPr>
          <w:rFonts w:hint="eastAsia" w:hAnsi="宋体"/>
          <w:bCs/>
          <w:color w:val="auto"/>
          <w:sz w:val="24"/>
          <w:szCs w:val="24"/>
          <w:highlight w:val="none"/>
          <w:u w:val="single"/>
        </w:rPr>
        <w:t xml:space="preserve">                                                                      </w:t>
      </w:r>
    </w:p>
    <w:p w14:paraId="4CD0B0A4">
      <w:pPr>
        <w:pStyle w:val="17"/>
        <w:pageBreakBefore w:val="0"/>
        <w:kinsoku/>
        <w:wordWrap/>
        <w:topLinePunct w:val="0"/>
        <w:bidi w:val="0"/>
        <w:spacing w:line="24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法律依据：</w:t>
      </w:r>
      <w:r>
        <w:rPr>
          <w:rFonts w:hint="eastAsia" w:hAnsi="宋体"/>
          <w:color w:val="auto"/>
          <w:sz w:val="24"/>
          <w:szCs w:val="24"/>
          <w:highlight w:val="none"/>
          <w:u w:val="single"/>
        </w:rPr>
        <w:t xml:space="preserve">                                                        </w:t>
      </w:r>
      <w:r>
        <w:rPr>
          <w:rFonts w:hint="eastAsia" w:hAnsi="宋体"/>
          <w:bCs/>
          <w:color w:val="auto"/>
          <w:sz w:val="24"/>
          <w:szCs w:val="24"/>
          <w:highlight w:val="none"/>
          <w:u w:val="single"/>
        </w:rPr>
        <w:t xml:space="preserve">               </w:t>
      </w:r>
    </w:p>
    <w:p w14:paraId="02413542">
      <w:pPr>
        <w:pStyle w:val="17"/>
        <w:pageBreakBefore w:val="0"/>
        <w:kinsoku/>
        <w:wordWrap/>
        <w:topLinePunct w:val="0"/>
        <w:bidi w:val="0"/>
        <w:spacing w:line="24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质疑事项2</w:t>
      </w:r>
    </w:p>
    <w:p w14:paraId="08D10D6C">
      <w:pPr>
        <w:pStyle w:val="17"/>
        <w:pageBreakBefore w:val="0"/>
        <w:kinsoku/>
        <w:wordWrap/>
        <w:topLinePunct w:val="0"/>
        <w:bidi w:val="0"/>
        <w:spacing w:line="240" w:lineRule="auto"/>
        <w:ind w:left="25" w:leftChars="12" w:firstLine="472" w:firstLineChars="197"/>
        <w:contextualSpacing/>
        <w:rPr>
          <w:rFonts w:hint="eastAsia" w:hAnsi="宋体"/>
          <w:color w:val="auto"/>
          <w:sz w:val="24"/>
          <w:szCs w:val="24"/>
          <w:highlight w:val="none"/>
        </w:rPr>
      </w:pPr>
      <w:r>
        <w:rPr>
          <w:rFonts w:hAnsi="宋体"/>
          <w:color w:val="auto"/>
          <w:sz w:val="24"/>
          <w:szCs w:val="24"/>
          <w:highlight w:val="none"/>
        </w:rPr>
        <w:t>……</w:t>
      </w:r>
    </w:p>
    <w:p w14:paraId="187F4D9A">
      <w:pPr>
        <w:pStyle w:val="17"/>
        <w:pageBreakBefore w:val="0"/>
        <w:kinsoku/>
        <w:wordWrap/>
        <w:topLinePunct w:val="0"/>
        <w:bidi w:val="0"/>
        <w:spacing w:line="240" w:lineRule="auto"/>
        <w:ind w:left="25" w:leftChars="12" w:firstLine="472" w:firstLineChars="197"/>
        <w:contextualSpacing/>
        <w:outlineLvl w:val="2"/>
        <w:rPr>
          <w:rFonts w:hint="eastAsia" w:hAnsi="宋体"/>
          <w:color w:val="auto"/>
          <w:sz w:val="24"/>
          <w:szCs w:val="24"/>
          <w:highlight w:val="none"/>
        </w:rPr>
      </w:pPr>
      <w:r>
        <w:rPr>
          <w:rFonts w:hint="eastAsia" w:hAnsi="宋体"/>
          <w:color w:val="auto"/>
          <w:sz w:val="24"/>
          <w:szCs w:val="24"/>
          <w:highlight w:val="none"/>
        </w:rPr>
        <w:t>四、与质疑事项相关的质疑请求：</w:t>
      </w:r>
    </w:p>
    <w:p w14:paraId="79986FF4">
      <w:pPr>
        <w:pStyle w:val="17"/>
        <w:pageBreakBefore w:val="0"/>
        <w:kinsoku/>
        <w:wordWrap/>
        <w:topLinePunct w:val="0"/>
        <w:bidi w:val="0"/>
        <w:spacing w:line="24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请求：</w:t>
      </w:r>
      <w:r>
        <w:rPr>
          <w:rFonts w:hint="eastAsia" w:hAnsi="宋体"/>
          <w:bCs/>
          <w:color w:val="auto"/>
          <w:sz w:val="24"/>
          <w:szCs w:val="24"/>
          <w:highlight w:val="none"/>
          <w:u w:val="single"/>
        </w:rPr>
        <w:t xml:space="preserve">                                                                </w:t>
      </w:r>
    </w:p>
    <w:p w14:paraId="34B52CA0">
      <w:pPr>
        <w:pStyle w:val="17"/>
        <w:pageBreakBefore w:val="0"/>
        <w:kinsoku/>
        <w:wordWrap/>
        <w:topLinePunct w:val="0"/>
        <w:bidi w:val="0"/>
        <w:spacing w:line="240" w:lineRule="auto"/>
        <w:ind w:left="25" w:leftChars="12" w:firstLine="352" w:firstLineChars="147"/>
        <w:contextualSpacing/>
        <w:rPr>
          <w:rFonts w:hint="eastAsia" w:hAnsi="宋体"/>
          <w:color w:val="auto"/>
          <w:sz w:val="24"/>
          <w:szCs w:val="24"/>
          <w:highlight w:val="none"/>
        </w:rPr>
      </w:pPr>
    </w:p>
    <w:p w14:paraId="446CE926">
      <w:pPr>
        <w:pStyle w:val="17"/>
        <w:pageBreakBefore w:val="0"/>
        <w:kinsoku/>
        <w:wordWrap/>
        <w:topLinePunct w:val="0"/>
        <w:bidi w:val="0"/>
        <w:spacing w:line="24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签字（签章）：                                       公章：</w:t>
      </w:r>
    </w:p>
    <w:p w14:paraId="0AF412A6">
      <w:pPr>
        <w:pStyle w:val="17"/>
        <w:pageBreakBefore w:val="0"/>
        <w:kinsoku/>
        <w:wordWrap/>
        <w:topLinePunct w:val="0"/>
        <w:bidi w:val="0"/>
        <w:spacing w:line="240" w:lineRule="auto"/>
        <w:ind w:left="25" w:leftChars="12" w:firstLine="352" w:firstLineChars="147"/>
        <w:contextualSpacing/>
        <w:rPr>
          <w:rFonts w:hint="eastAsia" w:hAnsi="宋体"/>
          <w:color w:val="auto"/>
          <w:sz w:val="24"/>
          <w:szCs w:val="24"/>
          <w:highlight w:val="none"/>
        </w:rPr>
      </w:pPr>
    </w:p>
    <w:p w14:paraId="190346C5">
      <w:pPr>
        <w:pStyle w:val="17"/>
        <w:pageBreakBefore w:val="0"/>
        <w:kinsoku/>
        <w:wordWrap/>
        <w:topLinePunct w:val="0"/>
        <w:bidi w:val="0"/>
        <w:spacing w:line="24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日期：</w:t>
      </w:r>
    </w:p>
    <w:p w14:paraId="657A679D">
      <w:pPr>
        <w:pStyle w:val="17"/>
        <w:pageBreakBefore w:val="0"/>
        <w:kinsoku/>
        <w:wordWrap/>
        <w:topLinePunct w:val="0"/>
        <w:bidi w:val="0"/>
        <w:spacing w:line="240" w:lineRule="auto"/>
        <w:contextualSpacing/>
        <w:rPr>
          <w:rFonts w:hint="eastAsia" w:hAnsi="宋体"/>
          <w:b/>
          <w:color w:val="auto"/>
          <w:sz w:val="24"/>
          <w:szCs w:val="24"/>
          <w:highlight w:val="none"/>
          <w:lang w:eastAsia="zh-CN"/>
        </w:rPr>
      </w:pPr>
    </w:p>
    <w:p w14:paraId="2EE7034C">
      <w:pPr>
        <w:pStyle w:val="17"/>
        <w:pageBreakBefore w:val="0"/>
        <w:kinsoku/>
        <w:wordWrap/>
        <w:topLinePunct w:val="0"/>
        <w:bidi w:val="0"/>
        <w:spacing w:line="240" w:lineRule="auto"/>
        <w:contextualSpacing/>
        <w:rPr>
          <w:rFonts w:hint="eastAsia" w:hAnsi="宋体"/>
          <w:b/>
          <w:color w:val="auto"/>
          <w:sz w:val="24"/>
          <w:szCs w:val="24"/>
          <w:highlight w:val="none"/>
          <w:lang w:eastAsia="zh-CN"/>
        </w:rPr>
      </w:pPr>
    </w:p>
    <w:p w14:paraId="171C9551">
      <w:pPr>
        <w:pStyle w:val="17"/>
        <w:pageBreakBefore w:val="0"/>
        <w:kinsoku/>
        <w:wordWrap/>
        <w:topLinePunct w:val="0"/>
        <w:bidi w:val="0"/>
        <w:spacing w:line="240" w:lineRule="auto"/>
        <w:contextualSpacing/>
        <w:rPr>
          <w:rFonts w:hint="eastAsia" w:hAnsi="宋体"/>
          <w:b/>
          <w:color w:val="auto"/>
          <w:sz w:val="24"/>
          <w:szCs w:val="24"/>
          <w:highlight w:val="none"/>
        </w:rPr>
      </w:pPr>
      <w:r>
        <w:rPr>
          <w:rFonts w:hint="eastAsia" w:hAnsi="宋体"/>
          <w:b/>
          <w:color w:val="auto"/>
          <w:sz w:val="24"/>
          <w:szCs w:val="24"/>
          <w:highlight w:val="none"/>
        </w:rPr>
        <w:t>说明：</w:t>
      </w:r>
    </w:p>
    <w:p w14:paraId="230C0AA9">
      <w:pPr>
        <w:pStyle w:val="17"/>
        <w:pageBreakBefore w:val="0"/>
        <w:kinsoku/>
        <w:wordWrap/>
        <w:topLinePunct w:val="0"/>
        <w:bidi w:val="0"/>
        <w:spacing w:line="240" w:lineRule="auto"/>
        <w:ind w:left="25" w:leftChars="12" w:firstLine="354" w:firstLineChars="147"/>
        <w:contextualSpacing/>
        <w:rPr>
          <w:rFonts w:hint="eastAsia" w:hAnsi="宋体"/>
          <w:b/>
          <w:bCs/>
          <w:color w:val="auto"/>
          <w:sz w:val="24"/>
          <w:szCs w:val="24"/>
          <w:highlight w:val="none"/>
        </w:rPr>
      </w:pPr>
      <w:r>
        <w:rPr>
          <w:rFonts w:hint="eastAsia" w:hAnsi="宋体"/>
          <w:b/>
          <w:color w:val="auto"/>
          <w:sz w:val="24"/>
          <w:szCs w:val="24"/>
          <w:highlight w:val="none"/>
        </w:rPr>
        <w:t>1.供应商提出质疑时，应提交质疑函和必要的证明材料</w:t>
      </w:r>
      <w:r>
        <w:rPr>
          <w:rFonts w:hint="eastAsia" w:hAnsi="宋体"/>
          <w:b/>
          <w:bCs/>
          <w:color w:val="auto"/>
          <w:sz w:val="24"/>
          <w:szCs w:val="24"/>
          <w:highlight w:val="none"/>
        </w:rPr>
        <w:t>。</w:t>
      </w:r>
    </w:p>
    <w:p w14:paraId="46C34B0C">
      <w:pPr>
        <w:pStyle w:val="17"/>
        <w:pageBreakBefore w:val="0"/>
        <w:kinsoku/>
        <w:wordWrap/>
        <w:topLinePunct w:val="0"/>
        <w:bidi w:val="0"/>
        <w:spacing w:line="240" w:lineRule="auto"/>
        <w:ind w:left="25" w:leftChars="12" w:firstLine="354" w:firstLineChars="147"/>
        <w:contextualSpacing/>
        <w:rPr>
          <w:rFonts w:hint="eastAsia" w:hAnsi="宋体"/>
          <w:b/>
          <w:color w:val="auto"/>
          <w:sz w:val="24"/>
          <w:szCs w:val="24"/>
          <w:highlight w:val="none"/>
        </w:rPr>
      </w:pPr>
      <w:r>
        <w:rPr>
          <w:rFonts w:hint="eastAsia" w:hAnsi="宋体"/>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59E3B73E">
      <w:pPr>
        <w:pStyle w:val="17"/>
        <w:pageBreakBefore w:val="0"/>
        <w:kinsoku/>
        <w:wordWrap/>
        <w:topLinePunct w:val="0"/>
        <w:bidi w:val="0"/>
        <w:spacing w:line="240" w:lineRule="auto"/>
        <w:ind w:left="25" w:leftChars="12" w:firstLine="354" w:firstLineChars="147"/>
        <w:contextualSpacing/>
        <w:rPr>
          <w:rFonts w:hint="eastAsia" w:hAnsi="宋体"/>
          <w:b/>
          <w:color w:val="auto"/>
          <w:sz w:val="24"/>
          <w:szCs w:val="24"/>
          <w:highlight w:val="none"/>
        </w:rPr>
      </w:pPr>
      <w:r>
        <w:rPr>
          <w:rFonts w:hint="eastAsia" w:hAnsi="宋体"/>
          <w:b/>
          <w:color w:val="auto"/>
          <w:sz w:val="24"/>
          <w:szCs w:val="24"/>
          <w:highlight w:val="none"/>
        </w:rPr>
        <w:t>3.质疑函的质疑事项应具体、明确，并有必要的事实依据和法律依据。</w:t>
      </w:r>
    </w:p>
    <w:p w14:paraId="4C4140C5">
      <w:pPr>
        <w:pStyle w:val="17"/>
        <w:pageBreakBefore w:val="0"/>
        <w:kinsoku/>
        <w:wordWrap/>
        <w:topLinePunct w:val="0"/>
        <w:bidi w:val="0"/>
        <w:spacing w:line="240" w:lineRule="auto"/>
        <w:ind w:left="25" w:leftChars="12" w:firstLine="354" w:firstLineChars="147"/>
        <w:contextualSpacing/>
        <w:rPr>
          <w:rFonts w:hint="eastAsia" w:hAnsi="宋体"/>
          <w:b/>
          <w:color w:val="auto"/>
          <w:sz w:val="24"/>
          <w:szCs w:val="24"/>
          <w:highlight w:val="none"/>
        </w:rPr>
      </w:pPr>
      <w:r>
        <w:rPr>
          <w:rFonts w:hint="eastAsia" w:hAnsi="宋体"/>
          <w:b/>
          <w:color w:val="auto"/>
          <w:sz w:val="24"/>
          <w:szCs w:val="24"/>
          <w:highlight w:val="none"/>
        </w:rPr>
        <w:t>4.质疑函的质疑请求应与质疑事项相关。</w:t>
      </w:r>
    </w:p>
    <w:p w14:paraId="3EB6C2E8">
      <w:pPr>
        <w:pStyle w:val="17"/>
        <w:pageBreakBefore w:val="0"/>
        <w:kinsoku/>
        <w:wordWrap/>
        <w:topLinePunct w:val="0"/>
        <w:bidi w:val="0"/>
        <w:spacing w:line="240" w:lineRule="auto"/>
        <w:ind w:left="25" w:leftChars="12" w:firstLine="354" w:firstLineChars="147"/>
        <w:contextualSpacing/>
        <w:rPr>
          <w:rFonts w:hint="eastAsia" w:hAnsi="宋体"/>
          <w:b/>
          <w:color w:val="auto"/>
          <w:highlight w:val="none"/>
        </w:rPr>
      </w:pPr>
      <w:r>
        <w:rPr>
          <w:rFonts w:hint="eastAsia" w:hAnsi="宋体"/>
          <w:b/>
          <w:color w:val="auto"/>
          <w:sz w:val="24"/>
          <w:szCs w:val="24"/>
          <w:highlight w:val="none"/>
        </w:rPr>
        <w:t>5.质疑供应商为法人或者其他组织的，质疑函应由法定代表人、主要负责人，或者其授权代表签字或者盖章，并加盖公章。</w:t>
      </w:r>
    </w:p>
    <w:p w14:paraId="29348FB2">
      <w:pPr>
        <w:pStyle w:val="17"/>
        <w:pageBreakBefore w:val="0"/>
        <w:kinsoku/>
        <w:wordWrap/>
        <w:topLinePunct w:val="0"/>
        <w:bidi w:val="0"/>
        <w:snapToGrid w:val="0"/>
        <w:spacing w:line="312" w:lineRule="auto"/>
        <w:rPr>
          <w:rFonts w:hint="eastAsia"/>
          <w:b/>
          <w:color w:val="auto"/>
          <w:sz w:val="24"/>
          <w:szCs w:val="24"/>
          <w:highlight w:val="none"/>
        </w:rPr>
      </w:pPr>
    </w:p>
    <w:p w14:paraId="74F53F5A">
      <w:pPr>
        <w:pageBreakBefore w:val="0"/>
        <w:kinsoku/>
        <w:wordWrap/>
        <w:topLinePunct w:val="0"/>
        <w:bidi w:val="0"/>
        <w:spacing w:line="312" w:lineRule="auto"/>
        <w:jc w:val="center"/>
        <w:outlineLvl w:val="2"/>
        <w:rPr>
          <w:rFonts w:hint="eastAsia" w:ascii="宋体" w:hAnsi="宋体"/>
          <w:b/>
          <w:bCs/>
          <w:color w:val="auto"/>
          <w:sz w:val="32"/>
          <w:szCs w:val="32"/>
          <w:highlight w:val="none"/>
        </w:rPr>
      </w:pPr>
      <w:r>
        <w:rPr>
          <w:rFonts w:eastAsia="隶书"/>
          <w:color w:val="auto"/>
          <w:sz w:val="44"/>
          <w:highlight w:val="none"/>
        </w:rPr>
        <w:br w:type="page"/>
      </w:r>
      <w:r>
        <w:rPr>
          <w:rFonts w:hint="eastAsia" w:ascii="宋体" w:hAnsi="宋体"/>
          <w:b/>
          <w:bCs/>
          <w:color w:val="auto"/>
          <w:sz w:val="32"/>
          <w:szCs w:val="32"/>
          <w:highlight w:val="none"/>
        </w:rPr>
        <w:t>投诉书（格式）</w:t>
      </w:r>
    </w:p>
    <w:p w14:paraId="111EAB6C">
      <w:pPr>
        <w:pStyle w:val="17"/>
        <w:pageBreakBefore w:val="0"/>
        <w:kinsoku/>
        <w:wordWrap/>
        <w:topLinePunct w:val="0"/>
        <w:bidi w:val="0"/>
        <w:snapToGrid w:val="0"/>
        <w:spacing w:line="312" w:lineRule="auto"/>
        <w:ind w:firstLine="482" w:firstLineChars="200"/>
        <w:outlineLvl w:val="2"/>
        <w:rPr>
          <w:rFonts w:hAnsi="宋体"/>
          <w:b/>
          <w:bCs/>
          <w:color w:val="auto"/>
          <w:sz w:val="24"/>
          <w:szCs w:val="24"/>
          <w:highlight w:val="none"/>
        </w:rPr>
      </w:pPr>
      <w:r>
        <w:rPr>
          <w:rFonts w:hint="eastAsia" w:hAnsi="宋体"/>
          <w:b/>
          <w:bCs/>
          <w:color w:val="auto"/>
          <w:sz w:val="24"/>
          <w:szCs w:val="24"/>
          <w:highlight w:val="none"/>
        </w:rPr>
        <w:t>一、投诉相关主体基本情况：</w:t>
      </w:r>
    </w:p>
    <w:p w14:paraId="2438429F">
      <w:pPr>
        <w:pStyle w:val="17"/>
        <w:pageBreakBefore w:val="0"/>
        <w:kinsoku/>
        <w:wordWrap/>
        <w:topLinePunct w:val="0"/>
        <w:bidi w:val="0"/>
        <w:snapToGrid w:val="0"/>
        <w:spacing w:line="312"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供应商：</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3DE4E9DA">
      <w:pPr>
        <w:pStyle w:val="17"/>
        <w:pageBreakBefore w:val="0"/>
        <w:kinsoku/>
        <w:wordWrap/>
        <w:topLinePunct w:val="0"/>
        <w:bidi w:val="0"/>
        <w:snapToGrid w:val="0"/>
        <w:spacing w:line="312" w:lineRule="auto"/>
        <w:ind w:firstLine="480" w:firstLineChars="200"/>
        <w:rPr>
          <w:rFonts w:hint="eastAsia"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627A214F">
      <w:pPr>
        <w:pStyle w:val="17"/>
        <w:pageBreakBefore w:val="0"/>
        <w:kinsoku/>
        <w:wordWrap/>
        <w:topLinePunct w:val="0"/>
        <w:bidi w:val="0"/>
        <w:snapToGrid w:val="0"/>
        <w:spacing w:line="312"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法定代表人/主要负责人：</w:t>
      </w:r>
      <w:r>
        <w:rPr>
          <w:rFonts w:hint="eastAsia" w:hAnsi="宋体"/>
          <w:bCs/>
          <w:color w:val="auto"/>
          <w:sz w:val="24"/>
          <w:szCs w:val="24"/>
          <w:highlight w:val="none"/>
          <w:u w:val="single"/>
        </w:rPr>
        <w:t xml:space="preserve">                                                         </w:t>
      </w:r>
    </w:p>
    <w:p w14:paraId="29C15FE4">
      <w:pPr>
        <w:pStyle w:val="17"/>
        <w:pageBreakBefore w:val="0"/>
        <w:kinsoku/>
        <w:wordWrap/>
        <w:topLinePunct w:val="0"/>
        <w:bidi w:val="0"/>
        <w:snapToGrid w:val="0"/>
        <w:spacing w:line="312" w:lineRule="auto"/>
        <w:ind w:firstLine="480" w:firstLineChars="200"/>
        <w:rPr>
          <w:rFonts w:hint="eastAsia" w:hAnsi="宋体"/>
          <w:bCs/>
          <w:color w:val="auto"/>
          <w:sz w:val="24"/>
          <w:szCs w:val="24"/>
          <w:highlight w:val="none"/>
        </w:rPr>
      </w:pPr>
      <w:r>
        <w:rPr>
          <w:rFonts w:hAnsi="宋体"/>
          <w:bCs/>
          <w:color w:val="auto"/>
          <w:sz w:val="24"/>
          <w:szCs w:val="24"/>
          <w:highlight w:val="none"/>
        </w:rPr>
        <w:t>联系电话</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6C628C38">
      <w:pPr>
        <w:pStyle w:val="17"/>
        <w:pageBreakBefore w:val="0"/>
        <w:kinsoku/>
        <w:wordWrap/>
        <w:topLinePunct w:val="0"/>
        <w:bidi w:val="0"/>
        <w:snapToGrid w:val="0"/>
        <w:spacing w:line="312"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授权代表：</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2127B2C8">
      <w:pPr>
        <w:pStyle w:val="17"/>
        <w:pageBreakBefore w:val="0"/>
        <w:kinsoku/>
        <w:wordWrap/>
        <w:topLinePunct w:val="0"/>
        <w:bidi w:val="0"/>
        <w:snapToGrid w:val="0"/>
        <w:spacing w:line="312" w:lineRule="auto"/>
        <w:ind w:firstLine="480" w:firstLineChars="200"/>
        <w:rPr>
          <w:rFonts w:hint="eastAsia" w:hAnsi="宋体"/>
          <w:bCs/>
          <w:color w:val="auto"/>
          <w:sz w:val="24"/>
          <w:szCs w:val="24"/>
          <w:highlight w:val="none"/>
          <w:u w:val="single"/>
          <w:lang w:eastAsia="zh-CN"/>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29E2D45F">
      <w:pPr>
        <w:pStyle w:val="17"/>
        <w:pageBreakBefore w:val="0"/>
        <w:kinsoku/>
        <w:wordWrap/>
        <w:topLinePunct w:val="0"/>
        <w:bidi w:val="0"/>
        <w:snapToGrid w:val="0"/>
        <w:spacing w:line="312" w:lineRule="auto"/>
        <w:ind w:firstLine="480" w:firstLineChars="200"/>
        <w:rPr>
          <w:rFonts w:hint="eastAsia" w:hAnsi="宋体"/>
          <w:bCs/>
          <w:color w:val="auto"/>
          <w:sz w:val="24"/>
          <w:szCs w:val="24"/>
          <w:highlight w:val="none"/>
        </w:rPr>
      </w:pP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2ACB75F9">
      <w:pPr>
        <w:pStyle w:val="17"/>
        <w:pageBreakBefore w:val="0"/>
        <w:kinsoku/>
        <w:wordWrap/>
        <w:topLinePunct w:val="0"/>
        <w:bidi w:val="0"/>
        <w:snapToGrid w:val="0"/>
        <w:spacing w:line="312" w:lineRule="auto"/>
        <w:ind w:firstLine="480" w:firstLineChars="200"/>
        <w:rPr>
          <w:rFonts w:hint="eastAsia" w:hAnsi="宋体"/>
          <w:bCs/>
          <w:color w:val="auto"/>
          <w:sz w:val="24"/>
          <w:szCs w:val="24"/>
          <w:highlight w:val="none"/>
        </w:rPr>
      </w:pPr>
      <w:r>
        <w:rPr>
          <w:rFonts w:hint="eastAsia" w:hAnsi="宋体"/>
          <w:bCs/>
          <w:color w:val="auto"/>
          <w:sz w:val="24"/>
          <w:szCs w:val="24"/>
          <w:highlight w:val="none"/>
        </w:rPr>
        <w:t>被投诉人1：</w:t>
      </w:r>
    </w:p>
    <w:p w14:paraId="42BB09F0">
      <w:pPr>
        <w:pStyle w:val="17"/>
        <w:pageBreakBefore w:val="0"/>
        <w:kinsoku/>
        <w:wordWrap/>
        <w:topLinePunct w:val="0"/>
        <w:bidi w:val="0"/>
        <w:snapToGrid w:val="0"/>
        <w:spacing w:line="312" w:lineRule="auto"/>
        <w:ind w:firstLine="480" w:firstLineChars="200"/>
        <w:rPr>
          <w:rFonts w:hint="eastAsia" w:hAnsi="宋体"/>
          <w:bCs/>
          <w:color w:val="auto"/>
          <w:sz w:val="24"/>
          <w:szCs w:val="24"/>
          <w:highlight w:val="none"/>
          <w:u w:val="single"/>
          <w:lang w:eastAsia="zh-CN"/>
        </w:rPr>
      </w:pPr>
      <w:r>
        <w:rPr>
          <w:rFonts w:hint="eastAsia" w:hAnsi="宋体"/>
          <w:bCs/>
          <w:color w:val="auto"/>
          <w:sz w:val="24"/>
          <w:szCs w:val="24"/>
          <w:highlight w:val="none"/>
        </w:rPr>
        <w:t>地址：</w:t>
      </w:r>
      <w:r>
        <w:rPr>
          <w:rFonts w:hint="eastAsia" w:hAnsi="宋体"/>
          <w:bCs/>
          <w:color w:val="auto"/>
          <w:sz w:val="24"/>
          <w:szCs w:val="24"/>
          <w:highlight w:val="none"/>
          <w:u w:val="single"/>
        </w:rPr>
        <w:t xml:space="preserve">                                                            </w:t>
      </w:r>
    </w:p>
    <w:p w14:paraId="085DAD9C">
      <w:pPr>
        <w:pStyle w:val="17"/>
        <w:pageBreakBefore w:val="0"/>
        <w:kinsoku/>
        <w:wordWrap/>
        <w:topLinePunct w:val="0"/>
        <w:bidi w:val="0"/>
        <w:snapToGrid w:val="0"/>
        <w:spacing w:line="312" w:lineRule="auto"/>
        <w:ind w:firstLine="480" w:firstLineChars="200"/>
        <w:rPr>
          <w:rFonts w:hint="eastAsia" w:hAnsi="宋体"/>
          <w:bCs/>
          <w:color w:val="auto"/>
          <w:sz w:val="24"/>
          <w:szCs w:val="24"/>
          <w:highlight w:val="none"/>
        </w:rPr>
      </w:pP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41382384">
      <w:pPr>
        <w:pStyle w:val="17"/>
        <w:pageBreakBefore w:val="0"/>
        <w:kinsoku/>
        <w:wordWrap/>
        <w:topLinePunct w:val="0"/>
        <w:bidi w:val="0"/>
        <w:snapToGrid w:val="0"/>
        <w:spacing w:line="312"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联系人：</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3E9D7942">
      <w:pPr>
        <w:pStyle w:val="17"/>
        <w:pageBreakBefore w:val="0"/>
        <w:kinsoku/>
        <w:wordWrap/>
        <w:topLinePunct w:val="0"/>
        <w:bidi w:val="0"/>
        <w:snapToGrid w:val="0"/>
        <w:spacing w:line="312" w:lineRule="auto"/>
        <w:ind w:firstLine="480" w:firstLineChars="200"/>
        <w:rPr>
          <w:rFonts w:hint="eastAsia" w:hAnsi="宋体"/>
          <w:bCs/>
          <w:color w:val="auto"/>
          <w:sz w:val="24"/>
          <w:szCs w:val="24"/>
          <w:highlight w:val="none"/>
        </w:rPr>
      </w:pPr>
      <w:r>
        <w:rPr>
          <w:rFonts w:hint="eastAsia" w:hAnsi="宋体"/>
          <w:bCs/>
          <w:color w:val="auto"/>
          <w:sz w:val="24"/>
          <w:szCs w:val="24"/>
          <w:highlight w:val="none"/>
        </w:rPr>
        <w:t>被投诉人2：</w:t>
      </w:r>
    </w:p>
    <w:p w14:paraId="4CD93573">
      <w:pPr>
        <w:pStyle w:val="17"/>
        <w:pageBreakBefore w:val="0"/>
        <w:kinsoku/>
        <w:wordWrap/>
        <w:topLinePunct w:val="0"/>
        <w:bidi w:val="0"/>
        <w:snapToGrid w:val="0"/>
        <w:spacing w:line="312" w:lineRule="auto"/>
        <w:ind w:firstLine="480" w:firstLineChars="200"/>
        <w:rPr>
          <w:rFonts w:hint="eastAsia" w:hAnsi="宋体"/>
          <w:bCs/>
          <w:color w:val="auto"/>
          <w:sz w:val="24"/>
          <w:szCs w:val="24"/>
          <w:highlight w:val="none"/>
        </w:rPr>
      </w:pPr>
      <w:r>
        <w:rPr>
          <w:rFonts w:hAnsi="宋体"/>
          <w:bCs/>
          <w:color w:val="auto"/>
          <w:sz w:val="24"/>
          <w:szCs w:val="24"/>
          <w:highlight w:val="none"/>
        </w:rPr>
        <w:t>……</w:t>
      </w:r>
    </w:p>
    <w:p w14:paraId="20D6AF6F">
      <w:pPr>
        <w:pStyle w:val="17"/>
        <w:pageBreakBefore w:val="0"/>
        <w:kinsoku/>
        <w:wordWrap/>
        <w:topLinePunct w:val="0"/>
        <w:bidi w:val="0"/>
        <w:snapToGrid w:val="0"/>
        <w:spacing w:line="312"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相关供应商：</w:t>
      </w:r>
      <w:r>
        <w:rPr>
          <w:rFonts w:hint="eastAsia" w:hAnsi="宋体"/>
          <w:bCs/>
          <w:color w:val="auto"/>
          <w:sz w:val="24"/>
          <w:szCs w:val="24"/>
          <w:highlight w:val="none"/>
          <w:u w:val="single"/>
        </w:rPr>
        <w:t xml:space="preserve">                                                                       </w:t>
      </w:r>
    </w:p>
    <w:p w14:paraId="11ABFBFF">
      <w:pPr>
        <w:pStyle w:val="17"/>
        <w:pageBreakBefore w:val="0"/>
        <w:kinsoku/>
        <w:wordWrap/>
        <w:topLinePunct w:val="0"/>
        <w:bidi w:val="0"/>
        <w:snapToGrid w:val="0"/>
        <w:spacing w:line="312" w:lineRule="auto"/>
        <w:ind w:firstLine="480" w:firstLineChars="200"/>
        <w:rPr>
          <w:rFonts w:hint="eastAsia" w:hAnsi="宋体"/>
          <w:bCs/>
          <w:color w:val="auto"/>
          <w:sz w:val="24"/>
          <w:szCs w:val="24"/>
          <w:highlight w:val="none"/>
          <w:u w:val="singl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3E2F50BD">
      <w:pPr>
        <w:pStyle w:val="17"/>
        <w:pageBreakBefore w:val="0"/>
        <w:kinsoku/>
        <w:wordWrap/>
        <w:topLinePunct w:val="0"/>
        <w:bidi w:val="0"/>
        <w:snapToGrid w:val="0"/>
        <w:spacing w:line="312" w:lineRule="auto"/>
        <w:ind w:firstLine="480" w:firstLineChars="200"/>
        <w:rPr>
          <w:rFonts w:hint="eastAsia" w:hAnsi="宋体"/>
          <w:bCs/>
          <w:color w:val="auto"/>
          <w:sz w:val="24"/>
          <w:szCs w:val="24"/>
          <w:highlight w:val="none"/>
        </w:rPr>
      </w:pPr>
      <w:r>
        <w:rPr>
          <w:rFonts w:hint="eastAsia" w:hAnsi="宋体"/>
          <w:bCs/>
          <w:color w:val="auto"/>
          <w:sz w:val="24"/>
          <w:szCs w:val="24"/>
          <w:highlight w:val="none"/>
        </w:rPr>
        <w:t>联系人：</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7C4580EB">
      <w:pPr>
        <w:pStyle w:val="17"/>
        <w:pageBreakBefore w:val="0"/>
        <w:kinsoku/>
        <w:wordWrap/>
        <w:topLinePunct w:val="0"/>
        <w:bidi w:val="0"/>
        <w:snapToGrid w:val="0"/>
        <w:spacing w:line="312" w:lineRule="auto"/>
        <w:ind w:firstLine="482" w:firstLineChars="200"/>
        <w:outlineLvl w:val="2"/>
        <w:rPr>
          <w:rFonts w:hint="eastAsia" w:hAnsi="宋体"/>
          <w:b/>
          <w:bCs/>
          <w:color w:val="auto"/>
          <w:sz w:val="24"/>
          <w:szCs w:val="24"/>
          <w:highlight w:val="none"/>
        </w:rPr>
      </w:pPr>
      <w:r>
        <w:rPr>
          <w:rFonts w:hint="eastAsia" w:hAnsi="宋体"/>
          <w:b/>
          <w:bCs/>
          <w:color w:val="auto"/>
          <w:sz w:val="24"/>
          <w:szCs w:val="24"/>
          <w:highlight w:val="none"/>
        </w:rPr>
        <w:t>二、投诉项目基本情况：</w:t>
      </w:r>
    </w:p>
    <w:p w14:paraId="2488AF78">
      <w:pPr>
        <w:pStyle w:val="17"/>
        <w:pageBreakBefore w:val="0"/>
        <w:kinsoku/>
        <w:wordWrap/>
        <w:topLinePunct w:val="0"/>
        <w:bidi w:val="0"/>
        <w:spacing w:line="312" w:lineRule="auto"/>
        <w:ind w:left="25" w:leftChars="12" w:firstLine="472" w:firstLineChars="197"/>
        <w:rPr>
          <w:rFonts w:hint="eastAsia" w:hAnsi="宋体"/>
          <w:color w:val="auto"/>
          <w:sz w:val="24"/>
          <w:szCs w:val="24"/>
          <w:highlight w:val="none"/>
        </w:rPr>
      </w:pPr>
      <w:r>
        <w:rPr>
          <w:rFonts w:hint="eastAsia" w:hAnsi="宋体"/>
          <w:bCs/>
          <w:color w:val="auto"/>
          <w:sz w:val="24"/>
          <w:szCs w:val="24"/>
          <w:highlight w:val="none"/>
        </w:rPr>
        <w:t>采购</w:t>
      </w:r>
      <w:r>
        <w:rPr>
          <w:rFonts w:hint="eastAsia" w:hAnsi="宋体"/>
          <w:color w:val="auto"/>
          <w:sz w:val="24"/>
          <w:szCs w:val="24"/>
          <w:highlight w:val="none"/>
        </w:rPr>
        <w:t>项目的名称：</w:t>
      </w:r>
      <w:r>
        <w:rPr>
          <w:rFonts w:hint="eastAsia" w:hAnsi="宋体"/>
          <w:bCs/>
          <w:color w:val="auto"/>
          <w:sz w:val="24"/>
          <w:szCs w:val="24"/>
          <w:highlight w:val="none"/>
          <w:u w:val="single"/>
        </w:rPr>
        <w:t xml:space="preserve">                                                                   </w:t>
      </w:r>
    </w:p>
    <w:p w14:paraId="0B5262D1">
      <w:pPr>
        <w:pStyle w:val="17"/>
        <w:pageBreakBefore w:val="0"/>
        <w:kinsoku/>
        <w:wordWrap/>
        <w:topLinePunct w:val="0"/>
        <w:bidi w:val="0"/>
        <w:spacing w:line="312" w:lineRule="auto"/>
        <w:ind w:left="25" w:leftChars="12" w:firstLine="472" w:firstLineChars="197"/>
        <w:rPr>
          <w:rFonts w:hint="eastAsia" w:hAnsi="宋体"/>
          <w:color w:val="auto"/>
          <w:sz w:val="24"/>
          <w:szCs w:val="24"/>
          <w:highlight w:val="none"/>
        </w:rPr>
      </w:pPr>
      <w:r>
        <w:rPr>
          <w:rFonts w:hint="eastAsia" w:hAnsi="宋体"/>
          <w:bCs/>
          <w:color w:val="auto"/>
          <w:sz w:val="24"/>
          <w:szCs w:val="24"/>
          <w:highlight w:val="none"/>
        </w:rPr>
        <w:t>采购</w:t>
      </w:r>
      <w:r>
        <w:rPr>
          <w:rFonts w:hint="eastAsia" w:hAnsi="宋体"/>
          <w:color w:val="auto"/>
          <w:sz w:val="24"/>
          <w:szCs w:val="24"/>
          <w:highlight w:val="none"/>
        </w:rPr>
        <w:t>项目的编号：</w:t>
      </w:r>
      <w:r>
        <w:rPr>
          <w:rFonts w:hint="eastAsia" w:hAnsi="宋体"/>
          <w:bCs/>
          <w:color w:val="auto"/>
          <w:sz w:val="24"/>
          <w:szCs w:val="24"/>
          <w:highlight w:val="none"/>
          <w:u w:val="single"/>
        </w:rPr>
        <w:t xml:space="preserve">                                          </w:t>
      </w:r>
    </w:p>
    <w:p w14:paraId="2F27C558">
      <w:pPr>
        <w:pStyle w:val="17"/>
        <w:pageBreakBefore w:val="0"/>
        <w:kinsoku/>
        <w:wordWrap/>
        <w:topLinePunct w:val="0"/>
        <w:bidi w:val="0"/>
        <w:spacing w:line="312" w:lineRule="auto"/>
        <w:ind w:left="25" w:leftChars="12" w:firstLine="472" w:firstLineChars="197"/>
        <w:rPr>
          <w:rFonts w:hint="eastAsia" w:hAnsi="宋体"/>
          <w:bCs/>
          <w:color w:val="auto"/>
          <w:sz w:val="24"/>
          <w:szCs w:val="24"/>
          <w:highlight w:val="none"/>
          <w:u w:val="single"/>
        </w:rPr>
      </w:pPr>
      <w:r>
        <w:rPr>
          <w:rFonts w:hint="eastAsia" w:hAnsi="宋体"/>
          <w:color w:val="auto"/>
          <w:sz w:val="24"/>
          <w:szCs w:val="24"/>
          <w:highlight w:val="none"/>
        </w:rPr>
        <w:t>采购人名称：</w:t>
      </w:r>
      <w:r>
        <w:rPr>
          <w:rFonts w:hint="eastAsia" w:hAnsi="宋体"/>
          <w:bCs/>
          <w:color w:val="auto"/>
          <w:sz w:val="24"/>
          <w:szCs w:val="24"/>
          <w:highlight w:val="none"/>
          <w:u w:val="single"/>
        </w:rPr>
        <w:t xml:space="preserve">                                                                        </w:t>
      </w:r>
    </w:p>
    <w:p w14:paraId="3872C61C">
      <w:pPr>
        <w:pStyle w:val="17"/>
        <w:pageBreakBefore w:val="0"/>
        <w:kinsoku/>
        <w:wordWrap/>
        <w:topLinePunct w:val="0"/>
        <w:bidi w:val="0"/>
        <w:spacing w:line="312" w:lineRule="auto"/>
        <w:ind w:left="25" w:leftChars="12" w:firstLine="472" w:firstLineChars="197"/>
        <w:rPr>
          <w:rFonts w:hint="eastAsia" w:hAnsi="宋体"/>
          <w:bCs/>
          <w:color w:val="auto"/>
          <w:sz w:val="24"/>
          <w:szCs w:val="24"/>
          <w:highlight w:val="none"/>
          <w:u w:val="single"/>
        </w:rPr>
      </w:pPr>
      <w:r>
        <w:rPr>
          <w:rFonts w:hint="eastAsia" w:hAnsi="宋体"/>
          <w:color w:val="auto"/>
          <w:sz w:val="24"/>
          <w:szCs w:val="24"/>
          <w:highlight w:val="none"/>
        </w:rPr>
        <w:t>代理机构名称：</w:t>
      </w:r>
      <w:r>
        <w:rPr>
          <w:rFonts w:hint="eastAsia" w:hAnsi="宋体"/>
          <w:bCs/>
          <w:color w:val="auto"/>
          <w:sz w:val="24"/>
          <w:szCs w:val="24"/>
          <w:highlight w:val="none"/>
          <w:u w:val="single"/>
        </w:rPr>
        <w:t xml:space="preserve">                                                                      </w:t>
      </w:r>
    </w:p>
    <w:p w14:paraId="024E9123">
      <w:pPr>
        <w:pStyle w:val="17"/>
        <w:pageBreakBefore w:val="0"/>
        <w:kinsoku/>
        <w:wordWrap/>
        <w:topLinePunct w:val="0"/>
        <w:bidi w:val="0"/>
        <w:spacing w:line="312" w:lineRule="auto"/>
        <w:ind w:left="25" w:leftChars="12" w:firstLine="472" w:firstLineChars="197"/>
        <w:rPr>
          <w:rFonts w:hint="eastAsia" w:hAnsi="宋体"/>
          <w:bCs/>
          <w:color w:val="auto"/>
          <w:sz w:val="24"/>
          <w:szCs w:val="24"/>
          <w:highlight w:val="none"/>
          <w:u w:val="single"/>
        </w:rPr>
      </w:pPr>
      <w:r>
        <w:rPr>
          <w:rFonts w:hint="eastAsia" w:hAnsi="宋体"/>
          <w:bCs/>
          <w:color w:val="auto"/>
          <w:sz w:val="24"/>
          <w:szCs w:val="24"/>
          <w:highlight w:val="none"/>
        </w:rPr>
        <w:t>招标文件公告：</w:t>
      </w:r>
      <w:r>
        <w:rPr>
          <w:rFonts w:hint="eastAsia" w:hAnsi="宋体"/>
          <w:bCs/>
          <w:color w:val="auto"/>
          <w:sz w:val="24"/>
          <w:szCs w:val="24"/>
          <w:highlight w:val="none"/>
          <w:u w:val="single"/>
        </w:rPr>
        <w:t>是/否</w:t>
      </w:r>
      <w:r>
        <w:rPr>
          <w:rFonts w:hint="eastAsia" w:hAnsi="宋体"/>
          <w:bCs/>
          <w:color w:val="auto"/>
          <w:sz w:val="24"/>
          <w:szCs w:val="24"/>
          <w:highlight w:val="none"/>
        </w:rPr>
        <w:t>公告期限：</w:t>
      </w:r>
      <w:r>
        <w:rPr>
          <w:rFonts w:hint="eastAsia" w:hAnsi="宋体"/>
          <w:bCs/>
          <w:color w:val="auto"/>
          <w:sz w:val="24"/>
          <w:szCs w:val="24"/>
          <w:highlight w:val="none"/>
          <w:u w:val="single"/>
        </w:rPr>
        <w:t xml:space="preserve">                                                       </w:t>
      </w:r>
    </w:p>
    <w:p w14:paraId="554E410F">
      <w:pPr>
        <w:pStyle w:val="17"/>
        <w:pageBreakBefore w:val="0"/>
        <w:kinsoku/>
        <w:wordWrap/>
        <w:topLinePunct w:val="0"/>
        <w:bidi w:val="0"/>
        <w:spacing w:line="312" w:lineRule="auto"/>
        <w:ind w:left="25" w:leftChars="12" w:firstLine="472" w:firstLineChars="197"/>
        <w:rPr>
          <w:rFonts w:hint="eastAsia" w:hAnsi="宋体"/>
          <w:b/>
          <w:color w:val="auto"/>
          <w:sz w:val="24"/>
          <w:szCs w:val="24"/>
          <w:highlight w:val="none"/>
        </w:rPr>
      </w:pPr>
      <w:r>
        <w:rPr>
          <w:rFonts w:hint="eastAsia" w:hAnsi="宋体"/>
          <w:bCs/>
          <w:color w:val="auto"/>
          <w:sz w:val="24"/>
          <w:szCs w:val="24"/>
          <w:highlight w:val="none"/>
        </w:rPr>
        <w:t>采购结果公告：</w:t>
      </w:r>
      <w:r>
        <w:rPr>
          <w:rFonts w:hint="eastAsia" w:hAnsi="宋体"/>
          <w:bCs/>
          <w:color w:val="auto"/>
          <w:sz w:val="24"/>
          <w:szCs w:val="24"/>
          <w:highlight w:val="none"/>
          <w:u w:val="single"/>
        </w:rPr>
        <w:t>是/否</w:t>
      </w:r>
      <w:r>
        <w:rPr>
          <w:rFonts w:hint="eastAsia" w:hAnsi="宋体"/>
          <w:bCs/>
          <w:color w:val="auto"/>
          <w:sz w:val="24"/>
          <w:szCs w:val="24"/>
          <w:highlight w:val="none"/>
        </w:rPr>
        <w:t>公告期限：</w:t>
      </w:r>
      <w:r>
        <w:rPr>
          <w:rFonts w:hint="eastAsia" w:hAnsi="宋体"/>
          <w:bCs/>
          <w:color w:val="auto"/>
          <w:sz w:val="24"/>
          <w:szCs w:val="24"/>
          <w:highlight w:val="none"/>
          <w:u w:val="single"/>
        </w:rPr>
        <w:t xml:space="preserve">                                                       </w:t>
      </w:r>
    </w:p>
    <w:p w14:paraId="5716D29F">
      <w:pPr>
        <w:pStyle w:val="17"/>
        <w:pageBreakBefore w:val="0"/>
        <w:kinsoku/>
        <w:wordWrap/>
        <w:topLinePunct w:val="0"/>
        <w:bidi w:val="0"/>
        <w:spacing w:line="312" w:lineRule="auto"/>
        <w:ind w:left="25" w:leftChars="12" w:firstLine="472" w:firstLineChars="196"/>
        <w:outlineLvl w:val="2"/>
        <w:rPr>
          <w:rFonts w:hint="eastAsia" w:hAnsi="宋体"/>
          <w:b/>
          <w:color w:val="auto"/>
          <w:sz w:val="24"/>
          <w:szCs w:val="24"/>
          <w:highlight w:val="none"/>
        </w:rPr>
      </w:pPr>
      <w:r>
        <w:rPr>
          <w:rFonts w:hint="eastAsia" w:hAnsi="宋体"/>
          <w:b/>
          <w:color w:val="auto"/>
          <w:sz w:val="24"/>
          <w:szCs w:val="24"/>
          <w:highlight w:val="none"/>
        </w:rPr>
        <w:t>三、质疑基本情况</w:t>
      </w:r>
    </w:p>
    <w:p w14:paraId="7C1AB9D1">
      <w:pPr>
        <w:pStyle w:val="17"/>
        <w:pageBreakBefore w:val="0"/>
        <w:kinsoku/>
        <w:wordWrap/>
        <w:topLinePunct w:val="0"/>
        <w:bidi w:val="0"/>
        <w:spacing w:line="312" w:lineRule="auto"/>
        <w:ind w:firstLine="480" w:firstLineChars="200"/>
        <w:rPr>
          <w:rFonts w:hint="eastAsia" w:hAnsi="宋体"/>
          <w:color w:val="auto"/>
          <w:sz w:val="24"/>
          <w:szCs w:val="24"/>
          <w:highlight w:val="none"/>
        </w:rPr>
      </w:pPr>
      <w:r>
        <w:rPr>
          <w:rFonts w:hint="eastAsia" w:hAnsi="宋体"/>
          <w:color w:val="auto"/>
          <w:sz w:val="24"/>
          <w:szCs w:val="24"/>
          <w:highlight w:val="none"/>
        </w:rPr>
        <w:t>投诉人于</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日，向</w:t>
      </w:r>
      <w:r>
        <w:rPr>
          <w:rFonts w:hint="eastAsia" w:hAnsi="宋体"/>
          <w:color w:val="auto"/>
          <w:sz w:val="24"/>
          <w:szCs w:val="24"/>
          <w:highlight w:val="none"/>
          <w:u w:val="single"/>
        </w:rPr>
        <w:t xml:space="preserve">                                </w:t>
      </w:r>
      <w:r>
        <w:rPr>
          <w:rFonts w:hint="eastAsia" w:hAnsi="宋体"/>
          <w:color w:val="auto"/>
          <w:sz w:val="24"/>
          <w:szCs w:val="24"/>
          <w:highlight w:val="none"/>
        </w:rPr>
        <w:t>提出质疑，质疑事项为：</w:t>
      </w:r>
    </w:p>
    <w:p w14:paraId="3F5A1222">
      <w:pPr>
        <w:pStyle w:val="17"/>
        <w:pageBreakBefore w:val="0"/>
        <w:kinsoku/>
        <w:wordWrap/>
        <w:topLinePunct w:val="0"/>
        <w:bidi w:val="0"/>
        <w:spacing w:line="312" w:lineRule="auto"/>
        <w:ind w:firstLine="241"/>
        <w:rPr>
          <w:rFonts w:hint="eastAsia" w:hAnsi="宋体"/>
          <w:bCs/>
          <w:color w:val="auto"/>
          <w:sz w:val="24"/>
          <w:szCs w:val="24"/>
          <w:highlight w:val="none"/>
          <w:u w:val="single"/>
        </w:rPr>
      </w:pP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3C26C277">
      <w:pPr>
        <w:pStyle w:val="17"/>
        <w:pageBreakBefore w:val="0"/>
        <w:kinsoku/>
        <w:wordWrap/>
        <w:topLinePunct w:val="0"/>
        <w:bidi w:val="0"/>
        <w:spacing w:line="312" w:lineRule="auto"/>
        <w:ind w:firstLine="241"/>
        <w:rPr>
          <w:rFonts w:hint="eastAsia" w:hAnsi="宋体"/>
          <w:bCs/>
          <w:color w:val="auto"/>
          <w:sz w:val="24"/>
          <w:szCs w:val="24"/>
          <w:highlight w:val="none"/>
          <w:u w:val="single"/>
        </w:rPr>
      </w:pPr>
      <w:r>
        <w:rPr>
          <w:rFonts w:hint="eastAsia" w:hAnsi="宋体"/>
          <w:bCs/>
          <w:color w:val="auto"/>
          <w:sz w:val="24"/>
          <w:szCs w:val="24"/>
          <w:highlight w:val="none"/>
        </w:rPr>
        <w:t xml:space="preserve">    </w:t>
      </w:r>
      <w:r>
        <w:rPr>
          <w:rFonts w:hint="eastAsia" w:hAnsi="宋体"/>
          <w:bCs/>
          <w:color w:val="auto"/>
          <w:sz w:val="24"/>
          <w:szCs w:val="24"/>
          <w:highlight w:val="none"/>
          <w:u w:val="single"/>
        </w:rPr>
        <w:t xml:space="preserve">                                                                                      </w:t>
      </w:r>
    </w:p>
    <w:p w14:paraId="0CA6B249">
      <w:pPr>
        <w:pStyle w:val="17"/>
        <w:pageBreakBefore w:val="0"/>
        <w:kinsoku/>
        <w:wordWrap/>
        <w:topLinePunct w:val="0"/>
        <w:bidi w:val="0"/>
        <w:spacing w:line="312" w:lineRule="auto"/>
        <w:ind w:firstLine="480" w:firstLineChars="200"/>
        <w:rPr>
          <w:rFonts w:hint="eastAsia" w:hAnsi="宋体"/>
          <w:color w:val="auto"/>
          <w:sz w:val="24"/>
          <w:szCs w:val="24"/>
          <w:highlight w:val="none"/>
        </w:rPr>
      </w:pPr>
      <w:r>
        <w:rPr>
          <w:rFonts w:hint="eastAsia" w:hAnsi="宋体"/>
          <w:bCs/>
          <w:color w:val="auto"/>
          <w:sz w:val="24"/>
          <w:szCs w:val="24"/>
          <w:highlight w:val="none"/>
          <w:u w:val="single"/>
        </w:rPr>
        <w:t>采购人/代理机构</w:t>
      </w:r>
      <w:r>
        <w:rPr>
          <w:rFonts w:hint="eastAsia" w:hAnsi="宋体"/>
          <w:bCs/>
          <w:color w:val="auto"/>
          <w:sz w:val="24"/>
          <w:szCs w:val="24"/>
          <w:highlight w:val="none"/>
        </w:rPr>
        <w:t>于</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w:t>
      </w:r>
      <w:r>
        <w:rPr>
          <w:rFonts w:hint="eastAsia" w:hAnsi="宋体"/>
          <w:bCs/>
          <w:color w:val="auto"/>
          <w:sz w:val="24"/>
          <w:szCs w:val="24"/>
          <w:highlight w:val="none"/>
        </w:rPr>
        <w:t xml:space="preserve">就质疑事项作出了答复/没有在法定期限内作出答复。                                                                                             </w:t>
      </w:r>
    </w:p>
    <w:p w14:paraId="17E8824A">
      <w:pPr>
        <w:pStyle w:val="17"/>
        <w:pageBreakBefore w:val="0"/>
        <w:kinsoku/>
        <w:wordWrap/>
        <w:topLinePunct w:val="0"/>
        <w:bidi w:val="0"/>
        <w:spacing w:line="312" w:lineRule="auto"/>
        <w:ind w:left="25" w:leftChars="12" w:firstLine="472" w:firstLineChars="196"/>
        <w:outlineLvl w:val="2"/>
        <w:rPr>
          <w:rFonts w:hint="eastAsia" w:hAnsi="宋体"/>
          <w:b/>
          <w:color w:val="auto"/>
          <w:sz w:val="24"/>
          <w:szCs w:val="24"/>
          <w:highlight w:val="none"/>
        </w:rPr>
      </w:pPr>
      <w:r>
        <w:rPr>
          <w:rFonts w:hint="eastAsia" w:hAnsi="宋体"/>
          <w:b/>
          <w:color w:val="auto"/>
          <w:sz w:val="24"/>
          <w:szCs w:val="24"/>
          <w:highlight w:val="none"/>
        </w:rPr>
        <w:t>四、投诉事项具体内容</w:t>
      </w:r>
    </w:p>
    <w:p w14:paraId="5E31D407">
      <w:pPr>
        <w:pStyle w:val="17"/>
        <w:pageBreakBefore w:val="0"/>
        <w:kinsoku/>
        <w:wordWrap/>
        <w:topLinePunct w:val="0"/>
        <w:bidi w:val="0"/>
        <w:spacing w:line="312" w:lineRule="auto"/>
        <w:ind w:left="25" w:leftChars="12" w:firstLine="472" w:firstLineChars="197"/>
        <w:rPr>
          <w:rFonts w:hint="eastAsia" w:hAnsi="宋体"/>
          <w:bCs/>
          <w:color w:val="auto"/>
          <w:sz w:val="24"/>
          <w:szCs w:val="24"/>
          <w:highlight w:val="none"/>
          <w:u w:val="single"/>
        </w:rPr>
      </w:pPr>
      <w:r>
        <w:rPr>
          <w:rFonts w:hint="eastAsia" w:hAnsi="宋体"/>
          <w:color w:val="auto"/>
          <w:sz w:val="24"/>
          <w:szCs w:val="24"/>
          <w:highlight w:val="none"/>
        </w:rPr>
        <w:t>投诉事项1：</w:t>
      </w:r>
      <w:r>
        <w:rPr>
          <w:rFonts w:hint="eastAsia" w:hAnsi="宋体"/>
          <w:bCs/>
          <w:color w:val="auto"/>
          <w:sz w:val="24"/>
          <w:szCs w:val="24"/>
          <w:highlight w:val="none"/>
          <w:u w:val="single"/>
        </w:rPr>
        <w:t xml:space="preserve">                                                                           </w:t>
      </w:r>
    </w:p>
    <w:p w14:paraId="2D5488EA">
      <w:pPr>
        <w:pStyle w:val="17"/>
        <w:pageBreakBefore w:val="0"/>
        <w:kinsoku/>
        <w:wordWrap/>
        <w:topLinePunct w:val="0"/>
        <w:bidi w:val="0"/>
        <w:spacing w:line="312"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事实依据：</w:t>
      </w: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288AA9C6">
      <w:pPr>
        <w:pStyle w:val="17"/>
        <w:pageBreakBefore w:val="0"/>
        <w:kinsoku/>
        <w:wordWrap/>
        <w:topLinePunct w:val="0"/>
        <w:bidi w:val="0"/>
        <w:spacing w:line="312" w:lineRule="auto"/>
        <w:ind w:left="25" w:leftChars="12" w:firstLine="472" w:firstLineChars="197"/>
        <w:rPr>
          <w:rFonts w:hint="eastAsia" w:hAnsi="宋体"/>
          <w:color w:val="auto"/>
          <w:sz w:val="24"/>
          <w:szCs w:val="24"/>
          <w:highlight w:val="none"/>
        </w:rPr>
      </w:pPr>
      <w:r>
        <w:rPr>
          <w:rFonts w:hint="eastAsia" w:hAnsi="宋体"/>
          <w:bCs/>
          <w:color w:val="auto"/>
          <w:sz w:val="24"/>
          <w:szCs w:val="24"/>
          <w:highlight w:val="none"/>
          <w:u w:val="single"/>
        </w:rPr>
        <w:t xml:space="preserve">                                                                                        </w:t>
      </w:r>
    </w:p>
    <w:p w14:paraId="50E07661">
      <w:pPr>
        <w:pStyle w:val="17"/>
        <w:pageBreakBefore w:val="0"/>
        <w:kinsoku/>
        <w:wordWrap/>
        <w:topLinePunct w:val="0"/>
        <w:bidi w:val="0"/>
        <w:spacing w:line="312"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法律依据：</w:t>
      </w: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0F843F88">
      <w:pPr>
        <w:pStyle w:val="17"/>
        <w:pageBreakBefore w:val="0"/>
        <w:kinsoku/>
        <w:wordWrap/>
        <w:topLinePunct w:val="0"/>
        <w:bidi w:val="0"/>
        <w:spacing w:line="312" w:lineRule="auto"/>
        <w:ind w:left="25" w:leftChars="12" w:firstLine="352" w:firstLineChars="147"/>
        <w:rPr>
          <w:rFonts w:hint="eastAsia" w:hAnsi="宋体"/>
          <w:bCs/>
          <w:color w:val="auto"/>
          <w:sz w:val="24"/>
          <w:szCs w:val="24"/>
          <w:highlight w:val="none"/>
          <w:u w:val="single"/>
        </w:rPr>
      </w:pPr>
      <w:r>
        <w:rPr>
          <w:rFonts w:hint="eastAsia" w:hAnsi="宋体"/>
          <w:bCs/>
          <w:color w:val="auto"/>
          <w:sz w:val="24"/>
          <w:szCs w:val="24"/>
          <w:highlight w:val="none"/>
        </w:rPr>
        <w:t xml:space="preserve"> </w:t>
      </w:r>
      <w:r>
        <w:rPr>
          <w:rFonts w:hint="eastAsia" w:hAnsi="宋体"/>
          <w:bCs/>
          <w:color w:val="auto"/>
          <w:sz w:val="24"/>
          <w:szCs w:val="24"/>
          <w:highlight w:val="none"/>
          <w:u w:val="single"/>
        </w:rPr>
        <w:t xml:space="preserve">                                                                                        </w:t>
      </w:r>
    </w:p>
    <w:p w14:paraId="244B3EF5">
      <w:pPr>
        <w:pStyle w:val="17"/>
        <w:pageBreakBefore w:val="0"/>
        <w:kinsoku/>
        <w:wordWrap/>
        <w:topLinePunct w:val="0"/>
        <w:bidi w:val="0"/>
        <w:spacing w:line="312" w:lineRule="auto"/>
        <w:ind w:left="25" w:leftChars="12" w:firstLine="472" w:firstLineChars="197"/>
        <w:rPr>
          <w:rFonts w:hint="eastAsia" w:hAnsi="宋体"/>
          <w:bCs/>
          <w:color w:val="auto"/>
          <w:sz w:val="24"/>
          <w:szCs w:val="24"/>
          <w:highlight w:val="none"/>
        </w:rPr>
      </w:pPr>
      <w:r>
        <w:rPr>
          <w:rFonts w:hint="eastAsia" w:hAnsi="宋体"/>
          <w:color w:val="auto"/>
          <w:sz w:val="24"/>
          <w:szCs w:val="24"/>
          <w:highlight w:val="none"/>
        </w:rPr>
        <w:t xml:space="preserve">投诉事项2  </w:t>
      </w:r>
      <w:r>
        <w:rPr>
          <w:rFonts w:hint="eastAsia" w:hAnsi="宋体"/>
          <w:bCs/>
          <w:color w:val="auto"/>
          <w:sz w:val="24"/>
          <w:szCs w:val="24"/>
          <w:highlight w:val="none"/>
        </w:rPr>
        <w:t xml:space="preserve">   </w:t>
      </w:r>
    </w:p>
    <w:p w14:paraId="7B1E2059">
      <w:pPr>
        <w:pStyle w:val="17"/>
        <w:pageBreakBefore w:val="0"/>
        <w:kinsoku/>
        <w:wordWrap/>
        <w:topLinePunct w:val="0"/>
        <w:bidi w:val="0"/>
        <w:spacing w:line="312" w:lineRule="auto"/>
        <w:ind w:left="25" w:leftChars="12" w:firstLine="472" w:firstLineChars="197"/>
        <w:rPr>
          <w:rFonts w:hint="eastAsia" w:hAnsi="宋体"/>
          <w:bCs/>
          <w:color w:val="auto"/>
          <w:sz w:val="24"/>
          <w:szCs w:val="24"/>
          <w:highlight w:val="none"/>
        </w:rPr>
      </w:pPr>
      <w:r>
        <w:rPr>
          <w:rFonts w:hAnsi="宋体"/>
          <w:bCs/>
          <w:color w:val="auto"/>
          <w:sz w:val="24"/>
          <w:szCs w:val="24"/>
          <w:highlight w:val="none"/>
        </w:rPr>
        <w:t>……</w:t>
      </w:r>
    </w:p>
    <w:p w14:paraId="78872CA8">
      <w:pPr>
        <w:pStyle w:val="17"/>
        <w:pageBreakBefore w:val="0"/>
        <w:kinsoku/>
        <w:wordWrap/>
        <w:topLinePunct w:val="0"/>
        <w:bidi w:val="0"/>
        <w:spacing w:line="312" w:lineRule="auto"/>
        <w:ind w:left="25" w:leftChars="12" w:firstLine="472" w:firstLineChars="196"/>
        <w:outlineLvl w:val="2"/>
        <w:rPr>
          <w:rFonts w:hint="eastAsia" w:hAnsi="宋体"/>
          <w:b/>
          <w:color w:val="auto"/>
          <w:sz w:val="24"/>
          <w:szCs w:val="24"/>
          <w:highlight w:val="none"/>
        </w:rPr>
      </w:pPr>
      <w:r>
        <w:rPr>
          <w:rFonts w:hint="eastAsia" w:hAnsi="宋体"/>
          <w:b/>
          <w:color w:val="auto"/>
          <w:sz w:val="24"/>
          <w:szCs w:val="24"/>
          <w:highlight w:val="none"/>
        </w:rPr>
        <w:t>五、与投诉事项相关的投诉请求：</w:t>
      </w:r>
    </w:p>
    <w:p w14:paraId="45CC36EF">
      <w:pPr>
        <w:pStyle w:val="17"/>
        <w:pageBreakBefore w:val="0"/>
        <w:kinsoku/>
        <w:wordWrap/>
        <w:topLinePunct w:val="0"/>
        <w:bidi w:val="0"/>
        <w:spacing w:line="312"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请求：</w:t>
      </w:r>
      <w:r>
        <w:rPr>
          <w:rFonts w:hint="eastAsia" w:hAnsi="宋体"/>
          <w:bCs/>
          <w:color w:val="auto"/>
          <w:sz w:val="24"/>
          <w:szCs w:val="24"/>
          <w:highlight w:val="none"/>
          <w:u w:val="single"/>
        </w:rPr>
        <w:t xml:space="preserve">                                                                                 </w:t>
      </w:r>
    </w:p>
    <w:p w14:paraId="4AD3D859">
      <w:pPr>
        <w:pStyle w:val="17"/>
        <w:pageBreakBefore w:val="0"/>
        <w:kinsoku/>
        <w:wordWrap/>
        <w:topLinePunct w:val="0"/>
        <w:bidi w:val="0"/>
        <w:spacing w:line="312" w:lineRule="auto"/>
        <w:ind w:left="25" w:leftChars="12" w:firstLine="352" w:firstLineChars="147"/>
        <w:rPr>
          <w:rFonts w:hint="eastAsia" w:hAnsi="宋体"/>
          <w:color w:val="auto"/>
          <w:sz w:val="24"/>
          <w:szCs w:val="24"/>
          <w:highlight w:val="none"/>
        </w:rPr>
      </w:pPr>
    </w:p>
    <w:p w14:paraId="0BCE7795">
      <w:pPr>
        <w:pStyle w:val="17"/>
        <w:pageBreakBefore w:val="0"/>
        <w:kinsoku/>
        <w:wordWrap/>
        <w:topLinePunct w:val="0"/>
        <w:bidi w:val="0"/>
        <w:spacing w:line="312"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签字（签章）：                                       公章：</w:t>
      </w:r>
    </w:p>
    <w:p w14:paraId="29E94A13">
      <w:pPr>
        <w:pStyle w:val="17"/>
        <w:pageBreakBefore w:val="0"/>
        <w:kinsoku/>
        <w:wordWrap/>
        <w:topLinePunct w:val="0"/>
        <w:bidi w:val="0"/>
        <w:spacing w:line="312" w:lineRule="auto"/>
        <w:ind w:left="25" w:leftChars="12" w:firstLine="352" w:firstLineChars="147"/>
        <w:rPr>
          <w:rFonts w:hint="eastAsia" w:hAnsi="宋体"/>
          <w:color w:val="auto"/>
          <w:sz w:val="24"/>
          <w:szCs w:val="24"/>
          <w:highlight w:val="none"/>
        </w:rPr>
      </w:pPr>
    </w:p>
    <w:p w14:paraId="050BA502">
      <w:pPr>
        <w:pStyle w:val="17"/>
        <w:pageBreakBefore w:val="0"/>
        <w:kinsoku/>
        <w:wordWrap/>
        <w:topLinePunct w:val="0"/>
        <w:bidi w:val="0"/>
        <w:spacing w:line="312"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日期：</w:t>
      </w:r>
    </w:p>
    <w:p w14:paraId="21968F25">
      <w:pPr>
        <w:pStyle w:val="17"/>
        <w:pageBreakBefore w:val="0"/>
        <w:kinsoku/>
        <w:wordWrap/>
        <w:topLinePunct w:val="0"/>
        <w:bidi w:val="0"/>
        <w:spacing w:line="312" w:lineRule="auto"/>
        <w:ind w:left="25" w:leftChars="12" w:firstLine="472" w:firstLineChars="197"/>
        <w:rPr>
          <w:rFonts w:hint="eastAsia" w:hAnsi="宋体"/>
          <w:color w:val="auto"/>
          <w:sz w:val="24"/>
          <w:szCs w:val="24"/>
          <w:highlight w:val="none"/>
        </w:rPr>
      </w:pPr>
      <w:r>
        <w:rPr>
          <w:rFonts w:hint="eastAsia" w:hAnsi="宋体"/>
          <w:bCs/>
          <w:color w:val="auto"/>
          <w:sz w:val="24"/>
          <w:szCs w:val="24"/>
          <w:highlight w:val="none"/>
        </w:rPr>
        <w:t xml:space="preserve">                                                                                 </w:t>
      </w:r>
    </w:p>
    <w:p w14:paraId="673B2E6D">
      <w:pPr>
        <w:pStyle w:val="17"/>
        <w:pageBreakBefore w:val="0"/>
        <w:kinsoku/>
        <w:wordWrap/>
        <w:topLinePunct w:val="0"/>
        <w:bidi w:val="0"/>
        <w:snapToGrid w:val="0"/>
        <w:spacing w:line="312" w:lineRule="auto"/>
        <w:rPr>
          <w:rFonts w:hint="eastAsia" w:hAnsi="宋体"/>
          <w:b/>
          <w:color w:val="auto"/>
          <w:sz w:val="24"/>
          <w:szCs w:val="24"/>
          <w:highlight w:val="none"/>
        </w:rPr>
      </w:pPr>
      <w:r>
        <w:rPr>
          <w:rFonts w:hint="eastAsia" w:hAnsi="宋体"/>
          <w:b/>
          <w:color w:val="auto"/>
          <w:sz w:val="24"/>
          <w:szCs w:val="24"/>
          <w:highlight w:val="none"/>
        </w:rPr>
        <w:t>说明：</w:t>
      </w:r>
    </w:p>
    <w:p w14:paraId="37592CF5">
      <w:pPr>
        <w:pStyle w:val="17"/>
        <w:pageBreakBefore w:val="0"/>
        <w:kinsoku/>
        <w:wordWrap/>
        <w:topLinePunct w:val="0"/>
        <w:bidi w:val="0"/>
        <w:spacing w:line="312" w:lineRule="auto"/>
        <w:ind w:left="25" w:leftChars="12" w:firstLine="354" w:firstLineChars="147"/>
        <w:rPr>
          <w:rFonts w:hint="eastAsia" w:hAnsi="宋体"/>
          <w:b/>
          <w:bCs/>
          <w:color w:val="auto"/>
          <w:sz w:val="24"/>
          <w:szCs w:val="24"/>
          <w:highlight w:val="none"/>
        </w:rPr>
      </w:pPr>
      <w:r>
        <w:rPr>
          <w:rFonts w:hint="eastAsia" w:hAnsi="宋体"/>
          <w:b/>
          <w:color w:val="auto"/>
          <w:sz w:val="24"/>
          <w:szCs w:val="24"/>
          <w:highlight w:val="none"/>
        </w:rPr>
        <w:t>1.投诉人提起投诉时，应当提交投诉书和必要的证明材料，并按照被投诉人和与投诉事项有关的供应商数量提供投诉书副本</w:t>
      </w:r>
      <w:r>
        <w:rPr>
          <w:rFonts w:hint="eastAsia" w:hAnsi="宋体"/>
          <w:b/>
          <w:bCs/>
          <w:color w:val="auto"/>
          <w:sz w:val="24"/>
          <w:szCs w:val="24"/>
          <w:highlight w:val="none"/>
        </w:rPr>
        <w:t>。</w:t>
      </w:r>
    </w:p>
    <w:p w14:paraId="6E40D8C4">
      <w:pPr>
        <w:pStyle w:val="17"/>
        <w:pageBreakBefore w:val="0"/>
        <w:kinsoku/>
        <w:wordWrap/>
        <w:topLinePunct w:val="0"/>
        <w:bidi w:val="0"/>
        <w:spacing w:line="312"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3D6B7D33">
      <w:pPr>
        <w:pStyle w:val="17"/>
        <w:pageBreakBefore w:val="0"/>
        <w:kinsoku/>
        <w:wordWrap/>
        <w:topLinePunct w:val="0"/>
        <w:bidi w:val="0"/>
        <w:spacing w:line="312"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3.投诉书应简要列明质疑事项，质疑函、质疑答复等作为附件材料提供。</w:t>
      </w:r>
    </w:p>
    <w:p w14:paraId="4B38E2A0">
      <w:pPr>
        <w:pStyle w:val="17"/>
        <w:pageBreakBefore w:val="0"/>
        <w:kinsoku/>
        <w:wordWrap/>
        <w:topLinePunct w:val="0"/>
        <w:bidi w:val="0"/>
        <w:spacing w:line="312"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4.投诉书的投诉事项应具体、明确，并有必要的事实依据和法律依据。</w:t>
      </w:r>
    </w:p>
    <w:p w14:paraId="265C75D7">
      <w:pPr>
        <w:pStyle w:val="17"/>
        <w:pageBreakBefore w:val="0"/>
        <w:kinsoku/>
        <w:wordWrap/>
        <w:topLinePunct w:val="0"/>
        <w:bidi w:val="0"/>
        <w:spacing w:line="312"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5.投诉书的投诉请求应与投诉事项相关。</w:t>
      </w:r>
    </w:p>
    <w:p w14:paraId="791B4986">
      <w:pPr>
        <w:pStyle w:val="17"/>
        <w:pageBreakBefore w:val="0"/>
        <w:kinsoku/>
        <w:wordWrap/>
        <w:topLinePunct w:val="0"/>
        <w:bidi w:val="0"/>
        <w:spacing w:line="312"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6.投诉人为法人或者其他组织的，投诉书应由法定代表人、主要负责人，或者其授权代表签字或者盖章，并加盖公章。</w:t>
      </w:r>
    </w:p>
    <w:p w14:paraId="3658D890">
      <w:pPr>
        <w:widowControl w:val="0"/>
        <w:ind w:firstLine="680"/>
        <w:jc w:val="both"/>
        <w:outlineLvl w:val="9"/>
        <w:rPr>
          <w:rFonts w:hint="eastAsia" w:ascii="宋体" w:hAnsi="宋体" w:eastAsia="宋体" w:cs="Times New Roman"/>
          <w:b/>
          <w:color w:val="auto"/>
          <w:kern w:val="2"/>
          <w:sz w:val="24"/>
          <w:szCs w:val="24"/>
          <w:highlight w:val="none"/>
          <w:lang w:val="en-US" w:eastAsia="zh-CN" w:bidi="ar-SA"/>
        </w:rPr>
      </w:pPr>
    </w:p>
    <w:p w14:paraId="43A94B95">
      <w:pPr>
        <w:rPr>
          <w:rFonts w:hint="eastAsia" w:hAnsi="宋体"/>
          <w:b/>
          <w:color w:val="auto"/>
          <w:sz w:val="24"/>
          <w:szCs w:val="24"/>
          <w:highlight w:val="none"/>
        </w:rPr>
      </w:pPr>
    </w:p>
    <w:p w14:paraId="4ADCAA6F">
      <w:pPr>
        <w:pStyle w:val="7"/>
        <w:rPr>
          <w:rFonts w:hint="eastAsia" w:hAnsi="宋体"/>
          <w:b/>
          <w:color w:val="auto"/>
          <w:sz w:val="24"/>
          <w:szCs w:val="24"/>
          <w:highlight w:val="none"/>
        </w:rPr>
      </w:pPr>
    </w:p>
    <w:p w14:paraId="1BC2F8BB">
      <w:pPr>
        <w:pStyle w:val="7"/>
        <w:rPr>
          <w:rFonts w:hint="eastAsia" w:hAnsi="宋体"/>
          <w:b/>
          <w:color w:val="auto"/>
          <w:sz w:val="24"/>
          <w:szCs w:val="24"/>
          <w:highlight w:val="none"/>
        </w:rPr>
      </w:pPr>
    </w:p>
    <w:p w14:paraId="53B7C200">
      <w:pPr>
        <w:pStyle w:val="7"/>
        <w:rPr>
          <w:rFonts w:hint="eastAsia" w:hAnsi="宋体"/>
          <w:b/>
          <w:color w:val="auto"/>
          <w:sz w:val="24"/>
          <w:szCs w:val="24"/>
          <w:highlight w:val="none"/>
        </w:rPr>
      </w:pPr>
    </w:p>
    <w:p w14:paraId="4D1F080E">
      <w:pPr>
        <w:pStyle w:val="7"/>
        <w:rPr>
          <w:rFonts w:hint="eastAsia" w:hAnsi="宋体"/>
          <w:b/>
          <w:color w:val="auto"/>
          <w:sz w:val="24"/>
          <w:szCs w:val="24"/>
          <w:highlight w:val="none"/>
        </w:rPr>
      </w:pPr>
    </w:p>
    <w:p w14:paraId="24398A5A">
      <w:pPr>
        <w:pStyle w:val="7"/>
        <w:rPr>
          <w:rFonts w:hint="eastAsia" w:hAnsi="宋体"/>
          <w:b/>
          <w:color w:val="auto"/>
          <w:sz w:val="24"/>
          <w:szCs w:val="24"/>
          <w:highlight w:val="none"/>
        </w:rPr>
      </w:pPr>
    </w:p>
    <w:p w14:paraId="2AB67A4E">
      <w:pPr>
        <w:pStyle w:val="7"/>
        <w:rPr>
          <w:rFonts w:hint="eastAsia" w:hAnsi="宋体"/>
          <w:b/>
          <w:color w:val="auto"/>
          <w:sz w:val="24"/>
          <w:szCs w:val="24"/>
          <w:highlight w:val="none"/>
        </w:rPr>
      </w:pPr>
    </w:p>
    <w:p w14:paraId="549BEE21">
      <w:pPr>
        <w:pStyle w:val="7"/>
        <w:rPr>
          <w:rFonts w:hint="eastAsia" w:hAnsi="宋体"/>
          <w:b/>
          <w:color w:val="auto"/>
          <w:sz w:val="24"/>
          <w:szCs w:val="24"/>
          <w:highlight w:val="none"/>
        </w:rPr>
      </w:pPr>
    </w:p>
    <w:p w14:paraId="2436921B">
      <w:pPr>
        <w:pStyle w:val="3"/>
        <w:pageBreakBefore w:val="0"/>
        <w:kinsoku/>
        <w:wordWrap/>
        <w:topLinePunct w:val="0"/>
        <w:bidi w:val="0"/>
        <w:spacing w:line="312" w:lineRule="auto"/>
        <w:jc w:val="center"/>
        <w:outlineLvl w:val="0"/>
        <w:rPr>
          <w:rFonts w:hint="eastAsia"/>
          <w:color w:val="auto"/>
          <w:highlight w:val="none"/>
        </w:rPr>
      </w:pPr>
      <w:bookmarkStart w:id="203" w:name="_Toc10382"/>
      <w:bookmarkStart w:id="204" w:name="_Toc32227"/>
      <w:r>
        <w:rPr>
          <w:rFonts w:hint="eastAsia"/>
          <w:color w:val="auto"/>
          <w:highlight w:val="none"/>
        </w:rPr>
        <w:t xml:space="preserve">第六章 </w:t>
      </w:r>
      <w:r>
        <w:rPr>
          <w:rFonts w:hint="eastAsia"/>
          <w:color w:val="auto"/>
          <w:highlight w:val="none"/>
          <w:lang w:val="en-US" w:eastAsia="zh-CN"/>
        </w:rPr>
        <w:t>拟签订的</w:t>
      </w:r>
      <w:r>
        <w:rPr>
          <w:rFonts w:hint="eastAsia"/>
          <w:color w:val="auto"/>
          <w:highlight w:val="none"/>
        </w:rPr>
        <w:t>合同文本</w:t>
      </w:r>
      <w:bookmarkEnd w:id="203"/>
      <w:bookmarkEnd w:id="204"/>
    </w:p>
    <w:p w14:paraId="15BFF737">
      <w:pPr>
        <w:pageBreakBefore w:val="0"/>
        <w:kinsoku/>
        <w:wordWrap/>
        <w:topLinePunct w:val="0"/>
        <w:bidi w:val="0"/>
        <w:spacing w:line="312" w:lineRule="auto"/>
        <w:jc w:val="center"/>
        <w:rPr>
          <w:b/>
          <w:bCs/>
          <w:color w:val="auto"/>
          <w:sz w:val="48"/>
          <w:szCs w:val="48"/>
        </w:rPr>
      </w:pPr>
    </w:p>
    <w:p w14:paraId="13E9D238">
      <w:pPr>
        <w:pageBreakBefore w:val="0"/>
        <w:kinsoku/>
        <w:wordWrap/>
        <w:topLinePunct w:val="0"/>
        <w:bidi w:val="0"/>
        <w:spacing w:line="312" w:lineRule="auto"/>
        <w:jc w:val="center"/>
        <w:rPr>
          <w:rFonts w:hint="eastAsia" w:ascii="宋体" w:cs="宋体"/>
          <w:b/>
          <w:color w:val="auto"/>
          <w:kern w:val="0"/>
          <w:sz w:val="72"/>
          <w:szCs w:val="52"/>
        </w:rPr>
      </w:pPr>
    </w:p>
    <w:p w14:paraId="5F2A204E">
      <w:pPr>
        <w:pStyle w:val="12"/>
        <w:pageBreakBefore w:val="0"/>
        <w:kinsoku/>
        <w:wordWrap/>
        <w:topLinePunct w:val="0"/>
        <w:bidi w:val="0"/>
        <w:spacing w:line="312" w:lineRule="auto"/>
        <w:rPr>
          <w:rFonts w:hint="eastAsia"/>
          <w:color w:val="auto"/>
        </w:rPr>
      </w:pPr>
    </w:p>
    <w:p w14:paraId="63C1FFEC">
      <w:pPr>
        <w:pageBreakBefore w:val="0"/>
        <w:kinsoku/>
        <w:wordWrap/>
        <w:topLinePunct w:val="0"/>
        <w:bidi w:val="0"/>
        <w:spacing w:line="312" w:lineRule="auto"/>
        <w:jc w:val="center"/>
        <w:outlineLvl w:val="0"/>
        <w:rPr>
          <w:b/>
          <w:color w:val="auto"/>
          <w:sz w:val="32"/>
        </w:rPr>
      </w:pPr>
      <w:bookmarkStart w:id="205" w:name="_Toc2680"/>
      <w:r>
        <w:rPr>
          <w:rFonts w:hint="eastAsia" w:ascii="宋体" w:cs="宋体"/>
          <w:b/>
          <w:color w:val="auto"/>
          <w:kern w:val="0"/>
          <w:sz w:val="52"/>
          <w:szCs w:val="52"/>
        </w:rPr>
        <w:t>政府采购合同</w:t>
      </w:r>
      <w:bookmarkEnd w:id="205"/>
    </w:p>
    <w:p w14:paraId="52613EC7">
      <w:pPr>
        <w:pageBreakBefore w:val="0"/>
        <w:kinsoku/>
        <w:wordWrap/>
        <w:topLinePunct w:val="0"/>
        <w:bidi w:val="0"/>
        <w:spacing w:line="312" w:lineRule="auto"/>
        <w:rPr>
          <w:color w:val="auto"/>
        </w:rPr>
      </w:pPr>
    </w:p>
    <w:p w14:paraId="76167B30">
      <w:pPr>
        <w:pageBreakBefore w:val="0"/>
        <w:kinsoku/>
        <w:wordWrap/>
        <w:topLinePunct w:val="0"/>
        <w:bidi w:val="0"/>
        <w:spacing w:line="312" w:lineRule="auto"/>
        <w:rPr>
          <w:rFonts w:ascii="宋体" w:cs="宋体"/>
          <w:color w:val="auto"/>
          <w:kern w:val="0"/>
          <w:sz w:val="36"/>
          <w:szCs w:val="36"/>
        </w:rPr>
      </w:pPr>
    </w:p>
    <w:p w14:paraId="28CB3FFB">
      <w:pPr>
        <w:pageBreakBefore w:val="0"/>
        <w:kinsoku/>
        <w:wordWrap/>
        <w:topLinePunct w:val="0"/>
        <w:bidi w:val="0"/>
        <w:spacing w:line="312" w:lineRule="auto"/>
        <w:rPr>
          <w:rFonts w:ascii="宋体" w:cs="宋体"/>
          <w:color w:val="auto"/>
          <w:kern w:val="0"/>
          <w:sz w:val="36"/>
          <w:szCs w:val="36"/>
        </w:rPr>
      </w:pPr>
    </w:p>
    <w:p w14:paraId="5E50E78A">
      <w:pPr>
        <w:pageBreakBefore w:val="0"/>
        <w:kinsoku/>
        <w:wordWrap/>
        <w:topLinePunct w:val="0"/>
        <w:bidi w:val="0"/>
        <w:spacing w:line="312" w:lineRule="auto"/>
        <w:rPr>
          <w:rFonts w:ascii="宋体" w:cs="宋体"/>
          <w:color w:val="auto"/>
          <w:kern w:val="0"/>
          <w:sz w:val="32"/>
          <w:szCs w:val="32"/>
        </w:rPr>
      </w:pPr>
      <w:r>
        <w:rPr>
          <w:rFonts w:hint="eastAsia" w:ascii="宋体" w:cs="宋体"/>
          <w:color w:val="auto"/>
          <w:kern w:val="0"/>
          <w:sz w:val="32"/>
          <w:szCs w:val="32"/>
        </w:rPr>
        <w:t>项目名称：</w:t>
      </w:r>
    </w:p>
    <w:p w14:paraId="293AD654">
      <w:pPr>
        <w:pageBreakBefore w:val="0"/>
        <w:kinsoku/>
        <w:wordWrap/>
        <w:topLinePunct w:val="0"/>
        <w:bidi w:val="0"/>
        <w:spacing w:line="312" w:lineRule="auto"/>
        <w:rPr>
          <w:rFonts w:ascii="宋体" w:cs="宋体"/>
          <w:color w:val="auto"/>
          <w:kern w:val="0"/>
          <w:sz w:val="32"/>
          <w:szCs w:val="32"/>
        </w:rPr>
      </w:pPr>
      <w:r>
        <w:rPr>
          <w:rFonts w:hint="eastAsia" w:ascii="宋体" w:cs="宋体"/>
          <w:color w:val="auto"/>
          <w:kern w:val="0"/>
          <w:sz w:val="32"/>
          <w:szCs w:val="32"/>
        </w:rPr>
        <w:t>项目编号：</w:t>
      </w:r>
    </w:p>
    <w:p w14:paraId="512BC98A">
      <w:pPr>
        <w:pageBreakBefore w:val="0"/>
        <w:kinsoku/>
        <w:wordWrap/>
        <w:topLinePunct w:val="0"/>
        <w:bidi w:val="0"/>
        <w:spacing w:line="312" w:lineRule="auto"/>
        <w:rPr>
          <w:color w:val="auto"/>
          <w:sz w:val="32"/>
          <w:szCs w:val="32"/>
        </w:rPr>
      </w:pPr>
    </w:p>
    <w:p w14:paraId="74756DDB">
      <w:pPr>
        <w:pageBreakBefore w:val="0"/>
        <w:kinsoku/>
        <w:wordWrap/>
        <w:topLinePunct w:val="0"/>
        <w:bidi w:val="0"/>
        <w:spacing w:line="312" w:lineRule="auto"/>
        <w:rPr>
          <w:color w:val="auto"/>
          <w:sz w:val="32"/>
          <w:szCs w:val="32"/>
        </w:rPr>
      </w:pPr>
    </w:p>
    <w:p w14:paraId="265CB5C6">
      <w:pPr>
        <w:pageBreakBefore w:val="0"/>
        <w:kinsoku/>
        <w:wordWrap/>
        <w:topLinePunct w:val="0"/>
        <w:bidi w:val="0"/>
        <w:spacing w:line="312" w:lineRule="auto"/>
        <w:rPr>
          <w:color w:val="auto"/>
          <w:sz w:val="32"/>
          <w:szCs w:val="32"/>
        </w:rPr>
      </w:pPr>
    </w:p>
    <w:p w14:paraId="64E80377">
      <w:pPr>
        <w:pageBreakBefore w:val="0"/>
        <w:kinsoku/>
        <w:wordWrap/>
        <w:topLinePunct w:val="0"/>
        <w:bidi w:val="0"/>
        <w:spacing w:line="312" w:lineRule="auto"/>
        <w:rPr>
          <w:color w:val="auto"/>
          <w:sz w:val="32"/>
          <w:szCs w:val="32"/>
        </w:rPr>
      </w:pPr>
    </w:p>
    <w:p w14:paraId="0A09FB33">
      <w:pPr>
        <w:pageBreakBefore w:val="0"/>
        <w:kinsoku/>
        <w:wordWrap/>
        <w:topLinePunct w:val="0"/>
        <w:bidi w:val="0"/>
        <w:spacing w:line="312" w:lineRule="auto"/>
        <w:rPr>
          <w:color w:val="auto"/>
          <w:sz w:val="32"/>
          <w:szCs w:val="32"/>
        </w:rPr>
      </w:pPr>
    </w:p>
    <w:p w14:paraId="29F639D0">
      <w:pPr>
        <w:pageBreakBefore w:val="0"/>
        <w:kinsoku/>
        <w:wordWrap/>
        <w:topLinePunct w:val="0"/>
        <w:autoSpaceDE w:val="0"/>
        <w:autoSpaceDN w:val="0"/>
        <w:bidi w:val="0"/>
        <w:adjustRightInd w:val="0"/>
        <w:spacing w:line="312" w:lineRule="auto"/>
        <w:jc w:val="left"/>
        <w:rPr>
          <w:rFonts w:ascii="宋体" w:cs="宋体"/>
          <w:color w:val="auto"/>
          <w:kern w:val="0"/>
          <w:sz w:val="32"/>
          <w:szCs w:val="32"/>
        </w:rPr>
      </w:pPr>
      <w:r>
        <w:rPr>
          <w:rFonts w:hint="eastAsia" w:ascii="宋体" w:cs="宋体"/>
          <w:color w:val="auto"/>
          <w:kern w:val="0"/>
          <w:sz w:val="32"/>
          <w:szCs w:val="32"/>
        </w:rPr>
        <w:t>甲方：</w:t>
      </w:r>
    </w:p>
    <w:p w14:paraId="203CD7FC">
      <w:pPr>
        <w:pageBreakBefore w:val="0"/>
        <w:kinsoku/>
        <w:wordWrap/>
        <w:topLinePunct w:val="0"/>
        <w:bidi w:val="0"/>
        <w:spacing w:line="312" w:lineRule="auto"/>
        <w:rPr>
          <w:rFonts w:ascii="宋体" w:cs="宋体"/>
          <w:color w:val="auto"/>
          <w:kern w:val="0"/>
          <w:sz w:val="32"/>
          <w:szCs w:val="32"/>
        </w:rPr>
      </w:pPr>
      <w:r>
        <w:rPr>
          <w:rFonts w:hint="eastAsia" w:ascii="宋体" w:cs="宋体"/>
          <w:color w:val="auto"/>
          <w:kern w:val="0"/>
          <w:sz w:val="32"/>
          <w:szCs w:val="32"/>
        </w:rPr>
        <w:t>乙方：</w:t>
      </w:r>
    </w:p>
    <w:p w14:paraId="762C3CA7">
      <w:pPr>
        <w:snapToGrid w:val="0"/>
        <w:spacing w:line="360" w:lineRule="auto"/>
        <w:jc w:val="center"/>
        <w:rPr>
          <w:rFonts w:hint="eastAsia" w:asciiTheme="majorEastAsia" w:hAnsiTheme="majorEastAsia" w:eastAsiaTheme="majorEastAsia" w:cstheme="majorEastAsia"/>
          <w:b/>
          <w:bCs/>
          <w:sz w:val="21"/>
          <w:szCs w:val="21"/>
        </w:rPr>
      </w:pPr>
      <w:r>
        <w:rPr>
          <w:rFonts w:ascii="宋体" w:cs="宋体"/>
          <w:color w:val="auto"/>
          <w:kern w:val="0"/>
          <w:sz w:val="36"/>
          <w:szCs w:val="36"/>
        </w:rPr>
        <w:br w:type="page"/>
      </w:r>
      <w:r>
        <w:rPr>
          <w:rFonts w:hint="eastAsia" w:asciiTheme="majorEastAsia" w:hAnsiTheme="majorEastAsia" w:eastAsiaTheme="majorEastAsia" w:cstheme="majorEastAsia"/>
          <w:b/>
          <w:kern w:val="0"/>
          <w:sz w:val="28"/>
          <w:szCs w:val="28"/>
        </w:rPr>
        <w:t>政府采购合同文本（格式）</w:t>
      </w:r>
    </w:p>
    <w:p w14:paraId="7B9C555E">
      <w:pPr>
        <w:pStyle w:val="17"/>
        <w:rPr>
          <w:rFonts w:hint="eastAsia" w:asciiTheme="majorEastAsia" w:hAnsiTheme="majorEastAsia" w:eastAsiaTheme="majorEastAsia" w:cstheme="majorEastAsia"/>
          <w:sz w:val="21"/>
          <w:szCs w:val="21"/>
        </w:rPr>
      </w:pPr>
    </w:p>
    <w:p w14:paraId="09412C19">
      <w:pPr>
        <w:keepNext w:val="0"/>
        <w:keepLines w:val="0"/>
        <w:pageBreakBefore w:val="0"/>
        <w:widowControl w:val="0"/>
        <w:kinsoku/>
        <w:wordWrap w:val="0"/>
        <w:overflowPunct/>
        <w:topLinePunct w:val="0"/>
        <w:autoSpaceDE/>
        <w:autoSpaceDN/>
        <w:bidi w:val="0"/>
        <w:snapToGrid w:val="0"/>
        <w:spacing w:line="360" w:lineRule="auto"/>
        <w:ind w:right="172"/>
        <w:jc w:val="both"/>
        <w:textAlignment w:val="auto"/>
        <w:rPr>
          <w:rFonts w:hint="eastAsia" w:asciiTheme="majorEastAsia" w:hAnsiTheme="majorEastAsia" w:eastAsiaTheme="majorEastAsia" w:cstheme="majorEastAsia"/>
          <w:bCs/>
          <w:sz w:val="21"/>
          <w:szCs w:val="21"/>
        </w:rPr>
      </w:pPr>
      <w:r>
        <w:rPr>
          <w:rFonts w:hint="eastAsia" w:asciiTheme="majorEastAsia" w:hAnsiTheme="majorEastAsia" w:eastAsiaTheme="majorEastAsia" w:cstheme="majorEastAsia"/>
          <w:bCs/>
          <w:sz w:val="21"/>
          <w:szCs w:val="21"/>
        </w:rPr>
        <w:t xml:space="preserve">合同编号：                   </w:t>
      </w:r>
    </w:p>
    <w:p w14:paraId="0745C7A7">
      <w:pPr>
        <w:keepNext w:val="0"/>
        <w:keepLines w:val="0"/>
        <w:pageBreakBefore w:val="0"/>
        <w:widowControl w:val="0"/>
        <w:kinsoku/>
        <w:overflowPunct/>
        <w:topLinePunct w:val="0"/>
        <w:autoSpaceDE/>
        <w:autoSpaceDN/>
        <w:bidi w:val="0"/>
        <w:adjustRightInd w:val="0"/>
        <w:snapToGrid w:val="0"/>
        <w:spacing w:line="360" w:lineRule="auto"/>
        <w:textAlignment w:val="auto"/>
        <w:rPr>
          <w:rFonts w:hint="eastAsia" w:asciiTheme="majorEastAsia" w:hAnsiTheme="majorEastAsia" w:eastAsiaTheme="majorEastAsia" w:cstheme="majorEastAsia"/>
          <w:sz w:val="21"/>
          <w:szCs w:val="21"/>
        </w:rPr>
      </w:pPr>
    </w:p>
    <w:p w14:paraId="47BE7385">
      <w:pPr>
        <w:keepNext w:val="0"/>
        <w:keepLines w:val="0"/>
        <w:pageBreakBefore w:val="0"/>
        <w:widowControl w:val="0"/>
        <w:kinsoku/>
        <w:overflowPunct/>
        <w:topLinePunct w:val="0"/>
        <w:autoSpaceDE/>
        <w:autoSpaceDN/>
        <w:bidi w:val="0"/>
        <w:adjustRightInd w:val="0"/>
        <w:snapToGrid w:val="0"/>
        <w:spacing w:line="360" w:lineRule="auto"/>
        <w:textAlignment w:val="auto"/>
        <w:rPr>
          <w:rFonts w:hint="eastAsia" w:asciiTheme="majorEastAsia" w:hAnsiTheme="majorEastAsia" w:eastAsiaTheme="majorEastAsia" w:cstheme="majorEastAsia"/>
          <w:sz w:val="21"/>
          <w:szCs w:val="21"/>
          <w:u w:val="single"/>
        </w:rPr>
      </w:pPr>
      <w:r>
        <w:rPr>
          <w:rFonts w:hint="eastAsia" w:asciiTheme="majorEastAsia" w:hAnsiTheme="majorEastAsia" w:eastAsiaTheme="majorEastAsia" w:cstheme="majorEastAsia"/>
          <w:sz w:val="21"/>
          <w:szCs w:val="21"/>
        </w:rPr>
        <w:t>采购人（甲方）</w:t>
      </w:r>
      <w:r>
        <w:rPr>
          <w:rFonts w:hint="eastAsia" w:asciiTheme="majorEastAsia" w:hAnsiTheme="majorEastAsia" w:eastAsiaTheme="majorEastAsia" w:cstheme="majorEastAsia"/>
          <w:sz w:val="21"/>
          <w:szCs w:val="21"/>
          <w:u w:val="single"/>
        </w:rPr>
        <w:t xml:space="preserve">                           </w:t>
      </w:r>
      <w:r>
        <w:rPr>
          <w:rFonts w:hint="eastAsia" w:asciiTheme="majorEastAsia" w:hAnsiTheme="majorEastAsia" w:eastAsiaTheme="majorEastAsia" w:cstheme="majorEastAsia"/>
          <w:sz w:val="21"/>
          <w:szCs w:val="21"/>
        </w:rPr>
        <w:t xml:space="preserve">   项目名称</w:t>
      </w:r>
      <w:r>
        <w:rPr>
          <w:rFonts w:hint="eastAsia" w:asciiTheme="majorEastAsia" w:hAnsiTheme="majorEastAsia" w:eastAsiaTheme="majorEastAsia" w:cstheme="majorEastAsia"/>
          <w:sz w:val="21"/>
          <w:szCs w:val="21"/>
          <w:u w:val="single"/>
        </w:rPr>
        <w:t xml:space="preserve">                                </w:t>
      </w:r>
    </w:p>
    <w:p w14:paraId="7C13105E">
      <w:pPr>
        <w:keepNext w:val="0"/>
        <w:keepLines w:val="0"/>
        <w:pageBreakBefore w:val="0"/>
        <w:widowControl w:val="0"/>
        <w:kinsoku/>
        <w:overflowPunct/>
        <w:topLinePunct w:val="0"/>
        <w:autoSpaceDE/>
        <w:autoSpaceDN/>
        <w:bidi w:val="0"/>
        <w:adjustRightInd w:val="0"/>
        <w:snapToGrid w:val="0"/>
        <w:spacing w:line="360" w:lineRule="auto"/>
        <w:textAlignment w:val="auto"/>
        <w:rPr>
          <w:rFonts w:hint="eastAsia" w:asciiTheme="majorEastAsia" w:hAnsiTheme="majorEastAsia" w:eastAsiaTheme="majorEastAsia" w:cstheme="majorEastAsia"/>
          <w:sz w:val="21"/>
          <w:szCs w:val="21"/>
          <w:u w:val="single"/>
        </w:rPr>
      </w:pPr>
      <w:r>
        <w:rPr>
          <w:rFonts w:hint="eastAsia" w:asciiTheme="majorEastAsia" w:hAnsiTheme="majorEastAsia" w:eastAsiaTheme="majorEastAsia" w:cstheme="majorEastAsia"/>
          <w:sz w:val="21"/>
          <w:szCs w:val="21"/>
        </w:rPr>
        <w:t>供应商（乙方）</w:t>
      </w:r>
      <w:r>
        <w:rPr>
          <w:rFonts w:hint="eastAsia" w:asciiTheme="majorEastAsia" w:hAnsiTheme="majorEastAsia" w:eastAsiaTheme="majorEastAsia" w:cstheme="majorEastAsia"/>
          <w:sz w:val="21"/>
          <w:szCs w:val="21"/>
          <w:u w:val="single"/>
        </w:rPr>
        <w:t xml:space="preserve">                           </w:t>
      </w:r>
      <w:r>
        <w:rPr>
          <w:rFonts w:hint="eastAsia" w:asciiTheme="majorEastAsia" w:hAnsiTheme="majorEastAsia" w:eastAsiaTheme="majorEastAsia" w:cstheme="majorEastAsia"/>
          <w:sz w:val="21"/>
          <w:szCs w:val="21"/>
        </w:rPr>
        <w:t xml:space="preserve">   采购编号</w:t>
      </w:r>
      <w:r>
        <w:rPr>
          <w:rFonts w:hint="eastAsia" w:asciiTheme="majorEastAsia" w:hAnsiTheme="majorEastAsia" w:eastAsiaTheme="majorEastAsia" w:cstheme="majorEastAsia"/>
          <w:sz w:val="21"/>
          <w:szCs w:val="21"/>
          <w:u w:val="single"/>
        </w:rPr>
        <w:t xml:space="preserve">                                </w:t>
      </w:r>
    </w:p>
    <w:p w14:paraId="0E09B92B">
      <w:pPr>
        <w:keepNext w:val="0"/>
        <w:keepLines w:val="0"/>
        <w:pageBreakBefore w:val="0"/>
        <w:widowControl w:val="0"/>
        <w:kinsoku/>
        <w:overflowPunct/>
        <w:topLinePunct w:val="0"/>
        <w:autoSpaceDE/>
        <w:autoSpaceDN/>
        <w:bidi w:val="0"/>
        <w:adjustRightInd w:val="0"/>
        <w:snapToGrid w:val="0"/>
        <w:spacing w:line="360" w:lineRule="auto"/>
        <w:textAlignment w:val="auto"/>
        <w:rPr>
          <w:rFonts w:hint="eastAsia" w:asciiTheme="majorEastAsia" w:hAnsiTheme="majorEastAsia" w:eastAsiaTheme="majorEastAsia" w:cstheme="majorEastAsia"/>
          <w:sz w:val="21"/>
          <w:szCs w:val="21"/>
          <w:u w:val="single"/>
        </w:rPr>
      </w:pPr>
      <w:r>
        <w:rPr>
          <w:rFonts w:hint="eastAsia" w:asciiTheme="majorEastAsia" w:hAnsiTheme="majorEastAsia" w:eastAsiaTheme="majorEastAsia" w:cstheme="majorEastAsia"/>
          <w:sz w:val="21"/>
          <w:szCs w:val="21"/>
        </w:rPr>
        <w:t>签订地点</w:t>
      </w:r>
      <w:r>
        <w:rPr>
          <w:rFonts w:hint="eastAsia" w:asciiTheme="majorEastAsia" w:hAnsiTheme="majorEastAsia" w:eastAsiaTheme="majorEastAsia" w:cstheme="majorEastAsia"/>
          <w:sz w:val="21"/>
          <w:szCs w:val="21"/>
          <w:u w:val="single"/>
        </w:rPr>
        <w:t xml:space="preserve">                                 </w:t>
      </w:r>
      <w:r>
        <w:rPr>
          <w:rFonts w:hint="eastAsia" w:asciiTheme="majorEastAsia" w:hAnsiTheme="majorEastAsia" w:eastAsiaTheme="majorEastAsia" w:cstheme="majorEastAsia"/>
          <w:sz w:val="21"/>
          <w:szCs w:val="21"/>
        </w:rPr>
        <w:t xml:space="preserve">   签订时间</w:t>
      </w:r>
      <w:r>
        <w:rPr>
          <w:rFonts w:hint="eastAsia" w:asciiTheme="majorEastAsia" w:hAnsiTheme="majorEastAsia" w:eastAsiaTheme="majorEastAsia" w:cstheme="majorEastAsia"/>
          <w:sz w:val="21"/>
          <w:szCs w:val="21"/>
          <w:u w:val="single"/>
        </w:rPr>
        <w:t xml:space="preserve">                                </w:t>
      </w:r>
    </w:p>
    <w:p w14:paraId="09191499">
      <w:pPr>
        <w:keepNext w:val="0"/>
        <w:keepLines w:val="0"/>
        <w:pageBreakBefore w:val="0"/>
        <w:widowControl w:val="0"/>
        <w:kinsoku/>
        <w:overflowPunct/>
        <w:topLinePunct w:val="0"/>
        <w:autoSpaceDE/>
        <w:autoSpaceDN/>
        <w:bidi w:val="0"/>
        <w:adjustRightInd w:val="0"/>
        <w:snapToGrid w:val="0"/>
        <w:spacing w:line="360" w:lineRule="auto"/>
        <w:ind w:firstLine="420" w:firstLineChars="200"/>
        <w:textAlignment w:val="auto"/>
        <w:rPr>
          <w:rFonts w:hint="eastAsia" w:asciiTheme="majorEastAsia" w:hAnsiTheme="majorEastAsia" w:eastAsiaTheme="majorEastAsia" w:cstheme="majorEastAsia"/>
          <w:sz w:val="21"/>
          <w:szCs w:val="21"/>
        </w:rPr>
      </w:pPr>
    </w:p>
    <w:p w14:paraId="5E001A1E">
      <w:pPr>
        <w:keepNext w:val="0"/>
        <w:keepLines w:val="0"/>
        <w:pageBreakBefore w:val="0"/>
        <w:widowControl w:val="0"/>
        <w:kinsoku/>
        <w:overflowPunct/>
        <w:topLinePunct w:val="0"/>
        <w:autoSpaceDE/>
        <w:autoSpaceDN/>
        <w:bidi w:val="0"/>
        <w:adjustRightInd w:val="0"/>
        <w:snapToGrid w:val="0"/>
        <w:spacing w:line="360" w:lineRule="auto"/>
        <w:ind w:firstLine="420" w:firstLineChars="200"/>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根据《中华人民共和国政府采购法》、《中华人民共和国民法典》等法律、法规规定，按照竞争性磋商采购文件（以下简称“磋商文件”）规定条款和成交供应商竞争性磋商响应文件（以下简称“响应文件”）及其承诺，甲乙双方签订本合同。</w:t>
      </w:r>
    </w:p>
    <w:p w14:paraId="256F5183">
      <w:pPr>
        <w:keepNext w:val="0"/>
        <w:keepLines w:val="0"/>
        <w:pageBreakBefore w:val="0"/>
        <w:widowControl w:val="0"/>
        <w:kinsoku/>
        <w:overflowPunct/>
        <w:topLinePunct w:val="0"/>
        <w:autoSpaceDE/>
        <w:autoSpaceDN/>
        <w:bidi w:val="0"/>
        <w:adjustRightInd w:val="0"/>
        <w:snapToGrid w:val="0"/>
        <w:spacing w:line="360" w:lineRule="auto"/>
        <w:ind w:firstLine="422" w:firstLineChars="200"/>
        <w:textAlignment w:val="auto"/>
        <w:rPr>
          <w:rFonts w:hint="eastAsia" w:asciiTheme="majorEastAsia" w:hAnsiTheme="majorEastAsia" w:eastAsiaTheme="majorEastAsia" w:cstheme="majorEastAsia"/>
          <w:b/>
          <w:sz w:val="21"/>
          <w:szCs w:val="21"/>
        </w:rPr>
      </w:pPr>
      <w:r>
        <w:rPr>
          <w:rFonts w:hint="eastAsia" w:asciiTheme="majorEastAsia" w:hAnsiTheme="majorEastAsia" w:eastAsiaTheme="majorEastAsia" w:cstheme="majorEastAsia"/>
          <w:b/>
          <w:sz w:val="21"/>
          <w:szCs w:val="21"/>
        </w:rPr>
        <w:t>第一条　合同标的</w:t>
      </w:r>
    </w:p>
    <w:tbl>
      <w:tblPr>
        <w:tblStyle w:val="30"/>
        <w:tblW w:w="91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8"/>
        <w:gridCol w:w="4587"/>
        <w:gridCol w:w="990"/>
        <w:gridCol w:w="2840"/>
      </w:tblGrid>
      <w:tr w14:paraId="66729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jc w:val="center"/>
        </w:trPr>
        <w:tc>
          <w:tcPr>
            <w:tcW w:w="768" w:type="dxa"/>
            <w:tcBorders>
              <w:top w:val="single" w:color="auto" w:sz="4" w:space="0"/>
              <w:left w:val="single" w:color="auto" w:sz="4" w:space="0"/>
              <w:bottom w:val="single" w:color="auto" w:sz="4" w:space="0"/>
              <w:right w:val="single" w:color="auto" w:sz="4" w:space="0"/>
            </w:tcBorders>
            <w:noWrap w:val="0"/>
            <w:vAlign w:val="center"/>
          </w:tcPr>
          <w:p w14:paraId="1847E5AC">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序号</w:t>
            </w:r>
          </w:p>
        </w:tc>
        <w:tc>
          <w:tcPr>
            <w:tcW w:w="4587" w:type="dxa"/>
            <w:tcBorders>
              <w:top w:val="single" w:color="auto" w:sz="4" w:space="0"/>
              <w:left w:val="single" w:color="auto" w:sz="4" w:space="0"/>
              <w:bottom w:val="single" w:color="auto" w:sz="4" w:space="0"/>
              <w:right w:val="single" w:color="auto" w:sz="4" w:space="0"/>
            </w:tcBorders>
            <w:noWrap w:val="0"/>
            <w:vAlign w:val="center"/>
          </w:tcPr>
          <w:p w14:paraId="252B1BDD">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项目名称</w:t>
            </w:r>
          </w:p>
        </w:tc>
        <w:tc>
          <w:tcPr>
            <w:tcW w:w="990" w:type="dxa"/>
            <w:tcBorders>
              <w:top w:val="single" w:color="auto" w:sz="4" w:space="0"/>
              <w:left w:val="single" w:color="auto" w:sz="4" w:space="0"/>
              <w:bottom w:val="single" w:color="auto" w:sz="4" w:space="0"/>
              <w:right w:val="single" w:color="auto" w:sz="4" w:space="0"/>
            </w:tcBorders>
            <w:noWrap w:val="0"/>
            <w:vAlign w:val="center"/>
          </w:tcPr>
          <w:p w14:paraId="3782843A">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数量</w:t>
            </w:r>
          </w:p>
        </w:tc>
        <w:tc>
          <w:tcPr>
            <w:tcW w:w="2840" w:type="dxa"/>
            <w:tcBorders>
              <w:top w:val="single" w:color="auto" w:sz="4" w:space="0"/>
              <w:left w:val="single" w:color="auto" w:sz="4" w:space="0"/>
              <w:bottom w:val="single" w:color="auto" w:sz="4" w:space="0"/>
              <w:right w:val="single" w:color="auto" w:sz="4" w:space="0"/>
            </w:tcBorders>
            <w:noWrap w:val="0"/>
            <w:vAlign w:val="center"/>
          </w:tcPr>
          <w:p w14:paraId="4ADDA3BD">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项目要求</w:t>
            </w:r>
          </w:p>
        </w:tc>
      </w:tr>
      <w:tr w14:paraId="4EEAD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768" w:type="dxa"/>
            <w:tcBorders>
              <w:top w:val="single" w:color="auto" w:sz="4" w:space="0"/>
              <w:left w:val="single" w:color="auto" w:sz="4" w:space="0"/>
              <w:bottom w:val="single" w:color="auto" w:sz="4" w:space="0"/>
              <w:right w:val="single" w:color="auto" w:sz="4" w:space="0"/>
            </w:tcBorders>
            <w:noWrap w:val="0"/>
            <w:vAlign w:val="center"/>
          </w:tcPr>
          <w:p w14:paraId="79957B79">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1</w:t>
            </w:r>
          </w:p>
        </w:tc>
        <w:tc>
          <w:tcPr>
            <w:tcW w:w="4587" w:type="dxa"/>
            <w:tcBorders>
              <w:top w:val="single" w:color="auto" w:sz="4" w:space="0"/>
              <w:left w:val="single" w:color="auto" w:sz="4" w:space="0"/>
              <w:bottom w:val="single" w:color="auto" w:sz="4" w:space="0"/>
              <w:right w:val="single" w:color="auto" w:sz="4" w:space="0"/>
            </w:tcBorders>
            <w:noWrap w:val="0"/>
            <w:vAlign w:val="center"/>
          </w:tcPr>
          <w:p w14:paraId="2AAD54DB">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Theme="majorEastAsia" w:hAnsiTheme="majorEastAsia" w:eastAsiaTheme="majorEastAsia" w:cstheme="majorEastAsia"/>
                <w:sz w:val="21"/>
                <w:szCs w:val="21"/>
                <w:lang w:eastAsia="zh-CN"/>
              </w:rPr>
            </w:pPr>
            <w:r>
              <w:rPr>
                <w:rFonts w:hint="eastAsia" w:asciiTheme="majorEastAsia" w:hAnsiTheme="majorEastAsia" w:eastAsiaTheme="majorEastAsia" w:cstheme="majorEastAsia"/>
                <w:sz w:val="21"/>
                <w:szCs w:val="21"/>
                <w:lang w:eastAsia="zh-CN"/>
              </w:rPr>
              <w:t>2026年龙圩区松材线虫病疫情枯死树清理项目</w:t>
            </w:r>
          </w:p>
        </w:tc>
        <w:tc>
          <w:tcPr>
            <w:tcW w:w="990" w:type="dxa"/>
            <w:tcBorders>
              <w:top w:val="single" w:color="auto" w:sz="4" w:space="0"/>
              <w:left w:val="single" w:color="auto" w:sz="4" w:space="0"/>
              <w:bottom w:val="single" w:color="auto" w:sz="4" w:space="0"/>
              <w:right w:val="single" w:color="auto" w:sz="4" w:space="0"/>
            </w:tcBorders>
            <w:noWrap w:val="0"/>
            <w:vAlign w:val="center"/>
          </w:tcPr>
          <w:p w14:paraId="71A73F61">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1项</w:t>
            </w:r>
          </w:p>
        </w:tc>
        <w:tc>
          <w:tcPr>
            <w:tcW w:w="2840" w:type="dxa"/>
            <w:tcBorders>
              <w:top w:val="single" w:color="auto" w:sz="4" w:space="0"/>
              <w:left w:val="single" w:color="auto" w:sz="4" w:space="0"/>
              <w:bottom w:val="single" w:color="auto" w:sz="4" w:space="0"/>
              <w:right w:val="single" w:color="auto" w:sz="4" w:space="0"/>
            </w:tcBorders>
            <w:noWrap w:val="0"/>
            <w:vAlign w:val="center"/>
          </w:tcPr>
          <w:p w14:paraId="6148C995">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360" w:lineRule="auto"/>
              <w:ind w:left="0" w:right="0"/>
              <w:textAlignment w:val="auto"/>
              <w:rPr>
                <w:rFonts w:hint="eastAsia" w:asciiTheme="majorEastAsia" w:hAnsiTheme="majorEastAsia" w:eastAsiaTheme="majorEastAsia" w:cstheme="majorEastAsia"/>
                <w:sz w:val="21"/>
                <w:szCs w:val="21"/>
              </w:rPr>
            </w:pPr>
          </w:p>
        </w:tc>
      </w:tr>
      <w:tr w14:paraId="79155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9185" w:type="dxa"/>
            <w:gridSpan w:val="4"/>
            <w:tcBorders>
              <w:top w:val="single" w:color="auto" w:sz="4" w:space="0"/>
              <w:left w:val="single" w:color="auto" w:sz="4" w:space="0"/>
              <w:bottom w:val="single" w:color="auto" w:sz="4" w:space="0"/>
              <w:right w:val="single" w:color="auto" w:sz="4" w:space="0"/>
            </w:tcBorders>
            <w:noWrap w:val="0"/>
            <w:vAlign w:val="center"/>
          </w:tcPr>
          <w:p w14:paraId="4B6C9490">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360" w:lineRule="auto"/>
              <w:ind w:left="0" w:right="0"/>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合同金额：人民币         元整（¥      ）。其中不含税金额：人民币         元整（¥      ），税金：人民币         元整（¥      ）。</w:t>
            </w:r>
          </w:p>
        </w:tc>
      </w:tr>
    </w:tbl>
    <w:p w14:paraId="5130B7A3">
      <w:pPr>
        <w:keepNext w:val="0"/>
        <w:keepLines w:val="0"/>
        <w:pageBreakBefore w:val="0"/>
        <w:widowControl w:val="0"/>
        <w:kinsoku/>
        <w:overflowPunct/>
        <w:topLinePunct w:val="0"/>
        <w:autoSpaceDE/>
        <w:autoSpaceDN/>
        <w:bidi w:val="0"/>
        <w:adjustRightInd w:val="0"/>
        <w:snapToGrid w:val="0"/>
        <w:spacing w:line="360" w:lineRule="auto"/>
        <w:ind w:firstLine="422" w:firstLineChars="200"/>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b/>
          <w:sz w:val="21"/>
          <w:szCs w:val="21"/>
        </w:rPr>
        <w:t>第二条　质量保证</w:t>
      </w:r>
    </w:p>
    <w:p w14:paraId="70713D0E">
      <w:pPr>
        <w:keepNext w:val="0"/>
        <w:keepLines w:val="0"/>
        <w:pageBreakBefore w:val="0"/>
        <w:widowControl w:val="0"/>
        <w:kinsoku/>
        <w:overflowPunct/>
        <w:topLinePunct w:val="0"/>
        <w:autoSpaceDE/>
        <w:autoSpaceDN/>
        <w:bidi w:val="0"/>
        <w:adjustRightInd w:val="0"/>
        <w:snapToGrid w:val="0"/>
        <w:spacing w:line="360" w:lineRule="auto"/>
        <w:ind w:firstLine="420" w:firstLineChars="200"/>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乙方所提供的服务质量必须与竞争性磋商采购文件、响应文件和承诺相一致。</w:t>
      </w:r>
    </w:p>
    <w:p w14:paraId="048D535E">
      <w:pPr>
        <w:keepNext w:val="0"/>
        <w:keepLines w:val="0"/>
        <w:pageBreakBefore w:val="0"/>
        <w:widowControl w:val="0"/>
        <w:kinsoku/>
        <w:overflowPunct/>
        <w:topLinePunct w:val="0"/>
        <w:autoSpaceDE/>
        <w:autoSpaceDN/>
        <w:bidi w:val="0"/>
        <w:adjustRightInd w:val="0"/>
        <w:snapToGrid w:val="0"/>
        <w:spacing w:line="360" w:lineRule="auto"/>
        <w:ind w:firstLine="422" w:firstLineChars="200"/>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b/>
          <w:sz w:val="21"/>
          <w:szCs w:val="21"/>
        </w:rPr>
        <w:t>第三条　交付和验收</w:t>
      </w:r>
    </w:p>
    <w:p w14:paraId="57B326E5">
      <w:pPr>
        <w:keepNext w:val="0"/>
        <w:keepLines w:val="0"/>
        <w:pageBreakBefore w:val="0"/>
        <w:widowControl w:val="0"/>
        <w:kinsoku/>
        <w:overflowPunct/>
        <w:topLinePunct w:val="0"/>
        <w:autoSpaceDE/>
        <w:autoSpaceDN/>
        <w:bidi w:val="0"/>
        <w:adjustRightInd w:val="0"/>
        <w:snapToGrid w:val="0"/>
        <w:spacing w:line="360" w:lineRule="auto"/>
        <w:ind w:firstLine="420" w:firstLineChars="200"/>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1.交付使用时间：</w:t>
      </w:r>
      <w:r>
        <w:rPr>
          <w:rFonts w:hint="eastAsia" w:asciiTheme="majorEastAsia" w:hAnsiTheme="majorEastAsia" w:eastAsiaTheme="majorEastAsia" w:cstheme="majorEastAsia"/>
          <w:sz w:val="21"/>
          <w:szCs w:val="21"/>
          <w:u w:val="single"/>
        </w:rPr>
        <w:t xml:space="preserve">             </w:t>
      </w:r>
      <w:r>
        <w:rPr>
          <w:rFonts w:hint="eastAsia" w:asciiTheme="majorEastAsia" w:hAnsiTheme="majorEastAsia" w:eastAsiaTheme="majorEastAsia" w:cstheme="majorEastAsia"/>
          <w:sz w:val="21"/>
          <w:szCs w:val="21"/>
        </w:rPr>
        <w:t>。</w:t>
      </w:r>
    </w:p>
    <w:p w14:paraId="268D65E7">
      <w:pPr>
        <w:keepNext w:val="0"/>
        <w:keepLines w:val="0"/>
        <w:pageBreakBefore w:val="0"/>
        <w:widowControl w:val="0"/>
        <w:kinsoku/>
        <w:overflowPunct/>
        <w:topLinePunct w:val="0"/>
        <w:autoSpaceDE/>
        <w:autoSpaceDN/>
        <w:bidi w:val="0"/>
        <w:adjustRightInd w:val="0"/>
        <w:snapToGrid w:val="0"/>
        <w:spacing w:line="360" w:lineRule="auto"/>
        <w:ind w:firstLine="420" w:firstLineChars="200"/>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2.交付使用地点：</w:t>
      </w:r>
      <w:r>
        <w:rPr>
          <w:rFonts w:hint="eastAsia" w:asciiTheme="majorEastAsia" w:hAnsiTheme="majorEastAsia" w:eastAsiaTheme="majorEastAsia" w:cstheme="majorEastAsia"/>
          <w:sz w:val="21"/>
          <w:szCs w:val="21"/>
          <w:u w:val="single"/>
        </w:rPr>
        <w:t xml:space="preserve">                           </w:t>
      </w:r>
      <w:r>
        <w:rPr>
          <w:rFonts w:hint="eastAsia" w:asciiTheme="majorEastAsia" w:hAnsiTheme="majorEastAsia" w:eastAsiaTheme="majorEastAsia" w:cstheme="majorEastAsia"/>
          <w:sz w:val="21"/>
          <w:szCs w:val="21"/>
        </w:rPr>
        <w:t>。</w:t>
      </w:r>
    </w:p>
    <w:p w14:paraId="79417428">
      <w:pPr>
        <w:keepNext w:val="0"/>
        <w:keepLines w:val="0"/>
        <w:pageBreakBefore w:val="0"/>
        <w:widowControl w:val="0"/>
        <w:kinsoku/>
        <w:overflowPunct/>
        <w:topLinePunct w:val="0"/>
        <w:autoSpaceDE/>
        <w:autoSpaceDN/>
        <w:bidi w:val="0"/>
        <w:adjustRightInd w:val="0"/>
        <w:snapToGrid w:val="0"/>
        <w:spacing w:line="360" w:lineRule="auto"/>
        <w:ind w:firstLine="422" w:firstLineChars="200"/>
        <w:textAlignment w:val="auto"/>
        <w:rPr>
          <w:rFonts w:hint="eastAsia" w:asciiTheme="majorEastAsia" w:hAnsiTheme="majorEastAsia" w:eastAsiaTheme="majorEastAsia" w:cstheme="majorEastAsia"/>
          <w:sz w:val="21"/>
          <w:szCs w:val="21"/>
          <w:u w:val="single"/>
        </w:rPr>
      </w:pPr>
      <w:r>
        <w:rPr>
          <w:rFonts w:hint="eastAsia" w:asciiTheme="majorEastAsia" w:hAnsiTheme="majorEastAsia" w:eastAsiaTheme="majorEastAsia" w:cstheme="majorEastAsia"/>
          <w:b/>
          <w:sz w:val="21"/>
          <w:szCs w:val="21"/>
        </w:rPr>
        <w:t>第四条  付款方式</w:t>
      </w:r>
    </w:p>
    <w:p w14:paraId="27AFC52F">
      <w:pPr>
        <w:keepNext w:val="0"/>
        <w:keepLines w:val="0"/>
        <w:pageBreakBefore w:val="0"/>
        <w:widowControl w:val="0"/>
        <w:kinsoku/>
        <w:overflowPunct/>
        <w:topLinePunct w:val="0"/>
        <w:autoSpaceDE/>
        <w:autoSpaceDN/>
        <w:bidi w:val="0"/>
        <w:adjustRightInd w:val="0"/>
        <w:snapToGrid w:val="0"/>
        <w:spacing w:line="360" w:lineRule="auto"/>
        <w:ind w:firstLine="420" w:firstLineChars="200"/>
        <w:textAlignment w:val="auto"/>
        <w:rPr>
          <w:rFonts w:hint="eastAsia" w:asciiTheme="majorEastAsia" w:hAnsiTheme="majorEastAsia" w:eastAsiaTheme="majorEastAsia" w:cstheme="majorEastAsia"/>
          <w:sz w:val="21"/>
          <w:szCs w:val="21"/>
          <w:u w:val="single"/>
        </w:rPr>
      </w:pPr>
      <w:r>
        <w:rPr>
          <w:rFonts w:hint="eastAsia" w:asciiTheme="majorEastAsia" w:hAnsiTheme="majorEastAsia" w:eastAsiaTheme="majorEastAsia" w:cstheme="majorEastAsia"/>
          <w:sz w:val="21"/>
          <w:szCs w:val="21"/>
        </w:rPr>
        <w:t>1.资金性质：</w:t>
      </w:r>
      <w:r>
        <w:rPr>
          <w:rFonts w:hint="eastAsia" w:asciiTheme="majorEastAsia" w:hAnsiTheme="majorEastAsia" w:eastAsiaTheme="majorEastAsia" w:cstheme="majorEastAsia"/>
          <w:sz w:val="21"/>
          <w:szCs w:val="21"/>
          <w:u w:val="single"/>
        </w:rPr>
        <w:t xml:space="preserve">                    </w:t>
      </w:r>
      <w:r>
        <w:rPr>
          <w:rFonts w:hint="eastAsia" w:asciiTheme="majorEastAsia" w:hAnsiTheme="majorEastAsia" w:eastAsiaTheme="majorEastAsia" w:cstheme="majorEastAsia"/>
          <w:sz w:val="21"/>
          <w:szCs w:val="21"/>
        </w:rPr>
        <w:t>。</w:t>
      </w:r>
    </w:p>
    <w:p w14:paraId="135B0997">
      <w:pPr>
        <w:keepNext w:val="0"/>
        <w:keepLines w:val="0"/>
        <w:pageBreakBefore w:val="0"/>
        <w:widowControl w:val="0"/>
        <w:kinsoku/>
        <w:overflowPunct/>
        <w:topLinePunct w:val="0"/>
        <w:autoSpaceDE/>
        <w:autoSpaceDN/>
        <w:bidi w:val="0"/>
        <w:adjustRightInd w:val="0"/>
        <w:snapToGrid w:val="0"/>
        <w:spacing w:line="360" w:lineRule="auto"/>
        <w:ind w:right="33" w:firstLine="420" w:firstLineChars="200"/>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2.付款方式：</w:t>
      </w:r>
      <w:r>
        <w:rPr>
          <w:rFonts w:hint="eastAsia" w:asciiTheme="majorEastAsia" w:hAnsiTheme="majorEastAsia" w:eastAsiaTheme="majorEastAsia" w:cstheme="majorEastAsia"/>
          <w:sz w:val="21"/>
          <w:szCs w:val="21"/>
          <w:u w:val="single"/>
        </w:rPr>
        <w:t xml:space="preserve">                     </w:t>
      </w:r>
      <w:r>
        <w:rPr>
          <w:rFonts w:hint="eastAsia" w:asciiTheme="majorEastAsia" w:hAnsiTheme="majorEastAsia" w:eastAsiaTheme="majorEastAsia" w:cstheme="majorEastAsia"/>
          <w:sz w:val="21"/>
          <w:szCs w:val="21"/>
        </w:rPr>
        <w:t>。</w:t>
      </w:r>
    </w:p>
    <w:tbl>
      <w:tblPr>
        <w:tblStyle w:val="30"/>
        <w:tblW w:w="95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8"/>
        <w:gridCol w:w="2291"/>
        <w:gridCol w:w="1984"/>
        <w:gridCol w:w="4162"/>
      </w:tblGrid>
      <w:tr w14:paraId="24712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078" w:type="dxa"/>
            <w:noWrap w:val="0"/>
            <w:vAlign w:val="center"/>
          </w:tcPr>
          <w:p w14:paraId="70C1C684">
            <w:pPr>
              <w:keepNext w:val="0"/>
              <w:keepLines w:val="0"/>
              <w:pageBreakBefore w:val="0"/>
              <w:widowControl w:val="0"/>
              <w:suppressLineNumbers w:val="0"/>
              <w:kinsoku/>
              <w:overflowPunct/>
              <w:topLinePunct w:val="0"/>
              <w:autoSpaceDE/>
              <w:autoSpaceDN/>
              <w:bidi w:val="0"/>
              <w:spacing w:before="0" w:beforeAutospacing="0" w:after="0" w:afterAutospacing="0" w:line="360" w:lineRule="auto"/>
              <w:ind w:left="0" w:right="0"/>
              <w:jc w:val="center"/>
              <w:textAlignment w:val="auto"/>
              <w:rPr>
                <w:rFonts w:hint="eastAsia" w:asciiTheme="majorEastAsia" w:hAnsiTheme="majorEastAsia" w:eastAsiaTheme="majorEastAsia" w:cstheme="majorEastAsia"/>
                <w:bCs/>
                <w:color w:val="000000"/>
                <w:sz w:val="21"/>
                <w:szCs w:val="21"/>
              </w:rPr>
            </w:pPr>
            <w:r>
              <w:rPr>
                <w:rFonts w:hint="eastAsia" w:asciiTheme="majorEastAsia" w:hAnsiTheme="majorEastAsia" w:eastAsiaTheme="majorEastAsia" w:cstheme="majorEastAsia"/>
                <w:bCs/>
                <w:color w:val="000000"/>
                <w:sz w:val="21"/>
                <w:szCs w:val="21"/>
              </w:rPr>
              <w:t>付费次序</w:t>
            </w:r>
          </w:p>
        </w:tc>
        <w:tc>
          <w:tcPr>
            <w:tcW w:w="2291" w:type="dxa"/>
            <w:noWrap w:val="0"/>
            <w:vAlign w:val="center"/>
          </w:tcPr>
          <w:p w14:paraId="49EB5FB1">
            <w:pPr>
              <w:keepNext w:val="0"/>
              <w:keepLines w:val="0"/>
              <w:pageBreakBefore w:val="0"/>
              <w:widowControl w:val="0"/>
              <w:suppressLineNumbers w:val="0"/>
              <w:kinsoku/>
              <w:overflowPunct/>
              <w:topLinePunct w:val="0"/>
              <w:autoSpaceDE/>
              <w:autoSpaceDN/>
              <w:bidi w:val="0"/>
              <w:spacing w:before="0" w:beforeAutospacing="0" w:after="0" w:afterAutospacing="0" w:line="360" w:lineRule="auto"/>
              <w:ind w:left="0" w:right="0"/>
              <w:jc w:val="center"/>
              <w:textAlignment w:val="auto"/>
              <w:rPr>
                <w:rFonts w:hint="eastAsia" w:asciiTheme="majorEastAsia" w:hAnsiTheme="majorEastAsia" w:eastAsiaTheme="majorEastAsia" w:cstheme="majorEastAsia"/>
                <w:bCs/>
                <w:color w:val="000000"/>
                <w:sz w:val="21"/>
                <w:szCs w:val="21"/>
              </w:rPr>
            </w:pPr>
            <w:r>
              <w:rPr>
                <w:rFonts w:hint="eastAsia" w:asciiTheme="majorEastAsia" w:hAnsiTheme="majorEastAsia" w:eastAsiaTheme="majorEastAsia" w:cstheme="majorEastAsia"/>
                <w:bCs/>
                <w:color w:val="000000"/>
                <w:sz w:val="21"/>
                <w:szCs w:val="21"/>
              </w:rPr>
              <w:t>占</w:t>
            </w:r>
            <w:r>
              <w:rPr>
                <w:rFonts w:hint="eastAsia" w:asciiTheme="majorEastAsia" w:hAnsiTheme="majorEastAsia" w:eastAsiaTheme="majorEastAsia" w:cstheme="majorEastAsia"/>
                <w:sz w:val="21"/>
                <w:szCs w:val="21"/>
              </w:rPr>
              <w:t>合同金额</w:t>
            </w:r>
            <w:r>
              <w:rPr>
                <w:rFonts w:hint="eastAsia" w:asciiTheme="majorEastAsia" w:hAnsiTheme="majorEastAsia" w:eastAsiaTheme="majorEastAsia" w:cstheme="majorEastAsia"/>
                <w:bCs/>
                <w:color w:val="000000"/>
                <w:sz w:val="21"/>
                <w:szCs w:val="21"/>
              </w:rPr>
              <w:t>（%）</w:t>
            </w:r>
          </w:p>
        </w:tc>
        <w:tc>
          <w:tcPr>
            <w:tcW w:w="1984" w:type="dxa"/>
            <w:noWrap w:val="0"/>
            <w:vAlign w:val="center"/>
          </w:tcPr>
          <w:p w14:paraId="14E59854">
            <w:pPr>
              <w:keepNext w:val="0"/>
              <w:keepLines w:val="0"/>
              <w:pageBreakBefore w:val="0"/>
              <w:widowControl w:val="0"/>
              <w:suppressLineNumbers w:val="0"/>
              <w:kinsoku/>
              <w:overflowPunct/>
              <w:topLinePunct w:val="0"/>
              <w:autoSpaceDE/>
              <w:autoSpaceDN/>
              <w:bidi w:val="0"/>
              <w:spacing w:before="0" w:beforeAutospacing="0" w:after="0" w:afterAutospacing="0" w:line="360" w:lineRule="auto"/>
              <w:ind w:left="0" w:right="0"/>
              <w:jc w:val="center"/>
              <w:textAlignment w:val="auto"/>
              <w:rPr>
                <w:rFonts w:hint="eastAsia" w:asciiTheme="majorEastAsia" w:hAnsiTheme="majorEastAsia" w:eastAsiaTheme="majorEastAsia" w:cstheme="majorEastAsia"/>
                <w:bCs/>
                <w:color w:val="000000"/>
                <w:sz w:val="21"/>
                <w:szCs w:val="21"/>
              </w:rPr>
            </w:pPr>
            <w:r>
              <w:rPr>
                <w:rFonts w:hint="eastAsia" w:asciiTheme="majorEastAsia" w:hAnsiTheme="majorEastAsia" w:eastAsiaTheme="majorEastAsia" w:cstheme="majorEastAsia"/>
                <w:bCs/>
                <w:color w:val="000000"/>
                <w:sz w:val="21"/>
                <w:szCs w:val="21"/>
              </w:rPr>
              <w:t>付费额（元）</w:t>
            </w:r>
          </w:p>
        </w:tc>
        <w:tc>
          <w:tcPr>
            <w:tcW w:w="4162" w:type="dxa"/>
            <w:noWrap w:val="0"/>
            <w:vAlign w:val="center"/>
          </w:tcPr>
          <w:p w14:paraId="48DD2414">
            <w:pPr>
              <w:keepNext w:val="0"/>
              <w:keepLines w:val="0"/>
              <w:pageBreakBefore w:val="0"/>
              <w:widowControl w:val="0"/>
              <w:suppressLineNumbers w:val="0"/>
              <w:kinsoku/>
              <w:overflowPunct/>
              <w:topLinePunct w:val="0"/>
              <w:autoSpaceDE/>
              <w:autoSpaceDN/>
              <w:bidi w:val="0"/>
              <w:spacing w:before="0" w:beforeAutospacing="0" w:after="0" w:afterAutospacing="0" w:line="360" w:lineRule="auto"/>
              <w:ind w:left="0" w:right="0"/>
              <w:jc w:val="center"/>
              <w:textAlignment w:val="auto"/>
              <w:rPr>
                <w:rFonts w:hint="eastAsia" w:asciiTheme="majorEastAsia" w:hAnsiTheme="majorEastAsia" w:eastAsiaTheme="majorEastAsia" w:cstheme="majorEastAsia"/>
                <w:bCs/>
                <w:color w:val="000000"/>
                <w:sz w:val="21"/>
                <w:szCs w:val="21"/>
              </w:rPr>
            </w:pPr>
            <w:r>
              <w:rPr>
                <w:rFonts w:hint="eastAsia" w:asciiTheme="majorEastAsia" w:hAnsiTheme="majorEastAsia" w:eastAsiaTheme="majorEastAsia" w:cstheme="majorEastAsia"/>
                <w:bCs/>
                <w:color w:val="000000"/>
                <w:sz w:val="21"/>
                <w:szCs w:val="21"/>
              </w:rPr>
              <w:t>付费时间</w:t>
            </w:r>
          </w:p>
        </w:tc>
      </w:tr>
      <w:tr w14:paraId="626E2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1078" w:type="dxa"/>
            <w:noWrap w:val="0"/>
            <w:vAlign w:val="center"/>
          </w:tcPr>
          <w:p w14:paraId="2043CEDF">
            <w:pPr>
              <w:keepNext w:val="0"/>
              <w:keepLines w:val="0"/>
              <w:pageBreakBefore w:val="0"/>
              <w:widowControl w:val="0"/>
              <w:suppressLineNumbers w:val="0"/>
              <w:kinsoku/>
              <w:overflowPunct/>
              <w:topLinePunct w:val="0"/>
              <w:autoSpaceDE/>
              <w:autoSpaceDN/>
              <w:bidi w:val="0"/>
              <w:spacing w:before="0" w:beforeAutospacing="0" w:after="0" w:afterAutospacing="0" w:line="360" w:lineRule="auto"/>
              <w:ind w:left="0" w:right="0"/>
              <w:jc w:val="center"/>
              <w:textAlignment w:val="auto"/>
              <w:rPr>
                <w:rFonts w:hint="eastAsia" w:asciiTheme="majorEastAsia" w:hAnsiTheme="majorEastAsia" w:eastAsiaTheme="majorEastAsia" w:cstheme="majorEastAsia"/>
                <w:bCs/>
                <w:color w:val="000000"/>
                <w:sz w:val="21"/>
                <w:szCs w:val="21"/>
              </w:rPr>
            </w:pPr>
            <w:r>
              <w:rPr>
                <w:rFonts w:hint="eastAsia" w:asciiTheme="majorEastAsia" w:hAnsiTheme="majorEastAsia" w:eastAsiaTheme="majorEastAsia" w:cstheme="majorEastAsia"/>
                <w:bCs/>
                <w:color w:val="000000"/>
                <w:sz w:val="21"/>
                <w:szCs w:val="21"/>
              </w:rPr>
              <w:t>1</w:t>
            </w:r>
          </w:p>
        </w:tc>
        <w:tc>
          <w:tcPr>
            <w:tcW w:w="2291" w:type="dxa"/>
            <w:noWrap w:val="0"/>
            <w:vAlign w:val="center"/>
          </w:tcPr>
          <w:p w14:paraId="787A2E49">
            <w:pPr>
              <w:keepNext w:val="0"/>
              <w:keepLines w:val="0"/>
              <w:pageBreakBefore w:val="0"/>
              <w:widowControl w:val="0"/>
              <w:suppressLineNumbers w:val="0"/>
              <w:kinsoku/>
              <w:overflowPunct/>
              <w:topLinePunct w:val="0"/>
              <w:autoSpaceDE/>
              <w:autoSpaceDN/>
              <w:bidi w:val="0"/>
              <w:spacing w:before="0" w:beforeAutospacing="0" w:after="0" w:afterAutospacing="0" w:line="360" w:lineRule="auto"/>
              <w:ind w:left="0" w:right="0"/>
              <w:jc w:val="center"/>
              <w:textAlignment w:val="auto"/>
              <w:rPr>
                <w:rFonts w:hint="eastAsia" w:asciiTheme="majorEastAsia" w:hAnsiTheme="majorEastAsia" w:eastAsiaTheme="majorEastAsia" w:cstheme="majorEastAsia"/>
                <w:bCs/>
                <w:color w:val="000000"/>
                <w:sz w:val="21"/>
                <w:szCs w:val="21"/>
              </w:rPr>
            </w:pPr>
          </w:p>
        </w:tc>
        <w:tc>
          <w:tcPr>
            <w:tcW w:w="1984" w:type="dxa"/>
            <w:noWrap w:val="0"/>
            <w:vAlign w:val="center"/>
          </w:tcPr>
          <w:p w14:paraId="78D42BA1">
            <w:pPr>
              <w:keepNext w:val="0"/>
              <w:keepLines w:val="0"/>
              <w:pageBreakBefore w:val="0"/>
              <w:widowControl w:val="0"/>
              <w:suppressLineNumbers w:val="0"/>
              <w:kinsoku/>
              <w:overflowPunct/>
              <w:topLinePunct w:val="0"/>
              <w:autoSpaceDE/>
              <w:autoSpaceDN/>
              <w:bidi w:val="0"/>
              <w:spacing w:before="0" w:beforeAutospacing="0" w:after="0" w:afterAutospacing="0" w:line="360" w:lineRule="auto"/>
              <w:ind w:left="0" w:right="0"/>
              <w:jc w:val="center"/>
              <w:textAlignment w:val="auto"/>
              <w:rPr>
                <w:rFonts w:hint="eastAsia" w:asciiTheme="majorEastAsia" w:hAnsiTheme="majorEastAsia" w:eastAsiaTheme="majorEastAsia" w:cstheme="majorEastAsia"/>
                <w:bCs/>
                <w:color w:val="000000"/>
                <w:sz w:val="21"/>
                <w:szCs w:val="21"/>
              </w:rPr>
            </w:pPr>
          </w:p>
        </w:tc>
        <w:tc>
          <w:tcPr>
            <w:tcW w:w="4162" w:type="dxa"/>
            <w:noWrap w:val="0"/>
            <w:vAlign w:val="center"/>
          </w:tcPr>
          <w:p w14:paraId="3A328EB1">
            <w:pPr>
              <w:keepNext w:val="0"/>
              <w:keepLines w:val="0"/>
              <w:pageBreakBefore w:val="0"/>
              <w:widowControl w:val="0"/>
              <w:suppressLineNumbers w:val="0"/>
              <w:kinsoku/>
              <w:overflowPunct/>
              <w:topLinePunct w:val="0"/>
              <w:autoSpaceDE/>
              <w:autoSpaceDN/>
              <w:bidi w:val="0"/>
              <w:spacing w:before="0" w:beforeAutospacing="0" w:after="0" w:afterAutospacing="0" w:line="360" w:lineRule="auto"/>
              <w:ind w:left="0" w:right="0"/>
              <w:jc w:val="center"/>
              <w:textAlignment w:val="auto"/>
              <w:rPr>
                <w:rFonts w:hint="eastAsia" w:asciiTheme="majorEastAsia" w:hAnsiTheme="majorEastAsia" w:eastAsiaTheme="majorEastAsia" w:cstheme="majorEastAsia"/>
                <w:bCs/>
                <w:color w:val="000000"/>
                <w:sz w:val="21"/>
                <w:szCs w:val="21"/>
              </w:rPr>
            </w:pPr>
          </w:p>
        </w:tc>
      </w:tr>
      <w:tr w14:paraId="4FD43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078" w:type="dxa"/>
            <w:noWrap w:val="0"/>
            <w:vAlign w:val="center"/>
          </w:tcPr>
          <w:p w14:paraId="4FA0E124">
            <w:pPr>
              <w:keepNext w:val="0"/>
              <w:keepLines w:val="0"/>
              <w:pageBreakBefore w:val="0"/>
              <w:widowControl w:val="0"/>
              <w:suppressLineNumbers w:val="0"/>
              <w:kinsoku/>
              <w:overflowPunct/>
              <w:topLinePunct w:val="0"/>
              <w:autoSpaceDE/>
              <w:autoSpaceDN/>
              <w:bidi w:val="0"/>
              <w:spacing w:before="0" w:beforeAutospacing="0" w:after="0" w:afterAutospacing="0" w:line="360" w:lineRule="auto"/>
              <w:ind w:left="0" w:right="0"/>
              <w:jc w:val="center"/>
              <w:textAlignment w:val="auto"/>
              <w:rPr>
                <w:rFonts w:hint="eastAsia" w:asciiTheme="majorEastAsia" w:hAnsiTheme="majorEastAsia" w:eastAsiaTheme="majorEastAsia" w:cstheme="majorEastAsia"/>
                <w:bCs/>
                <w:color w:val="000000"/>
                <w:sz w:val="21"/>
                <w:szCs w:val="21"/>
              </w:rPr>
            </w:pPr>
            <w:r>
              <w:rPr>
                <w:rFonts w:hint="eastAsia" w:asciiTheme="majorEastAsia" w:hAnsiTheme="majorEastAsia" w:eastAsiaTheme="majorEastAsia" w:cstheme="majorEastAsia"/>
                <w:bCs/>
                <w:color w:val="000000"/>
                <w:sz w:val="21"/>
                <w:szCs w:val="21"/>
              </w:rPr>
              <w:t>2</w:t>
            </w:r>
          </w:p>
        </w:tc>
        <w:tc>
          <w:tcPr>
            <w:tcW w:w="2291" w:type="dxa"/>
            <w:noWrap w:val="0"/>
            <w:vAlign w:val="center"/>
          </w:tcPr>
          <w:p w14:paraId="6AF9D157">
            <w:pPr>
              <w:keepNext w:val="0"/>
              <w:keepLines w:val="0"/>
              <w:pageBreakBefore w:val="0"/>
              <w:widowControl w:val="0"/>
              <w:suppressLineNumbers w:val="0"/>
              <w:kinsoku/>
              <w:overflowPunct/>
              <w:topLinePunct w:val="0"/>
              <w:autoSpaceDE/>
              <w:autoSpaceDN/>
              <w:bidi w:val="0"/>
              <w:spacing w:before="0" w:beforeAutospacing="0" w:after="0" w:afterAutospacing="0" w:line="360" w:lineRule="auto"/>
              <w:ind w:left="0" w:right="0"/>
              <w:jc w:val="center"/>
              <w:textAlignment w:val="auto"/>
              <w:rPr>
                <w:rFonts w:hint="eastAsia" w:asciiTheme="majorEastAsia" w:hAnsiTheme="majorEastAsia" w:eastAsiaTheme="majorEastAsia" w:cstheme="majorEastAsia"/>
                <w:bCs/>
                <w:color w:val="000000"/>
                <w:sz w:val="21"/>
                <w:szCs w:val="21"/>
              </w:rPr>
            </w:pPr>
          </w:p>
        </w:tc>
        <w:tc>
          <w:tcPr>
            <w:tcW w:w="1984" w:type="dxa"/>
            <w:noWrap w:val="0"/>
            <w:vAlign w:val="center"/>
          </w:tcPr>
          <w:p w14:paraId="3580A7A5">
            <w:pPr>
              <w:keepNext w:val="0"/>
              <w:keepLines w:val="0"/>
              <w:pageBreakBefore w:val="0"/>
              <w:widowControl w:val="0"/>
              <w:suppressLineNumbers w:val="0"/>
              <w:kinsoku/>
              <w:overflowPunct/>
              <w:topLinePunct w:val="0"/>
              <w:autoSpaceDE/>
              <w:autoSpaceDN/>
              <w:bidi w:val="0"/>
              <w:spacing w:before="0" w:beforeAutospacing="0" w:after="0" w:afterAutospacing="0" w:line="360" w:lineRule="auto"/>
              <w:ind w:left="0" w:right="0"/>
              <w:jc w:val="center"/>
              <w:textAlignment w:val="auto"/>
              <w:rPr>
                <w:rFonts w:hint="eastAsia" w:asciiTheme="majorEastAsia" w:hAnsiTheme="majorEastAsia" w:eastAsiaTheme="majorEastAsia" w:cstheme="majorEastAsia"/>
                <w:bCs/>
                <w:color w:val="000000"/>
                <w:sz w:val="21"/>
                <w:szCs w:val="21"/>
              </w:rPr>
            </w:pPr>
          </w:p>
        </w:tc>
        <w:tc>
          <w:tcPr>
            <w:tcW w:w="4162" w:type="dxa"/>
            <w:noWrap w:val="0"/>
            <w:vAlign w:val="center"/>
          </w:tcPr>
          <w:p w14:paraId="65936A32">
            <w:pPr>
              <w:keepNext w:val="0"/>
              <w:keepLines w:val="0"/>
              <w:pageBreakBefore w:val="0"/>
              <w:widowControl w:val="0"/>
              <w:suppressLineNumbers w:val="0"/>
              <w:kinsoku/>
              <w:overflowPunct/>
              <w:topLinePunct w:val="0"/>
              <w:autoSpaceDE/>
              <w:autoSpaceDN/>
              <w:bidi w:val="0"/>
              <w:spacing w:before="0" w:beforeAutospacing="0" w:after="0" w:afterAutospacing="0" w:line="360" w:lineRule="auto"/>
              <w:ind w:left="0" w:right="0"/>
              <w:jc w:val="center"/>
              <w:textAlignment w:val="auto"/>
              <w:rPr>
                <w:rFonts w:hint="eastAsia" w:asciiTheme="majorEastAsia" w:hAnsiTheme="majorEastAsia" w:eastAsiaTheme="majorEastAsia" w:cstheme="majorEastAsia"/>
                <w:bCs/>
                <w:color w:val="000000"/>
                <w:sz w:val="21"/>
                <w:szCs w:val="21"/>
              </w:rPr>
            </w:pPr>
          </w:p>
        </w:tc>
      </w:tr>
      <w:tr w14:paraId="115C4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078" w:type="dxa"/>
            <w:noWrap w:val="0"/>
            <w:vAlign w:val="center"/>
          </w:tcPr>
          <w:p w14:paraId="0F2671C1">
            <w:pPr>
              <w:keepNext w:val="0"/>
              <w:keepLines w:val="0"/>
              <w:pageBreakBefore w:val="0"/>
              <w:widowControl w:val="0"/>
              <w:suppressLineNumbers w:val="0"/>
              <w:kinsoku/>
              <w:overflowPunct/>
              <w:topLinePunct w:val="0"/>
              <w:autoSpaceDE/>
              <w:autoSpaceDN/>
              <w:bidi w:val="0"/>
              <w:spacing w:before="0" w:beforeAutospacing="0" w:after="0" w:afterAutospacing="0" w:line="360" w:lineRule="auto"/>
              <w:ind w:left="0" w:right="0"/>
              <w:jc w:val="center"/>
              <w:textAlignment w:val="auto"/>
              <w:rPr>
                <w:rFonts w:hint="eastAsia" w:asciiTheme="majorEastAsia" w:hAnsiTheme="majorEastAsia" w:eastAsiaTheme="majorEastAsia" w:cstheme="majorEastAsia"/>
                <w:bCs/>
                <w:color w:val="000000"/>
                <w:sz w:val="21"/>
                <w:szCs w:val="21"/>
              </w:rPr>
            </w:pPr>
            <w:r>
              <w:rPr>
                <w:rFonts w:hint="eastAsia" w:asciiTheme="majorEastAsia" w:hAnsiTheme="majorEastAsia" w:eastAsiaTheme="majorEastAsia" w:cstheme="majorEastAsia"/>
                <w:bCs/>
                <w:color w:val="000000"/>
                <w:sz w:val="21"/>
                <w:szCs w:val="21"/>
              </w:rPr>
              <w:t>合计</w:t>
            </w:r>
          </w:p>
        </w:tc>
        <w:tc>
          <w:tcPr>
            <w:tcW w:w="2291" w:type="dxa"/>
            <w:noWrap w:val="0"/>
            <w:vAlign w:val="center"/>
          </w:tcPr>
          <w:p w14:paraId="1375511D">
            <w:pPr>
              <w:keepNext w:val="0"/>
              <w:keepLines w:val="0"/>
              <w:pageBreakBefore w:val="0"/>
              <w:widowControl w:val="0"/>
              <w:suppressLineNumbers w:val="0"/>
              <w:kinsoku/>
              <w:overflowPunct/>
              <w:topLinePunct w:val="0"/>
              <w:autoSpaceDE/>
              <w:autoSpaceDN/>
              <w:bidi w:val="0"/>
              <w:spacing w:before="0" w:beforeAutospacing="0" w:after="0" w:afterAutospacing="0" w:line="360" w:lineRule="auto"/>
              <w:ind w:left="0" w:right="0"/>
              <w:jc w:val="center"/>
              <w:textAlignment w:val="auto"/>
              <w:rPr>
                <w:rFonts w:hint="eastAsia" w:asciiTheme="majorEastAsia" w:hAnsiTheme="majorEastAsia" w:eastAsiaTheme="majorEastAsia" w:cstheme="majorEastAsia"/>
                <w:bCs/>
                <w:color w:val="000000"/>
                <w:sz w:val="21"/>
                <w:szCs w:val="21"/>
              </w:rPr>
            </w:pPr>
          </w:p>
        </w:tc>
        <w:tc>
          <w:tcPr>
            <w:tcW w:w="1984" w:type="dxa"/>
            <w:noWrap w:val="0"/>
            <w:vAlign w:val="center"/>
          </w:tcPr>
          <w:p w14:paraId="6EAA43D8">
            <w:pPr>
              <w:keepNext w:val="0"/>
              <w:keepLines w:val="0"/>
              <w:pageBreakBefore w:val="0"/>
              <w:widowControl w:val="0"/>
              <w:suppressLineNumbers w:val="0"/>
              <w:kinsoku/>
              <w:overflowPunct/>
              <w:topLinePunct w:val="0"/>
              <w:autoSpaceDE/>
              <w:autoSpaceDN/>
              <w:bidi w:val="0"/>
              <w:spacing w:before="0" w:beforeAutospacing="0" w:after="0" w:afterAutospacing="0" w:line="360" w:lineRule="auto"/>
              <w:ind w:left="0" w:right="0"/>
              <w:jc w:val="center"/>
              <w:textAlignment w:val="auto"/>
              <w:rPr>
                <w:rFonts w:hint="eastAsia" w:asciiTheme="majorEastAsia" w:hAnsiTheme="majorEastAsia" w:eastAsiaTheme="majorEastAsia" w:cstheme="majorEastAsia"/>
                <w:bCs/>
                <w:color w:val="000000"/>
                <w:sz w:val="21"/>
                <w:szCs w:val="21"/>
              </w:rPr>
            </w:pPr>
          </w:p>
        </w:tc>
        <w:tc>
          <w:tcPr>
            <w:tcW w:w="4162" w:type="dxa"/>
            <w:noWrap w:val="0"/>
            <w:vAlign w:val="center"/>
          </w:tcPr>
          <w:p w14:paraId="3FE772F9">
            <w:pPr>
              <w:keepNext w:val="0"/>
              <w:keepLines w:val="0"/>
              <w:pageBreakBefore w:val="0"/>
              <w:widowControl w:val="0"/>
              <w:suppressLineNumbers w:val="0"/>
              <w:kinsoku/>
              <w:overflowPunct/>
              <w:topLinePunct w:val="0"/>
              <w:autoSpaceDE/>
              <w:autoSpaceDN/>
              <w:bidi w:val="0"/>
              <w:spacing w:before="0" w:beforeAutospacing="0" w:after="0" w:afterAutospacing="0" w:line="360" w:lineRule="auto"/>
              <w:ind w:left="0" w:right="0"/>
              <w:jc w:val="center"/>
              <w:textAlignment w:val="auto"/>
              <w:rPr>
                <w:rFonts w:hint="eastAsia" w:asciiTheme="majorEastAsia" w:hAnsiTheme="majorEastAsia" w:eastAsiaTheme="majorEastAsia" w:cstheme="majorEastAsia"/>
                <w:bCs/>
                <w:color w:val="000000"/>
                <w:sz w:val="21"/>
                <w:szCs w:val="21"/>
              </w:rPr>
            </w:pPr>
          </w:p>
        </w:tc>
      </w:tr>
    </w:tbl>
    <w:p w14:paraId="68B4AD2E">
      <w:pPr>
        <w:keepNext w:val="0"/>
        <w:keepLines w:val="0"/>
        <w:pageBreakBefore w:val="0"/>
        <w:widowControl w:val="0"/>
        <w:kinsoku/>
        <w:overflowPunct/>
        <w:topLinePunct w:val="0"/>
        <w:autoSpaceDE/>
        <w:autoSpaceDN/>
        <w:bidi w:val="0"/>
        <w:adjustRightInd w:val="0"/>
        <w:snapToGrid w:val="0"/>
        <w:spacing w:line="360" w:lineRule="auto"/>
        <w:ind w:firstLine="420" w:firstLineChars="200"/>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2.1非因乙方质量问题，甲方缓慢审批超过半年的，甲方均应按照合同进度支付费用。</w:t>
      </w:r>
    </w:p>
    <w:p w14:paraId="26BE0D66">
      <w:pPr>
        <w:keepNext w:val="0"/>
        <w:keepLines w:val="0"/>
        <w:pageBreakBefore w:val="0"/>
        <w:widowControl w:val="0"/>
        <w:kinsoku/>
        <w:overflowPunct/>
        <w:topLinePunct w:val="0"/>
        <w:autoSpaceDE/>
        <w:autoSpaceDN/>
        <w:bidi w:val="0"/>
        <w:adjustRightInd w:val="0"/>
        <w:snapToGrid w:val="0"/>
        <w:spacing w:line="360" w:lineRule="auto"/>
        <w:ind w:firstLine="420" w:firstLineChars="200"/>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2.2乙方在收到甲方付款10日内开具  □增值税专用发票  □增值税普通发票（两种发票选择其中一种）给甲方。甲方必须提供其纳税人识别号或统一社会信用代码、户名、账号、开户行、地址、税务登记证号码等信息，并提供以上信息的电子版本。如要求开具增值税专用发票的，必须提供能证明其为增值税一般纳税人的税务登记证复印件（加盖公章）。</w:t>
      </w:r>
    </w:p>
    <w:p w14:paraId="79A3A943">
      <w:pPr>
        <w:keepNext w:val="0"/>
        <w:keepLines w:val="0"/>
        <w:pageBreakBefore w:val="0"/>
        <w:widowControl w:val="0"/>
        <w:numPr>
          <w:ilvl w:val="0"/>
          <w:numId w:val="3"/>
        </w:numPr>
        <w:kinsoku/>
        <w:overflowPunct/>
        <w:topLinePunct w:val="0"/>
        <w:autoSpaceDE/>
        <w:autoSpaceDN/>
        <w:bidi w:val="0"/>
        <w:spacing w:line="360" w:lineRule="auto"/>
        <w:ind w:firstLine="422" w:firstLineChars="200"/>
        <w:textAlignment w:val="auto"/>
        <w:rPr>
          <w:rFonts w:hint="eastAsia" w:asciiTheme="majorEastAsia" w:hAnsiTheme="majorEastAsia" w:eastAsiaTheme="majorEastAsia" w:cstheme="majorEastAsia"/>
          <w:b/>
          <w:sz w:val="21"/>
          <w:szCs w:val="21"/>
        </w:rPr>
      </w:pPr>
      <w:r>
        <w:rPr>
          <w:rFonts w:hint="eastAsia" w:asciiTheme="majorEastAsia" w:hAnsiTheme="majorEastAsia" w:eastAsiaTheme="majorEastAsia" w:cstheme="majorEastAsia"/>
          <w:b/>
          <w:sz w:val="21"/>
          <w:szCs w:val="21"/>
        </w:rPr>
        <w:t>履约保证金：</w:t>
      </w:r>
    </w:p>
    <w:p w14:paraId="20C513A1">
      <w:pPr>
        <w:keepNext w:val="0"/>
        <w:keepLines w:val="0"/>
        <w:pageBreakBefore w:val="0"/>
        <w:widowControl w:val="0"/>
        <w:kinsoku/>
        <w:overflowPunct/>
        <w:topLinePunct w:val="0"/>
        <w:autoSpaceDE/>
        <w:autoSpaceDN/>
        <w:bidi w:val="0"/>
        <w:snapToGrid w:val="0"/>
        <w:spacing w:before="156" w:beforeLines="50" w:line="360" w:lineRule="auto"/>
        <w:ind w:firstLine="422" w:firstLineChars="200"/>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b/>
          <w:bCs/>
          <w:color w:val="000000"/>
          <w:sz w:val="21"/>
          <w:szCs w:val="21"/>
          <w:lang w:eastAsia="zh-CN"/>
        </w:rPr>
        <w:t>□</w:t>
      </w:r>
      <w:r>
        <w:rPr>
          <w:rFonts w:hint="eastAsia" w:asciiTheme="majorEastAsia" w:hAnsiTheme="majorEastAsia" w:eastAsiaTheme="majorEastAsia" w:cstheme="majorEastAsia"/>
          <w:b/>
          <w:bCs/>
          <w:color w:val="000000"/>
          <w:sz w:val="21"/>
          <w:szCs w:val="21"/>
        </w:rPr>
        <w:t>本项目不收取履约保证金；</w:t>
      </w:r>
    </w:p>
    <w:p w14:paraId="2FBDA192">
      <w:pPr>
        <w:keepNext w:val="0"/>
        <w:keepLines w:val="0"/>
        <w:pageBreakBefore w:val="0"/>
        <w:widowControl w:val="0"/>
        <w:kinsoku/>
        <w:overflowPunct/>
        <w:topLinePunct w:val="0"/>
        <w:autoSpaceDE/>
        <w:autoSpaceDN/>
        <w:bidi w:val="0"/>
        <w:spacing w:line="360" w:lineRule="auto"/>
        <w:ind w:firstLine="422" w:firstLineChars="200"/>
        <w:textAlignment w:val="auto"/>
        <w:rPr>
          <w:rFonts w:hint="eastAsia" w:asciiTheme="majorEastAsia" w:hAnsiTheme="majorEastAsia" w:eastAsiaTheme="majorEastAsia" w:cstheme="majorEastAsia"/>
          <w:b/>
          <w:color w:val="000000"/>
          <w:sz w:val="21"/>
          <w:szCs w:val="21"/>
        </w:rPr>
      </w:pPr>
      <w:r>
        <w:rPr>
          <w:rFonts w:hint="eastAsia" w:asciiTheme="majorEastAsia" w:hAnsiTheme="majorEastAsia" w:eastAsiaTheme="majorEastAsia" w:cstheme="majorEastAsia"/>
          <w:b/>
          <w:bCs/>
          <w:color w:val="000000"/>
          <w:sz w:val="21"/>
          <w:szCs w:val="21"/>
          <w:lang w:eastAsia="zh-CN"/>
        </w:rPr>
        <w:t>☑</w:t>
      </w:r>
      <w:r>
        <w:rPr>
          <w:rFonts w:hint="eastAsia" w:asciiTheme="majorEastAsia" w:hAnsiTheme="majorEastAsia" w:eastAsiaTheme="majorEastAsia" w:cstheme="majorEastAsia"/>
          <w:b/>
          <w:color w:val="000000"/>
          <w:sz w:val="21"/>
          <w:szCs w:val="21"/>
        </w:rPr>
        <w:t>履约保证金：</w:t>
      </w:r>
    </w:p>
    <w:p w14:paraId="06487A7A">
      <w:pPr>
        <w:keepNext w:val="0"/>
        <w:keepLines w:val="0"/>
        <w:pageBreakBefore w:val="0"/>
        <w:widowControl w:val="0"/>
        <w:kinsoku/>
        <w:overflowPunct/>
        <w:topLinePunct w:val="0"/>
        <w:autoSpaceDE/>
        <w:autoSpaceDN/>
        <w:bidi w:val="0"/>
        <w:spacing w:line="360" w:lineRule="auto"/>
        <w:ind w:firstLine="420" w:firstLineChars="200"/>
        <w:textAlignment w:val="auto"/>
        <w:rPr>
          <w:rFonts w:hint="eastAsia" w:asciiTheme="majorEastAsia" w:hAnsiTheme="majorEastAsia" w:eastAsiaTheme="majorEastAsia" w:cstheme="majorEastAsia"/>
          <w:bCs/>
          <w:color w:val="000000"/>
          <w:sz w:val="21"/>
          <w:szCs w:val="21"/>
        </w:rPr>
      </w:pPr>
      <w:r>
        <w:rPr>
          <w:rFonts w:hint="eastAsia" w:asciiTheme="majorEastAsia" w:hAnsiTheme="majorEastAsia" w:eastAsiaTheme="majorEastAsia" w:cstheme="majorEastAsia"/>
          <w:bCs/>
          <w:color w:val="000000"/>
          <w:sz w:val="21"/>
          <w:szCs w:val="21"/>
        </w:rPr>
        <w:t>履约保证金金额：按成交金额的</w:t>
      </w:r>
      <w:r>
        <w:rPr>
          <w:rFonts w:hint="eastAsia" w:asciiTheme="majorEastAsia" w:hAnsiTheme="majorEastAsia" w:eastAsiaTheme="majorEastAsia" w:cstheme="majorEastAsia"/>
          <w:bCs/>
          <w:color w:val="000000"/>
          <w:sz w:val="21"/>
          <w:szCs w:val="21"/>
          <w:u w:val="single"/>
        </w:rPr>
        <w:t xml:space="preserve"> 2%</w:t>
      </w:r>
      <w:r>
        <w:rPr>
          <w:rFonts w:hint="eastAsia" w:asciiTheme="majorEastAsia" w:hAnsiTheme="majorEastAsia" w:eastAsiaTheme="majorEastAsia" w:cstheme="majorEastAsia"/>
          <w:bCs/>
          <w:color w:val="000000"/>
          <w:sz w:val="21"/>
          <w:szCs w:val="21"/>
        </w:rPr>
        <w:t>（注：履约保证金不超过成交金额的2%）。</w:t>
      </w:r>
    </w:p>
    <w:p w14:paraId="16ABB871">
      <w:pPr>
        <w:keepNext w:val="0"/>
        <w:keepLines w:val="0"/>
        <w:pageBreakBefore w:val="0"/>
        <w:widowControl w:val="0"/>
        <w:kinsoku/>
        <w:overflowPunct/>
        <w:topLinePunct w:val="0"/>
        <w:autoSpaceDE/>
        <w:autoSpaceDN/>
        <w:bidi w:val="0"/>
        <w:spacing w:line="360" w:lineRule="auto"/>
        <w:ind w:firstLine="420" w:firstLineChars="200"/>
        <w:textAlignment w:val="auto"/>
        <w:rPr>
          <w:rFonts w:hint="eastAsia" w:asciiTheme="majorEastAsia" w:hAnsiTheme="majorEastAsia" w:eastAsiaTheme="majorEastAsia" w:cstheme="majorEastAsia"/>
          <w:bCs/>
          <w:color w:val="000000"/>
          <w:sz w:val="21"/>
          <w:szCs w:val="21"/>
        </w:rPr>
      </w:pPr>
      <w:r>
        <w:rPr>
          <w:rFonts w:hint="eastAsia" w:asciiTheme="majorEastAsia" w:hAnsiTheme="majorEastAsia" w:eastAsiaTheme="majorEastAsia" w:cstheme="majorEastAsia"/>
          <w:bCs/>
          <w:color w:val="000000"/>
          <w:sz w:val="21"/>
          <w:szCs w:val="21"/>
        </w:rPr>
        <w:t>履约保证金缴纳时间：收到成交通知书5日内。</w:t>
      </w:r>
    </w:p>
    <w:p w14:paraId="542FBB8E">
      <w:pPr>
        <w:keepNext w:val="0"/>
        <w:keepLines w:val="0"/>
        <w:pageBreakBefore w:val="0"/>
        <w:widowControl w:val="0"/>
        <w:kinsoku/>
        <w:overflowPunct/>
        <w:topLinePunct w:val="0"/>
        <w:autoSpaceDE/>
        <w:autoSpaceDN/>
        <w:bidi w:val="0"/>
        <w:spacing w:line="360" w:lineRule="auto"/>
        <w:ind w:firstLine="420" w:firstLineChars="200"/>
        <w:textAlignment w:val="auto"/>
        <w:rPr>
          <w:rFonts w:hint="eastAsia" w:asciiTheme="majorEastAsia" w:hAnsiTheme="majorEastAsia" w:eastAsiaTheme="majorEastAsia" w:cstheme="majorEastAsia"/>
          <w:bCs/>
          <w:color w:val="000000"/>
          <w:sz w:val="21"/>
          <w:szCs w:val="21"/>
        </w:rPr>
      </w:pPr>
      <w:r>
        <w:rPr>
          <w:rFonts w:hint="eastAsia" w:asciiTheme="majorEastAsia" w:hAnsiTheme="majorEastAsia" w:eastAsiaTheme="majorEastAsia" w:cstheme="majorEastAsia"/>
          <w:bCs/>
          <w:color w:val="000000"/>
          <w:sz w:val="21"/>
          <w:szCs w:val="21"/>
        </w:rPr>
        <w:t>履约保证金提交方式：银行转账、支票、汇票、本票或者金融、担保机构出具的保函等非现金方式（参照磋商保证金）。</w:t>
      </w:r>
    </w:p>
    <w:p w14:paraId="61BCCF90">
      <w:pPr>
        <w:keepNext w:val="0"/>
        <w:keepLines w:val="0"/>
        <w:pageBreakBefore w:val="0"/>
        <w:widowControl w:val="0"/>
        <w:kinsoku/>
        <w:overflowPunct/>
        <w:topLinePunct w:val="0"/>
        <w:autoSpaceDE/>
        <w:autoSpaceDN/>
        <w:bidi w:val="0"/>
        <w:spacing w:line="360" w:lineRule="auto"/>
        <w:ind w:firstLine="420" w:firstLineChars="200"/>
        <w:textAlignment w:val="auto"/>
        <w:rPr>
          <w:rFonts w:hint="eastAsia" w:asciiTheme="majorEastAsia" w:hAnsiTheme="majorEastAsia" w:eastAsiaTheme="majorEastAsia" w:cstheme="majorEastAsia"/>
          <w:bCs/>
          <w:color w:val="000000"/>
          <w:sz w:val="21"/>
          <w:szCs w:val="21"/>
        </w:rPr>
      </w:pPr>
      <w:r>
        <w:rPr>
          <w:rFonts w:hint="eastAsia" w:asciiTheme="majorEastAsia" w:hAnsiTheme="majorEastAsia" w:eastAsiaTheme="majorEastAsia" w:cstheme="majorEastAsia"/>
          <w:bCs/>
          <w:color w:val="000000"/>
          <w:sz w:val="21"/>
          <w:szCs w:val="21"/>
        </w:rPr>
        <w:t>履约保证金的退还：服务结束后，成交人按合同履约的，凭采购人出具的《履约担保金退付意见书》、“履约担保金收据”原件办理退还手续（不计利息）。</w:t>
      </w:r>
    </w:p>
    <w:p w14:paraId="768C0C3E">
      <w:pPr>
        <w:keepNext w:val="0"/>
        <w:keepLines w:val="0"/>
        <w:pageBreakBefore w:val="0"/>
        <w:widowControl w:val="0"/>
        <w:kinsoku/>
        <w:overflowPunct/>
        <w:topLinePunct w:val="0"/>
        <w:autoSpaceDE/>
        <w:autoSpaceDN/>
        <w:bidi w:val="0"/>
        <w:spacing w:line="360" w:lineRule="auto"/>
        <w:ind w:firstLine="420" w:firstLineChars="200"/>
        <w:textAlignment w:val="auto"/>
        <w:rPr>
          <w:rFonts w:hint="eastAsia" w:asciiTheme="majorEastAsia" w:hAnsiTheme="majorEastAsia" w:eastAsiaTheme="majorEastAsia" w:cstheme="majorEastAsia"/>
          <w:bCs/>
          <w:color w:val="000000"/>
          <w:sz w:val="21"/>
          <w:szCs w:val="21"/>
        </w:rPr>
      </w:pPr>
      <w:r>
        <w:rPr>
          <w:rFonts w:hint="eastAsia" w:asciiTheme="majorEastAsia" w:hAnsiTheme="majorEastAsia" w:eastAsiaTheme="majorEastAsia" w:cstheme="majorEastAsia"/>
          <w:bCs/>
          <w:color w:val="000000"/>
          <w:sz w:val="21"/>
          <w:szCs w:val="21"/>
        </w:rPr>
        <w:t>履约保证金采购人账户：</w:t>
      </w:r>
    </w:p>
    <w:p w14:paraId="541D2DFB">
      <w:pPr>
        <w:keepNext w:val="0"/>
        <w:keepLines w:val="0"/>
        <w:pageBreakBefore w:val="0"/>
        <w:widowControl w:val="0"/>
        <w:kinsoku/>
        <w:overflowPunct/>
        <w:topLinePunct w:val="0"/>
        <w:autoSpaceDE/>
        <w:autoSpaceDN/>
        <w:bidi w:val="0"/>
        <w:spacing w:line="360" w:lineRule="auto"/>
        <w:ind w:firstLine="420" w:firstLineChars="200"/>
        <w:textAlignment w:val="auto"/>
        <w:rPr>
          <w:rFonts w:hint="eastAsia" w:asciiTheme="majorEastAsia" w:hAnsiTheme="majorEastAsia" w:eastAsiaTheme="majorEastAsia" w:cstheme="majorEastAsia"/>
          <w:bCs/>
          <w:color w:val="000000"/>
          <w:sz w:val="21"/>
          <w:szCs w:val="21"/>
        </w:rPr>
      </w:pPr>
      <w:r>
        <w:rPr>
          <w:rFonts w:hint="eastAsia" w:asciiTheme="majorEastAsia" w:hAnsiTheme="majorEastAsia" w:eastAsiaTheme="majorEastAsia" w:cstheme="majorEastAsia"/>
          <w:bCs/>
          <w:color w:val="000000"/>
          <w:sz w:val="21"/>
          <w:szCs w:val="21"/>
        </w:rPr>
        <w:t>开户名称：</w:t>
      </w:r>
      <w:r>
        <w:rPr>
          <w:rFonts w:hint="eastAsia" w:asciiTheme="majorEastAsia" w:hAnsiTheme="majorEastAsia" w:eastAsiaTheme="majorEastAsia" w:cstheme="majorEastAsia"/>
          <w:bCs/>
          <w:color w:val="000000"/>
          <w:sz w:val="21"/>
          <w:szCs w:val="21"/>
          <w:u w:val="single"/>
        </w:rPr>
        <w:t xml:space="preserve">                        </w:t>
      </w:r>
      <w:r>
        <w:rPr>
          <w:rFonts w:hint="eastAsia" w:asciiTheme="majorEastAsia" w:hAnsiTheme="majorEastAsia" w:eastAsiaTheme="majorEastAsia" w:cstheme="majorEastAsia"/>
          <w:bCs/>
          <w:color w:val="000000"/>
          <w:sz w:val="21"/>
          <w:szCs w:val="21"/>
        </w:rPr>
        <w:t xml:space="preserve">    </w:t>
      </w:r>
    </w:p>
    <w:p w14:paraId="42029ECE">
      <w:pPr>
        <w:keepNext w:val="0"/>
        <w:keepLines w:val="0"/>
        <w:pageBreakBefore w:val="0"/>
        <w:widowControl w:val="0"/>
        <w:kinsoku/>
        <w:overflowPunct/>
        <w:topLinePunct w:val="0"/>
        <w:autoSpaceDE/>
        <w:autoSpaceDN/>
        <w:bidi w:val="0"/>
        <w:spacing w:line="360" w:lineRule="auto"/>
        <w:ind w:firstLine="420" w:firstLineChars="200"/>
        <w:textAlignment w:val="auto"/>
        <w:rPr>
          <w:rFonts w:hint="eastAsia" w:asciiTheme="majorEastAsia" w:hAnsiTheme="majorEastAsia" w:eastAsiaTheme="majorEastAsia" w:cstheme="majorEastAsia"/>
          <w:bCs/>
          <w:color w:val="000000"/>
          <w:sz w:val="21"/>
          <w:szCs w:val="21"/>
          <w:u w:val="single"/>
        </w:rPr>
      </w:pPr>
      <w:r>
        <w:rPr>
          <w:rFonts w:hint="eastAsia" w:asciiTheme="majorEastAsia" w:hAnsiTheme="majorEastAsia" w:eastAsiaTheme="majorEastAsia" w:cstheme="majorEastAsia"/>
          <w:bCs/>
          <w:color w:val="000000"/>
          <w:sz w:val="21"/>
          <w:szCs w:val="21"/>
        </w:rPr>
        <w:t>开户银行：</w:t>
      </w:r>
      <w:r>
        <w:rPr>
          <w:rFonts w:hint="eastAsia" w:asciiTheme="majorEastAsia" w:hAnsiTheme="majorEastAsia" w:eastAsiaTheme="majorEastAsia" w:cstheme="majorEastAsia"/>
          <w:bCs/>
          <w:color w:val="000000"/>
          <w:sz w:val="21"/>
          <w:szCs w:val="21"/>
          <w:u w:val="single"/>
        </w:rPr>
        <w:t xml:space="preserve">                       </w:t>
      </w:r>
    </w:p>
    <w:p w14:paraId="7FA03538">
      <w:pPr>
        <w:keepNext w:val="0"/>
        <w:keepLines w:val="0"/>
        <w:pageBreakBefore w:val="0"/>
        <w:widowControl w:val="0"/>
        <w:kinsoku/>
        <w:overflowPunct/>
        <w:topLinePunct w:val="0"/>
        <w:autoSpaceDE/>
        <w:autoSpaceDN/>
        <w:bidi w:val="0"/>
        <w:adjustRightInd w:val="0"/>
        <w:snapToGrid w:val="0"/>
        <w:spacing w:line="360" w:lineRule="auto"/>
        <w:ind w:firstLine="420" w:firstLineChars="200"/>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bCs/>
          <w:color w:val="000000"/>
          <w:sz w:val="21"/>
          <w:szCs w:val="21"/>
        </w:rPr>
        <w:t>银行账号：</w:t>
      </w:r>
      <w:r>
        <w:rPr>
          <w:rFonts w:hint="eastAsia" w:asciiTheme="majorEastAsia" w:hAnsiTheme="majorEastAsia" w:eastAsiaTheme="majorEastAsia" w:cstheme="majorEastAsia"/>
          <w:bCs/>
          <w:color w:val="000000"/>
          <w:sz w:val="21"/>
          <w:szCs w:val="21"/>
          <w:u w:val="single"/>
        </w:rPr>
        <w:t xml:space="preserve">                        </w:t>
      </w:r>
    </w:p>
    <w:p w14:paraId="064F8F3D">
      <w:pPr>
        <w:keepNext w:val="0"/>
        <w:keepLines w:val="0"/>
        <w:pageBreakBefore w:val="0"/>
        <w:widowControl w:val="0"/>
        <w:kinsoku/>
        <w:overflowPunct/>
        <w:topLinePunct w:val="0"/>
        <w:autoSpaceDE/>
        <w:autoSpaceDN/>
        <w:bidi w:val="0"/>
        <w:adjustRightInd w:val="0"/>
        <w:snapToGrid w:val="0"/>
        <w:spacing w:line="360" w:lineRule="auto"/>
        <w:ind w:firstLine="422" w:firstLineChars="200"/>
        <w:textAlignment w:val="auto"/>
        <w:rPr>
          <w:rFonts w:hint="eastAsia" w:asciiTheme="majorEastAsia" w:hAnsiTheme="majorEastAsia" w:eastAsiaTheme="majorEastAsia" w:cstheme="majorEastAsia"/>
          <w:b/>
          <w:sz w:val="21"/>
          <w:szCs w:val="21"/>
        </w:rPr>
      </w:pPr>
      <w:r>
        <w:rPr>
          <w:rFonts w:hint="eastAsia" w:asciiTheme="majorEastAsia" w:hAnsiTheme="majorEastAsia" w:eastAsiaTheme="majorEastAsia" w:cstheme="majorEastAsia"/>
          <w:b/>
          <w:sz w:val="21"/>
          <w:szCs w:val="21"/>
        </w:rPr>
        <w:t xml:space="preserve">第六条 税费  </w:t>
      </w:r>
    </w:p>
    <w:p w14:paraId="5E5DCE31">
      <w:pPr>
        <w:keepNext w:val="0"/>
        <w:keepLines w:val="0"/>
        <w:pageBreakBefore w:val="0"/>
        <w:widowControl w:val="0"/>
        <w:kinsoku/>
        <w:overflowPunct/>
        <w:topLinePunct w:val="0"/>
        <w:autoSpaceDE/>
        <w:autoSpaceDN/>
        <w:bidi w:val="0"/>
        <w:adjustRightInd w:val="0"/>
        <w:snapToGrid w:val="0"/>
        <w:spacing w:line="360" w:lineRule="auto"/>
        <w:ind w:firstLine="420" w:firstLineChars="200"/>
        <w:textAlignment w:val="auto"/>
        <w:rPr>
          <w:rFonts w:hint="eastAsia" w:asciiTheme="majorEastAsia" w:hAnsiTheme="majorEastAsia" w:eastAsiaTheme="majorEastAsia" w:cstheme="majorEastAsia"/>
          <w:kern w:val="0"/>
          <w:sz w:val="21"/>
          <w:szCs w:val="21"/>
        </w:rPr>
      </w:pPr>
      <w:r>
        <w:rPr>
          <w:rFonts w:hint="eastAsia" w:asciiTheme="majorEastAsia" w:hAnsiTheme="majorEastAsia" w:eastAsiaTheme="majorEastAsia" w:cstheme="majorEastAsia"/>
          <w:kern w:val="0"/>
          <w:sz w:val="21"/>
          <w:szCs w:val="21"/>
        </w:rPr>
        <w:t>本合同执行中相关的一切税费均由乙方负担。</w:t>
      </w:r>
    </w:p>
    <w:p w14:paraId="5457FD14">
      <w:pPr>
        <w:pStyle w:val="17"/>
        <w:keepNext w:val="0"/>
        <w:keepLines w:val="0"/>
        <w:pageBreakBefore w:val="0"/>
        <w:widowControl w:val="0"/>
        <w:numPr>
          <w:ilvl w:val="0"/>
          <w:numId w:val="4"/>
        </w:numPr>
        <w:kinsoku/>
        <w:overflowPunct/>
        <w:topLinePunct w:val="0"/>
        <w:autoSpaceDE/>
        <w:autoSpaceDN/>
        <w:bidi w:val="0"/>
        <w:adjustRightInd w:val="0"/>
        <w:snapToGrid w:val="0"/>
        <w:spacing w:line="360" w:lineRule="auto"/>
        <w:ind w:firstLine="422" w:firstLineChars="200"/>
        <w:textAlignment w:val="auto"/>
        <w:rPr>
          <w:rFonts w:hint="eastAsia" w:asciiTheme="majorEastAsia" w:hAnsiTheme="majorEastAsia" w:eastAsiaTheme="majorEastAsia" w:cstheme="majorEastAsia"/>
          <w:b/>
          <w:sz w:val="21"/>
          <w:szCs w:val="21"/>
        </w:rPr>
      </w:pPr>
      <w:bookmarkStart w:id="206" w:name="_Toc10971"/>
      <w:bookmarkStart w:id="207" w:name="_Toc5473"/>
      <w:r>
        <w:rPr>
          <w:rFonts w:hint="eastAsia" w:asciiTheme="majorEastAsia" w:hAnsiTheme="majorEastAsia" w:eastAsiaTheme="majorEastAsia" w:cstheme="majorEastAsia"/>
          <w:b/>
          <w:sz w:val="21"/>
          <w:szCs w:val="21"/>
        </w:rPr>
        <w:t xml:space="preserve"> 评审验收</w:t>
      </w:r>
      <w:bookmarkEnd w:id="206"/>
      <w:bookmarkEnd w:id="207"/>
    </w:p>
    <w:p w14:paraId="0E8EDDFE">
      <w:pPr>
        <w:pStyle w:val="17"/>
        <w:keepNext w:val="0"/>
        <w:keepLines w:val="0"/>
        <w:pageBreakBefore w:val="0"/>
        <w:widowControl w:val="0"/>
        <w:kinsoku/>
        <w:overflowPunct/>
        <w:topLinePunct w:val="0"/>
        <w:autoSpaceDE/>
        <w:autoSpaceDN/>
        <w:bidi w:val="0"/>
        <w:adjustRightInd w:val="0"/>
        <w:snapToGrid w:val="0"/>
        <w:spacing w:line="360" w:lineRule="auto"/>
        <w:textAlignment w:val="auto"/>
        <w:rPr>
          <w:rFonts w:hint="eastAsia" w:asciiTheme="majorEastAsia" w:hAnsiTheme="majorEastAsia" w:eastAsiaTheme="majorEastAsia" w:cstheme="majorEastAsia"/>
          <w:b/>
          <w:sz w:val="21"/>
          <w:szCs w:val="21"/>
        </w:rPr>
      </w:pPr>
      <w:r>
        <w:rPr>
          <w:rFonts w:hint="eastAsia" w:asciiTheme="majorEastAsia" w:hAnsiTheme="majorEastAsia" w:eastAsiaTheme="majorEastAsia" w:cstheme="majorEastAsia"/>
          <w:b/>
          <w:sz w:val="21"/>
          <w:szCs w:val="21"/>
        </w:rPr>
        <w:t xml:space="preserve">  </w:t>
      </w:r>
      <w:r>
        <w:rPr>
          <w:rFonts w:hint="eastAsia" w:asciiTheme="majorEastAsia" w:hAnsiTheme="majorEastAsia" w:eastAsiaTheme="majorEastAsia" w:cstheme="majorEastAsia"/>
          <w:bCs/>
          <w:sz w:val="21"/>
          <w:szCs w:val="21"/>
        </w:rPr>
        <w:t xml:space="preserve">  1.乙方</w:t>
      </w:r>
      <w:r>
        <w:rPr>
          <w:rFonts w:hint="eastAsia" w:asciiTheme="majorEastAsia" w:hAnsiTheme="majorEastAsia" w:eastAsiaTheme="majorEastAsia" w:cstheme="majorEastAsia"/>
          <w:sz w:val="21"/>
          <w:szCs w:val="21"/>
        </w:rPr>
        <w:t>应按磋商文件规定及响应文件承诺的技术要求、质量标准、成果数量向甲方提供服务。</w:t>
      </w:r>
    </w:p>
    <w:p w14:paraId="5719CA91">
      <w:pPr>
        <w:pStyle w:val="17"/>
        <w:keepNext w:val="0"/>
        <w:keepLines w:val="0"/>
        <w:pageBreakBefore w:val="0"/>
        <w:widowControl w:val="0"/>
        <w:kinsoku/>
        <w:overflowPunct/>
        <w:topLinePunct w:val="0"/>
        <w:autoSpaceDE/>
        <w:autoSpaceDN/>
        <w:bidi w:val="0"/>
        <w:adjustRightInd w:val="0"/>
        <w:snapToGrid w:val="0"/>
        <w:spacing w:line="360" w:lineRule="auto"/>
        <w:ind w:firstLine="420" w:firstLineChars="200"/>
        <w:jc w:val="left"/>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2.甲方对乙方提交的服务依据磋商文件上的服务要求和国家有关质量标准进行现场初步验收，符合竞争性磋商采购文件技术要求的，给予签收，初步验收不合格的不予签收。</w:t>
      </w:r>
      <w:r>
        <w:rPr>
          <w:rFonts w:hint="eastAsia" w:asciiTheme="majorEastAsia" w:hAnsiTheme="majorEastAsia" w:eastAsiaTheme="majorEastAsia" w:cstheme="majorEastAsia"/>
          <w:bCs/>
          <w:sz w:val="21"/>
          <w:szCs w:val="21"/>
        </w:rPr>
        <w:t>甲方应当在到成交人的服务成果提交后七个工作日内进行验收</w:t>
      </w:r>
      <w:r>
        <w:rPr>
          <w:rFonts w:hint="eastAsia" w:asciiTheme="majorEastAsia" w:hAnsiTheme="majorEastAsia" w:eastAsiaTheme="majorEastAsia" w:cstheme="majorEastAsia"/>
          <w:sz w:val="21"/>
          <w:szCs w:val="21"/>
        </w:rPr>
        <w:t>。</w:t>
      </w:r>
    </w:p>
    <w:p w14:paraId="6B0817AA">
      <w:pPr>
        <w:pStyle w:val="17"/>
        <w:keepNext w:val="0"/>
        <w:keepLines w:val="0"/>
        <w:pageBreakBefore w:val="0"/>
        <w:widowControl w:val="0"/>
        <w:kinsoku/>
        <w:overflowPunct/>
        <w:topLinePunct w:val="0"/>
        <w:autoSpaceDE/>
        <w:autoSpaceDN/>
        <w:bidi w:val="0"/>
        <w:adjustRightInd w:val="0"/>
        <w:snapToGrid w:val="0"/>
        <w:spacing w:line="360" w:lineRule="auto"/>
        <w:ind w:firstLine="420" w:firstLineChars="200"/>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3. 乙方提交服务成果前应对提交的服务成果作出全面检查和对验收文件进行整理，并列出清单，作为甲方验收和使用的技术条件依据，检验的结果应随服务成果交给甲方。</w:t>
      </w:r>
    </w:p>
    <w:p w14:paraId="033150ED">
      <w:pPr>
        <w:pStyle w:val="17"/>
        <w:keepNext w:val="0"/>
        <w:keepLines w:val="0"/>
        <w:pageBreakBefore w:val="0"/>
        <w:widowControl w:val="0"/>
        <w:kinsoku/>
        <w:overflowPunct/>
        <w:topLinePunct w:val="0"/>
        <w:autoSpaceDE/>
        <w:autoSpaceDN/>
        <w:bidi w:val="0"/>
        <w:adjustRightInd w:val="0"/>
        <w:snapToGrid w:val="0"/>
        <w:spacing w:line="360" w:lineRule="auto"/>
        <w:ind w:firstLine="420" w:firstLineChars="200"/>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4. 成果交付时，甲方组织专家以及有关管理部门按竞争性磋商采购文件以及合同相关条款要求对项目进行评审。</w:t>
      </w:r>
    </w:p>
    <w:p w14:paraId="2FCF059D">
      <w:pPr>
        <w:keepNext w:val="0"/>
        <w:keepLines w:val="0"/>
        <w:pageBreakBefore w:val="0"/>
        <w:widowControl w:val="0"/>
        <w:kinsoku/>
        <w:overflowPunct/>
        <w:topLinePunct w:val="0"/>
        <w:autoSpaceDE/>
        <w:autoSpaceDN/>
        <w:bidi w:val="0"/>
        <w:adjustRightInd w:val="0"/>
        <w:snapToGrid w:val="0"/>
        <w:spacing w:line="360" w:lineRule="auto"/>
        <w:ind w:firstLine="422" w:firstLineChars="200"/>
        <w:textAlignment w:val="auto"/>
        <w:rPr>
          <w:rFonts w:hint="eastAsia" w:asciiTheme="majorEastAsia" w:hAnsiTheme="majorEastAsia" w:eastAsiaTheme="majorEastAsia" w:cstheme="majorEastAsia"/>
          <w:b/>
          <w:sz w:val="21"/>
          <w:szCs w:val="21"/>
        </w:rPr>
      </w:pPr>
      <w:bookmarkStart w:id="208" w:name="_Toc30217"/>
      <w:bookmarkStart w:id="209" w:name="_Toc1096"/>
      <w:r>
        <w:rPr>
          <w:rFonts w:hint="eastAsia" w:asciiTheme="majorEastAsia" w:hAnsiTheme="majorEastAsia" w:eastAsiaTheme="majorEastAsia" w:cstheme="majorEastAsia"/>
          <w:b/>
          <w:sz w:val="21"/>
          <w:szCs w:val="21"/>
        </w:rPr>
        <w:t>第八条　违约责任</w:t>
      </w:r>
      <w:bookmarkEnd w:id="208"/>
      <w:bookmarkEnd w:id="209"/>
    </w:p>
    <w:p w14:paraId="6EFC8C5D">
      <w:pPr>
        <w:keepNext w:val="0"/>
        <w:keepLines w:val="0"/>
        <w:pageBreakBefore w:val="0"/>
        <w:widowControl w:val="0"/>
        <w:kinsoku/>
        <w:overflowPunct/>
        <w:topLinePunct w:val="0"/>
        <w:autoSpaceDE/>
        <w:autoSpaceDN/>
        <w:bidi w:val="0"/>
        <w:adjustRightInd w:val="0"/>
        <w:snapToGrid w:val="0"/>
        <w:spacing w:line="360" w:lineRule="auto"/>
        <w:ind w:firstLine="420" w:firstLineChars="200"/>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1.乙方所提供的服务成果质量不合格的，应及时更换，更换不及时的按逾期提交服务成果处罚；因质量问题甲方不同意接收的或特殊情况甲方同意接收的，乙方应向甲方支付违约服务成果款额5%违约金并赔偿甲方经济损失。</w:t>
      </w:r>
    </w:p>
    <w:p w14:paraId="51DFDD34">
      <w:pPr>
        <w:keepNext w:val="0"/>
        <w:keepLines w:val="0"/>
        <w:pageBreakBefore w:val="0"/>
        <w:widowControl w:val="0"/>
        <w:kinsoku/>
        <w:overflowPunct/>
        <w:topLinePunct w:val="0"/>
        <w:autoSpaceDE/>
        <w:autoSpaceDN/>
        <w:bidi w:val="0"/>
        <w:adjustRightInd w:val="0"/>
        <w:snapToGrid w:val="0"/>
        <w:spacing w:line="360" w:lineRule="auto"/>
        <w:ind w:firstLine="420" w:firstLineChars="200"/>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2.乙方未按本合同和磋商响应文件中规定的服务承诺提供售后服务的，乙方应按本合同合计金额</w:t>
      </w:r>
      <w:r>
        <w:rPr>
          <w:rFonts w:hint="eastAsia" w:asciiTheme="majorEastAsia" w:hAnsiTheme="majorEastAsia" w:eastAsiaTheme="majorEastAsia" w:cstheme="majorEastAsia"/>
          <w:sz w:val="21"/>
          <w:szCs w:val="21"/>
          <w:u w:val="single"/>
        </w:rPr>
        <w:t>5%</w:t>
      </w:r>
      <w:r>
        <w:rPr>
          <w:rFonts w:hint="eastAsia" w:asciiTheme="majorEastAsia" w:hAnsiTheme="majorEastAsia" w:eastAsiaTheme="majorEastAsia" w:cstheme="majorEastAsia"/>
          <w:sz w:val="21"/>
          <w:szCs w:val="21"/>
        </w:rPr>
        <w:t>向甲方支付违约金。</w:t>
      </w:r>
    </w:p>
    <w:p w14:paraId="7181108D">
      <w:pPr>
        <w:keepNext w:val="0"/>
        <w:keepLines w:val="0"/>
        <w:pageBreakBefore w:val="0"/>
        <w:widowControl w:val="0"/>
        <w:kinsoku/>
        <w:overflowPunct/>
        <w:topLinePunct w:val="0"/>
        <w:autoSpaceDE/>
        <w:autoSpaceDN/>
        <w:bidi w:val="0"/>
        <w:adjustRightInd w:val="0"/>
        <w:snapToGrid w:val="0"/>
        <w:spacing w:line="360" w:lineRule="auto"/>
        <w:ind w:firstLine="420" w:firstLineChars="200"/>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lang w:val="en-US" w:eastAsia="zh-CN"/>
        </w:rPr>
        <w:t>3</w:t>
      </w:r>
      <w:r>
        <w:rPr>
          <w:rFonts w:hint="eastAsia" w:asciiTheme="majorEastAsia" w:hAnsiTheme="majorEastAsia" w:eastAsiaTheme="majorEastAsia" w:cstheme="majorEastAsia"/>
          <w:sz w:val="21"/>
          <w:szCs w:val="21"/>
        </w:rPr>
        <w:t>.乙方提供的服务成果在质量保证期内，因乙方和其它质量原因造成的问题，由乙方负责，费用从履约保证金中扣除，不足另补。</w:t>
      </w:r>
    </w:p>
    <w:p w14:paraId="74E1FD19">
      <w:pPr>
        <w:keepNext w:val="0"/>
        <w:keepLines w:val="0"/>
        <w:pageBreakBefore w:val="0"/>
        <w:widowControl w:val="0"/>
        <w:kinsoku/>
        <w:overflowPunct/>
        <w:topLinePunct w:val="0"/>
        <w:autoSpaceDE/>
        <w:autoSpaceDN/>
        <w:bidi w:val="0"/>
        <w:adjustRightInd w:val="0"/>
        <w:snapToGrid w:val="0"/>
        <w:spacing w:line="360" w:lineRule="auto"/>
        <w:ind w:firstLine="420" w:firstLineChars="200"/>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lang w:val="en-US" w:eastAsia="zh-CN"/>
        </w:rPr>
        <w:t>4</w:t>
      </w:r>
      <w:r>
        <w:rPr>
          <w:rFonts w:hint="eastAsia" w:asciiTheme="majorEastAsia" w:hAnsiTheme="majorEastAsia" w:eastAsiaTheme="majorEastAsia" w:cstheme="majorEastAsia"/>
          <w:sz w:val="21"/>
          <w:szCs w:val="21"/>
        </w:rPr>
        <w:t>.其它违约行为按违约服务成果款额5%收取违约金。</w:t>
      </w:r>
    </w:p>
    <w:p w14:paraId="4C231FAF">
      <w:pPr>
        <w:keepNext w:val="0"/>
        <w:keepLines w:val="0"/>
        <w:pageBreakBefore w:val="0"/>
        <w:widowControl w:val="0"/>
        <w:kinsoku/>
        <w:overflowPunct/>
        <w:topLinePunct w:val="0"/>
        <w:autoSpaceDE/>
        <w:autoSpaceDN/>
        <w:bidi w:val="0"/>
        <w:adjustRightInd w:val="0"/>
        <w:snapToGrid w:val="0"/>
        <w:spacing w:line="360" w:lineRule="auto"/>
        <w:ind w:firstLine="420" w:firstLineChars="200"/>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lang w:val="en-US" w:eastAsia="zh-CN"/>
        </w:rPr>
        <w:t>5</w:t>
      </w:r>
      <w:r>
        <w:rPr>
          <w:rFonts w:hint="eastAsia" w:asciiTheme="majorEastAsia" w:hAnsiTheme="majorEastAsia" w:eastAsiaTheme="majorEastAsia" w:cstheme="majorEastAsia"/>
          <w:sz w:val="21"/>
          <w:szCs w:val="21"/>
        </w:rPr>
        <w:t>.乙方支付的违约金不足以弥补甲方损失的，还应承担赔偿责任。</w:t>
      </w:r>
    </w:p>
    <w:p w14:paraId="25EDC321">
      <w:pPr>
        <w:pStyle w:val="17"/>
        <w:keepNext w:val="0"/>
        <w:keepLines w:val="0"/>
        <w:pageBreakBefore w:val="0"/>
        <w:widowControl w:val="0"/>
        <w:kinsoku/>
        <w:overflowPunct/>
        <w:topLinePunct w:val="0"/>
        <w:autoSpaceDE/>
        <w:autoSpaceDN/>
        <w:bidi w:val="0"/>
        <w:adjustRightInd w:val="0"/>
        <w:snapToGrid w:val="0"/>
        <w:spacing w:line="360" w:lineRule="auto"/>
        <w:ind w:firstLine="422" w:firstLineChars="200"/>
        <w:textAlignment w:val="auto"/>
        <w:rPr>
          <w:rFonts w:hint="eastAsia" w:asciiTheme="majorEastAsia" w:hAnsiTheme="majorEastAsia" w:eastAsiaTheme="majorEastAsia" w:cstheme="majorEastAsia"/>
          <w:b/>
          <w:sz w:val="21"/>
          <w:szCs w:val="21"/>
        </w:rPr>
      </w:pPr>
      <w:bookmarkStart w:id="210" w:name="_Toc14405"/>
      <w:bookmarkStart w:id="211" w:name="_Toc11901"/>
      <w:r>
        <w:rPr>
          <w:rFonts w:hint="eastAsia" w:asciiTheme="majorEastAsia" w:hAnsiTheme="majorEastAsia" w:eastAsiaTheme="majorEastAsia" w:cstheme="majorEastAsia"/>
          <w:b/>
          <w:sz w:val="21"/>
          <w:szCs w:val="21"/>
        </w:rPr>
        <w:t>第九条 不可抗力事件处理</w:t>
      </w:r>
      <w:bookmarkEnd w:id="210"/>
      <w:bookmarkEnd w:id="211"/>
    </w:p>
    <w:p w14:paraId="54AEA514">
      <w:pPr>
        <w:pStyle w:val="17"/>
        <w:keepNext w:val="0"/>
        <w:keepLines w:val="0"/>
        <w:pageBreakBefore w:val="0"/>
        <w:widowControl w:val="0"/>
        <w:kinsoku/>
        <w:overflowPunct/>
        <w:topLinePunct w:val="0"/>
        <w:autoSpaceDE/>
        <w:autoSpaceDN/>
        <w:bidi w:val="0"/>
        <w:adjustRightInd w:val="0"/>
        <w:snapToGrid w:val="0"/>
        <w:spacing w:line="360" w:lineRule="auto"/>
        <w:ind w:firstLine="420" w:firstLineChars="200"/>
        <w:textAlignment w:val="auto"/>
        <w:rPr>
          <w:rFonts w:hint="eastAsia" w:asciiTheme="majorEastAsia" w:hAnsiTheme="majorEastAsia" w:eastAsiaTheme="majorEastAsia" w:cstheme="majorEastAsia"/>
          <w:b/>
          <w:sz w:val="21"/>
          <w:szCs w:val="21"/>
        </w:rPr>
      </w:pPr>
      <w:bookmarkStart w:id="212" w:name="_Toc19416"/>
      <w:bookmarkStart w:id="213" w:name="_Toc30502"/>
      <w:r>
        <w:rPr>
          <w:rFonts w:hint="eastAsia" w:asciiTheme="majorEastAsia" w:hAnsiTheme="majorEastAsia" w:eastAsiaTheme="majorEastAsia" w:cstheme="majorEastAsia"/>
          <w:sz w:val="21"/>
          <w:szCs w:val="21"/>
        </w:rPr>
        <w:t>1. 在合同有效期内，任何一方因不可抗力事件导致不能履行合同，则合同履行期可延长，其延长期与不可抗力影响期相同。</w:t>
      </w:r>
      <w:bookmarkEnd w:id="212"/>
      <w:bookmarkEnd w:id="213"/>
    </w:p>
    <w:p w14:paraId="4757CA31">
      <w:pPr>
        <w:pStyle w:val="17"/>
        <w:keepNext w:val="0"/>
        <w:keepLines w:val="0"/>
        <w:pageBreakBefore w:val="0"/>
        <w:widowControl w:val="0"/>
        <w:kinsoku/>
        <w:overflowPunct/>
        <w:topLinePunct w:val="0"/>
        <w:autoSpaceDE/>
        <w:autoSpaceDN/>
        <w:bidi w:val="0"/>
        <w:adjustRightInd w:val="0"/>
        <w:snapToGrid w:val="0"/>
        <w:spacing w:line="360" w:lineRule="auto"/>
        <w:ind w:firstLine="420" w:firstLineChars="200"/>
        <w:textAlignment w:val="auto"/>
        <w:rPr>
          <w:rFonts w:hint="eastAsia" w:asciiTheme="majorEastAsia" w:hAnsiTheme="majorEastAsia" w:eastAsiaTheme="majorEastAsia" w:cstheme="majorEastAsia"/>
          <w:b/>
          <w:sz w:val="21"/>
          <w:szCs w:val="21"/>
        </w:rPr>
      </w:pPr>
      <w:bookmarkStart w:id="214" w:name="_Toc21287"/>
      <w:bookmarkStart w:id="215" w:name="_Toc8593"/>
      <w:r>
        <w:rPr>
          <w:rFonts w:hint="eastAsia" w:asciiTheme="majorEastAsia" w:hAnsiTheme="majorEastAsia" w:eastAsiaTheme="majorEastAsia" w:cstheme="majorEastAsia"/>
          <w:sz w:val="21"/>
          <w:szCs w:val="21"/>
        </w:rPr>
        <w:t>2. 不可抗力事件发生后，应立即通知对方，并寄送有关权威机构出具的证明。</w:t>
      </w:r>
      <w:bookmarkEnd w:id="214"/>
      <w:bookmarkEnd w:id="215"/>
    </w:p>
    <w:p w14:paraId="0962F423">
      <w:pPr>
        <w:pStyle w:val="17"/>
        <w:keepNext w:val="0"/>
        <w:keepLines w:val="0"/>
        <w:pageBreakBefore w:val="0"/>
        <w:widowControl w:val="0"/>
        <w:kinsoku/>
        <w:overflowPunct/>
        <w:topLinePunct w:val="0"/>
        <w:autoSpaceDE/>
        <w:autoSpaceDN/>
        <w:bidi w:val="0"/>
        <w:adjustRightInd w:val="0"/>
        <w:snapToGrid w:val="0"/>
        <w:spacing w:line="360" w:lineRule="auto"/>
        <w:ind w:firstLine="420" w:firstLineChars="200"/>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3. 不可抗力事件延续一百二十天以上，双方应通过友好协商，确定是否继续履行合同。</w:t>
      </w:r>
    </w:p>
    <w:p w14:paraId="04052520">
      <w:pPr>
        <w:keepNext w:val="0"/>
        <w:keepLines w:val="0"/>
        <w:pageBreakBefore w:val="0"/>
        <w:widowControl w:val="0"/>
        <w:kinsoku/>
        <w:overflowPunct/>
        <w:topLinePunct w:val="0"/>
        <w:autoSpaceDE/>
        <w:autoSpaceDN/>
        <w:bidi w:val="0"/>
        <w:adjustRightInd w:val="0"/>
        <w:snapToGrid w:val="0"/>
        <w:spacing w:line="360" w:lineRule="auto"/>
        <w:ind w:firstLine="422" w:firstLineChars="200"/>
        <w:textAlignment w:val="auto"/>
        <w:rPr>
          <w:rFonts w:hint="eastAsia" w:asciiTheme="majorEastAsia" w:hAnsiTheme="majorEastAsia" w:eastAsiaTheme="majorEastAsia" w:cstheme="majorEastAsia"/>
          <w:sz w:val="21"/>
          <w:szCs w:val="21"/>
        </w:rPr>
      </w:pPr>
      <w:bookmarkStart w:id="216" w:name="_Toc20794"/>
      <w:bookmarkStart w:id="217" w:name="_Toc14754"/>
      <w:r>
        <w:rPr>
          <w:rFonts w:hint="eastAsia" w:asciiTheme="majorEastAsia" w:hAnsiTheme="majorEastAsia" w:eastAsiaTheme="majorEastAsia" w:cstheme="majorEastAsia"/>
          <w:b/>
          <w:sz w:val="21"/>
          <w:szCs w:val="21"/>
        </w:rPr>
        <w:t>第十条  合同争议解决</w:t>
      </w:r>
      <w:bookmarkEnd w:id="216"/>
      <w:bookmarkEnd w:id="217"/>
    </w:p>
    <w:p w14:paraId="220CAA1F">
      <w:pPr>
        <w:keepNext w:val="0"/>
        <w:keepLines w:val="0"/>
        <w:pageBreakBefore w:val="0"/>
        <w:widowControl w:val="0"/>
        <w:kinsoku/>
        <w:overflowPunct/>
        <w:topLinePunct w:val="0"/>
        <w:autoSpaceDE/>
        <w:autoSpaceDN/>
        <w:bidi w:val="0"/>
        <w:adjustRightInd w:val="0"/>
        <w:snapToGrid w:val="0"/>
        <w:spacing w:line="360" w:lineRule="auto"/>
        <w:ind w:firstLine="420" w:firstLineChars="200"/>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1.因服务成果质量问题发生争议的，应邀请国家认可的质量检测机构对服务成果质量进行鉴定。服务成果符合标准的，鉴定费由甲方承担；服务成果不符合标准的，鉴定费由乙方承担。</w:t>
      </w:r>
    </w:p>
    <w:p w14:paraId="68907E98">
      <w:pPr>
        <w:keepNext w:val="0"/>
        <w:keepLines w:val="0"/>
        <w:pageBreakBefore w:val="0"/>
        <w:widowControl w:val="0"/>
        <w:kinsoku/>
        <w:overflowPunct/>
        <w:topLinePunct w:val="0"/>
        <w:autoSpaceDE/>
        <w:autoSpaceDN/>
        <w:bidi w:val="0"/>
        <w:adjustRightInd w:val="0"/>
        <w:snapToGrid w:val="0"/>
        <w:spacing w:line="360" w:lineRule="auto"/>
        <w:ind w:firstLine="420" w:firstLineChars="200"/>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2.因履行本合同引起的或与本合同有关的争议，甲乙双方应首先通过友好协商解决，如果协商不能解决，向甲方所在地人民法院提起诉讼。</w:t>
      </w:r>
    </w:p>
    <w:p w14:paraId="35864194">
      <w:pPr>
        <w:keepNext w:val="0"/>
        <w:keepLines w:val="0"/>
        <w:pageBreakBefore w:val="0"/>
        <w:widowControl w:val="0"/>
        <w:kinsoku/>
        <w:overflowPunct/>
        <w:topLinePunct w:val="0"/>
        <w:autoSpaceDE/>
        <w:autoSpaceDN/>
        <w:bidi w:val="0"/>
        <w:adjustRightInd w:val="0"/>
        <w:snapToGrid w:val="0"/>
        <w:spacing w:line="360" w:lineRule="auto"/>
        <w:ind w:firstLine="420" w:firstLineChars="200"/>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3.仲裁或诉讼期间，本合同继续履行。</w:t>
      </w:r>
    </w:p>
    <w:p w14:paraId="1BF89C7B">
      <w:pPr>
        <w:pStyle w:val="17"/>
        <w:keepNext w:val="0"/>
        <w:keepLines w:val="0"/>
        <w:pageBreakBefore w:val="0"/>
        <w:widowControl w:val="0"/>
        <w:kinsoku/>
        <w:overflowPunct/>
        <w:topLinePunct w:val="0"/>
        <w:autoSpaceDE/>
        <w:autoSpaceDN/>
        <w:bidi w:val="0"/>
        <w:adjustRightInd w:val="0"/>
        <w:snapToGrid w:val="0"/>
        <w:spacing w:line="360" w:lineRule="auto"/>
        <w:ind w:firstLine="422" w:firstLineChars="200"/>
        <w:textAlignment w:val="auto"/>
        <w:rPr>
          <w:rFonts w:hint="eastAsia" w:asciiTheme="majorEastAsia" w:hAnsiTheme="majorEastAsia" w:eastAsiaTheme="majorEastAsia" w:cstheme="majorEastAsia"/>
          <w:b/>
          <w:sz w:val="21"/>
          <w:szCs w:val="21"/>
        </w:rPr>
      </w:pPr>
      <w:bookmarkStart w:id="218" w:name="_Toc16687"/>
      <w:bookmarkStart w:id="219" w:name="_Toc2411"/>
      <w:r>
        <w:rPr>
          <w:rFonts w:hint="eastAsia" w:asciiTheme="majorEastAsia" w:hAnsiTheme="majorEastAsia" w:eastAsiaTheme="majorEastAsia" w:cstheme="majorEastAsia"/>
          <w:b/>
          <w:sz w:val="21"/>
          <w:szCs w:val="21"/>
        </w:rPr>
        <w:t>第十一条 诉讼</w:t>
      </w:r>
      <w:bookmarkEnd w:id="218"/>
      <w:bookmarkEnd w:id="219"/>
    </w:p>
    <w:p w14:paraId="5C19AA20">
      <w:pPr>
        <w:pStyle w:val="17"/>
        <w:keepNext w:val="0"/>
        <w:keepLines w:val="0"/>
        <w:pageBreakBefore w:val="0"/>
        <w:widowControl w:val="0"/>
        <w:kinsoku/>
        <w:overflowPunct/>
        <w:topLinePunct w:val="0"/>
        <w:autoSpaceDE/>
        <w:autoSpaceDN/>
        <w:bidi w:val="0"/>
        <w:adjustRightInd w:val="0"/>
        <w:snapToGrid w:val="0"/>
        <w:spacing w:line="360" w:lineRule="auto"/>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 xml:space="preserve">    双方在执行合同中所发生的一切争议，应通过协商解决。如果协商不能解决，可甲方所在地人民法院提起诉讼。</w:t>
      </w:r>
    </w:p>
    <w:p w14:paraId="59713A24">
      <w:pPr>
        <w:pStyle w:val="17"/>
        <w:keepNext w:val="0"/>
        <w:keepLines w:val="0"/>
        <w:pageBreakBefore w:val="0"/>
        <w:widowControl w:val="0"/>
        <w:kinsoku/>
        <w:overflowPunct/>
        <w:topLinePunct w:val="0"/>
        <w:autoSpaceDE/>
        <w:autoSpaceDN/>
        <w:bidi w:val="0"/>
        <w:adjustRightInd w:val="0"/>
        <w:snapToGrid w:val="0"/>
        <w:spacing w:line="360" w:lineRule="auto"/>
        <w:ind w:firstLine="422" w:firstLineChars="200"/>
        <w:textAlignment w:val="auto"/>
        <w:rPr>
          <w:rFonts w:hint="eastAsia" w:asciiTheme="majorEastAsia" w:hAnsiTheme="majorEastAsia" w:eastAsiaTheme="majorEastAsia" w:cstheme="majorEastAsia"/>
          <w:b/>
          <w:sz w:val="21"/>
          <w:szCs w:val="21"/>
        </w:rPr>
      </w:pPr>
      <w:bookmarkStart w:id="220" w:name="_Toc30804"/>
      <w:bookmarkStart w:id="221" w:name="_Toc51"/>
      <w:r>
        <w:rPr>
          <w:rFonts w:hint="eastAsia" w:asciiTheme="majorEastAsia" w:hAnsiTheme="majorEastAsia" w:eastAsiaTheme="majorEastAsia" w:cstheme="majorEastAsia"/>
          <w:b/>
          <w:sz w:val="21"/>
          <w:szCs w:val="21"/>
        </w:rPr>
        <w:t>第十二条 合同生效及其它</w:t>
      </w:r>
      <w:bookmarkEnd w:id="220"/>
      <w:bookmarkEnd w:id="221"/>
    </w:p>
    <w:p w14:paraId="6713B4F2">
      <w:pPr>
        <w:pStyle w:val="17"/>
        <w:keepNext w:val="0"/>
        <w:keepLines w:val="0"/>
        <w:pageBreakBefore w:val="0"/>
        <w:widowControl w:val="0"/>
        <w:kinsoku/>
        <w:overflowPunct/>
        <w:topLinePunct w:val="0"/>
        <w:autoSpaceDE/>
        <w:autoSpaceDN/>
        <w:bidi w:val="0"/>
        <w:adjustRightInd w:val="0"/>
        <w:snapToGrid w:val="0"/>
        <w:spacing w:line="360" w:lineRule="auto"/>
        <w:ind w:firstLine="422" w:firstLineChars="200"/>
        <w:textAlignment w:val="auto"/>
        <w:rPr>
          <w:rFonts w:hint="eastAsia" w:asciiTheme="majorEastAsia" w:hAnsiTheme="majorEastAsia" w:eastAsiaTheme="majorEastAsia" w:cstheme="majorEastAsia"/>
          <w:b/>
          <w:sz w:val="21"/>
          <w:szCs w:val="21"/>
        </w:rPr>
      </w:pPr>
      <w:r>
        <w:rPr>
          <w:rFonts w:hint="eastAsia" w:asciiTheme="majorEastAsia" w:hAnsiTheme="majorEastAsia" w:eastAsiaTheme="majorEastAsia" w:cstheme="majorEastAsia"/>
          <w:b/>
          <w:sz w:val="21"/>
          <w:szCs w:val="21"/>
        </w:rPr>
        <w:t>1．合同经双方法定代表人(负责人)或授权代表签字并加盖单位公章后生效。</w:t>
      </w:r>
    </w:p>
    <w:p w14:paraId="07EA66F2">
      <w:pPr>
        <w:pStyle w:val="17"/>
        <w:keepNext w:val="0"/>
        <w:keepLines w:val="0"/>
        <w:pageBreakBefore w:val="0"/>
        <w:widowControl w:val="0"/>
        <w:kinsoku/>
        <w:overflowPunct/>
        <w:topLinePunct w:val="0"/>
        <w:autoSpaceDE/>
        <w:autoSpaceDN/>
        <w:bidi w:val="0"/>
        <w:adjustRightInd w:val="0"/>
        <w:snapToGrid w:val="0"/>
        <w:spacing w:line="360" w:lineRule="auto"/>
        <w:ind w:firstLine="422" w:firstLineChars="200"/>
        <w:textAlignment w:val="auto"/>
        <w:rPr>
          <w:rFonts w:hint="eastAsia" w:asciiTheme="majorEastAsia" w:hAnsiTheme="majorEastAsia" w:eastAsiaTheme="majorEastAsia" w:cstheme="majorEastAsia"/>
          <w:b/>
          <w:sz w:val="21"/>
          <w:szCs w:val="21"/>
        </w:rPr>
      </w:pPr>
      <w:r>
        <w:rPr>
          <w:rFonts w:hint="eastAsia" w:asciiTheme="majorEastAsia" w:hAnsiTheme="majorEastAsia" w:eastAsiaTheme="majorEastAsia" w:cstheme="majorEastAsia"/>
          <w:b/>
          <w:sz w:val="21"/>
          <w:szCs w:val="21"/>
        </w:rPr>
        <w:t>2．合同执行中涉及采购资金和采购内容修改或补充的，须经财政部门审批，并签书面补充协议报财政部门备案，方可作为主合同不可分割的一部分。</w:t>
      </w:r>
    </w:p>
    <w:p w14:paraId="0B46E85A">
      <w:pPr>
        <w:pStyle w:val="17"/>
        <w:keepNext w:val="0"/>
        <w:keepLines w:val="0"/>
        <w:pageBreakBefore w:val="0"/>
        <w:widowControl w:val="0"/>
        <w:kinsoku/>
        <w:overflowPunct/>
        <w:topLinePunct w:val="0"/>
        <w:autoSpaceDE/>
        <w:autoSpaceDN/>
        <w:bidi w:val="0"/>
        <w:adjustRightInd w:val="0"/>
        <w:snapToGrid w:val="0"/>
        <w:spacing w:line="360" w:lineRule="auto"/>
        <w:ind w:firstLine="422" w:firstLineChars="200"/>
        <w:textAlignment w:val="auto"/>
        <w:rPr>
          <w:rFonts w:hint="eastAsia" w:asciiTheme="majorEastAsia" w:hAnsiTheme="majorEastAsia" w:eastAsiaTheme="majorEastAsia" w:cstheme="majorEastAsia"/>
          <w:b/>
          <w:sz w:val="21"/>
          <w:szCs w:val="21"/>
        </w:rPr>
      </w:pPr>
      <w:r>
        <w:rPr>
          <w:rFonts w:hint="eastAsia" w:asciiTheme="majorEastAsia" w:hAnsiTheme="majorEastAsia" w:eastAsiaTheme="majorEastAsia" w:cstheme="majorEastAsia"/>
          <w:b/>
          <w:sz w:val="21"/>
          <w:szCs w:val="21"/>
        </w:rPr>
        <w:t>3．本合同未尽事宜，遵照《中华人民共和国民法典》有关条文执行。</w:t>
      </w:r>
    </w:p>
    <w:p w14:paraId="20E788ED">
      <w:pPr>
        <w:keepNext w:val="0"/>
        <w:keepLines w:val="0"/>
        <w:pageBreakBefore w:val="0"/>
        <w:widowControl w:val="0"/>
        <w:kinsoku/>
        <w:overflowPunct/>
        <w:topLinePunct w:val="0"/>
        <w:autoSpaceDE/>
        <w:autoSpaceDN/>
        <w:bidi w:val="0"/>
        <w:adjustRightInd w:val="0"/>
        <w:snapToGrid w:val="0"/>
        <w:spacing w:line="360" w:lineRule="auto"/>
        <w:ind w:firstLine="422" w:firstLineChars="200"/>
        <w:textAlignment w:val="auto"/>
        <w:rPr>
          <w:rFonts w:hint="eastAsia" w:asciiTheme="majorEastAsia" w:hAnsiTheme="majorEastAsia" w:eastAsiaTheme="majorEastAsia" w:cstheme="majorEastAsia"/>
          <w:b/>
          <w:sz w:val="21"/>
          <w:szCs w:val="21"/>
        </w:rPr>
      </w:pPr>
      <w:bookmarkStart w:id="222" w:name="_Toc6397"/>
      <w:bookmarkStart w:id="223" w:name="_Toc13169"/>
      <w:r>
        <w:rPr>
          <w:rFonts w:hint="eastAsia" w:asciiTheme="majorEastAsia" w:hAnsiTheme="majorEastAsia" w:eastAsiaTheme="majorEastAsia" w:cstheme="majorEastAsia"/>
          <w:b/>
          <w:sz w:val="21"/>
          <w:szCs w:val="21"/>
        </w:rPr>
        <w:t>第十三条　合同的变更、终止与转让</w:t>
      </w:r>
      <w:bookmarkEnd w:id="222"/>
      <w:bookmarkEnd w:id="223"/>
    </w:p>
    <w:p w14:paraId="2221C52C">
      <w:pPr>
        <w:keepNext w:val="0"/>
        <w:keepLines w:val="0"/>
        <w:pageBreakBefore w:val="0"/>
        <w:widowControl w:val="0"/>
        <w:kinsoku/>
        <w:overflowPunct/>
        <w:topLinePunct w:val="0"/>
        <w:autoSpaceDE/>
        <w:autoSpaceDN/>
        <w:bidi w:val="0"/>
        <w:adjustRightInd w:val="0"/>
        <w:snapToGrid w:val="0"/>
        <w:spacing w:line="360" w:lineRule="auto"/>
        <w:ind w:firstLine="420" w:firstLineChars="200"/>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1.除《中华人民共和国政府采购法》第五十条规定的情形外，本合同一经签订，甲乙双方不得擅自变更、中止或终止。</w:t>
      </w:r>
    </w:p>
    <w:p w14:paraId="3969B108">
      <w:pPr>
        <w:pStyle w:val="17"/>
        <w:keepNext w:val="0"/>
        <w:keepLines w:val="0"/>
        <w:pageBreakBefore w:val="0"/>
        <w:widowControl w:val="0"/>
        <w:kinsoku/>
        <w:overflowPunct/>
        <w:topLinePunct w:val="0"/>
        <w:autoSpaceDE/>
        <w:autoSpaceDN/>
        <w:bidi w:val="0"/>
        <w:adjustRightInd w:val="0"/>
        <w:snapToGrid w:val="0"/>
        <w:spacing w:line="360" w:lineRule="auto"/>
        <w:ind w:firstLine="420" w:firstLineChars="200"/>
        <w:textAlignment w:val="auto"/>
        <w:rPr>
          <w:rFonts w:hint="eastAsia" w:asciiTheme="majorEastAsia" w:hAnsiTheme="majorEastAsia" w:eastAsiaTheme="majorEastAsia" w:cstheme="majorEastAsia"/>
          <w:b/>
          <w:sz w:val="21"/>
          <w:szCs w:val="21"/>
        </w:rPr>
      </w:pPr>
      <w:r>
        <w:rPr>
          <w:rFonts w:hint="eastAsia" w:asciiTheme="majorEastAsia" w:hAnsiTheme="majorEastAsia" w:eastAsiaTheme="majorEastAsia" w:cstheme="majorEastAsia"/>
          <w:sz w:val="21"/>
          <w:szCs w:val="21"/>
        </w:rPr>
        <w:t>2.乙方不得擅自转让其应履行的合同义务。</w:t>
      </w:r>
    </w:p>
    <w:p w14:paraId="5DC40DA2">
      <w:pPr>
        <w:keepNext w:val="0"/>
        <w:keepLines w:val="0"/>
        <w:pageBreakBefore w:val="0"/>
        <w:widowControl w:val="0"/>
        <w:kinsoku/>
        <w:overflowPunct/>
        <w:topLinePunct w:val="0"/>
        <w:autoSpaceDE/>
        <w:autoSpaceDN/>
        <w:bidi w:val="0"/>
        <w:adjustRightInd w:val="0"/>
        <w:snapToGrid w:val="0"/>
        <w:spacing w:line="360" w:lineRule="auto"/>
        <w:ind w:firstLine="422" w:firstLineChars="200"/>
        <w:textAlignment w:val="auto"/>
        <w:rPr>
          <w:rFonts w:hint="eastAsia" w:asciiTheme="majorEastAsia" w:hAnsiTheme="majorEastAsia" w:eastAsiaTheme="majorEastAsia" w:cstheme="majorEastAsia"/>
          <w:b/>
          <w:sz w:val="21"/>
          <w:szCs w:val="21"/>
        </w:rPr>
      </w:pPr>
      <w:bookmarkStart w:id="224" w:name="_Toc12813"/>
      <w:bookmarkStart w:id="225" w:name="_Toc5702"/>
      <w:r>
        <w:rPr>
          <w:rFonts w:hint="eastAsia" w:asciiTheme="majorEastAsia" w:hAnsiTheme="majorEastAsia" w:eastAsiaTheme="majorEastAsia" w:cstheme="majorEastAsia"/>
          <w:b/>
          <w:sz w:val="21"/>
          <w:szCs w:val="21"/>
        </w:rPr>
        <w:t>第十四条　签订本合同依据</w:t>
      </w:r>
      <w:bookmarkEnd w:id="224"/>
      <w:bookmarkEnd w:id="225"/>
    </w:p>
    <w:p w14:paraId="445828EC">
      <w:pPr>
        <w:keepNext w:val="0"/>
        <w:keepLines w:val="0"/>
        <w:pageBreakBefore w:val="0"/>
        <w:widowControl w:val="0"/>
        <w:kinsoku/>
        <w:overflowPunct/>
        <w:topLinePunct w:val="0"/>
        <w:autoSpaceDE/>
        <w:autoSpaceDN/>
        <w:bidi w:val="0"/>
        <w:adjustRightInd w:val="0"/>
        <w:snapToGrid w:val="0"/>
        <w:spacing w:line="360" w:lineRule="auto"/>
        <w:ind w:firstLine="420" w:firstLineChars="200"/>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1.政府采购竞争性磋商采购文件；</w:t>
      </w:r>
    </w:p>
    <w:p w14:paraId="01AA6CA0">
      <w:pPr>
        <w:keepNext w:val="0"/>
        <w:keepLines w:val="0"/>
        <w:pageBreakBefore w:val="0"/>
        <w:widowControl w:val="0"/>
        <w:kinsoku/>
        <w:overflowPunct/>
        <w:topLinePunct w:val="0"/>
        <w:autoSpaceDE/>
        <w:autoSpaceDN/>
        <w:bidi w:val="0"/>
        <w:adjustRightInd w:val="0"/>
        <w:snapToGrid w:val="0"/>
        <w:spacing w:line="360" w:lineRule="auto"/>
        <w:ind w:firstLine="420" w:firstLineChars="200"/>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2.乙方提供的竞争性磋商响应文件；</w:t>
      </w:r>
    </w:p>
    <w:p w14:paraId="37680525">
      <w:pPr>
        <w:keepNext w:val="0"/>
        <w:keepLines w:val="0"/>
        <w:pageBreakBefore w:val="0"/>
        <w:widowControl w:val="0"/>
        <w:kinsoku/>
        <w:overflowPunct/>
        <w:topLinePunct w:val="0"/>
        <w:autoSpaceDE/>
        <w:autoSpaceDN/>
        <w:bidi w:val="0"/>
        <w:adjustRightInd w:val="0"/>
        <w:snapToGrid w:val="0"/>
        <w:spacing w:line="360" w:lineRule="auto"/>
        <w:ind w:firstLine="420" w:firstLineChars="200"/>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3.磋商声明书；</w:t>
      </w:r>
    </w:p>
    <w:p w14:paraId="08AE4B48">
      <w:pPr>
        <w:keepNext w:val="0"/>
        <w:keepLines w:val="0"/>
        <w:pageBreakBefore w:val="0"/>
        <w:widowControl w:val="0"/>
        <w:kinsoku/>
        <w:overflowPunct/>
        <w:topLinePunct w:val="0"/>
        <w:autoSpaceDE/>
        <w:autoSpaceDN/>
        <w:bidi w:val="0"/>
        <w:adjustRightInd w:val="0"/>
        <w:snapToGrid w:val="0"/>
        <w:spacing w:line="360" w:lineRule="auto"/>
        <w:ind w:firstLine="420" w:firstLineChars="200"/>
        <w:textAlignment w:val="auto"/>
        <w:rPr>
          <w:rFonts w:hint="eastAsia" w:asciiTheme="majorEastAsia" w:hAnsiTheme="majorEastAsia" w:eastAsiaTheme="majorEastAsia" w:cstheme="majorEastAsia"/>
          <w:sz w:val="21"/>
          <w:szCs w:val="21"/>
          <w:u w:val="single"/>
        </w:rPr>
      </w:pPr>
      <w:r>
        <w:rPr>
          <w:rFonts w:hint="eastAsia" w:asciiTheme="majorEastAsia" w:hAnsiTheme="majorEastAsia" w:eastAsiaTheme="majorEastAsia" w:cstheme="majorEastAsia"/>
          <w:sz w:val="21"/>
          <w:szCs w:val="21"/>
        </w:rPr>
        <w:t>4.成交通知书。</w:t>
      </w:r>
    </w:p>
    <w:p w14:paraId="6BF4D914">
      <w:pPr>
        <w:keepNext w:val="0"/>
        <w:keepLines w:val="0"/>
        <w:pageBreakBefore w:val="0"/>
        <w:widowControl w:val="0"/>
        <w:kinsoku/>
        <w:overflowPunct/>
        <w:topLinePunct w:val="0"/>
        <w:autoSpaceDE/>
        <w:autoSpaceDN/>
        <w:bidi w:val="0"/>
        <w:adjustRightInd w:val="0"/>
        <w:snapToGrid w:val="0"/>
        <w:spacing w:line="360" w:lineRule="auto"/>
        <w:ind w:firstLine="422" w:firstLineChars="200"/>
        <w:textAlignment w:val="auto"/>
        <w:rPr>
          <w:rFonts w:hint="eastAsia" w:asciiTheme="majorEastAsia" w:hAnsiTheme="majorEastAsia" w:eastAsiaTheme="majorEastAsia" w:cstheme="majorEastAsia"/>
          <w:sz w:val="21"/>
          <w:szCs w:val="21"/>
        </w:rPr>
      </w:pPr>
      <w:bookmarkStart w:id="226" w:name="_Toc29093"/>
      <w:bookmarkStart w:id="227" w:name="_Toc19016"/>
      <w:r>
        <w:rPr>
          <w:rFonts w:hint="eastAsia" w:asciiTheme="majorEastAsia" w:hAnsiTheme="majorEastAsia" w:eastAsiaTheme="majorEastAsia" w:cstheme="majorEastAsia"/>
          <w:b/>
          <w:sz w:val="21"/>
          <w:szCs w:val="21"/>
        </w:rPr>
        <w:t>第十五条　</w:t>
      </w:r>
      <w:r>
        <w:rPr>
          <w:rFonts w:hint="eastAsia" w:asciiTheme="majorEastAsia" w:hAnsiTheme="majorEastAsia" w:eastAsiaTheme="majorEastAsia" w:cstheme="majorEastAsia"/>
          <w:sz w:val="21"/>
          <w:szCs w:val="21"/>
        </w:rPr>
        <w:t>本合同一式   份，甲、乙双方各   份。</w:t>
      </w:r>
      <w:bookmarkEnd w:id="226"/>
      <w:bookmarkEnd w:id="227"/>
    </w:p>
    <w:p w14:paraId="1EBC8D70">
      <w:pPr>
        <w:adjustRightInd w:val="0"/>
        <w:snapToGrid w:val="0"/>
        <w:spacing w:line="440" w:lineRule="exact"/>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br w:type="page"/>
      </w:r>
      <w:r>
        <w:rPr>
          <w:rFonts w:hint="eastAsia" w:asciiTheme="majorEastAsia" w:hAnsiTheme="majorEastAsia" w:eastAsiaTheme="majorEastAsia" w:cstheme="majorEastAsia"/>
          <w:sz w:val="21"/>
          <w:szCs w:val="21"/>
        </w:rPr>
        <w:t>（本页签章页，无正文）</w:t>
      </w:r>
    </w:p>
    <w:tbl>
      <w:tblPr>
        <w:tblStyle w:val="30"/>
        <w:tblW w:w="91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92"/>
        <w:gridCol w:w="4593"/>
      </w:tblGrid>
      <w:tr w14:paraId="2A8CA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592" w:type="dxa"/>
            <w:tcBorders>
              <w:top w:val="single" w:color="auto" w:sz="4" w:space="0"/>
              <w:left w:val="single" w:color="auto" w:sz="4" w:space="0"/>
              <w:bottom w:val="single" w:color="auto" w:sz="4" w:space="0"/>
              <w:right w:val="single" w:color="auto" w:sz="4" w:space="0"/>
            </w:tcBorders>
            <w:noWrap w:val="0"/>
            <w:vAlign w:val="center"/>
          </w:tcPr>
          <w:p w14:paraId="5A4D5BCC">
            <w:pPr>
              <w:keepNext w:val="0"/>
              <w:keepLines w:val="0"/>
              <w:suppressLineNumbers w:val="0"/>
              <w:snapToGrid w:val="0"/>
              <w:spacing w:before="312" w:beforeLines="100" w:beforeAutospacing="0" w:after="312" w:afterLines="100" w:afterAutospacing="0"/>
              <w:ind w:left="0" w:right="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 xml:space="preserve">甲方（章）           </w:t>
            </w:r>
          </w:p>
          <w:p w14:paraId="055998B4">
            <w:pPr>
              <w:keepNext w:val="0"/>
              <w:keepLines w:val="0"/>
              <w:suppressLineNumbers w:val="0"/>
              <w:snapToGrid w:val="0"/>
              <w:spacing w:before="312" w:beforeLines="100" w:beforeAutospacing="0" w:after="312" w:afterLines="100" w:afterAutospacing="0"/>
              <w:ind w:left="0" w:right="0"/>
              <w:jc w:val="righ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年   月   日</w:t>
            </w:r>
          </w:p>
        </w:tc>
        <w:tc>
          <w:tcPr>
            <w:tcW w:w="4593" w:type="dxa"/>
            <w:tcBorders>
              <w:top w:val="single" w:color="auto" w:sz="4" w:space="0"/>
              <w:left w:val="single" w:color="auto" w:sz="4" w:space="0"/>
              <w:bottom w:val="single" w:color="auto" w:sz="4" w:space="0"/>
              <w:right w:val="single" w:color="auto" w:sz="4" w:space="0"/>
            </w:tcBorders>
            <w:noWrap w:val="0"/>
            <w:vAlign w:val="center"/>
          </w:tcPr>
          <w:p w14:paraId="3BAA086D">
            <w:pPr>
              <w:keepNext w:val="0"/>
              <w:keepLines w:val="0"/>
              <w:suppressLineNumbers w:val="0"/>
              <w:snapToGrid w:val="0"/>
              <w:spacing w:before="312" w:beforeLines="100" w:beforeAutospacing="0" w:after="312" w:afterLines="100" w:afterAutospacing="0"/>
              <w:ind w:left="0" w:right="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 xml:space="preserve">乙方（章）              </w:t>
            </w:r>
          </w:p>
          <w:p w14:paraId="3B831A39">
            <w:pPr>
              <w:keepNext w:val="0"/>
              <w:keepLines w:val="0"/>
              <w:suppressLineNumbers w:val="0"/>
              <w:snapToGrid w:val="0"/>
              <w:spacing w:before="312" w:beforeLines="100" w:beforeAutospacing="0" w:after="312" w:afterLines="100" w:afterAutospacing="0"/>
              <w:ind w:left="0" w:right="0"/>
              <w:jc w:val="righ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 xml:space="preserve"> 年   月   日</w:t>
            </w:r>
          </w:p>
        </w:tc>
      </w:tr>
      <w:tr w14:paraId="673AE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592" w:type="dxa"/>
            <w:tcBorders>
              <w:top w:val="single" w:color="auto" w:sz="4" w:space="0"/>
              <w:left w:val="single" w:color="auto" w:sz="4" w:space="0"/>
              <w:bottom w:val="single" w:color="auto" w:sz="4" w:space="0"/>
              <w:right w:val="single" w:color="auto" w:sz="4" w:space="0"/>
            </w:tcBorders>
            <w:noWrap w:val="0"/>
            <w:vAlign w:val="center"/>
          </w:tcPr>
          <w:p w14:paraId="43A9ECE8">
            <w:pPr>
              <w:keepNext w:val="0"/>
              <w:keepLines w:val="0"/>
              <w:suppressLineNumbers w:val="0"/>
              <w:snapToGrid w:val="0"/>
              <w:spacing w:before="312" w:beforeLines="100" w:beforeAutospacing="0" w:after="312" w:afterLines="100" w:afterAutospacing="0"/>
              <w:ind w:left="0" w:right="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单位地址：</w:t>
            </w:r>
          </w:p>
        </w:tc>
        <w:tc>
          <w:tcPr>
            <w:tcW w:w="4593" w:type="dxa"/>
            <w:tcBorders>
              <w:top w:val="single" w:color="auto" w:sz="4" w:space="0"/>
              <w:left w:val="single" w:color="auto" w:sz="4" w:space="0"/>
              <w:bottom w:val="single" w:color="auto" w:sz="4" w:space="0"/>
              <w:right w:val="single" w:color="auto" w:sz="4" w:space="0"/>
            </w:tcBorders>
            <w:noWrap w:val="0"/>
            <w:vAlign w:val="center"/>
          </w:tcPr>
          <w:p w14:paraId="391839AA">
            <w:pPr>
              <w:keepNext w:val="0"/>
              <w:keepLines w:val="0"/>
              <w:suppressLineNumbers w:val="0"/>
              <w:snapToGrid w:val="0"/>
              <w:spacing w:before="312" w:beforeLines="100" w:beforeAutospacing="0" w:after="312" w:afterLines="100" w:afterAutospacing="0"/>
              <w:ind w:left="0" w:right="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单位地址：</w:t>
            </w:r>
          </w:p>
        </w:tc>
      </w:tr>
      <w:tr w14:paraId="77DBA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592" w:type="dxa"/>
            <w:tcBorders>
              <w:top w:val="single" w:color="auto" w:sz="4" w:space="0"/>
              <w:left w:val="single" w:color="auto" w:sz="4" w:space="0"/>
              <w:bottom w:val="single" w:color="auto" w:sz="4" w:space="0"/>
              <w:right w:val="single" w:color="auto" w:sz="4" w:space="0"/>
            </w:tcBorders>
            <w:noWrap w:val="0"/>
            <w:vAlign w:val="center"/>
          </w:tcPr>
          <w:p w14:paraId="233ECD73">
            <w:pPr>
              <w:keepNext w:val="0"/>
              <w:keepLines w:val="0"/>
              <w:suppressLineNumbers w:val="0"/>
              <w:snapToGrid w:val="0"/>
              <w:spacing w:before="312" w:beforeLines="100" w:beforeAutospacing="0" w:after="312" w:afterLines="100" w:afterAutospacing="0"/>
              <w:ind w:left="0" w:right="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法定代表人：</w:t>
            </w:r>
          </w:p>
        </w:tc>
        <w:tc>
          <w:tcPr>
            <w:tcW w:w="4593" w:type="dxa"/>
            <w:tcBorders>
              <w:top w:val="single" w:color="auto" w:sz="4" w:space="0"/>
              <w:left w:val="single" w:color="auto" w:sz="4" w:space="0"/>
              <w:bottom w:val="single" w:color="auto" w:sz="4" w:space="0"/>
              <w:right w:val="single" w:color="auto" w:sz="4" w:space="0"/>
            </w:tcBorders>
            <w:noWrap w:val="0"/>
            <w:vAlign w:val="center"/>
          </w:tcPr>
          <w:p w14:paraId="3635F458">
            <w:pPr>
              <w:keepNext w:val="0"/>
              <w:keepLines w:val="0"/>
              <w:suppressLineNumbers w:val="0"/>
              <w:snapToGrid w:val="0"/>
              <w:spacing w:before="312" w:beforeLines="100" w:beforeAutospacing="0" w:after="312" w:afterLines="100" w:afterAutospacing="0"/>
              <w:ind w:left="0" w:right="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法定代表人：</w:t>
            </w:r>
          </w:p>
        </w:tc>
      </w:tr>
      <w:tr w14:paraId="3EEB7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592" w:type="dxa"/>
            <w:tcBorders>
              <w:top w:val="single" w:color="auto" w:sz="4" w:space="0"/>
              <w:left w:val="single" w:color="auto" w:sz="4" w:space="0"/>
              <w:bottom w:val="single" w:color="auto" w:sz="4" w:space="0"/>
              <w:right w:val="single" w:color="auto" w:sz="4" w:space="0"/>
            </w:tcBorders>
            <w:noWrap w:val="0"/>
            <w:vAlign w:val="center"/>
          </w:tcPr>
          <w:p w14:paraId="0B3DB70A">
            <w:pPr>
              <w:keepNext w:val="0"/>
              <w:keepLines w:val="0"/>
              <w:suppressLineNumbers w:val="0"/>
              <w:snapToGrid w:val="0"/>
              <w:spacing w:before="312" w:beforeLines="100" w:beforeAutospacing="0" w:after="312" w:afterLines="100" w:afterAutospacing="0"/>
              <w:ind w:left="0" w:right="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委托代理人：</w:t>
            </w:r>
          </w:p>
        </w:tc>
        <w:tc>
          <w:tcPr>
            <w:tcW w:w="4593" w:type="dxa"/>
            <w:tcBorders>
              <w:top w:val="single" w:color="auto" w:sz="4" w:space="0"/>
              <w:left w:val="single" w:color="auto" w:sz="4" w:space="0"/>
              <w:bottom w:val="single" w:color="auto" w:sz="4" w:space="0"/>
              <w:right w:val="single" w:color="auto" w:sz="4" w:space="0"/>
            </w:tcBorders>
            <w:noWrap w:val="0"/>
            <w:vAlign w:val="center"/>
          </w:tcPr>
          <w:p w14:paraId="3F462566">
            <w:pPr>
              <w:keepNext w:val="0"/>
              <w:keepLines w:val="0"/>
              <w:suppressLineNumbers w:val="0"/>
              <w:snapToGrid w:val="0"/>
              <w:spacing w:before="312" w:beforeLines="100" w:beforeAutospacing="0" w:after="312" w:afterLines="100" w:afterAutospacing="0"/>
              <w:ind w:left="0" w:right="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委托代理人</w:t>
            </w:r>
          </w:p>
        </w:tc>
      </w:tr>
      <w:tr w14:paraId="4FCFF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592" w:type="dxa"/>
            <w:tcBorders>
              <w:top w:val="single" w:color="auto" w:sz="4" w:space="0"/>
              <w:left w:val="single" w:color="auto" w:sz="4" w:space="0"/>
              <w:bottom w:val="single" w:color="auto" w:sz="4" w:space="0"/>
              <w:right w:val="single" w:color="auto" w:sz="4" w:space="0"/>
            </w:tcBorders>
            <w:noWrap w:val="0"/>
            <w:vAlign w:val="center"/>
          </w:tcPr>
          <w:p w14:paraId="2DAFC9B0">
            <w:pPr>
              <w:keepNext w:val="0"/>
              <w:keepLines w:val="0"/>
              <w:suppressLineNumbers w:val="0"/>
              <w:snapToGrid w:val="0"/>
              <w:spacing w:before="312" w:beforeLines="100" w:beforeAutospacing="0" w:after="312" w:afterLines="100" w:afterAutospacing="0"/>
              <w:ind w:left="0" w:right="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电话：</w:t>
            </w:r>
          </w:p>
        </w:tc>
        <w:tc>
          <w:tcPr>
            <w:tcW w:w="4593" w:type="dxa"/>
            <w:tcBorders>
              <w:top w:val="single" w:color="auto" w:sz="4" w:space="0"/>
              <w:left w:val="single" w:color="auto" w:sz="4" w:space="0"/>
              <w:bottom w:val="single" w:color="auto" w:sz="4" w:space="0"/>
              <w:right w:val="single" w:color="auto" w:sz="4" w:space="0"/>
            </w:tcBorders>
            <w:noWrap w:val="0"/>
            <w:vAlign w:val="center"/>
          </w:tcPr>
          <w:p w14:paraId="26491430">
            <w:pPr>
              <w:keepNext w:val="0"/>
              <w:keepLines w:val="0"/>
              <w:suppressLineNumbers w:val="0"/>
              <w:snapToGrid w:val="0"/>
              <w:spacing w:before="312" w:beforeLines="100" w:beforeAutospacing="0" w:after="312" w:afterLines="100" w:afterAutospacing="0"/>
              <w:ind w:left="0" w:right="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电话：</w:t>
            </w:r>
          </w:p>
        </w:tc>
      </w:tr>
      <w:tr w14:paraId="08CB6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592" w:type="dxa"/>
            <w:tcBorders>
              <w:top w:val="single" w:color="auto" w:sz="4" w:space="0"/>
              <w:left w:val="single" w:color="auto" w:sz="4" w:space="0"/>
              <w:bottom w:val="single" w:color="auto" w:sz="4" w:space="0"/>
              <w:right w:val="single" w:color="auto" w:sz="4" w:space="0"/>
            </w:tcBorders>
            <w:noWrap w:val="0"/>
            <w:vAlign w:val="center"/>
          </w:tcPr>
          <w:p w14:paraId="43BB665B">
            <w:pPr>
              <w:keepNext w:val="0"/>
              <w:keepLines w:val="0"/>
              <w:suppressLineNumbers w:val="0"/>
              <w:snapToGrid w:val="0"/>
              <w:spacing w:before="312" w:beforeLines="100" w:beforeAutospacing="0" w:after="312" w:afterLines="100" w:afterAutospacing="0"/>
              <w:ind w:left="0" w:right="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电子邮箱：</w:t>
            </w:r>
          </w:p>
        </w:tc>
        <w:tc>
          <w:tcPr>
            <w:tcW w:w="4593" w:type="dxa"/>
            <w:tcBorders>
              <w:top w:val="single" w:color="auto" w:sz="4" w:space="0"/>
              <w:left w:val="single" w:color="auto" w:sz="4" w:space="0"/>
              <w:bottom w:val="single" w:color="auto" w:sz="4" w:space="0"/>
              <w:right w:val="single" w:color="auto" w:sz="4" w:space="0"/>
            </w:tcBorders>
            <w:noWrap w:val="0"/>
            <w:vAlign w:val="center"/>
          </w:tcPr>
          <w:p w14:paraId="1F432778">
            <w:pPr>
              <w:keepNext w:val="0"/>
              <w:keepLines w:val="0"/>
              <w:suppressLineNumbers w:val="0"/>
              <w:snapToGrid w:val="0"/>
              <w:spacing w:before="312" w:beforeLines="100" w:beforeAutospacing="0" w:after="312" w:afterLines="100" w:afterAutospacing="0"/>
              <w:ind w:left="0" w:right="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电子邮箱：</w:t>
            </w:r>
          </w:p>
        </w:tc>
      </w:tr>
      <w:tr w14:paraId="1B469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592" w:type="dxa"/>
            <w:tcBorders>
              <w:top w:val="single" w:color="auto" w:sz="4" w:space="0"/>
              <w:left w:val="single" w:color="auto" w:sz="4" w:space="0"/>
              <w:bottom w:val="single" w:color="auto" w:sz="4" w:space="0"/>
              <w:right w:val="single" w:color="auto" w:sz="4" w:space="0"/>
            </w:tcBorders>
            <w:noWrap w:val="0"/>
            <w:vAlign w:val="center"/>
          </w:tcPr>
          <w:p w14:paraId="56148908">
            <w:pPr>
              <w:keepNext w:val="0"/>
              <w:keepLines w:val="0"/>
              <w:suppressLineNumbers w:val="0"/>
              <w:snapToGrid w:val="0"/>
              <w:spacing w:before="312" w:beforeLines="100" w:beforeAutospacing="0" w:after="312" w:afterLines="100" w:afterAutospacing="0"/>
              <w:ind w:left="0" w:right="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开户银行：</w:t>
            </w:r>
          </w:p>
        </w:tc>
        <w:tc>
          <w:tcPr>
            <w:tcW w:w="4593" w:type="dxa"/>
            <w:tcBorders>
              <w:top w:val="single" w:color="auto" w:sz="4" w:space="0"/>
              <w:left w:val="single" w:color="auto" w:sz="4" w:space="0"/>
              <w:bottom w:val="single" w:color="auto" w:sz="4" w:space="0"/>
              <w:right w:val="single" w:color="auto" w:sz="4" w:space="0"/>
            </w:tcBorders>
            <w:noWrap w:val="0"/>
            <w:vAlign w:val="center"/>
          </w:tcPr>
          <w:p w14:paraId="7CBE16CD">
            <w:pPr>
              <w:keepNext w:val="0"/>
              <w:keepLines w:val="0"/>
              <w:suppressLineNumbers w:val="0"/>
              <w:snapToGrid w:val="0"/>
              <w:spacing w:before="312" w:beforeLines="100" w:beforeAutospacing="0" w:after="312" w:afterLines="100" w:afterAutospacing="0"/>
              <w:ind w:left="0" w:right="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开户银行：</w:t>
            </w:r>
          </w:p>
        </w:tc>
      </w:tr>
      <w:tr w14:paraId="25C8D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592" w:type="dxa"/>
            <w:tcBorders>
              <w:top w:val="single" w:color="auto" w:sz="4" w:space="0"/>
              <w:left w:val="single" w:color="auto" w:sz="4" w:space="0"/>
              <w:bottom w:val="single" w:color="auto" w:sz="4" w:space="0"/>
              <w:right w:val="single" w:color="auto" w:sz="4" w:space="0"/>
            </w:tcBorders>
            <w:noWrap w:val="0"/>
            <w:vAlign w:val="center"/>
          </w:tcPr>
          <w:p w14:paraId="0D2B7686">
            <w:pPr>
              <w:keepNext w:val="0"/>
              <w:keepLines w:val="0"/>
              <w:suppressLineNumbers w:val="0"/>
              <w:snapToGrid w:val="0"/>
              <w:spacing w:before="312" w:beforeLines="100" w:beforeAutospacing="0" w:after="312" w:afterLines="100" w:afterAutospacing="0"/>
              <w:ind w:left="0" w:right="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账号：</w:t>
            </w:r>
          </w:p>
        </w:tc>
        <w:tc>
          <w:tcPr>
            <w:tcW w:w="4593" w:type="dxa"/>
            <w:tcBorders>
              <w:top w:val="single" w:color="auto" w:sz="4" w:space="0"/>
              <w:left w:val="single" w:color="auto" w:sz="4" w:space="0"/>
              <w:bottom w:val="single" w:color="auto" w:sz="4" w:space="0"/>
              <w:right w:val="single" w:color="auto" w:sz="4" w:space="0"/>
            </w:tcBorders>
            <w:noWrap w:val="0"/>
            <w:vAlign w:val="center"/>
          </w:tcPr>
          <w:p w14:paraId="0A93A21A">
            <w:pPr>
              <w:keepNext w:val="0"/>
              <w:keepLines w:val="0"/>
              <w:suppressLineNumbers w:val="0"/>
              <w:snapToGrid w:val="0"/>
              <w:spacing w:before="312" w:beforeLines="100" w:beforeAutospacing="0" w:after="312" w:afterLines="100" w:afterAutospacing="0"/>
              <w:ind w:left="0" w:right="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账号：</w:t>
            </w:r>
          </w:p>
        </w:tc>
      </w:tr>
      <w:tr w14:paraId="0C9C6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592" w:type="dxa"/>
            <w:tcBorders>
              <w:top w:val="single" w:color="auto" w:sz="4" w:space="0"/>
              <w:left w:val="single" w:color="auto" w:sz="4" w:space="0"/>
              <w:bottom w:val="single" w:color="auto" w:sz="4" w:space="0"/>
              <w:right w:val="single" w:color="auto" w:sz="4" w:space="0"/>
            </w:tcBorders>
            <w:noWrap w:val="0"/>
            <w:vAlign w:val="center"/>
          </w:tcPr>
          <w:p w14:paraId="5CC6006A">
            <w:pPr>
              <w:keepNext w:val="0"/>
              <w:keepLines w:val="0"/>
              <w:suppressLineNumbers w:val="0"/>
              <w:snapToGrid w:val="0"/>
              <w:spacing w:before="312" w:beforeLines="100" w:beforeAutospacing="0" w:after="312" w:afterLines="100" w:afterAutospacing="0"/>
              <w:ind w:left="0" w:right="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邮政编码：</w:t>
            </w:r>
          </w:p>
        </w:tc>
        <w:tc>
          <w:tcPr>
            <w:tcW w:w="4593" w:type="dxa"/>
            <w:tcBorders>
              <w:top w:val="single" w:color="auto" w:sz="4" w:space="0"/>
              <w:left w:val="single" w:color="auto" w:sz="4" w:space="0"/>
              <w:bottom w:val="single" w:color="auto" w:sz="4" w:space="0"/>
              <w:right w:val="single" w:color="auto" w:sz="4" w:space="0"/>
            </w:tcBorders>
            <w:noWrap w:val="0"/>
            <w:vAlign w:val="center"/>
          </w:tcPr>
          <w:p w14:paraId="3EA18C66">
            <w:pPr>
              <w:keepNext w:val="0"/>
              <w:keepLines w:val="0"/>
              <w:suppressLineNumbers w:val="0"/>
              <w:snapToGrid w:val="0"/>
              <w:spacing w:before="312" w:beforeLines="100" w:beforeAutospacing="0" w:after="312" w:afterLines="100" w:afterAutospacing="0"/>
              <w:ind w:left="0" w:right="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邮政编码：</w:t>
            </w:r>
          </w:p>
        </w:tc>
      </w:tr>
    </w:tbl>
    <w:p w14:paraId="246C7E9A">
      <w:pPr>
        <w:snapToGrid w:val="0"/>
        <w:spacing w:line="360" w:lineRule="auto"/>
        <w:jc w:val="center"/>
        <w:rPr>
          <w:rFonts w:hint="eastAsia" w:asciiTheme="majorEastAsia" w:hAnsiTheme="majorEastAsia" w:eastAsiaTheme="majorEastAsia" w:cstheme="majorEastAsia"/>
          <w:b/>
          <w:sz w:val="21"/>
          <w:szCs w:val="21"/>
        </w:rPr>
      </w:pPr>
      <w:r>
        <w:rPr>
          <w:rFonts w:hint="eastAsia" w:asciiTheme="majorEastAsia" w:hAnsiTheme="majorEastAsia" w:eastAsiaTheme="majorEastAsia" w:cstheme="majorEastAsia"/>
          <w:b/>
          <w:sz w:val="21"/>
          <w:szCs w:val="21"/>
        </w:rPr>
        <w:br w:type="page"/>
      </w:r>
      <w:r>
        <w:rPr>
          <w:rFonts w:hint="eastAsia" w:asciiTheme="majorEastAsia" w:hAnsiTheme="majorEastAsia" w:eastAsiaTheme="majorEastAsia" w:cstheme="majorEastAsia"/>
          <w:b/>
          <w:sz w:val="21"/>
          <w:szCs w:val="21"/>
        </w:rPr>
        <w:t>合 同 附 件</w:t>
      </w:r>
    </w:p>
    <w:tbl>
      <w:tblPr>
        <w:tblStyle w:val="30"/>
        <w:tblW w:w="0" w:type="auto"/>
        <w:jc w:val="center"/>
        <w:tblLayout w:type="fixed"/>
        <w:tblCellMar>
          <w:top w:w="0" w:type="dxa"/>
          <w:left w:w="108" w:type="dxa"/>
          <w:bottom w:w="0" w:type="dxa"/>
          <w:right w:w="108" w:type="dxa"/>
        </w:tblCellMar>
      </w:tblPr>
      <w:tblGrid>
        <w:gridCol w:w="4373"/>
        <w:gridCol w:w="4812"/>
      </w:tblGrid>
      <w:tr w14:paraId="1C664325">
        <w:tblPrEx>
          <w:tblCellMar>
            <w:top w:w="0" w:type="dxa"/>
            <w:left w:w="108" w:type="dxa"/>
            <w:bottom w:w="0" w:type="dxa"/>
            <w:right w:w="108" w:type="dxa"/>
          </w:tblCellMar>
        </w:tblPrEx>
        <w:trPr>
          <w:trHeight w:val="1930" w:hRule="atLeast"/>
          <w:jc w:val="center"/>
        </w:trPr>
        <w:tc>
          <w:tcPr>
            <w:tcW w:w="9185" w:type="dxa"/>
            <w:gridSpan w:val="2"/>
            <w:tcBorders>
              <w:top w:val="single" w:color="auto" w:sz="4" w:space="0"/>
              <w:left w:val="single" w:color="auto" w:sz="4" w:space="0"/>
              <w:bottom w:val="nil"/>
              <w:right w:val="single" w:color="auto" w:sz="4" w:space="0"/>
            </w:tcBorders>
            <w:noWrap w:val="0"/>
            <w:vAlign w:val="top"/>
          </w:tcPr>
          <w:p w14:paraId="3FD5D661">
            <w:pPr>
              <w:keepNext w:val="0"/>
              <w:keepLines w:val="0"/>
              <w:suppressLineNumbers w:val="0"/>
              <w:snapToGrid w:val="0"/>
              <w:spacing w:before="0" w:beforeAutospacing="0" w:after="0" w:afterAutospacing="0" w:line="360" w:lineRule="auto"/>
              <w:ind w:left="0" w:right="0"/>
              <w:rPr>
                <w:rFonts w:hint="eastAsia" w:asciiTheme="majorEastAsia" w:hAnsiTheme="majorEastAsia" w:eastAsiaTheme="majorEastAsia" w:cstheme="majorEastAsia"/>
                <w:b/>
                <w:sz w:val="21"/>
                <w:szCs w:val="21"/>
              </w:rPr>
            </w:pPr>
            <w:r>
              <w:rPr>
                <w:rFonts w:hint="eastAsia" w:asciiTheme="majorEastAsia" w:hAnsiTheme="majorEastAsia" w:eastAsiaTheme="majorEastAsia" w:cstheme="majorEastAsia"/>
                <w:b/>
                <w:sz w:val="21"/>
                <w:szCs w:val="21"/>
              </w:rPr>
              <w:t>1.供应商承诺具体事项：</w:t>
            </w:r>
          </w:p>
          <w:p w14:paraId="19289DE7">
            <w:pPr>
              <w:keepNext w:val="0"/>
              <w:keepLines w:val="0"/>
              <w:suppressLineNumbers w:val="0"/>
              <w:snapToGrid w:val="0"/>
              <w:spacing w:before="0" w:beforeAutospacing="0" w:after="0" w:afterAutospacing="0" w:line="360" w:lineRule="auto"/>
              <w:ind w:left="0" w:right="0"/>
              <w:rPr>
                <w:rFonts w:hint="eastAsia" w:asciiTheme="majorEastAsia" w:hAnsiTheme="majorEastAsia" w:eastAsiaTheme="majorEastAsia" w:cstheme="majorEastAsia"/>
                <w:b/>
                <w:sz w:val="21"/>
                <w:szCs w:val="21"/>
              </w:rPr>
            </w:pPr>
          </w:p>
          <w:p w14:paraId="61A1E0B4">
            <w:pPr>
              <w:keepNext w:val="0"/>
              <w:keepLines w:val="0"/>
              <w:suppressLineNumbers w:val="0"/>
              <w:snapToGrid w:val="0"/>
              <w:spacing w:before="0" w:beforeAutospacing="0" w:after="0" w:afterAutospacing="0" w:line="360" w:lineRule="auto"/>
              <w:ind w:left="0" w:right="0"/>
              <w:rPr>
                <w:rFonts w:hint="eastAsia" w:asciiTheme="majorEastAsia" w:hAnsiTheme="majorEastAsia" w:eastAsiaTheme="majorEastAsia" w:cstheme="majorEastAsia"/>
                <w:b/>
                <w:sz w:val="21"/>
                <w:szCs w:val="21"/>
              </w:rPr>
            </w:pPr>
          </w:p>
          <w:p w14:paraId="58A4E466">
            <w:pPr>
              <w:keepNext w:val="0"/>
              <w:keepLines w:val="0"/>
              <w:suppressLineNumbers w:val="0"/>
              <w:snapToGrid w:val="0"/>
              <w:spacing w:before="0" w:beforeAutospacing="0" w:after="0" w:afterAutospacing="0" w:line="360" w:lineRule="auto"/>
              <w:ind w:left="0" w:right="0"/>
              <w:rPr>
                <w:rFonts w:hint="eastAsia" w:asciiTheme="majorEastAsia" w:hAnsiTheme="majorEastAsia" w:eastAsiaTheme="majorEastAsia" w:cstheme="majorEastAsia"/>
                <w:b/>
                <w:sz w:val="21"/>
                <w:szCs w:val="21"/>
              </w:rPr>
            </w:pPr>
          </w:p>
          <w:p w14:paraId="6276DA6F">
            <w:pPr>
              <w:keepNext w:val="0"/>
              <w:keepLines w:val="0"/>
              <w:suppressLineNumbers w:val="0"/>
              <w:snapToGrid w:val="0"/>
              <w:spacing w:before="0" w:beforeAutospacing="0" w:after="0" w:afterAutospacing="0" w:line="360" w:lineRule="auto"/>
              <w:ind w:left="0" w:right="0"/>
              <w:rPr>
                <w:rFonts w:hint="eastAsia" w:asciiTheme="majorEastAsia" w:hAnsiTheme="majorEastAsia" w:eastAsiaTheme="majorEastAsia" w:cstheme="majorEastAsia"/>
                <w:b/>
                <w:sz w:val="21"/>
                <w:szCs w:val="21"/>
              </w:rPr>
            </w:pPr>
          </w:p>
          <w:p w14:paraId="2F5BE815">
            <w:pPr>
              <w:keepNext w:val="0"/>
              <w:keepLines w:val="0"/>
              <w:suppressLineNumbers w:val="0"/>
              <w:snapToGrid w:val="0"/>
              <w:spacing w:before="0" w:beforeAutospacing="0" w:after="0" w:afterAutospacing="0" w:line="360" w:lineRule="auto"/>
              <w:ind w:left="0" w:right="0"/>
              <w:rPr>
                <w:rFonts w:hint="eastAsia" w:asciiTheme="majorEastAsia" w:hAnsiTheme="majorEastAsia" w:eastAsiaTheme="majorEastAsia" w:cstheme="majorEastAsia"/>
                <w:b/>
                <w:sz w:val="21"/>
                <w:szCs w:val="21"/>
              </w:rPr>
            </w:pPr>
          </w:p>
        </w:tc>
      </w:tr>
      <w:tr w14:paraId="04016822">
        <w:tblPrEx>
          <w:tblCellMar>
            <w:top w:w="0" w:type="dxa"/>
            <w:left w:w="108" w:type="dxa"/>
            <w:bottom w:w="0" w:type="dxa"/>
            <w:right w:w="108" w:type="dxa"/>
          </w:tblCellMar>
        </w:tblPrEx>
        <w:trPr>
          <w:trHeight w:val="2530" w:hRule="atLeast"/>
          <w:jc w:val="center"/>
        </w:trPr>
        <w:tc>
          <w:tcPr>
            <w:tcW w:w="9185" w:type="dxa"/>
            <w:gridSpan w:val="2"/>
            <w:tcBorders>
              <w:top w:val="single" w:color="auto" w:sz="4" w:space="0"/>
              <w:left w:val="single" w:color="auto" w:sz="4" w:space="0"/>
              <w:bottom w:val="nil"/>
              <w:right w:val="single" w:color="auto" w:sz="4" w:space="0"/>
            </w:tcBorders>
            <w:noWrap w:val="0"/>
            <w:vAlign w:val="top"/>
          </w:tcPr>
          <w:p w14:paraId="06B0B79C">
            <w:pPr>
              <w:keepNext w:val="0"/>
              <w:keepLines w:val="0"/>
              <w:suppressLineNumbers w:val="0"/>
              <w:snapToGrid w:val="0"/>
              <w:spacing w:before="0" w:beforeAutospacing="0" w:after="0" w:afterAutospacing="0" w:line="360" w:lineRule="auto"/>
              <w:ind w:left="0" w:right="0"/>
              <w:rPr>
                <w:rFonts w:hint="eastAsia" w:asciiTheme="majorEastAsia" w:hAnsiTheme="majorEastAsia" w:eastAsiaTheme="majorEastAsia" w:cstheme="majorEastAsia"/>
                <w:b/>
                <w:sz w:val="21"/>
                <w:szCs w:val="21"/>
              </w:rPr>
            </w:pPr>
            <w:r>
              <w:rPr>
                <w:rFonts w:hint="eastAsia" w:asciiTheme="majorEastAsia" w:hAnsiTheme="majorEastAsia" w:eastAsiaTheme="majorEastAsia" w:cstheme="majorEastAsia"/>
                <w:b/>
                <w:sz w:val="21"/>
                <w:szCs w:val="21"/>
              </w:rPr>
              <w:t>2.质保期责任：</w:t>
            </w:r>
          </w:p>
          <w:p w14:paraId="5FD91724">
            <w:pPr>
              <w:keepNext w:val="0"/>
              <w:keepLines w:val="0"/>
              <w:suppressLineNumbers w:val="0"/>
              <w:snapToGrid w:val="0"/>
              <w:spacing w:before="0" w:beforeAutospacing="0" w:after="0" w:afterAutospacing="0" w:line="360" w:lineRule="auto"/>
              <w:ind w:left="0" w:right="0"/>
              <w:rPr>
                <w:rFonts w:hint="eastAsia" w:asciiTheme="majorEastAsia" w:hAnsiTheme="majorEastAsia" w:eastAsiaTheme="majorEastAsia" w:cstheme="majorEastAsia"/>
                <w:b/>
                <w:sz w:val="21"/>
                <w:szCs w:val="21"/>
              </w:rPr>
            </w:pPr>
          </w:p>
          <w:p w14:paraId="4B65D715">
            <w:pPr>
              <w:keepNext w:val="0"/>
              <w:keepLines w:val="0"/>
              <w:suppressLineNumbers w:val="0"/>
              <w:snapToGrid w:val="0"/>
              <w:spacing w:before="0" w:beforeAutospacing="0" w:after="0" w:afterAutospacing="0" w:line="360" w:lineRule="auto"/>
              <w:ind w:left="0" w:right="0"/>
              <w:rPr>
                <w:rFonts w:hint="eastAsia" w:asciiTheme="majorEastAsia" w:hAnsiTheme="majorEastAsia" w:eastAsiaTheme="majorEastAsia" w:cstheme="majorEastAsia"/>
                <w:b/>
                <w:sz w:val="21"/>
                <w:szCs w:val="21"/>
              </w:rPr>
            </w:pPr>
          </w:p>
          <w:p w14:paraId="0774127C">
            <w:pPr>
              <w:keepNext w:val="0"/>
              <w:keepLines w:val="0"/>
              <w:suppressLineNumbers w:val="0"/>
              <w:snapToGrid w:val="0"/>
              <w:spacing w:before="0" w:beforeAutospacing="0" w:after="0" w:afterAutospacing="0" w:line="360" w:lineRule="auto"/>
              <w:ind w:left="0" w:right="0"/>
              <w:rPr>
                <w:rFonts w:hint="eastAsia" w:asciiTheme="majorEastAsia" w:hAnsiTheme="majorEastAsia" w:eastAsiaTheme="majorEastAsia" w:cstheme="majorEastAsia"/>
                <w:b/>
                <w:sz w:val="21"/>
                <w:szCs w:val="21"/>
              </w:rPr>
            </w:pPr>
          </w:p>
          <w:p w14:paraId="4A621ADE">
            <w:pPr>
              <w:keepNext w:val="0"/>
              <w:keepLines w:val="0"/>
              <w:suppressLineNumbers w:val="0"/>
              <w:snapToGrid w:val="0"/>
              <w:spacing w:before="0" w:beforeAutospacing="0" w:after="0" w:afterAutospacing="0" w:line="360" w:lineRule="auto"/>
              <w:ind w:left="0" w:right="0"/>
              <w:rPr>
                <w:rFonts w:hint="eastAsia" w:asciiTheme="majorEastAsia" w:hAnsiTheme="majorEastAsia" w:eastAsiaTheme="majorEastAsia" w:cstheme="majorEastAsia"/>
                <w:b/>
                <w:sz w:val="21"/>
                <w:szCs w:val="21"/>
              </w:rPr>
            </w:pPr>
          </w:p>
          <w:p w14:paraId="32CD95AB">
            <w:pPr>
              <w:keepNext w:val="0"/>
              <w:keepLines w:val="0"/>
              <w:suppressLineNumbers w:val="0"/>
              <w:snapToGrid w:val="0"/>
              <w:spacing w:before="0" w:beforeAutospacing="0" w:after="0" w:afterAutospacing="0" w:line="360" w:lineRule="auto"/>
              <w:ind w:left="0" w:right="0"/>
              <w:rPr>
                <w:rFonts w:hint="eastAsia" w:asciiTheme="majorEastAsia" w:hAnsiTheme="majorEastAsia" w:eastAsiaTheme="majorEastAsia" w:cstheme="majorEastAsia"/>
                <w:b/>
                <w:sz w:val="21"/>
                <w:szCs w:val="21"/>
              </w:rPr>
            </w:pPr>
          </w:p>
        </w:tc>
      </w:tr>
      <w:tr w14:paraId="578E1DF1">
        <w:tblPrEx>
          <w:tblCellMar>
            <w:top w:w="0" w:type="dxa"/>
            <w:left w:w="108" w:type="dxa"/>
            <w:bottom w:w="0" w:type="dxa"/>
            <w:right w:w="108" w:type="dxa"/>
          </w:tblCellMar>
        </w:tblPrEx>
        <w:trPr>
          <w:trHeight w:val="2215" w:hRule="atLeast"/>
          <w:jc w:val="center"/>
        </w:trPr>
        <w:tc>
          <w:tcPr>
            <w:tcW w:w="9185" w:type="dxa"/>
            <w:gridSpan w:val="2"/>
            <w:tcBorders>
              <w:top w:val="single" w:color="auto" w:sz="4" w:space="0"/>
              <w:left w:val="single" w:color="auto" w:sz="4" w:space="0"/>
              <w:bottom w:val="nil"/>
              <w:right w:val="single" w:color="auto" w:sz="4" w:space="0"/>
            </w:tcBorders>
            <w:noWrap w:val="0"/>
            <w:vAlign w:val="top"/>
          </w:tcPr>
          <w:p w14:paraId="2DE360FF">
            <w:pPr>
              <w:keepNext w:val="0"/>
              <w:keepLines w:val="0"/>
              <w:suppressLineNumbers w:val="0"/>
              <w:snapToGrid w:val="0"/>
              <w:spacing w:before="0" w:beforeAutospacing="0" w:after="0" w:afterAutospacing="0" w:line="360" w:lineRule="auto"/>
              <w:ind w:left="0" w:right="0"/>
              <w:rPr>
                <w:rFonts w:hint="eastAsia" w:asciiTheme="majorEastAsia" w:hAnsiTheme="majorEastAsia" w:eastAsiaTheme="majorEastAsia" w:cstheme="majorEastAsia"/>
                <w:b/>
                <w:sz w:val="21"/>
                <w:szCs w:val="21"/>
              </w:rPr>
            </w:pPr>
            <w:r>
              <w:rPr>
                <w:rFonts w:hint="eastAsia" w:asciiTheme="majorEastAsia" w:hAnsiTheme="majorEastAsia" w:eastAsiaTheme="majorEastAsia" w:cstheme="majorEastAsia"/>
                <w:b/>
                <w:sz w:val="21"/>
                <w:szCs w:val="21"/>
              </w:rPr>
              <w:t>3.其他具体事项：</w:t>
            </w:r>
          </w:p>
          <w:p w14:paraId="09A3DD6A">
            <w:pPr>
              <w:keepNext w:val="0"/>
              <w:keepLines w:val="0"/>
              <w:suppressLineNumbers w:val="0"/>
              <w:snapToGrid w:val="0"/>
              <w:spacing w:before="0" w:beforeAutospacing="0" w:after="0" w:afterAutospacing="0" w:line="360" w:lineRule="auto"/>
              <w:ind w:left="0" w:right="0"/>
              <w:rPr>
                <w:rFonts w:hint="eastAsia" w:asciiTheme="majorEastAsia" w:hAnsiTheme="majorEastAsia" w:eastAsiaTheme="majorEastAsia" w:cstheme="majorEastAsia"/>
                <w:b/>
                <w:sz w:val="21"/>
                <w:szCs w:val="21"/>
              </w:rPr>
            </w:pPr>
          </w:p>
          <w:p w14:paraId="57BE88DF">
            <w:pPr>
              <w:keepNext w:val="0"/>
              <w:keepLines w:val="0"/>
              <w:suppressLineNumbers w:val="0"/>
              <w:snapToGrid w:val="0"/>
              <w:spacing w:before="0" w:beforeAutospacing="0" w:after="0" w:afterAutospacing="0" w:line="360" w:lineRule="auto"/>
              <w:ind w:left="0" w:right="0"/>
              <w:rPr>
                <w:rFonts w:hint="eastAsia" w:asciiTheme="majorEastAsia" w:hAnsiTheme="majorEastAsia" w:eastAsiaTheme="majorEastAsia" w:cstheme="majorEastAsia"/>
                <w:b/>
                <w:sz w:val="21"/>
                <w:szCs w:val="21"/>
              </w:rPr>
            </w:pPr>
          </w:p>
          <w:p w14:paraId="1E87A993">
            <w:pPr>
              <w:keepNext w:val="0"/>
              <w:keepLines w:val="0"/>
              <w:suppressLineNumbers w:val="0"/>
              <w:snapToGrid w:val="0"/>
              <w:spacing w:before="0" w:beforeAutospacing="0" w:after="0" w:afterAutospacing="0" w:line="360" w:lineRule="auto"/>
              <w:ind w:left="0" w:right="0"/>
              <w:rPr>
                <w:rFonts w:hint="eastAsia" w:asciiTheme="majorEastAsia" w:hAnsiTheme="majorEastAsia" w:eastAsiaTheme="majorEastAsia" w:cstheme="majorEastAsia"/>
                <w:b/>
                <w:sz w:val="21"/>
                <w:szCs w:val="21"/>
              </w:rPr>
            </w:pPr>
          </w:p>
          <w:p w14:paraId="5D23497A">
            <w:pPr>
              <w:keepNext w:val="0"/>
              <w:keepLines w:val="0"/>
              <w:suppressLineNumbers w:val="0"/>
              <w:snapToGrid w:val="0"/>
              <w:spacing w:before="0" w:beforeAutospacing="0" w:after="0" w:afterAutospacing="0" w:line="360" w:lineRule="auto"/>
              <w:ind w:left="0" w:right="0"/>
              <w:rPr>
                <w:rFonts w:hint="eastAsia" w:asciiTheme="majorEastAsia" w:hAnsiTheme="majorEastAsia" w:eastAsiaTheme="majorEastAsia" w:cstheme="majorEastAsia"/>
                <w:b/>
                <w:sz w:val="21"/>
                <w:szCs w:val="21"/>
              </w:rPr>
            </w:pPr>
          </w:p>
          <w:p w14:paraId="4E123DD6">
            <w:pPr>
              <w:keepNext w:val="0"/>
              <w:keepLines w:val="0"/>
              <w:suppressLineNumbers w:val="0"/>
              <w:snapToGrid w:val="0"/>
              <w:spacing w:before="0" w:beforeAutospacing="0" w:after="0" w:afterAutospacing="0" w:line="360" w:lineRule="auto"/>
              <w:ind w:left="0" w:right="0"/>
              <w:rPr>
                <w:rFonts w:hint="eastAsia" w:asciiTheme="majorEastAsia" w:hAnsiTheme="majorEastAsia" w:eastAsiaTheme="majorEastAsia" w:cstheme="majorEastAsia"/>
                <w:b/>
                <w:sz w:val="21"/>
                <w:szCs w:val="21"/>
              </w:rPr>
            </w:pPr>
          </w:p>
        </w:tc>
      </w:tr>
      <w:tr w14:paraId="05E141D5">
        <w:tblPrEx>
          <w:tblCellMar>
            <w:top w:w="0" w:type="dxa"/>
            <w:left w:w="108" w:type="dxa"/>
            <w:bottom w:w="0" w:type="dxa"/>
            <w:right w:w="108" w:type="dxa"/>
          </w:tblCellMar>
        </w:tblPrEx>
        <w:trPr>
          <w:trHeight w:val="90" w:hRule="atLeast"/>
          <w:jc w:val="center"/>
        </w:trPr>
        <w:tc>
          <w:tcPr>
            <w:tcW w:w="4373" w:type="dxa"/>
            <w:tcBorders>
              <w:top w:val="single" w:color="auto" w:sz="4" w:space="0"/>
              <w:left w:val="single" w:color="auto" w:sz="4" w:space="0"/>
              <w:bottom w:val="single" w:color="auto" w:sz="4" w:space="0"/>
              <w:right w:val="single" w:color="auto" w:sz="4" w:space="0"/>
            </w:tcBorders>
            <w:noWrap w:val="0"/>
            <w:vAlign w:val="center"/>
          </w:tcPr>
          <w:p w14:paraId="77BB624B">
            <w:pPr>
              <w:keepNext w:val="0"/>
              <w:keepLines w:val="0"/>
              <w:suppressLineNumbers w:val="0"/>
              <w:snapToGrid w:val="0"/>
              <w:spacing w:before="0" w:beforeAutospacing="0" w:after="0" w:afterAutospacing="0" w:line="360" w:lineRule="auto"/>
              <w:ind w:left="0" w:right="0"/>
              <w:jc w:val="left"/>
              <w:rPr>
                <w:rFonts w:hint="eastAsia" w:asciiTheme="majorEastAsia" w:hAnsiTheme="majorEastAsia" w:eastAsiaTheme="majorEastAsia" w:cstheme="majorEastAsia"/>
                <w:b/>
                <w:sz w:val="21"/>
                <w:szCs w:val="21"/>
              </w:rPr>
            </w:pPr>
            <w:r>
              <w:rPr>
                <w:rFonts w:hint="eastAsia" w:asciiTheme="majorEastAsia" w:hAnsiTheme="majorEastAsia" w:eastAsiaTheme="majorEastAsia" w:cstheme="majorEastAsia"/>
                <w:b/>
                <w:sz w:val="21"/>
                <w:szCs w:val="21"/>
              </w:rPr>
              <w:t>甲方（章）</w:t>
            </w:r>
          </w:p>
          <w:p w14:paraId="2EC369C0">
            <w:pPr>
              <w:keepNext w:val="0"/>
              <w:keepLines w:val="0"/>
              <w:suppressLineNumbers w:val="0"/>
              <w:snapToGrid w:val="0"/>
              <w:spacing w:before="0" w:beforeAutospacing="0" w:after="0" w:afterAutospacing="0" w:line="360" w:lineRule="auto"/>
              <w:ind w:left="0" w:right="0" w:firstLine="422" w:firstLineChars="200"/>
              <w:rPr>
                <w:rFonts w:hint="eastAsia" w:asciiTheme="majorEastAsia" w:hAnsiTheme="majorEastAsia" w:eastAsiaTheme="majorEastAsia" w:cstheme="majorEastAsia"/>
                <w:b/>
                <w:sz w:val="21"/>
                <w:szCs w:val="21"/>
              </w:rPr>
            </w:pPr>
          </w:p>
          <w:p w14:paraId="5971EA12">
            <w:pPr>
              <w:keepNext w:val="0"/>
              <w:keepLines w:val="0"/>
              <w:suppressLineNumbers w:val="0"/>
              <w:snapToGrid w:val="0"/>
              <w:spacing w:before="0" w:beforeAutospacing="0" w:after="0" w:afterAutospacing="0" w:line="360" w:lineRule="auto"/>
              <w:ind w:left="0" w:right="0" w:firstLine="422" w:firstLineChars="200"/>
              <w:rPr>
                <w:rFonts w:hint="eastAsia" w:asciiTheme="majorEastAsia" w:hAnsiTheme="majorEastAsia" w:eastAsiaTheme="majorEastAsia" w:cstheme="majorEastAsia"/>
                <w:b/>
                <w:sz w:val="21"/>
                <w:szCs w:val="21"/>
              </w:rPr>
            </w:pPr>
          </w:p>
          <w:p w14:paraId="5224CAC2">
            <w:pPr>
              <w:keepNext w:val="0"/>
              <w:keepLines w:val="0"/>
              <w:suppressLineNumbers w:val="0"/>
              <w:snapToGrid w:val="0"/>
              <w:spacing w:before="0" w:beforeAutospacing="0" w:after="0" w:afterAutospacing="0" w:line="360" w:lineRule="auto"/>
              <w:ind w:left="0" w:right="0" w:firstLine="422" w:firstLineChars="200"/>
              <w:rPr>
                <w:rFonts w:hint="eastAsia" w:asciiTheme="majorEastAsia" w:hAnsiTheme="majorEastAsia" w:eastAsiaTheme="majorEastAsia" w:cstheme="majorEastAsia"/>
                <w:b/>
                <w:sz w:val="21"/>
                <w:szCs w:val="21"/>
              </w:rPr>
            </w:pPr>
          </w:p>
          <w:p w14:paraId="02907C80">
            <w:pPr>
              <w:keepNext w:val="0"/>
              <w:keepLines w:val="0"/>
              <w:suppressLineNumbers w:val="0"/>
              <w:snapToGrid w:val="0"/>
              <w:spacing w:before="0" w:beforeAutospacing="0" w:after="0" w:afterAutospacing="0" w:line="360" w:lineRule="auto"/>
              <w:ind w:left="0" w:right="0"/>
              <w:rPr>
                <w:rFonts w:hint="eastAsia" w:asciiTheme="majorEastAsia" w:hAnsiTheme="majorEastAsia" w:eastAsiaTheme="majorEastAsia" w:cstheme="majorEastAsia"/>
                <w:b/>
                <w:sz w:val="21"/>
                <w:szCs w:val="21"/>
              </w:rPr>
            </w:pPr>
          </w:p>
          <w:p w14:paraId="331B8011">
            <w:pPr>
              <w:keepNext w:val="0"/>
              <w:keepLines w:val="0"/>
              <w:suppressLineNumbers w:val="0"/>
              <w:snapToGrid w:val="0"/>
              <w:spacing w:before="0" w:beforeAutospacing="0" w:after="0" w:afterAutospacing="0" w:line="360" w:lineRule="auto"/>
              <w:ind w:left="0" w:right="0" w:firstLine="422" w:firstLineChars="200"/>
              <w:rPr>
                <w:rFonts w:hint="eastAsia" w:asciiTheme="majorEastAsia" w:hAnsiTheme="majorEastAsia" w:eastAsiaTheme="majorEastAsia" w:cstheme="majorEastAsia"/>
                <w:b/>
                <w:sz w:val="21"/>
                <w:szCs w:val="21"/>
              </w:rPr>
            </w:pPr>
            <w:r>
              <w:rPr>
                <w:rFonts w:hint="eastAsia" w:asciiTheme="majorEastAsia" w:hAnsiTheme="majorEastAsia" w:eastAsiaTheme="majorEastAsia" w:cstheme="majorEastAsia"/>
                <w:b/>
                <w:sz w:val="21"/>
                <w:szCs w:val="21"/>
              </w:rPr>
              <w:t xml:space="preserve">                 </w:t>
            </w:r>
          </w:p>
          <w:p w14:paraId="4E7891FE">
            <w:pPr>
              <w:keepNext w:val="0"/>
              <w:keepLines w:val="0"/>
              <w:suppressLineNumbers w:val="0"/>
              <w:snapToGrid w:val="0"/>
              <w:spacing w:before="0" w:beforeAutospacing="0" w:after="0" w:afterAutospacing="0" w:line="360" w:lineRule="auto"/>
              <w:ind w:left="0" w:right="0" w:firstLine="422" w:firstLineChars="200"/>
              <w:jc w:val="right"/>
              <w:rPr>
                <w:rFonts w:hint="eastAsia" w:asciiTheme="majorEastAsia" w:hAnsiTheme="majorEastAsia" w:eastAsiaTheme="majorEastAsia" w:cstheme="majorEastAsia"/>
                <w:b/>
                <w:sz w:val="21"/>
                <w:szCs w:val="21"/>
              </w:rPr>
            </w:pPr>
            <w:r>
              <w:rPr>
                <w:rFonts w:hint="eastAsia" w:asciiTheme="majorEastAsia" w:hAnsiTheme="majorEastAsia" w:eastAsiaTheme="majorEastAsia" w:cstheme="majorEastAsia"/>
                <w:b/>
                <w:sz w:val="21"/>
                <w:szCs w:val="21"/>
              </w:rPr>
              <w:t xml:space="preserve">年   月   日 </w:t>
            </w:r>
          </w:p>
        </w:tc>
        <w:tc>
          <w:tcPr>
            <w:tcW w:w="4812" w:type="dxa"/>
            <w:tcBorders>
              <w:top w:val="single" w:color="auto" w:sz="4" w:space="0"/>
              <w:left w:val="single" w:color="auto" w:sz="4" w:space="0"/>
              <w:bottom w:val="single" w:color="auto" w:sz="4" w:space="0"/>
              <w:right w:val="single" w:color="auto" w:sz="4" w:space="0"/>
            </w:tcBorders>
            <w:noWrap w:val="0"/>
            <w:vAlign w:val="center"/>
          </w:tcPr>
          <w:p w14:paraId="2D975EE9">
            <w:pPr>
              <w:keepNext w:val="0"/>
              <w:keepLines w:val="0"/>
              <w:suppressLineNumbers w:val="0"/>
              <w:snapToGrid w:val="0"/>
              <w:spacing w:before="0" w:beforeAutospacing="0" w:after="0" w:afterAutospacing="0" w:line="360" w:lineRule="auto"/>
              <w:ind w:left="0" w:right="0"/>
              <w:rPr>
                <w:rFonts w:hint="eastAsia" w:asciiTheme="majorEastAsia" w:hAnsiTheme="majorEastAsia" w:eastAsiaTheme="majorEastAsia" w:cstheme="majorEastAsia"/>
                <w:b/>
                <w:sz w:val="21"/>
                <w:szCs w:val="21"/>
              </w:rPr>
            </w:pPr>
            <w:r>
              <w:rPr>
                <w:rFonts w:hint="eastAsia" w:asciiTheme="majorEastAsia" w:hAnsiTheme="majorEastAsia" w:eastAsiaTheme="majorEastAsia" w:cstheme="majorEastAsia"/>
                <w:b/>
                <w:sz w:val="21"/>
                <w:szCs w:val="21"/>
              </w:rPr>
              <w:t>乙方（章）</w:t>
            </w:r>
          </w:p>
          <w:p w14:paraId="4D849369">
            <w:pPr>
              <w:keepNext w:val="0"/>
              <w:keepLines w:val="0"/>
              <w:suppressLineNumbers w:val="0"/>
              <w:snapToGrid w:val="0"/>
              <w:spacing w:before="0" w:beforeAutospacing="0" w:after="0" w:afterAutospacing="0" w:line="360" w:lineRule="auto"/>
              <w:ind w:left="0" w:right="0"/>
              <w:rPr>
                <w:rFonts w:hint="eastAsia" w:asciiTheme="majorEastAsia" w:hAnsiTheme="majorEastAsia" w:eastAsiaTheme="majorEastAsia" w:cstheme="majorEastAsia"/>
                <w:b/>
                <w:sz w:val="21"/>
                <w:szCs w:val="21"/>
              </w:rPr>
            </w:pPr>
          </w:p>
          <w:p w14:paraId="579215BD">
            <w:pPr>
              <w:keepNext w:val="0"/>
              <w:keepLines w:val="0"/>
              <w:suppressLineNumbers w:val="0"/>
              <w:snapToGrid w:val="0"/>
              <w:spacing w:before="0" w:beforeAutospacing="0" w:after="0" w:afterAutospacing="0" w:line="360" w:lineRule="auto"/>
              <w:ind w:left="0" w:right="0"/>
              <w:rPr>
                <w:rFonts w:hint="eastAsia" w:asciiTheme="majorEastAsia" w:hAnsiTheme="majorEastAsia" w:eastAsiaTheme="majorEastAsia" w:cstheme="majorEastAsia"/>
                <w:b/>
                <w:sz w:val="21"/>
                <w:szCs w:val="21"/>
              </w:rPr>
            </w:pPr>
          </w:p>
          <w:p w14:paraId="06F84F60">
            <w:pPr>
              <w:keepNext w:val="0"/>
              <w:keepLines w:val="0"/>
              <w:suppressLineNumbers w:val="0"/>
              <w:snapToGrid w:val="0"/>
              <w:spacing w:before="0" w:beforeAutospacing="0" w:after="0" w:afterAutospacing="0" w:line="360" w:lineRule="auto"/>
              <w:ind w:left="0" w:right="0"/>
              <w:rPr>
                <w:rFonts w:hint="eastAsia" w:asciiTheme="majorEastAsia" w:hAnsiTheme="majorEastAsia" w:eastAsiaTheme="majorEastAsia" w:cstheme="majorEastAsia"/>
                <w:b/>
                <w:sz w:val="21"/>
                <w:szCs w:val="21"/>
              </w:rPr>
            </w:pPr>
          </w:p>
          <w:p w14:paraId="2CBCB142">
            <w:pPr>
              <w:keepNext w:val="0"/>
              <w:keepLines w:val="0"/>
              <w:suppressLineNumbers w:val="0"/>
              <w:snapToGrid w:val="0"/>
              <w:spacing w:before="0" w:beforeAutospacing="0" w:after="0" w:afterAutospacing="0" w:line="360" w:lineRule="auto"/>
              <w:ind w:left="0" w:right="0" w:firstLine="422" w:firstLineChars="200"/>
              <w:rPr>
                <w:rFonts w:hint="eastAsia" w:asciiTheme="majorEastAsia" w:hAnsiTheme="majorEastAsia" w:eastAsiaTheme="majorEastAsia" w:cstheme="majorEastAsia"/>
                <w:b/>
                <w:sz w:val="21"/>
                <w:szCs w:val="21"/>
              </w:rPr>
            </w:pPr>
          </w:p>
          <w:p w14:paraId="5FDBE5F8">
            <w:pPr>
              <w:keepNext w:val="0"/>
              <w:keepLines w:val="0"/>
              <w:suppressLineNumbers w:val="0"/>
              <w:snapToGrid w:val="0"/>
              <w:spacing w:before="0" w:beforeAutospacing="0" w:after="0" w:afterAutospacing="0" w:line="360" w:lineRule="auto"/>
              <w:ind w:left="0" w:right="0" w:firstLine="422" w:firstLineChars="200"/>
              <w:rPr>
                <w:rFonts w:hint="eastAsia" w:asciiTheme="majorEastAsia" w:hAnsiTheme="majorEastAsia" w:eastAsiaTheme="majorEastAsia" w:cstheme="majorEastAsia"/>
                <w:b/>
                <w:sz w:val="21"/>
                <w:szCs w:val="21"/>
              </w:rPr>
            </w:pPr>
          </w:p>
          <w:p w14:paraId="792ACBA5">
            <w:pPr>
              <w:keepNext w:val="0"/>
              <w:keepLines w:val="0"/>
              <w:suppressLineNumbers w:val="0"/>
              <w:snapToGrid w:val="0"/>
              <w:spacing w:before="0" w:beforeAutospacing="0" w:after="0" w:afterAutospacing="0" w:line="360" w:lineRule="auto"/>
              <w:ind w:left="0" w:right="0"/>
              <w:rPr>
                <w:rFonts w:hint="eastAsia" w:asciiTheme="majorEastAsia" w:hAnsiTheme="majorEastAsia" w:eastAsiaTheme="majorEastAsia" w:cstheme="majorEastAsia"/>
                <w:b/>
                <w:sz w:val="21"/>
                <w:szCs w:val="21"/>
              </w:rPr>
            </w:pPr>
            <w:r>
              <w:rPr>
                <w:rFonts w:hint="eastAsia" w:asciiTheme="majorEastAsia" w:hAnsiTheme="majorEastAsia" w:eastAsiaTheme="majorEastAsia" w:cstheme="majorEastAsia"/>
                <w:b/>
                <w:sz w:val="21"/>
                <w:szCs w:val="21"/>
              </w:rPr>
              <w:t xml:space="preserve">              年   月   日</w:t>
            </w:r>
          </w:p>
        </w:tc>
      </w:tr>
    </w:tbl>
    <w:p w14:paraId="7EAFA4B1">
      <w:pPr>
        <w:spacing w:before="4"/>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 xml:space="preserve">  注：填不下时可另加附页</w:t>
      </w:r>
    </w:p>
    <w:p w14:paraId="7EC7279C">
      <w:pPr>
        <w:pageBreakBefore w:val="0"/>
        <w:kinsoku/>
        <w:wordWrap/>
        <w:topLinePunct w:val="0"/>
        <w:bidi w:val="0"/>
        <w:spacing w:before="4" w:line="312" w:lineRule="auto"/>
        <w:jc w:val="center"/>
        <w:rPr>
          <w:rFonts w:hint="eastAsia" w:ascii="宋体" w:hAnsi="宋体" w:cs="宋体"/>
          <w:color w:val="auto"/>
          <w:sz w:val="6"/>
          <w:szCs w:val="6"/>
          <w:highlight w:val="none"/>
        </w:rPr>
      </w:pPr>
    </w:p>
    <w:p w14:paraId="0C89C67D">
      <w:pPr>
        <w:keepNext/>
        <w:keepLines/>
        <w:widowControl w:val="0"/>
        <w:spacing w:before="340" w:after="330" w:line="578" w:lineRule="auto"/>
        <w:jc w:val="both"/>
        <w:outlineLvl w:val="9"/>
        <w:rPr>
          <w:rFonts w:hint="eastAsia" w:ascii="宋体" w:hAnsi="宋体" w:eastAsia="宋体" w:cs="宋体"/>
          <w:b/>
          <w:bCs/>
          <w:color w:val="auto"/>
          <w:kern w:val="44"/>
          <w:sz w:val="6"/>
          <w:szCs w:val="6"/>
          <w:highlight w:val="none"/>
          <w:lang w:val="en-US" w:eastAsia="zh-CN" w:bidi="ar-SA"/>
        </w:rPr>
      </w:pPr>
    </w:p>
    <w:p w14:paraId="3E2D57DD">
      <w:pPr>
        <w:rPr>
          <w:rFonts w:hint="eastAsia" w:ascii="宋体" w:hAnsi="宋体" w:cs="宋体"/>
          <w:color w:val="auto"/>
          <w:sz w:val="6"/>
          <w:szCs w:val="6"/>
          <w:highlight w:val="none"/>
        </w:rPr>
      </w:pPr>
    </w:p>
    <w:p w14:paraId="2219C2E5">
      <w:pPr>
        <w:pageBreakBefore w:val="0"/>
        <w:kinsoku/>
        <w:wordWrap/>
        <w:topLinePunct w:val="0"/>
        <w:bidi w:val="0"/>
        <w:spacing w:line="312" w:lineRule="auto"/>
        <w:ind w:firstLine="640" w:firstLineChars="200"/>
        <w:rPr>
          <w:rFonts w:hint="eastAsia" w:ascii="黑体" w:hAnsi="黑体" w:eastAsia="黑体" w:cs="黑体"/>
          <w:bCs/>
          <w:color w:val="auto"/>
          <w:sz w:val="32"/>
          <w:szCs w:val="32"/>
          <w:highlight w:val="none"/>
        </w:rPr>
      </w:pPr>
    </w:p>
    <w:sectPr>
      <w:pgSz w:w="11906" w:h="16838"/>
      <w:pgMar w:top="1440" w:right="1440" w:bottom="1440" w:left="1587"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moder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3FD7732-2C32-4E4E-BE21-1BF497A56E68}"/>
  </w:font>
  <w:font w:name="Courier New">
    <w:panose1 w:val="02070309020205020404"/>
    <w:charset w:val="01"/>
    <w:family w:val="modern"/>
    <w:pitch w:val="default"/>
    <w:sig w:usb0="E0002EFF" w:usb1="C0007843" w:usb2="00000009" w:usb3="00000000" w:csb0="400001FF" w:csb1="FFFF0000"/>
    <w:embedRegular r:id="rId2" w:fontKey="{4BADE4E9-64EA-450A-B4EA-F655FF030F7F}"/>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Heiti SC Medium">
    <w:altName w:val="微软雅黑"/>
    <w:panose1 w:val="00000000000000000000"/>
    <w:charset w:val="86"/>
    <w:family w:val="auto"/>
    <w:pitch w:val="default"/>
    <w:sig w:usb0="00000000" w:usb1="00000000" w:usb2="00000000" w:usb3="00000000" w:csb0="203E0000" w:csb1="00000000"/>
  </w:font>
  <w:font w:name="微软雅黑">
    <w:panose1 w:val="020B0503020204020204"/>
    <w:charset w:val="86"/>
    <w:family w:val="auto"/>
    <w:pitch w:val="default"/>
    <w:sig w:usb0="80000287" w:usb1="2ACF3C50" w:usb2="00000016" w:usb3="00000000" w:csb0="0004001F" w:csb1="00000000"/>
    <w:embedRegular r:id="rId3" w:fontKey="{FD075626-6455-43C7-8637-02BE6108B59E}"/>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embedRegular r:id="rId4" w:fontKey="{7E7C745A-2D70-4D94-81C6-7BA24A786505}"/>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embedRegular r:id="rId5" w:fontKey="{FC108497-C24B-425D-B382-BFD7C2C9D58C}"/>
  </w:font>
  <w:font w:name="方正小标宋简体">
    <w:panose1 w:val="02000000000000000000"/>
    <w:charset w:val="86"/>
    <w:family w:val="script"/>
    <w:pitch w:val="default"/>
    <w:sig w:usb0="00000001" w:usb1="08000000" w:usb2="00000000" w:usb3="00000000" w:csb0="00040000" w:csb1="00000000"/>
    <w:embedRegular r:id="rId6" w:fontKey="{386F4FC9-243E-4E92-B3BC-4E3AA8E72666}"/>
  </w:font>
  <w:font w:name="隶书">
    <w:altName w:val="微软雅黑"/>
    <w:panose1 w:val="02010509060101010101"/>
    <w:charset w:val="86"/>
    <w:family w:val="modern"/>
    <w:pitch w:val="default"/>
    <w:sig w:usb0="00000000" w:usb1="00000000" w:usb2="00000000" w:usb3="00000000" w:csb0="00040000" w:csb1="00000000"/>
    <w:embedRegular r:id="rId7" w:fontKey="{CD40CF0C-A0D0-4352-AE76-1350474D58B8}"/>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272B53">
    <w:pPr>
      <w:pStyle w:val="21"/>
      <w:tabs>
        <w:tab w:val="center" w:pos="4439"/>
        <w:tab w:val="clear" w:pos="4153"/>
      </w:tabs>
      <w:jc w:val="both"/>
    </w:pPr>
  </w:p>
  <w:p w14:paraId="5C2A6190">
    <w:pPr>
      <w:pStyle w:val="2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B30CB4">
    <w:pPr>
      <w:pStyle w:val="21"/>
      <w:tabs>
        <w:tab w:val="center" w:pos="4439"/>
        <w:tab w:val="clear" w:pos="4153"/>
      </w:tabs>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51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5F6ED23"/>
                      </w:txbxContent>
                    </wps:txbx>
                    <wps:bodyPr wrap="none" lIns="0" tIns="0" rIns="0" bIns="0" upright="0">
                      <a:spAutoFit/>
                    </wps:bodyPr>
                  </wps:wsp>
                </a:graphicData>
              </a:graphic>
            </wp:anchor>
          </w:drawing>
        </mc:Choice>
        <mc:Fallback>
          <w:pict>
            <v:shape id="文本框 51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JFamc3LAQAAnAMAAA4AAAAAAAAAAQAgAAAAHgEAAGRycy9lMm9E&#10;b2MueG1sUEsFBgAAAAAGAAYAWQEAAFsFAAAAAA==&#10;">
              <v:fill on="f" focussize="0,0"/>
              <v:stroke on="f"/>
              <v:imagedata o:title=""/>
              <o:lock v:ext="edit" aspectratio="f"/>
              <v:textbox inset="0mm,0mm,0mm,0mm" style="mso-fit-shape-to-text:t;">
                <w:txbxContent>
                  <w:p w14:paraId="25F6ED23"/>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218DC8">
    <w:pPr>
      <w:pStyle w:val="21"/>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69C887">
                          <w:pPr>
                            <w:pStyle w:val="2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5969C887">
                    <w:pPr>
                      <w:pStyle w:val="2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B1DC27">
    <w:pPr>
      <w:pStyle w:val="21"/>
      <w:tabs>
        <w:tab w:val="center" w:pos="4439"/>
        <w:tab w:val="clear" w:pos="4153"/>
      </w:tabs>
      <w:jc w:val="both"/>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E74614">
                          <w:pPr>
                            <w:pStyle w:val="2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43E74614">
                    <w:pPr>
                      <w:pStyle w:val="21"/>
                    </w:pPr>
                    <w:r>
                      <w:fldChar w:fldCharType="begin"/>
                    </w:r>
                    <w:r>
                      <w:instrText xml:space="preserve"> PAGE  \* MERGEFORMAT </w:instrText>
                    </w:r>
                    <w:r>
                      <w:fldChar w:fldCharType="separate"/>
                    </w:r>
                    <w:r>
                      <w:t>1</w:t>
                    </w:r>
                    <w:r>
                      <w:fldChar w:fldCharType="end"/>
                    </w:r>
                  </w:p>
                </w:txbxContent>
              </v:textbox>
            </v:shape>
          </w:pict>
        </mc:Fallback>
      </mc:AlternateContent>
    </w:r>
  </w:p>
  <w:p w14:paraId="2CFDA27E">
    <w:pPr>
      <w:pStyle w:val="21"/>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AB7479">
    <w:pPr>
      <w:pStyle w:val="21"/>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479986">
                          <w:pPr>
                            <w:pStyle w:val="21"/>
                          </w:pPr>
                          <w:r>
                            <w:fldChar w:fldCharType="begin"/>
                          </w:r>
                          <w:r>
                            <w:instrText xml:space="preserve"> PAGE  \* MERGEFORMAT </w:instrText>
                          </w:r>
                          <w:r>
                            <w:fldChar w:fldCharType="separate"/>
                          </w:r>
                          <w:r>
                            <w:t>40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48479986">
                    <w:pPr>
                      <w:pStyle w:val="21"/>
                    </w:pPr>
                    <w:r>
                      <w:fldChar w:fldCharType="begin"/>
                    </w:r>
                    <w:r>
                      <w:instrText xml:space="preserve"> PAGE  \* MERGEFORMAT </w:instrText>
                    </w:r>
                    <w:r>
                      <w:fldChar w:fldCharType="separate"/>
                    </w:r>
                    <w:r>
                      <w:t>40</w:t>
                    </w:r>
                    <w:r>
                      <w:fldChar w:fldCharType="end"/>
                    </w:r>
                  </w:p>
                </w:txbxContent>
              </v:textbox>
            </v:shape>
          </w:pict>
        </mc:Fallback>
      </mc:AlternateContent>
    </w:r>
  </w:p>
  <w:p w14:paraId="226A4482">
    <w:pPr>
      <w:pStyle w:val="21"/>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1595EC">
    <w:pPr>
      <w:pStyle w:val="21"/>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F27A4E">
                          <w:pPr>
                            <w:pStyle w:val="21"/>
                          </w:pPr>
                          <w:r>
                            <w:fldChar w:fldCharType="begin"/>
                          </w:r>
                          <w:r>
                            <w:instrText xml:space="preserve"> PAGE  \* MERGEFORMAT </w:instrText>
                          </w:r>
                          <w:r>
                            <w:fldChar w:fldCharType="separate"/>
                          </w:r>
                          <w:r>
                            <w:t>39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02F27A4E">
                    <w:pPr>
                      <w:pStyle w:val="21"/>
                    </w:pPr>
                    <w:r>
                      <w:fldChar w:fldCharType="begin"/>
                    </w:r>
                    <w:r>
                      <w:instrText xml:space="preserve"> PAGE  \* MERGEFORMAT </w:instrText>
                    </w:r>
                    <w:r>
                      <w:fldChar w:fldCharType="separate"/>
                    </w:r>
                    <w:r>
                      <w:t>39</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27F48B">
    <w:pPr>
      <w:pStyle w:val="2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3FD74B">
    <w:pPr>
      <w:pStyle w:val="2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EDF8AC"/>
    <w:multiLevelType w:val="singleLevel"/>
    <w:tmpl w:val="E2EDF8AC"/>
    <w:lvl w:ilvl="0" w:tentative="0">
      <w:start w:val="7"/>
      <w:numFmt w:val="chineseCounting"/>
      <w:suff w:val="space"/>
      <w:lvlText w:val="第%1条"/>
      <w:lvlJc w:val="left"/>
      <w:rPr>
        <w:rFonts w:hint="eastAsia"/>
      </w:rPr>
    </w:lvl>
  </w:abstractNum>
  <w:abstractNum w:abstractNumId="1">
    <w:nsid w:val="EB8CEB78"/>
    <w:multiLevelType w:val="singleLevel"/>
    <w:tmpl w:val="EB8CEB78"/>
    <w:lvl w:ilvl="0" w:tentative="0">
      <w:start w:val="3"/>
      <w:numFmt w:val="chineseCounting"/>
      <w:suff w:val="space"/>
      <w:lvlText w:val="第%1章"/>
      <w:lvlJc w:val="left"/>
      <w:rPr>
        <w:rFonts w:hint="eastAsia"/>
      </w:rPr>
    </w:lvl>
  </w:abstractNum>
  <w:abstractNum w:abstractNumId="2">
    <w:nsid w:val="09FF06E9"/>
    <w:multiLevelType w:val="singleLevel"/>
    <w:tmpl w:val="09FF06E9"/>
    <w:lvl w:ilvl="0" w:tentative="0">
      <w:start w:val="5"/>
      <w:numFmt w:val="chineseCounting"/>
      <w:suff w:val="space"/>
      <w:lvlText w:val="第%1条"/>
      <w:lvlJc w:val="left"/>
      <w:rPr>
        <w:rFonts w:hint="eastAsia"/>
      </w:rPr>
    </w:lvl>
  </w:abstractNum>
  <w:abstractNum w:abstractNumId="3">
    <w:nsid w:val="61CE75DC"/>
    <w:multiLevelType w:val="multilevel"/>
    <w:tmpl w:val="61CE75DC"/>
    <w:lvl w:ilvl="0" w:tentative="0">
      <w:start w:val="1"/>
      <w:numFmt w:val="chineseCounting"/>
      <w:suff w:val="nothing"/>
      <w:lvlText w:val="（%1）"/>
      <w:lvlJc w:val="left"/>
      <w:pPr>
        <w:tabs>
          <w:tab w:val="left" w:pos="0"/>
        </w:tabs>
        <w:ind w:left="0" w:firstLine="0"/>
      </w:pPr>
      <w:rPr>
        <w:rFonts w:hint="eastAsia" w:ascii="宋体" w:hAnsi="宋体" w:eastAsia="宋体" w:cs="宋体"/>
      </w:rPr>
    </w:lvl>
    <w:lvl w:ilvl="1" w:tentative="0">
      <w:start w:val="1"/>
      <w:numFmt w:val="decimal"/>
      <w:lvlText w:val="%2."/>
      <w:lvlJc w:val="left"/>
      <w:pPr>
        <w:tabs>
          <w:tab w:val="left" w:pos="420"/>
        </w:tabs>
        <w:ind w:left="0" w:firstLine="0"/>
      </w:pPr>
      <w:rPr>
        <w:rFonts w:hint="eastAsia" w:ascii="宋体" w:hAnsi="宋体" w:eastAsia="Heiti SC Medium" w:cs="Heiti SC Medium"/>
        <w:sz w:val="32"/>
      </w:rPr>
    </w:lvl>
    <w:lvl w:ilvl="2" w:tentative="0">
      <w:start w:val="1"/>
      <w:numFmt w:val="decimal"/>
      <w:pStyle w:val="4"/>
      <w:suff w:val="space"/>
      <w:lvlText w:val="%2.%3"/>
      <w:lvlJc w:val="left"/>
      <w:pPr>
        <w:tabs>
          <w:tab w:val="left" w:pos="420"/>
        </w:tabs>
        <w:ind w:left="0" w:firstLine="400"/>
      </w:pPr>
      <w:rPr>
        <w:rFonts w:hint="eastAsia" w:ascii="宋体" w:hAnsi="宋体" w:eastAsia="宋体" w:cs="宋体"/>
      </w:rPr>
    </w:lvl>
    <w:lvl w:ilvl="3" w:tentative="0">
      <w:start w:val="1"/>
      <w:numFmt w:val="decimal"/>
      <w:suff w:val="space"/>
      <w:lvlText w:val="%2.%3.%4"/>
      <w:lvlJc w:val="left"/>
      <w:pPr>
        <w:tabs>
          <w:tab w:val="left" w:pos="420"/>
        </w:tabs>
        <w:ind w:left="567" w:hanging="165"/>
      </w:pPr>
      <w:rPr>
        <w:rFonts w:hint="eastAsia" w:ascii="宋体" w:hAnsi="宋体" w:eastAsia="宋体" w:cs="宋体"/>
      </w:rPr>
    </w:lvl>
    <w:lvl w:ilvl="4" w:tentative="0">
      <w:start w:val="1"/>
      <w:numFmt w:val="decimal"/>
      <w:suff w:val="space"/>
      <w:lvlText w:val="%3.%4.%5"/>
      <w:lvlJc w:val="left"/>
      <w:pPr>
        <w:tabs>
          <w:tab w:val="left" w:pos="0"/>
        </w:tabs>
        <w:ind w:left="0" w:firstLine="402"/>
      </w:pPr>
      <w:rPr>
        <w:rFonts w:hint="eastAsia" w:ascii="宋体" w:hAnsi="宋体" w:eastAsia="宋体" w:cs="宋体"/>
      </w:rPr>
    </w:lvl>
    <w:lvl w:ilvl="5" w:tentative="0">
      <w:start w:val="1"/>
      <w:numFmt w:val="decimal"/>
      <w:suff w:val="space"/>
      <w:lvlText w:val="%3.%4.%5.%6"/>
      <w:lvlJc w:val="left"/>
      <w:pPr>
        <w:tabs>
          <w:tab w:val="left" w:pos="420"/>
        </w:tabs>
        <w:ind w:left="0" w:firstLine="402"/>
      </w:pPr>
      <w:rPr>
        <w:rFonts w:hint="eastAsia" w:ascii="宋体" w:hAnsi="宋体" w:eastAsia="宋体" w:cs="宋体"/>
      </w:rPr>
    </w:lvl>
    <w:lvl w:ilvl="6" w:tentative="0">
      <w:start w:val="1"/>
      <w:numFmt w:val="decimalFullWidth"/>
      <w:suff w:val="space"/>
      <w:lvlText w:val="%3.%4.%5.%6.%7"/>
      <w:lvlJc w:val="left"/>
      <w:pPr>
        <w:tabs>
          <w:tab w:val="left" w:pos="420"/>
        </w:tabs>
        <w:ind w:left="0" w:firstLine="402"/>
      </w:pPr>
      <w:rPr>
        <w:rFonts w:hint="eastAsia" w:ascii="宋体" w:hAnsi="宋体" w:eastAsia="宋体" w:cs="宋体"/>
      </w:rPr>
    </w:lvl>
    <w:lvl w:ilvl="7" w:tentative="0">
      <w:start w:val="1"/>
      <w:numFmt w:val="decimalFullWidth"/>
      <w:suff w:val="space"/>
      <w:lvlText w:val="%8）"/>
      <w:lvlJc w:val="left"/>
      <w:pPr>
        <w:tabs>
          <w:tab w:val="left" w:pos="420"/>
        </w:tabs>
        <w:ind w:left="0" w:firstLine="402"/>
      </w:pPr>
      <w:rPr>
        <w:rFonts w:hint="eastAsia" w:ascii="宋体" w:hAnsi="宋体" w:eastAsia="宋体" w:cs="宋体"/>
      </w:rPr>
    </w:lvl>
    <w:lvl w:ilvl="8" w:tentative="0">
      <w:start w:val="1"/>
      <w:numFmt w:val="decimalEnclosedCircleChinese"/>
      <w:suff w:val="space"/>
      <w:lvlText w:val="%9 "/>
      <w:lvlJc w:val="left"/>
      <w:pPr>
        <w:tabs>
          <w:tab w:val="left" w:pos="420"/>
        </w:tabs>
        <w:ind w:left="0" w:firstLine="402"/>
      </w:pPr>
      <w:rPr>
        <w:rFonts w:hint="eastAsia" w:ascii="宋体" w:hAnsi="宋体" w:eastAsia="宋体" w:cs="宋体"/>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0" w:hash="4/iiu/pM8oX4s3NeK+1Ds224nME=" w:salt="XUTw4LSArN1bF4J0Tu6Hlw=="/>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5,6,7"/>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M4ZTAzNDAwNmQ4NjNkMjZjMmUyYTE5Yjk5ZmI1OGYifQ=="/>
  </w:docVars>
  <w:rsids>
    <w:rsidRoot w:val="00F34B14"/>
    <w:rsid w:val="00000672"/>
    <w:rsid w:val="00001013"/>
    <w:rsid w:val="00001799"/>
    <w:rsid w:val="00001AF2"/>
    <w:rsid w:val="00001ECA"/>
    <w:rsid w:val="00002D29"/>
    <w:rsid w:val="00003B93"/>
    <w:rsid w:val="0000474D"/>
    <w:rsid w:val="00005FDF"/>
    <w:rsid w:val="000070B3"/>
    <w:rsid w:val="000076B8"/>
    <w:rsid w:val="000109DC"/>
    <w:rsid w:val="00010D39"/>
    <w:rsid w:val="0001172C"/>
    <w:rsid w:val="00011BC9"/>
    <w:rsid w:val="00012854"/>
    <w:rsid w:val="00012EA6"/>
    <w:rsid w:val="00013359"/>
    <w:rsid w:val="000139CF"/>
    <w:rsid w:val="00013AA4"/>
    <w:rsid w:val="00013DFE"/>
    <w:rsid w:val="000141EA"/>
    <w:rsid w:val="00016ABC"/>
    <w:rsid w:val="000177DB"/>
    <w:rsid w:val="000179C9"/>
    <w:rsid w:val="00017CCC"/>
    <w:rsid w:val="00020227"/>
    <w:rsid w:val="00020263"/>
    <w:rsid w:val="00020455"/>
    <w:rsid w:val="00020813"/>
    <w:rsid w:val="000220B2"/>
    <w:rsid w:val="0002264C"/>
    <w:rsid w:val="00022731"/>
    <w:rsid w:val="00022792"/>
    <w:rsid w:val="00024463"/>
    <w:rsid w:val="00025461"/>
    <w:rsid w:val="00025636"/>
    <w:rsid w:val="00025E36"/>
    <w:rsid w:val="00026855"/>
    <w:rsid w:val="00026886"/>
    <w:rsid w:val="0002785D"/>
    <w:rsid w:val="000329E0"/>
    <w:rsid w:val="000352E9"/>
    <w:rsid w:val="00035494"/>
    <w:rsid w:val="00036125"/>
    <w:rsid w:val="00036A07"/>
    <w:rsid w:val="0003780B"/>
    <w:rsid w:val="00040571"/>
    <w:rsid w:val="00040973"/>
    <w:rsid w:val="0004156E"/>
    <w:rsid w:val="00041713"/>
    <w:rsid w:val="0004440C"/>
    <w:rsid w:val="00046B5E"/>
    <w:rsid w:val="000470CB"/>
    <w:rsid w:val="000509D9"/>
    <w:rsid w:val="00051ACB"/>
    <w:rsid w:val="000533E7"/>
    <w:rsid w:val="00055D41"/>
    <w:rsid w:val="00057CD6"/>
    <w:rsid w:val="00060DCE"/>
    <w:rsid w:val="000610E3"/>
    <w:rsid w:val="000614F3"/>
    <w:rsid w:val="000623B4"/>
    <w:rsid w:val="00062405"/>
    <w:rsid w:val="000634A7"/>
    <w:rsid w:val="00063B0B"/>
    <w:rsid w:val="00063F81"/>
    <w:rsid w:val="00064847"/>
    <w:rsid w:val="00065E08"/>
    <w:rsid w:val="000673E2"/>
    <w:rsid w:val="0007063F"/>
    <w:rsid w:val="000707FD"/>
    <w:rsid w:val="00070949"/>
    <w:rsid w:val="000711E4"/>
    <w:rsid w:val="000724D9"/>
    <w:rsid w:val="00072AED"/>
    <w:rsid w:val="00073F47"/>
    <w:rsid w:val="0007492F"/>
    <w:rsid w:val="00074ED8"/>
    <w:rsid w:val="00075B7E"/>
    <w:rsid w:val="00077ACA"/>
    <w:rsid w:val="00077C70"/>
    <w:rsid w:val="000813B5"/>
    <w:rsid w:val="00081BA3"/>
    <w:rsid w:val="00081D2E"/>
    <w:rsid w:val="00081F89"/>
    <w:rsid w:val="00082619"/>
    <w:rsid w:val="00082D02"/>
    <w:rsid w:val="00083871"/>
    <w:rsid w:val="00083B91"/>
    <w:rsid w:val="0008473C"/>
    <w:rsid w:val="0008520B"/>
    <w:rsid w:val="000860BD"/>
    <w:rsid w:val="000871B8"/>
    <w:rsid w:val="000916DA"/>
    <w:rsid w:val="00092442"/>
    <w:rsid w:val="000929EF"/>
    <w:rsid w:val="000933BE"/>
    <w:rsid w:val="0009560F"/>
    <w:rsid w:val="0009588E"/>
    <w:rsid w:val="000959EE"/>
    <w:rsid w:val="00097183"/>
    <w:rsid w:val="000972CB"/>
    <w:rsid w:val="00097608"/>
    <w:rsid w:val="000A13F3"/>
    <w:rsid w:val="000A23B1"/>
    <w:rsid w:val="000A2B0E"/>
    <w:rsid w:val="000A398F"/>
    <w:rsid w:val="000A448C"/>
    <w:rsid w:val="000A509C"/>
    <w:rsid w:val="000A54A7"/>
    <w:rsid w:val="000A6007"/>
    <w:rsid w:val="000A65A6"/>
    <w:rsid w:val="000A70E3"/>
    <w:rsid w:val="000A7275"/>
    <w:rsid w:val="000A7A12"/>
    <w:rsid w:val="000A7A72"/>
    <w:rsid w:val="000B1202"/>
    <w:rsid w:val="000B1801"/>
    <w:rsid w:val="000B1D0C"/>
    <w:rsid w:val="000B2273"/>
    <w:rsid w:val="000B2BC6"/>
    <w:rsid w:val="000B2D03"/>
    <w:rsid w:val="000B3815"/>
    <w:rsid w:val="000B3C7B"/>
    <w:rsid w:val="000B4321"/>
    <w:rsid w:val="000B6A6B"/>
    <w:rsid w:val="000B6C95"/>
    <w:rsid w:val="000B79FC"/>
    <w:rsid w:val="000C1679"/>
    <w:rsid w:val="000C1EE3"/>
    <w:rsid w:val="000C3AE7"/>
    <w:rsid w:val="000C3CC9"/>
    <w:rsid w:val="000C6DE4"/>
    <w:rsid w:val="000C7202"/>
    <w:rsid w:val="000D0A89"/>
    <w:rsid w:val="000D1389"/>
    <w:rsid w:val="000D1798"/>
    <w:rsid w:val="000D2626"/>
    <w:rsid w:val="000D411D"/>
    <w:rsid w:val="000D4589"/>
    <w:rsid w:val="000D4809"/>
    <w:rsid w:val="000D73DD"/>
    <w:rsid w:val="000E1C51"/>
    <w:rsid w:val="000E28AB"/>
    <w:rsid w:val="000E2E3E"/>
    <w:rsid w:val="000E3583"/>
    <w:rsid w:val="000E3AF0"/>
    <w:rsid w:val="000E4E04"/>
    <w:rsid w:val="000E693B"/>
    <w:rsid w:val="000E6EC9"/>
    <w:rsid w:val="000E70B4"/>
    <w:rsid w:val="000E7B62"/>
    <w:rsid w:val="000F0E1E"/>
    <w:rsid w:val="000F1A1B"/>
    <w:rsid w:val="000F2A95"/>
    <w:rsid w:val="000F3281"/>
    <w:rsid w:val="000F32FD"/>
    <w:rsid w:val="000F3733"/>
    <w:rsid w:val="000F5F8B"/>
    <w:rsid w:val="000F6153"/>
    <w:rsid w:val="000F64AA"/>
    <w:rsid w:val="000F7AF4"/>
    <w:rsid w:val="000F7C33"/>
    <w:rsid w:val="000F7F0C"/>
    <w:rsid w:val="001004D6"/>
    <w:rsid w:val="00102676"/>
    <w:rsid w:val="00103646"/>
    <w:rsid w:val="00103918"/>
    <w:rsid w:val="00104897"/>
    <w:rsid w:val="00104EDE"/>
    <w:rsid w:val="00105CDA"/>
    <w:rsid w:val="00106BEE"/>
    <w:rsid w:val="00107C74"/>
    <w:rsid w:val="0011091C"/>
    <w:rsid w:val="00111266"/>
    <w:rsid w:val="001112EB"/>
    <w:rsid w:val="00113678"/>
    <w:rsid w:val="00113C3E"/>
    <w:rsid w:val="00115E11"/>
    <w:rsid w:val="00115EEE"/>
    <w:rsid w:val="00115F56"/>
    <w:rsid w:val="00116CA9"/>
    <w:rsid w:val="00116F38"/>
    <w:rsid w:val="001170A4"/>
    <w:rsid w:val="00117AE7"/>
    <w:rsid w:val="00117CBD"/>
    <w:rsid w:val="0012006A"/>
    <w:rsid w:val="00121979"/>
    <w:rsid w:val="00122064"/>
    <w:rsid w:val="00124341"/>
    <w:rsid w:val="00124492"/>
    <w:rsid w:val="00124B12"/>
    <w:rsid w:val="001250A0"/>
    <w:rsid w:val="001263B8"/>
    <w:rsid w:val="00130217"/>
    <w:rsid w:val="00130783"/>
    <w:rsid w:val="00130A47"/>
    <w:rsid w:val="00132B47"/>
    <w:rsid w:val="001337F8"/>
    <w:rsid w:val="001348B4"/>
    <w:rsid w:val="001351CB"/>
    <w:rsid w:val="00135530"/>
    <w:rsid w:val="00135947"/>
    <w:rsid w:val="001359A2"/>
    <w:rsid w:val="00135F92"/>
    <w:rsid w:val="00136020"/>
    <w:rsid w:val="00136445"/>
    <w:rsid w:val="00140132"/>
    <w:rsid w:val="00141C9C"/>
    <w:rsid w:val="0014277F"/>
    <w:rsid w:val="001434BE"/>
    <w:rsid w:val="00144050"/>
    <w:rsid w:val="0014479F"/>
    <w:rsid w:val="001452B4"/>
    <w:rsid w:val="00145320"/>
    <w:rsid w:val="001476D3"/>
    <w:rsid w:val="001509CF"/>
    <w:rsid w:val="00150D1D"/>
    <w:rsid w:val="001525AA"/>
    <w:rsid w:val="00152A87"/>
    <w:rsid w:val="00153BB5"/>
    <w:rsid w:val="00154518"/>
    <w:rsid w:val="00156359"/>
    <w:rsid w:val="00156DD6"/>
    <w:rsid w:val="0016086E"/>
    <w:rsid w:val="00160D0C"/>
    <w:rsid w:val="00161172"/>
    <w:rsid w:val="00161998"/>
    <w:rsid w:val="00161E65"/>
    <w:rsid w:val="00162597"/>
    <w:rsid w:val="001629AF"/>
    <w:rsid w:val="001629FD"/>
    <w:rsid w:val="0016428A"/>
    <w:rsid w:val="001647C9"/>
    <w:rsid w:val="00165627"/>
    <w:rsid w:val="001661A3"/>
    <w:rsid w:val="00167226"/>
    <w:rsid w:val="0016782B"/>
    <w:rsid w:val="0016784D"/>
    <w:rsid w:val="00172CA8"/>
    <w:rsid w:val="00173256"/>
    <w:rsid w:val="00173B0E"/>
    <w:rsid w:val="00173E03"/>
    <w:rsid w:val="0017512C"/>
    <w:rsid w:val="0017586A"/>
    <w:rsid w:val="00175BA6"/>
    <w:rsid w:val="00176CA7"/>
    <w:rsid w:val="00176F8E"/>
    <w:rsid w:val="001778C5"/>
    <w:rsid w:val="00177E56"/>
    <w:rsid w:val="00177F0A"/>
    <w:rsid w:val="00180DA0"/>
    <w:rsid w:val="00181EAD"/>
    <w:rsid w:val="00182862"/>
    <w:rsid w:val="00184F57"/>
    <w:rsid w:val="00185544"/>
    <w:rsid w:val="00185617"/>
    <w:rsid w:val="00186FE1"/>
    <w:rsid w:val="00187A14"/>
    <w:rsid w:val="0019171E"/>
    <w:rsid w:val="00192368"/>
    <w:rsid w:val="001923A0"/>
    <w:rsid w:val="001928B1"/>
    <w:rsid w:val="00193537"/>
    <w:rsid w:val="00193846"/>
    <w:rsid w:val="00195424"/>
    <w:rsid w:val="001955FF"/>
    <w:rsid w:val="00197EDD"/>
    <w:rsid w:val="001A02B3"/>
    <w:rsid w:val="001A04BB"/>
    <w:rsid w:val="001A08D0"/>
    <w:rsid w:val="001A1B39"/>
    <w:rsid w:val="001A2120"/>
    <w:rsid w:val="001A28C6"/>
    <w:rsid w:val="001A2E69"/>
    <w:rsid w:val="001A3C34"/>
    <w:rsid w:val="001A3EDE"/>
    <w:rsid w:val="001A4222"/>
    <w:rsid w:val="001A50EA"/>
    <w:rsid w:val="001A5E24"/>
    <w:rsid w:val="001A6B27"/>
    <w:rsid w:val="001A6D8B"/>
    <w:rsid w:val="001A6DAA"/>
    <w:rsid w:val="001A7717"/>
    <w:rsid w:val="001A793A"/>
    <w:rsid w:val="001B125A"/>
    <w:rsid w:val="001B1EBA"/>
    <w:rsid w:val="001B2142"/>
    <w:rsid w:val="001B2F2B"/>
    <w:rsid w:val="001B327A"/>
    <w:rsid w:val="001B35DE"/>
    <w:rsid w:val="001B3A13"/>
    <w:rsid w:val="001B3F5C"/>
    <w:rsid w:val="001B59FF"/>
    <w:rsid w:val="001B6512"/>
    <w:rsid w:val="001B65D7"/>
    <w:rsid w:val="001B6752"/>
    <w:rsid w:val="001B6768"/>
    <w:rsid w:val="001B6F1F"/>
    <w:rsid w:val="001B7ECC"/>
    <w:rsid w:val="001C025B"/>
    <w:rsid w:val="001C115F"/>
    <w:rsid w:val="001C1EAB"/>
    <w:rsid w:val="001C25A7"/>
    <w:rsid w:val="001C318C"/>
    <w:rsid w:val="001C35C4"/>
    <w:rsid w:val="001C4287"/>
    <w:rsid w:val="001C4479"/>
    <w:rsid w:val="001C5190"/>
    <w:rsid w:val="001C6081"/>
    <w:rsid w:val="001C7B48"/>
    <w:rsid w:val="001D0CFB"/>
    <w:rsid w:val="001D1A0D"/>
    <w:rsid w:val="001D343C"/>
    <w:rsid w:val="001D58A1"/>
    <w:rsid w:val="001D58C2"/>
    <w:rsid w:val="001D5A8A"/>
    <w:rsid w:val="001D61CA"/>
    <w:rsid w:val="001D6E87"/>
    <w:rsid w:val="001D735E"/>
    <w:rsid w:val="001D73C8"/>
    <w:rsid w:val="001D7BC6"/>
    <w:rsid w:val="001E129E"/>
    <w:rsid w:val="001E175C"/>
    <w:rsid w:val="001E1B0E"/>
    <w:rsid w:val="001E3B63"/>
    <w:rsid w:val="001E5A94"/>
    <w:rsid w:val="001F2A2E"/>
    <w:rsid w:val="001F3356"/>
    <w:rsid w:val="001F3C63"/>
    <w:rsid w:val="001F4460"/>
    <w:rsid w:val="001F711A"/>
    <w:rsid w:val="001F75B0"/>
    <w:rsid w:val="00200CE5"/>
    <w:rsid w:val="00200F7C"/>
    <w:rsid w:val="002014DB"/>
    <w:rsid w:val="0020150B"/>
    <w:rsid w:val="00201E12"/>
    <w:rsid w:val="002033B5"/>
    <w:rsid w:val="0020382C"/>
    <w:rsid w:val="0020437A"/>
    <w:rsid w:val="0020454C"/>
    <w:rsid w:val="00204740"/>
    <w:rsid w:val="00205129"/>
    <w:rsid w:val="0020521F"/>
    <w:rsid w:val="0020532C"/>
    <w:rsid w:val="002114C7"/>
    <w:rsid w:val="0021302C"/>
    <w:rsid w:val="00213B1C"/>
    <w:rsid w:val="00214202"/>
    <w:rsid w:val="002148E3"/>
    <w:rsid w:val="0021552D"/>
    <w:rsid w:val="002156AE"/>
    <w:rsid w:val="00215E99"/>
    <w:rsid w:val="0022054D"/>
    <w:rsid w:val="00223DDB"/>
    <w:rsid w:val="00223FA4"/>
    <w:rsid w:val="00223FB0"/>
    <w:rsid w:val="00224067"/>
    <w:rsid w:val="0022421C"/>
    <w:rsid w:val="00224E83"/>
    <w:rsid w:val="00225664"/>
    <w:rsid w:val="0022663D"/>
    <w:rsid w:val="00227F2D"/>
    <w:rsid w:val="00231851"/>
    <w:rsid w:val="002319FB"/>
    <w:rsid w:val="00231B89"/>
    <w:rsid w:val="00231F11"/>
    <w:rsid w:val="00231F5E"/>
    <w:rsid w:val="002346B4"/>
    <w:rsid w:val="00234F6E"/>
    <w:rsid w:val="002355BE"/>
    <w:rsid w:val="002358EA"/>
    <w:rsid w:val="00236578"/>
    <w:rsid w:val="00236DE9"/>
    <w:rsid w:val="00237342"/>
    <w:rsid w:val="00237D5A"/>
    <w:rsid w:val="002415AE"/>
    <w:rsid w:val="00241D3C"/>
    <w:rsid w:val="00242109"/>
    <w:rsid w:val="00243189"/>
    <w:rsid w:val="002439AB"/>
    <w:rsid w:val="00243C19"/>
    <w:rsid w:val="00244AE8"/>
    <w:rsid w:val="00244DC9"/>
    <w:rsid w:val="00245587"/>
    <w:rsid w:val="00245F2B"/>
    <w:rsid w:val="00247F3A"/>
    <w:rsid w:val="00250122"/>
    <w:rsid w:val="00250755"/>
    <w:rsid w:val="00251043"/>
    <w:rsid w:val="00251C4A"/>
    <w:rsid w:val="0025271C"/>
    <w:rsid w:val="002533CD"/>
    <w:rsid w:val="002535EA"/>
    <w:rsid w:val="00254EAB"/>
    <w:rsid w:val="002557AF"/>
    <w:rsid w:val="0025589C"/>
    <w:rsid w:val="00255B62"/>
    <w:rsid w:val="002566B1"/>
    <w:rsid w:val="002575E3"/>
    <w:rsid w:val="00257A74"/>
    <w:rsid w:val="002603C1"/>
    <w:rsid w:val="002609A1"/>
    <w:rsid w:val="002612B1"/>
    <w:rsid w:val="00266165"/>
    <w:rsid w:val="00266F2C"/>
    <w:rsid w:val="0027125E"/>
    <w:rsid w:val="00271767"/>
    <w:rsid w:val="00272293"/>
    <w:rsid w:val="002723C8"/>
    <w:rsid w:val="00273C2A"/>
    <w:rsid w:val="00273CBE"/>
    <w:rsid w:val="002746B1"/>
    <w:rsid w:val="00274BAD"/>
    <w:rsid w:val="00282D56"/>
    <w:rsid w:val="002835B0"/>
    <w:rsid w:val="00283C74"/>
    <w:rsid w:val="0028407E"/>
    <w:rsid w:val="0028410F"/>
    <w:rsid w:val="00284572"/>
    <w:rsid w:val="00285221"/>
    <w:rsid w:val="00286FB5"/>
    <w:rsid w:val="00287763"/>
    <w:rsid w:val="00290606"/>
    <w:rsid w:val="002909B2"/>
    <w:rsid w:val="00291D6D"/>
    <w:rsid w:val="00291FF1"/>
    <w:rsid w:val="00292AA2"/>
    <w:rsid w:val="00293361"/>
    <w:rsid w:val="002952B1"/>
    <w:rsid w:val="00295D11"/>
    <w:rsid w:val="00296FB6"/>
    <w:rsid w:val="002A0001"/>
    <w:rsid w:val="002A0BD9"/>
    <w:rsid w:val="002A0C3A"/>
    <w:rsid w:val="002A1130"/>
    <w:rsid w:val="002A1880"/>
    <w:rsid w:val="002A23B7"/>
    <w:rsid w:val="002A3A57"/>
    <w:rsid w:val="002A4B4F"/>
    <w:rsid w:val="002A57A8"/>
    <w:rsid w:val="002A6DEF"/>
    <w:rsid w:val="002A770B"/>
    <w:rsid w:val="002B013E"/>
    <w:rsid w:val="002B058D"/>
    <w:rsid w:val="002B0C16"/>
    <w:rsid w:val="002B2AC5"/>
    <w:rsid w:val="002B3528"/>
    <w:rsid w:val="002B3539"/>
    <w:rsid w:val="002B4532"/>
    <w:rsid w:val="002B5042"/>
    <w:rsid w:val="002B69CC"/>
    <w:rsid w:val="002B6D71"/>
    <w:rsid w:val="002C0C1C"/>
    <w:rsid w:val="002C54C2"/>
    <w:rsid w:val="002C5D34"/>
    <w:rsid w:val="002C60BB"/>
    <w:rsid w:val="002C661A"/>
    <w:rsid w:val="002D0D6F"/>
    <w:rsid w:val="002D25FC"/>
    <w:rsid w:val="002D4AC6"/>
    <w:rsid w:val="002D5BF5"/>
    <w:rsid w:val="002D5EE8"/>
    <w:rsid w:val="002D7360"/>
    <w:rsid w:val="002D7648"/>
    <w:rsid w:val="002E109C"/>
    <w:rsid w:val="002E193E"/>
    <w:rsid w:val="002E1A94"/>
    <w:rsid w:val="002E1D55"/>
    <w:rsid w:val="002E26C4"/>
    <w:rsid w:val="002E30A5"/>
    <w:rsid w:val="002E47E4"/>
    <w:rsid w:val="002E4BF9"/>
    <w:rsid w:val="002E4D61"/>
    <w:rsid w:val="002E68A7"/>
    <w:rsid w:val="002E6E6C"/>
    <w:rsid w:val="002F0522"/>
    <w:rsid w:val="002F16DD"/>
    <w:rsid w:val="002F199D"/>
    <w:rsid w:val="002F213C"/>
    <w:rsid w:val="002F2453"/>
    <w:rsid w:val="002F352D"/>
    <w:rsid w:val="002F381E"/>
    <w:rsid w:val="002F4084"/>
    <w:rsid w:val="002F4A08"/>
    <w:rsid w:val="002F4ADB"/>
    <w:rsid w:val="002F531E"/>
    <w:rsid w:val="002F548D"/>
    <w:rsid w:val="002F5ACC"/>
    <w:rsid w:val="002F704B"/>
    <w:rsid w:val="002F72C3"/>
    <w:rsid w:val="002F768C"/>
    <w:rsid w:val="002F7D1E"/>
    <w:rsid w:val="00300201"/>
    <w:rsid w:val="0030025A"/>
    <w:rsid w:val="00302EFC"/>
    <w:rsid w:val="00303243"/>
    <w:rsid w:val="00303BCC"/>
    <w:rsid w:val="00303F2B"/>
    <w:rsid w:val="00303F8D"/>
    <w:rsid w:val="0030572D"/>
    <w:rsid w:val="0030586A"/>
    <w:rsid w:val="0030622D"/>
    <w:rsid w:val="00306811"/>
    <w:rsid w:val="00306F32"/>
    <w:rsid w:val="003074C5"/>
    <w:rsid w:val="00307A3C"/>
    <w:rsid w:val="00307FA4"/>
    <w:rsid w:val="00310290"/>
    <w:rsid w:val="00310CC1"/>
    <w:rsid w:val="00312504"/>
    <w:rsid w:val="00313026"/>
    <w:rsid w:val="00313913"/>
    <w:rsid w:val="0031421F"/>
    <w:rsid w:val="00314B31"/>
    <w:rsid w:val="00315A65"/>
    <w:rsid w:val="003165D7"/>
    <w:rsid w:val="00317BA7"/>
    <w:rsid w:val="00320BE2"/>
    <w:rsid w:val="00321886"/>
    <w:rsid w:val="00323694"/>
    <w:rsid w:val="00323BE7"/>
    <w:rsid w:val="00324C3A"/>
    <w:rsid w:val="00324D63"/>
    <w:rsid w:val="003255AF"/>
    <w:rsid w:val="003256EB"/>
    <w:rsid w:val="003259DB"/>
    <w:rsid w:val="003314D9"/>
    <w:rsid w:val="00331653"/>
    <w:rsid w:val="00331A48"/>
    <w:rsid w:val="00331BCC"/>
    <w:rsid w:val="003330C9"/>
    <w:rsid w:val="0033364C"/>
    <w:rsid w:val="00334415"/>
    <w:rsid w:val="00335EA1"/>
    <w:rsid w:val="0033691E"/>
    <w:rsid w:val="00336A6A"/>
    <w:rsid w:val="00336CCB"/>
    <w:rsid w:val="003411D1"/>
    <w:rsid w:val="003416BA"/>
    <w:rsid w:val="00342148"/>
    <w:rsid w:val="00342F99"/>
    <w:rsid w:val="0034575A"/>
    <w:rsid w:val="00345F57"/>
    <w:rsid w:val="00350458"/>
    <w:rsid w:val="00350E6C"/>
    <w:rsid w:val="003518A6"/>
    <w:rsid w:val="00351E7F"/>
    <w:rsid w:val="00352953"/>
    <w:rsid w:val="00354062"/>
    <w:rsid w:val="0035459E"/>
    <w:rsid w:val="00355C0D"/>
    <w:rsid w:val="003566A9"/>
    <w:rsid w:val="00356988"/>
    <w:rsid w:val="003569D3"/>
    <w:rsid w:val="00356CE9"/>
    <w:rsid w:val="003570BB"/>
    <w:rsid w:val="00357128"/>
    <w:rsid w:val="0035755E"/>
    <w:rsid w:val="00357A80"/>
    <w:rsid w:val="00361441"/>
    <w:rsid w:val="00361B8B"/>
    <w:rsid w:val="00363F39"/>
    <w:rsid w:val="0036445C"/>
    <w:rsid w:val="00364627"/>
    <w:rsid w:val="00364AB0"/>
    <w:rsid w:val="00364D71"/>
    <w:rsid w:val="003667B0"/>
    <w:rsid w:val="003667DD"/>
    <w:rsid w:val="00366B48"/>
    <w:rsid w:val="00367764"/>
    <w:rsid w:val="00370316"/>
    <w:rsid w:val="00370DC7"/>
    <w:rsid w:val="00371CBD"/>
    <w:rsid w:val="00371F20"/>
    <w:rsid w:val="003721E3"/>
    <w:rsid w:val="00372B98"/>
    <w:rsid w:val="003737B7"/>
    <w:rsid w:val="003740CC"/>
    <w:rsid w:val="003745F4"/>
    <w:rsid w:val="00374E79"/>
    <w:rsid w:val="0037529A"/>
    <w:rsid w:val="00375388"/>
    <w:rsid w:val="00375FB9"/>
    <w:rsid w:val="00376170"/>
    <w:rsid w:val="00376851"/>
    <w:rsid w:val="00376FA2"/>
    <w:rsid w:val="00377A3B"/>
    <w:rsid w:val="00377E3C"/>
    <w:rsid w:val="00380BBE"/>
    <w:rsid w:val="00381D70"/>
    <w:rsid w:val="0038235E"/>
    <w:rsid w:val="003829D0"/>
    <w:rsid w:val="0038326A"/>
    <w:rsid w:val="0038444F"/>
    <w:rsid w:val="003861F0"/>
    <w:rsid w:val="00387051"/>
    <w:rsid w:val="00387ECF"/>
    <w:rsid w:val="0039021B"/>
    <w:rsid w:val="00390429"/>
    <w:rsid w:val="003906A0"/>
    <w:rsid w:val="0039366C"/>
    <w:rsid w:val="00393EC8"/>
    <w:rsid w:val="00395E42"/>
    <w:rsid w:val="00396409"/>
    <w:rsid w:val="00396A2D"/>
    <w:rsid w:val="00396FC3"/>
    <w:rsid w:val="003A1A94"/>
    <w:rsid w:val="003A204E"/>
    <w:rsid w:val="003A2D25"/>
    <w:rsid w:val="003A5728"/>
    <w:rsid w:val="003A60E7"/>
    <w:rsid w:val="003A7092"/>
    <w:rsid w:val="003A72A1"/>
    <w:rsid w:val="003A7611"/>
    <w:rsid w:val="003A7D1F"/>
    <w:rsid w:val="003B0B6A"/>
    <w:rsid w:val="003B22F7"/>
    <w:rsid w:val="003B29CF"/>
    <w:rsid w:val="003B3A90"/>
    <w:rsid w:val="003B534F"/>
    <w:rsid w:val="003B7A79"/>
    <w:rsid w:val="003C0FE1"/>
    <w:rsid w:val="003C151A"/>
    <w:rsid w:val="003C350C"/>
    <w:rsid w:val="003C3903"/>
    <w:rsid w:val="003C3BA0"/>
    <w:rsid w:val="003C4580"/>
    <w:rsid w:val="003C5C5E"/>
    <w:rsid w:val="003C6746"/>
    <w:rsid w:val="003C7555"/>
    <w:rsid w:val="003C7898"/>
    <w:rsid w:val="003D0FF5"/>
    <w:rsid w:val="003D11A3"/>
    <w:rsid w:val="003D1537"/>
    <w:rsid w:val="003D183C"/>
    <w:rsid w:val="003D2D1B"/>
    <w:rsid w:val="003D48C7"/>
    <w:rsid w:val="003D4C27"/>
    <w:rsid w:val="003D7109"/>
    <w:rsid w:val="003D7CE8"/>
    <w:rsid w:val="003E0514"/>
    <w:rsid w:val="003E1032"/>
    <w:rsid w:val="003E1904"/>
    <w:rsid w:val="003E285E"/>
    <w:rsid w:val="003E3124"/>
    <w:rsid w:val="003E3300"/>
    <w:rsid w:val="003E43D3"/>
    <w:rsid w:val="003E48E1"/>
    <w:rsid w:val="003E59BB"/>
    <w:rsid w:val="003E6225"/>
    <w:rsid w:val="003E65AC"/>
    <w:rsid w:val="003E66AE"/>
    <w:rsid w:val="003E72B9"/>
    <w:rsid w:val="003E7ED4"/>
    <w:rsid w:val="003F0E52"/>
    <w:rsid w:val="003F0F6B"/>
    <w:rsid w:val="003F1FC6"/>
    <w:rsid w:val="003F1FE3"/>
    <w:rsid w:val="003F2359"/>
    <w:rsid w:val="003F3865"/>
    <w:rsid w:val="003F3D55"/>
    <w:rsid w:val="003F44E2"/>
    <w:rsid w:val="003F4632"/>
    <w:rsid w:val="003F47BA"/>
    <w:rsid w:val="003F4FE6"/>
    <w:rsid w:val="003F5638"/>
    <w:rsid w:val="003F6617"/>
    <w:rsid w:val="00402332"/>
    <w:rsid w:val="004025C2"/>
    <w:rsid w:val="00403195"/>
    <w:rsid w:val="004033A9"/>
    <w:rsid w:val="00403E55"/>
    <w:rsid w:val="0040407C"/>
    <w:rsid w:val="0040416C"/>
    <w:rsid w:val="00404681"/>
    <w:rsid w:val="00405AC1"/>
    <w:rsid w:val="00406923"/>
    <w:rsid w:val="0040763D"/>
    <w:rsid w:val="00410D17"/>
    <w:rsid w:val="00413442"/>
    <w:rsid w:val="00413821"/>
    <w:rsid w:val="00413BA5"/>
    <w:rsid w:val="004141A3"/>
    <w:rsid w:val="00414909"/>
    <w:rsid w:val="0041582F"/>
    <w:rsid w:val="00416112"/>
    <w:rsid w:val="00417AE0"/>
    <w:rsid w:val="00417BAA"/>
    <w:rsid w:val="0042042B"/>
    <w:rsid w:val="00420B45"/>
    <w:rsid w:val="00420D7A"/>
    <w:rsid w:val="00421257"/>
    <w:rsid w:val="00422193"/>
    <w:rsid w:val="004223DE"/>
    <w:rsid w:val="00422A10"/>
    <w:rsid w:val="00424D17"/>
    <w:rsid w:val="00425DFD"/>
    <w:rsid w:val="004263A3"/>
    <w:rsid w:val="00427713"/>
    <w:rsid w:val="00427CCC"/>
    <w:rsid w:val="0043013A"/>
    <w:rsid w:val="00430421"/>
    <w:rsid w:val="00430A36"/>
    <w:rsid w:val="00430B4F"/>
    <w:rsid w:val="00431084"/>
    <w:rsid w:val="004310D7"/>
    <w:rsid w:val="004322D6"/>
    <w:rsid w:val="00432589"/>
    <w:rsid w:val="00432A94"/>
    <w:rsid w:val="00432C95"/>
    <w:rsid w:val="00433827"/>
    <w:rsid w:val="00433A40"/>
    <w:rsid w:val="00434B70"/>
    <w:rsid w:val="004360C8"/>
    <w:rsid w:val="004371D5"/>
    <w:rsid w:val="0044006B"/>
    <w:rsid w:val="0044033F"/>
    <w:rsid w:val="00440630"/>
    <w:rsid w:val="00441F0F"/>
    <w:rsid w:val="00442965"/>
    <w:rsid w:val="00444157"/>
    <w:rsid w:val="0044417C"/>
    <w:rsid w:val="00444DB3"/>
    <w:rsid w:val="00445617"/>
    <w:rsid w:val="00445A2F"/>
    <w:rsid w:val="0044684E"/>
    <w:rsid w:val="00446F22"/>
    <w:rsid w:val="0045019F"/>
    <w:rsid w:val="004503A4"/>
    <w:rsid w:val="00450555"/>
    <w:rsid w:val="004506FA"/>
    <w:rsid w:val="00450DC6"/>
    <w:rsid w:val="004516A5"/>
    <w:rsid w:val="00451E9C"/>
    <w:rsid w:val="0045280F"/>
    <w:rsid w:val="004535AE"/>
    <w:rsid w:val="0045444D"/>
    <w:rsid w:val="0045463A"/>
    <w:rsid w:val="00454AC9"/>
    <w:rsid w:val="00455050"/>
    <w:rsid w:val="004554A3"/>
    <w:rsid w:val="00455A6E"/>
    <w:rsid w:val="00455EAD"/>
    <w:rsid w:val="004578EB"/>
    <w:rsid w:val="004604D5"/>
    <w:rsid w:val="00460697"/>
    <w:rsid w:val="0046117B"/>
    <w:rsid w:val="00464AB7"/>
    <w:rsid w:val="00465DE5"/>
    <w:rsid w:val="00467EF8"/>
    <w:rsid w:val="00472429"/>
    <w:rsid w:val="004725E5"/>
    <w:rsid w:val="00472751"/>
    <w:rsid w:val="00473128"/>
    <w:rsid w:val="00475078"/>
    <w:rsid w:val="00475767"/>
    <w:rsid w:val="004779A0"/>
    <w:rsid w:val="004808E3"/>
    <w:rsid w:val="00481016"/>
    <w:rsid w:val="0048204C"/>
    <w:rsid w:val="004821BB"/>
    <w:rsid w:val="004826FE"/>
    <w:rsid w:val="004827D5"/>
    <w:rsid w:val="00482AF2"/>
    <w:rsid w:val="004830C9"/>
    <w:rsid w:val="00483347"/>
    <w:rsid w:val="00483E2E"/>
    <w:rsid w:val="00484B69"/>
    <w:rsid w:val="00485406"/>
    <w:rsid w:val="0048590F"/>
    <w:rsid w:val="00486D60"/>
    <w:rsid w:val="00491FA1"/>
    <w:rsid w:val="00492A25"/>
    <w:rsid w:val="004938A3"/>
    <w:rsid w:val="0049558B"/>
    <w:rsid w:val="00496350"/>
    <w:rsid w:val="0049797C"/>
    <w:rsid w:val="004A1405"/>
    <w:rsid w:val="004A1FC6"/>
    <w:rsid w:val="004A2E5F"/>
    <w:rsid w:val="004A38C2"/>
    <w:rsid w:val="004A3C03"/>
    <w:rsid w:val="004A3DB7"/>
    <w:rsid w:val="004A5088"/>
    <w:rsid w:val="004A5255"/>
    <w:rsid w:val="004A6CB0"/>
    <w:rsid w:val="004A70FF"/>
    <w:rsid w:val="004A7EDE"/>
    <w:rsid w:val="004B0D93"/>
    <w:rsid w:val="004B1FA4"/>
    <w:rsid w:val="004B29AC"/>
    <w:rsid w:val="004B35DF"/>
    <w:rsid w:val="004B3627"/>
    <w:rsid w:val="004B4922"/>
    <w:rsid w:val="004B57DF"/>
    <w:rsid w:val="004B5976"/>
    <w:rsid w:val="004B722E"/>
    <w:rsid w:val="004B72E8"/>
    <w:rsid w:val="004C01A5"/>
    <w:rsid w:val="004C0412"/>
    <w:rsid w:val="004C2138"/>
    <w:rsid w:val="004C3940"/>
    <w:rsid w:val="004C51FD"/>
    <w:rsid w:val="004C65A8"/>
    <w:rsid w:val="004C6689"/>
    <w:rsid w:val="004D139A"/>
    <w:rsid w:val="004D14DC"/>
    <w:rsid w:val="004D17C6"/>
    <w:rsid w:val="004D2858"/>
    <w:rsid w:val="004D2E49"/>
    <w:rsid w:val="004D35BA"/>
    <w:rsid w:val="004D38E5"/>
    <w:rsid w:val="004D3C5A"/>
    <w:rsid w:val="004D449A"/>
    <w:rsid w:val="004D4701"/>
    <w:rsid w:val="004D47C7"/>
    <w:rsid w:val="004D4F35"/>
    <w:rsid w:val="004D5D45"/>
    <w:rsid w:val="004D618D"/>
    <w:rsid w:val="004D62A9"/>
    <w:rsid w:val="004D6FC3"/>
    <w:rsid w:val="004D7476"/>
    <w:rsid w:val="004D7716"/>
    <w:rsid w:val="004E0306"/>
    <w:rsid w:val="004E0572"/>
    <w:rsid w:val="004E1641"/>
    <w:rsid w:val="004E1818"/>
    <w:rsid w:val="004E1990"/>
    <w:rsid w:val="004E25A8"/>
    <w:rsid w:val="004E3930"/>
    <w:rsid w:val="004E3ED9"/>
    <w:rsid w:val="004E5866"/>
    <w:rsid w:val="004E6097"/>
    <w:rsid w:val="004E61EF"/>
    <w:rsid w:val="004E63C6"/>
    <w:rsid w:val="004E76A7"/>
    <w:rsid w:val="004E7B03"/>
    <w:rsid w:val="004F0064"/>
    <w:rsid w:val="004F06AC"/>
    <w:rsid w:val="004F1D2A"/>
    <w:rsid w:val="004F243F"/>
    <w:rsid w:val="004F252C"/>
    <w:rsid w:val="004F36A3"/>
    <w:rsid w:val="004F3E0C"/>
    <w:rsid w:val="004F4308"/>
    <w:rsid w:val="004F7160"/>
    <w:rsid w:val="00500258"/>
    <w:rsid w:val="00500B2D"/>
    <w:rsid w:val="00501A99"/>
    <w:rsid w:val="00503180"/>
    <w:rsid w:val="005038A4"/>
    <w:rsid w:val="00505450"/>
    <w:rsid w:val="005100B7"/>
    <w:rsid w:val="005113C9"/>
    <w:rsid w:val="00512050"/>
    <w:rsid w:val="00512055"/>
    <w:rsid w:val="0051280C"/>
    <w:rsid w:val="00512842"/>
    <w:rsid w:val="005128BE"/>
    <w:rsid w:val="0051356F"/>
    <w:rsid w:val="00513E7C"/>
    <w:rsid w:val="005140BB"/>
    <w:rsid w:val="00514FBE"/>
    <w:rsid w:val="00514FD9"/>
    <w:rsid w:val="0051550A"/>
    <w:rsid w:val="0051608F"/>
    <w:rsid w:val="00520EF8"/>
    <w:rsid w:val="005210F7"/>
    <w:rsid w:val="00521753"/>
    <w:rsid w:val="0052239D"/>
    <w:rsid w:val="005224EE"/>
    <w:rsid w:val="00522879"/>
    <w:rsid w:val="00523BB1"/>
    <w:rsid w:val="0052570E"/>
    <w:rsid w:val="005260CD"/>
    <w:rsid w:val="00526265"/>
    <w:rsid w:val="0052655D"/>
    <w:rsid w:val="005265E0"/>
    <w:rsid w:val="00526BC3"/>
    <w:rsid w:val="00531761"/>
    <w:rsid w:val="0053248F"/>
    <w:rsid w:val="0053332A"/>
    <w:rsid w:val="0053358A"/>
    <w:rsid w:val="00534668"/>
    <w:rsid w:val="00534DDD"/>
    <w:rsid w:val="00535291"/>
    <w:rsid w:val="00535A94"/>
    <w:rsid w:val="00537874"/>
    <w:rsid w:val="0053795F"/>
    <w:rsid w:val="00537D3D"/>
    <w:rsid w:val="00540511"/>
    <w:rsid w:val="00540578"/>
    <w:rsid w:val="00540808"/>
    <w:rsid w:val="0054080E"/>
    <w:rsid w:val="00540EA1"/>
    <w:rsid w:val="0054358E"/>
    <w:rsid w:val="00543AF4"/>
    <w:rsid w:val="00544191"/>
    <w:rsid w:val="0054440C"/>
    <w:rsid w:val="005448EC"/>
    <w:rsid w:val="00544C0A"/>
    <w:rsid w:val="00544F39"/>
    <w:rsid w:val="00546F90"/>
    <w:rsid w:val="00547182"/>
    <w:rsid w:val="00547EFB"/>
    <w:rsid w:val="005522F2"/>
    <w:rsid w:val="005531DF"/>
    <w:rsid w:val="00553874"/>
    <w:rsid w:val="00554577"/>
    <w:rsid w:val="00554AD8"/>
    <w:rsid w:val="00554F78"/>
    <w:rsid w:val="00555DA1"/>
    <w:rsid w:val="00556BF7"/>
    <w:rsid w:val="00557F60"/>
    <w:rsid w:val="00561730"/>
    <w:rsid w:val="00561B97"/>
    <w:rsid w:val="00562149"/>
    <w:rsid w:val="00567B5D"/>
    <w:rsid w:val="00570757"/>
    <w:rsid w:val="00573733"/>
    <w:rsid w:val="00573F8B"/>
    <w:rsid w:val="00574554"/>
    <w:rsid w:val="00574E06"/>
    <w:rsid w:val="005751BB"/>
    <w:rsid w:val="00576089"/>
    <w:rsid w:val="005764B1"/>
    <w:rsid w:val="00576852"/>
    <w:rsid w:val="00576D06"/>
    <w:rsid w:val="005779E4"/>
    <w:rsid w:val="00580EC7"/>
    <w:rsid w:val="0058289C"/>
    <w:rsid w:val="005836C7"/>
    <w:rsid w:val="0058408E"/>
    <w:rsid w:val="00585374"/>
    <w:rsid w:val="005854CA"/>
    <w:rsid w:val="00585FAB"/>
    <w:rsid w:val="00590B77"/>
    <w:rsid w:val="00590D9A"/>
    <w:rsid w:val="005913A3"/>
    <w:rsid w:val="005940D4"/>
    <w:rsid w:val="00594A7B"/>
    <w:rsid w:val="0059580E"/>
    <w:rsid w:val="00595D90"/>
    <w:rsid w:val="00596A6F"/>
    <w:rsid w:val="00596FCE"/>
    <w:rsid w:val="005A11BC"/>
    <w:rsid w:val="005A1525"/>
    <w:rsid w:val="005A1E17"/>
    <w:rsid w:val="005A252B"/>
    <w:rsid w:val="005A2A8F"/>
    <w:rsid w:val="005A3204"/>
    <w:rsid w:val="005A3341"/>
    <w:rsid w:val="005A3C3D"/>
    <w:rsid w:val="005A46EC"/>
    <w:rsid w:val="005A5EAE"/>
    <w:rsid w:val="005A6407"/>
    <w:rsid w:val="005A726C"/>
    <w:rsid w:val="005B07EC"/>
    <w:rsid w:val="005B2B11"/>
    <w:rsid w:val="005B32A4"/>
    <w:rsid w:val="005B3371"/>
    <w:rsid w:val="005B338D"/>
    <w:rsid w:val="005B3BAF"/>
    <w:rsid w:val="005B4DA3"/>
    <w:rsid w:val="005B5BEE"/>
    <w:rsid w:val="005B77D2"/>
    <w:rsid w:val="005C019B"/>
    <w:rsid w:val="005C08D0"/>
    <w:rsid w:val="005C1AED"/>
    <w:rsid w:val="005C30F5"/>
    <w:rsid w:val="005C51A5"/>
    <w:rsid w:val="005C557A"/>
    <w:rsid w:val="005C566F"/>
    <w:rsid w:val="005C5C47"/>
    <w:rsid w:val="005C61DD"/>
    <w:rsid w:val="005C6438"/>
    <w:rsid w:val="005C6B8B"/>
    <w:rsid w:val="005C727F"/>
    <w:rsid w:val="005D02E3"/>
    <w:rsid w:val="005D1F34"/>
    <w:rsid w:val="005D2C1F"/>
    <w:rsid w:val="005D34B2"/>
    <w:rsid w:val="005D3B54"/>
    <w:rsid w:val="005D40CD"/>
    <w:rsid w:val="005D6B59"/>
    <w:rsid w:val="005D784B"/>
    <w:rsid w:val="005E03E4"/>
    <w:rsid w:val="005E0454"/>
    <w:rsid w:val="005E05F6"/>
    <w:rsid w:val="005E2442"/>
    <w:rsid w:val="005E3111"/>
    <w:rsid w:val="005E3F85"/>
    <w:rsid w:val="005E4A5F"/>
    <w:rsid w:val="005E57B0"/>
    <w:rsid w:val="005E5B01"/>
    <w:rsid w:val="005E6D3B"/>
    <w:rsid w:val="005F009E"/>
    <w:rsid w:val="005F0DF1"/>
    <w:rsid w:val="005F1516"/>
    <w:rsid w:val="005F229E"/>
    <w:rsid w:val="005F2564"/>
    <w:rsid w:val="005F3822"/>
    <w:rsid w:val="005F4635"/>
    <w:rsid w:val="005F4900"/>
    <w:rsid w:val="005F4E52"/>
    <w:rsid w:val="005F6D58"/>
    <w:rsid w:val="005F7383"/>
    <w:rsid w:val="0060058E"/>
    <w:rsid w:val="00602A3C"/>
    <w:rsid w:val="00603EFD"/>
    <w:rsid w:val="0060475B"/>
    <w:rsid w:val="00604BED"/>
    <w:rsid w:val="00604FB6"/>
    <w:rsid w:val="00605387"/>
    <w:rsid w:val="00606302"/>
    <w:rsid w:val="006076FD"/>
    <w:rsid w:val="0061143F"/>
    <w:rsid w:val="006114D8"/>
    <w:rsid w:val="00613553"/>
    <w:rsid w:val="00613601"/>
    <w:rsid w:val="00613791"/>
    <w:rsid w:val="006150D6"/>
    <w:rsid w:val="00615245"/>
    <w:rsid w:val="0061590D"/>
    <w:rsid w:val="00617EEE"/>
    <w:rsid w:val="00620A1F"/>
    <w:rsid w:val="0062169D"/>
    <w:rsid w:val="0062181E"/>
    <w:rsid w:val="0062211B"/>
    <w:rsid w:val="00622BB7"/>
    <w:rsid w:val="00622C1E"/>
    <w:rsid w:val="00623389"/>
    <w:rsid w:val="00623DAA"/>
    <w:rsid w:val="00623FAF"/>
    <w:rsid w:val="006265C4"/>
    <w:rsid w:val="0062678A"/>
    <w:rsid w:val="006270AF"/>
    <w:rsid w:val="00634367"/>
    <w:rsid w:val="00640082"/>
    <w:rsid w:val="00640291"/>
    <w:rsid w:val="00640EFE"/>
    <w:rsid w:val="00641D6D"/>
    <w:rsid w:val="00641FAC"/>
    <w:rsid w:val="00643664"/>
    <w:rsid w:val="00643CAA"/>
    <w:rsid w:val="00644F16"/>
    <w:rsid w:val="006455EB"/>
    <w:rsid w:val="006456C2"/>
    <w:rsid w:val="00645A65"/>
    <w:rsid w:val="006477F0"/>
    <w:rsid w:val="006478E4"/>
    <w:rsid w:val="0065171A"/>
    <w:rsid w:val="00652680"/>
    <w:rsid w:val="00653CDE"/>
    <w:rsid w:val="00654585"/>
    <w:rsid w:val="00655AB6"/>
    <w:rsid w:val="00656281"/>
    <w:rsid w:val="0065636A"/>
    <w:rsid w:val="00657003"/>
    <w:rsid w:val="00660238"/>
    <w:rsid w:val="006602EF"/>
    <w:rsid w:val="00661277"/>
    <w:rsid w:val="006619E0"/>
    <w:rsid w:val="00663FEA"/>
    <w:rsid w:val="00664803"/>
    <w:rsid w:val="006657C5"/>
    <w:rsid w:val="006661A4"/>
    <w:rsid w:val="00666AC0"/>
    <w:rsid w:val="006670E0"/>
    <w:rsid w:val="006671B8"/>
    <w:rsid w:val="00667275"/>
    <w:rsid w:val="00667532"/>
    <w:rsid w:val="0066783E"/>
    <w:rsid w:val="00667E53"/>
    <w:rsid w:val="006711C4"/>
    <w:rsid w:val="006713AB"/>
    <w:rsid w:val="00672CA5"/>
    <w:rsid w:val="00673711"/>
    <w:rsid w:val="00673F82"/>
    <w:rsid w:val="00674F74"/>
    <w:rsid w:val="0067508F"/>
    <w:rsid w:val="00677576"/>
    <w:rsid w:val="0068051E"/>
    <w:rsid w:val="00680B9D"/>
    <w:rsid w:val="00681F13"/>
    <w:rsid w:val="0068231C"/>
    <w:rsid w:val="00682344"/>
    <w:rsid w:val="00682F28"/>
    <w:rsid w:val="00683515"/>
    <w:rsid w:val="00684842"/>
    <w:rsid w:val="006859AA"/>
    <w:rsid w:val="00685BD6"/>
    <w:rsid w:val="00687116"/>
    <w:rsid w:val="006878A6"/>
    <w:rsid w:val="00687D5F"/>
    <w:rsid w:val="00690437"/>
    <w:rsid w:val="00690DC3"/>
    <w:rsid w:val="00690E65"/>
    <w:rsid w:val="006911B7"/>
    <w:rsid w:val="00691387"/>
    <w:rsid w:val="0069188E"/>
    <w:rsid w:val="00691974"/>
    <w:rsid w:val="00692BF6"/>
    <w:rsid w:val="00692CE6"/>
    <w:rsid w:val="00693186"/>
    <w:rsid w:val="00693381"/>
    <w:rsid w:val="00693B6C"/>
    <w:rsid w:val="006942AE"/>
    <w:rsid w:val="00695421"/>
    <w:rsid w:val="00697BD3"/>
    <w:rsid w:val="00697DFA"/>
    <w:rsid w:val="006A16D5"/>
    <w:rsid w:val="006A1772"/>
    <w:rsid w:val="006A1780"/>
    <w:rsid w:val="006A21DD"/>
    <w:rsid w:val="006A26C6"/>
    <w:rsid w:val="006A3302"/>
    <w:rsid w:val="006A3B28"/>
    <w:rsid w:val="006A4FEE"/>
    <w:rsid w:val="006A703E"/>
    <w:rsid w:val="006A7BE3"/>
    <w:rsid w:val="006A7D32"/>
    <w:rsid w:val="006B01D1"/>
    <w:rsid w:val="006B0DF4"/>
    <w:rsid w:val="006B16EA"/>
    <w:rsid w:val="006B1780"/>
    <w:rsid w:val="006B224E"/>
    <w:rsid w:val="006B376E"/>
    <w:rsid w:val="006B4589"/>
    <w:rsid w:val="006B610E"/>
    <w:rsid w:val="006B6805"/>
    <w:rsid w:val="006B6DE0"/>
    <w:rsid w:val="006C16C3"/>
    <w:rsid w:val="006C2187"/>
    <w:rsid w:val="006C32F4"/>
    <w:rsid w:val="006C3C54"/>
    <w:rsid w:val="006C4B6B"/>
    <w:rsid w:val="006C4F9F"/>
    <w:rsid w:val="006C71A2"/>
    <w:rsid w:val="006C73EC"/>
    <w:rsid w:val="006D0C1D"/>
    <w:rsid w:val="006D2E9D"/>
    <w:rsid w:val="006D4A4E"/>
    <w:rsid w:val="006D4C42"/>
    <w:rsid w:val="006D5389"/>
    <w:rsid w:val="006D5809"/>
    <w:rsid w:val="006D607E"/>
    <w:rsid w:val="006D6E12"/>
    <w:rsid w:val="006D70CB"/>
    <w:rsid w:val="006D715C"/>
    <w:rsid w:val="006D7363"/>
    <w:rsid w:val="006D774E"/>
    <w:rsid w:val="006E0754"/>
    <w:rsid w:val="006E2668"/>
    <w:rsid w:val="006E2D39"/>
    <w:rsid w:val="006E32B0"/>
    <w:rsid w:val="006E348E"/>
    <w:rsid w:val="006E396A"/>
    <w:rsid w:val="006E3D63"/>
    <w:rsid w:val="006E58BF"/>
    <w:rsid w:val="006E5DD8"/>
    <w:rsid w:val="006E5EA1"/>
    <w:rsid w:val="006E6DEE"/>
    <w:rsid w:val="006E7D4B"/>
    <w:rsid w:val="006F0760"/>
    <w:rsid w:val="006F11E2"/>
    <w:rsid w:val="006F2574"/>
    <w:rsid w:val="006F3231"/>
    <w:rsid w:val="006F3DE3"/>
    <w:rsid w:val="006F4787"/>
    <w:rsid w:val="006F61D8"/>
    <w:rsid w:val="006F62B7"/>
    <w:rsid w:val="006F70BC"/>
    <w:rsid w:val="006F7E7C"/>
    <w:rsid w:val="0070174E"/>
    <w:rsid w:val="007018DB"/>
    <w:rsid w:val="00701DE6"/>
    <w:rsid w:val="00702740"/>
    <w:rsid w:val="0070381B"/>
    <w:rsid w:val="0070796C"/>
    <w:rsid w:val="007109BB"/>
    <w:rsid w:val="00710EBF"/>
    <w:rsid w:val="007110B8"/>
    <w:rsid w:val="0071209F"/>
    <w:rsid w:val="007125A2"/>
    <w:rsid w:val="00713DD9"/>
    <w:rsid w:val="00713F79"/>
    <w:rsid w:val="007148A8"/>
    <w:rsid w:val="00716AC8"/>
    <w:rsid w:val="00716E54"/>
    <w:rsid w:val="0072033C"/>
    <w:rsid w:val="00720B1B"/>
    <w:rsid w:val="00721062"/>
    <w:rsid w:val="00721E5D"/>
    <w:rsid w:val="007229D4"/>
    <w:rsid w:val="007230F8"/>
    <w:rsid w:val="007233F4"/>
    <w:rsid w:val="00724044"/>
    <w:rsid w:val="007248D3"/>
    <w:rsid w:val="00724DF8"/>
    <w:rsid w:val="00725137"/>
    <w:rsid w:val="00725378"/>
    <w:rsid w:val="00727A43"/>
    <w:rsid w:val="00727FF2"/>
    <w:rsid w:val="00730550"/>
    <w:rsid w:val="00730C2A"/>
    <w:rsid w:val="00731434"/>
    <w:rsid w:val="00731E59"/>
    <w:rsid w:val="007323E0"/>
    <w:rsid w:val="00732911"/>
    <w:rsid w:val="00733721"/>
    <w:rsid w:val="00733DE2"/>
    <w:rsid w:val="007352EA"/>
    <w:rsid w:val="0073792F"/>
    <w:rsid w:val="00740C81"/>
    <w:rsid w:val="00740DA6"/>
    <w:rsid w:val="00741B4B"/>
    <w:rsid w:val="00741D1E"/>
    <w:rsid w:val="00741DD6"/>
    <w:rsid w:val="00741EE2"/>
    <w:rsid w:val="0074207F"/>
    <w:rsid w:val="00742367"/>
    <w:rsid w:val="00742EAA"/>
    <w:rsid w:val="00743360"/>
    <w:rsid w:val="00743818"/>
    <w:rsid w:val="00743857"/>
    <w:rsid w:val="007441FB"/>
    <w:rsid w:val="00744517"/>
    <w:rsid w:val="0074522A"/>
    <w:rsid w:val="00747295"/>
    <w:rsid w:val="00747829"/>
    <w:rsid w:val="00747DE2"/>
    <w:rsid w:val="007504BF"/>
    <w:rsid w:val="007506CD"/>
    <w:rsid w:val="0075267F"/>
    <w:rsid w:val="007526EC"/>
    <w:rsid w:val="00753C48"/>
    <w:rsid w:val="00754250"/>
    <w:rsid w:val="00754FE4"/>
    <w:rsid w:val="00755216"/>
    <w:rsid w:val="00756236"/>
    <w:rsid w:val="00756271"/>
    <w:rsid w:val="00756348"/>
    <w:rsid w:val="00756521"/>
    <w:rsid w:val="00756AB7"/>
    <w:rsid w:val="0076106D"/>
    <w:rsid w:val="007623FB"/>
    <w:rsid w:val="00762517"/>
    <w:rsid w:val="00763240"/>
    <w:rsid w:val="0076376A"/>
    <w:rsid w:val="007648AD"/>
    <w:rsid w:val="0076504E"/>
    <w:rsid w:val="00767BFD"/>
    <w:rsid w:val="00767EA0"/>
    <w:rsid w:val="0077068F"/>
    <w:rsid w:val="00771EDF"/>
    <w:rsid w:val="00772A90"/>
    <w:rsid w:val="00772F8D"/>
    <w:rsid w:val="0077408D"/>
    <w:rsid w:val="00774270"/>
    <w:rsid w:val="007743F6"/>
    <w:rsid w:val="00775679"/>
    <w:rsid w:val="0077574F"/>
    <w:rsid w:val="00775823"/>
    <w:rsid w:val="007777CC"/>
    <w:rsid w:val="00777B32"/>
    <w:rsid w:val="0078051E"/>
    <w:rsid w:val="00781089"/>
    <w:rsid w:val="007838F3"/>
    <w:rsid w:val="007856FE"/>
    <w:rsid w:val="00785F46"/>
    <w:rsid w:val="007865F4"/>
    <w:rsid w:val="00786D5C"/>
    <w:rsid w:val="00786E96"/>
    <w:rsid w:val="00787DFF"/>
    <w:rsid w:val="00787F93"/>
    <w:rsid w:val="00791E6D"/>
    <w:rsid w:val="00791EB5"/>
    <w:rsid w:val="00793696"/>
    <w:rsid w:val="007955DA"/>
    <w:rsid w:val="00796F65"/>
    <w:rsid w:val="007A11C2"/>
    <w:rsid w:val="007A18BB"/>
    <w:rsid w:val="007A27DD"/>
    <w:rsid w:val="007A41BF"/>
    <w:rsid w:val="007A490A"/>
    <w:rsid w:val="007A7B95"/>
    <w:rsid w:val="007B0297"/>
    <w:rsid w:val="007B02FA"/>
    <w:rsid w:val="007B0F53"/>
    <w:rsid w:val="007B21AE"/>
    <w:rsid w:val="007B2570"/>
    <w:rsid w:val="007B3113"/>
    <w:rsid w:val="007B3304"/>
    <w:rsid w:val="007B7490"/>
    <w:rsid w:val="007C0525"/>
    <w:rsid w:val="007C13F7"/>
    <w:rsid w:val="007C218D"/>
    <w:rsid w:val="007C2D28"/>
    <w:rsid w:val="007C3E22"/>
    <w:rsid w:val="007C6218"/>
    <w:rsid w:val="007C6484"/>
    <w:rsid w:val="007C67C6"/>
    <w:rsid w:val="007C78BE"/>
    <w:rsid w:val="007C7E59"/>
    <w:rsid w:val="007D0476"/>
    <w:rsid w:val="007D0B91"/>
    <w:rsid w:val="007D1452"/>
    <w:rsid w:val="007D3DCB"/>
    <w:rsid w:val="007D460C"/>
    <w:rsid w:val="007D4996"/>
    <w:rsid w:val="007D4AD3"/>
    <w:rsid w:val="007D5D19"/>
    <w:rsid w:val="007D5FDC"/>
    <w:rsid w:val="007D6176"/>
    <w:rsid w:val="007D6D68"/>
    <w:rsid w:val="007E32DA"/>
    <w:rsid w:val="007E4998"/>
    <w:rsid w:val="007E4A9C"/>
    <w:rsid w:val="007E6914"/>
    <w:rsid w:val="007E7F78"/>
    <w:rsid w:val="007F0179"/>
    <w:rsid w:val="007F2C13"/>
    <w:rsid w:val="007F2CEC"/>
    <w:rsid w:val="007F3435"/>
    <w:rsid w:val="007F55DE"/>
    <w:rsid w:val="007F762D"/>
    <w:rsid w:val="007F78F0"/>
    <w:rsid w:val="007F78FF"/>
    <w:rsid w:val="008001C5"/>
    <w:rsid w:val="00800F6C"/>
    <w:rsid w:val="00801065"/>
    <w:rsid w:val="00802C0B"/>
    <w:rsid w:val="008051FC"/>
    <w:rsid w:val="008055A9"/>
    <w:rsid w:val="008056C4"/>
    <w:rsid w:val="008057FD"/>
    <w:rsid w:val="00805D8B"/>
    <w:rsid w:val="00810BB6"/>
    <w:rsid w:val="00810E8E"/>
    <w:rsid w:val="00812C44"/>
    <w:rsid w:val="008135E1"/>
    <w:rsid w:val="00813779"/>
    <w:rsid w:val="00813E26"/>
    <w:rsid w:val="0081481D"/>
    <w:rsid w:val="00814BE8"/>
    <w:rsid w:val="00814F6E"/>
    <w:rsid w:val="00815B84"/>
    <w:rsid w:val="00816BE9"/>
    <w:rsid w:val="00822518"/>
    <w:rsid w:val="008226F5"/>
    <w:rsid w:val="00823FC6"/>
    <w:rsid w:val="00824306"/>
    <w:rsid w:val="00825C74"/>
    <w:rsid w:val="00825CFA"/>
    <w:rsid w:val="00826AB9"/>
    <w:rsid w:val="00826E0E"/>
    <w:rsid w:val="00827D11"/>
    <w:rsid w:val="00827E0F"/>
    <w:rsid w:val="00827F6E"/>
    <w:rsid w:val="00831758"/>
    <w:rsid w:val="008317D9"/>
    <w:rsid w:val="0083279F"/>
    <w:rsid w:val="008334DB"/>
    <w:rsid w:val="00833B7F"/>
    <w:rsid w:val="00833E8E"/>
    <w:rsid w:val="00834906"/>
    <w:rsid w:val="00836075"/>
    <w:rsid w:val="00836417"/>
    <w:rsid w:val="00837526"/>
    <w:rsid w:val="008407A7"/>
    <w:rsid w:val="0084322B"/>
    <w:rsid w:val="00843F81"/>
    <w:rsid w:val="00844087"/>
    <w:rsid w:val="008448F1"/>
    <w:rsid w:val="0084519E"/>
    <w:rsid w:val="00845CAE"/>
    <w:rsid w:val="00846370"/>
    <w:rsid w:val="008477E7"/>
    <w:rsid w:val="00847C2B"/>
    <w:rsid w:val="00850272"/>
    <w:rsid w:val="008506B9"/>
    <w:rsid w:val="00851822"/>
    <w:rsid w:val="008532BF"/>
    <w:rsid w:val="008539B2"/>
    <w:rsid w:val="00853BF4"/>
    <w:rsid w:val="00854294"/>
    <w:rsid w:val="0085572E"/>
    <w:rsid w:val="0085788B"/>
    <w:rsid w:val="00857A9E"/>
    <w:rsid w:val="00857DE2"/>
    <w:rsid w:val="00863A8E"/>
    <w:rsid w:val="0086407F"/>
    <w:rsid w:val="008645E3"/>
    <w:rsid w:val="00864E79"/>
    <w:rsid w:val="0086661F"/>
    <w:rsid w:val="00866A0D"/>
    <w:rsid w:val="00866DB5"/>
    <w:rsid w:val="0086701D"/>
    <w:rsid w:val="0086702B"/>
    <w:rsid w:val="008672E2"/>
    <w:rsid w:val="0086784E"/>
    <w:rsid w:val="0087121C"/>
    <w:rsid w:val="00871FD2"/>
    <w:rsid w:val="00872084"/>
    <w:rsid w:val="00872827"/>
    <w:rsid w:val="00872A32"/>
    <w:rsid w:val="00874911"/>
    <w:rsid w:val="008754E4"/>
    <w:rsid w:val="00876EAE"/>
    <w:rsid w:val="00880106"/>
    <w:rsid w:val="00880F95"/>
    <w:rsid w:val="00882B44"/>
    <w:rsid w:val="008838AD"/>
    <w:rsid w:val="008864B3"/>
    <w:rsid w:val="008865E5"/>
    <w:rsid w:val="008871B0"/>
    <w:rsid w:val="00890B57"/>
    <w:rsid w:val="008916BA"/>
    <w:rsid w:val="0089217C"/>
    <w:rsid w:val="00892790"/>
    <w:rsid w:val="00893671"/>
    <w:rsid w:val="00895838"/>
    <w:rsid w:val="00895A1E"/>
    <w:rsid w:val="00895A72"/>
    <w:rsid w:val="00895CDF"/>
    <w:rsid w:val="00896679"/>
    <w:rsid w:val="00896D8C"/>
    <w:rsid w:val="008A0FC9"/>
    <w:rsid w:val="008A1956"/>
    <w:rsid w:val="008A1A7C"/>
    <w:rsid w:val="008A2CE2"/>
    <w:rsid w:val="008A40D3"/>
    <w:rsid w:val="008A469C"/>
    <w:rsid w:val="008A51D1"/>
    <w:rsid w:val="008A5DCE"/>
    <w:rsid w:val="008A75D3"/>
    <w:rsid w:val="008B05DD"/>
    <w:rsid w:val="008B07B8"/>
    <w:rsid w:val="008B17E8"/>
    <w:rsid w:val="008B2E7C"/>
    <w:rsid w:val="008B399A"/>
    <w:rsid w:val="008B45F0"/>
    <w:rsid w:val="008B4A70"/>
    <w:rsid w:val="008B502F"/>
    <w:rsid w:val="008B6DFC"/>
    <w:rsid w:val="008B7227"/>
    <w:rsid w:val="008C02FB"/>
    <w:rsid w:val="008C04E0"/>
    <w:rsid w:val="008C191C"/>
    <w:rsid w:val="008C1DA4"/>
    <w:rsid w:val="008C29B0"/>
    <w:rsid w:val="008C2CD5"/>
    <w:rsid w:val="008C3618"/>
    <w:rsid w:val="008C39E7"/>
    <w:rsid w:val="008C43AD"/>
    <w:rsid w:val="008C6118"/>
    <w:rsid w:val="008C6341"/>
    <w:rsid w:val="008C731F"/>
    <w:rsid w:val="008C74D9"/>
    <w:rsid w:val="008D3B2D"/>
    <w:rsid w:val="008D58D9"/>
    <w:rsid w:val="008D5AD4"/>
    <w:rsid w:val="008D695E"/>
    <w:rsid w:val="008D6DD5"/>
    <w:rsid w:val="008D6E59"/>
    <w:rsid w:val="008D7155"/>
    <w:rsid w:val="008D76E0"/>
    <w:rsid w:val="008E0B29"/>
    <w:rsid w:val="008E141A"/>
    <w:rsid w:val="008E1A44"/>
    <w:rsid w:val="008E28E6"/>
    <w:rsid w:val="008E3232"/>
    <w:rsid w:val="008E3674"/>
    <w:rsid w:val="008E3B6C"/>
    <w:rsid w:val="008E3DE7"/>
    <w:rsid w:val="008E562C"/>
    <w:rsid w:val="008E6540"/>
    <w:rsid w:val="008E77D4"/>
    <w:rsid w:val="008E7ADD"/>
    <w:rsid w:val="008F091F"/>
    <w:rsid w:val="008F17B2"/>
    <w:rsid w:val="008F22B3"/>
    <w:rsid w:val="008F357B"/>
    <w:rsid w:val="008F44CA"/>
    <w:rsid w:val="008F49D3"/>
    <w:rsid w:val="008F6519"/>
    <w:rsid w:val="008F7012"/>
    <w:rsid w:val="008F7ADA"/>
    <w:rsid w:val="008F7B17"/>
    <w:rsid w:val="00900042"/>
    <w:rsid w:val="0090034B"/>
    <w:rsid w:val="00901121"/>
    <w:rsid w:val="00902623"/>
    <w:rsid w:val="00902A67"/>
    <w:rsid w:val="00902C5E"/>
    <w:rsid w:val="00904BE4"/>
    <w:rsid w:val="0090504A"/>
    <w:rsid w:val="009051F5"/>
    <w:rsid w:val="00905221"/>
    <w:rsid w:val="00905A7C"/>
    <w:rsid w:val="00905D7E"/>
    <w:rsid w:val="00907037"/>
    <w:rsid w:val="0091112C"/>
    <w:rsid w:val="0091160A"/>
    <w:rsid w:val="00912E04"/>
    <w:rsid w:val="00913258"/>
    <w:rsid w:val="00913851"/>
    <w:rsid w:val="00913BB0"/>
    <w:rsid w:val="0091456C"/>
    <w:rsid w:val="00914C58"/>
    <w:rsid w:val="0091564D"/>
    <w:rsid w:val="009156DA"/>
    <w:rsid w:val="00915774"/>
    <w:rsid w:val="00916BC5"/>
    <w:rsid w:val="0091726A"/>
    <w:rsid w:val="00917C01"/>
    <w:rsid w:val="00920184"/>
    <w:rsid w:val="00920EA4"/>
    <w:rsid w:val="00921792"/>
    <w:rsid w:val="00921BEA"/>
    <w:rsid w:val="009227BE"/>
    <w:rsid w:val="009238FD"/>
    <w:rsid w:val="00923998"/>
    <w:rsid w:val="00923DB4"/>
    <w:rsid w:val="0092420B"/>
    <w:rsid w:val="0092430E"/>
    <w:rsid w:val="00926112"/>
    <w:rsid w:val="0092625F"/>
    <w:rsid w:val="00926B28"/>
    <w:rsid w:val="00926D9C"/>
    <w:rsid w:val="00927028"/>
    <w:rsid w:val="00927763"/>
    <w:rsid w:val="00927A2D"/>
    <w:rsid w:val="00927B37"/>
    <w:rsid w:val="009321B1"/>
    <w:rsid w:val="00932ED7"/>
    <w:rsid w:val="0093422D"/>
    <w:rsid w:val="0093483B"/>
    <w:rsid w:val="00934CF9"/>
    <w:rsid w:val="00934DD7"/>
    <w:rsid w:val="009369A9"/>
    <w:rsid w:val="00936CF7"/>
    <w:rsid w:val="00937783"/>
    <w:rsid w:val="00937EAD"/>
    <w:rsid w:val="00937F28"/>
    <w:rsid w:val="00940FE1"/>
    <w:rsid w:val="00942306"/>
    <w:rsid w:val="009424B8"/>
    <w:rsid w:val="00944668"/>
    <w:rsid w:val="00944DC6"/>
    <w:rsid w:val="009458B0"/>
    <w:rsid w:val="00945B52"/>
    <w:rsid w:val="00945B7A"/>
    <w:rsid w:val="00945F05"/>
    <w:rsid w:val="00946348"/>
    <w:rsid w:val="00947797"/>
    <w:rsid w:val="009478A2"/>
    <w:rsid w:val="00953808"/>
    <w:rsid w:val="009539A6"/>
    <w:rsid w:val="00954032"/>
    <w:rsid w:val="00954537"/>
    <w:rsid w:val="0095472D"/>
    <w:rsid w:val="00955FBB"/>
    <w:rsid w:val="0095694B"/>
    <w:rsid w:val="00956BD5"/>
    <w:rsid w:val="00956D84"/>
    <w:rsid w:val="009577B5"/>
    <w:rsid w:val="009608E6"/>
    <w:rsid w:val="00960F57"/>
    <w:rsid w:val="00961C90"/>
    <w:rsid w:val="00965443"/>
    <w:rsid w:val="00965954"/>
    <w:rsid w:val="00965A21"/>
    <w:rsid w:val="00965E55"/>
    <w:rsid w:val="0096608E"/>
    <w:rsid w:val="00966522"/>
    <w:rsid w:val="00966C33"/>
    <w:rsid w:val="00970F18"/>
    <w:rsid w:val="00971CF1"/>
    <w:rsid w:val="00971F5D"/>
    <w:rsid w:val="009721E9"/>
    <w:rsid w:val="00973772"/>
    <w:rsid w:val="0097560A"/>
    <w:rsid w:val="00975E1E"/>
    <w:rsid w:val="00975E70"/>
    <w:rsid w:val="009761DE"/>
    <w:rsid w:val="009766FA"/>
    <w:rsid w:val="00977CD6"/>
    <w:rsid w:val="0098048B"/>
    <w:rsid w:val="00980DF9"/>
    <w:rsid w:val="0098243D"/>
    <w:rsid w:val="00982D26"/>
    <w:rsid w:val="00983B6E"/>
    <w:rsid w:val="00983FE5"/>
    <w:rsid w:val="009849E9"/>
    <w:rsid w:val="009859E4"/>
    <w:rsid w:val="00987812"/>
    <w:rsid w:val="00990225"/>
    <w:rsid w:val="00992A13"/>
    <w:rsid w:val="00994AAD"/>
    <w:rsid w:val="00995150"/>
    <w:rsid w:val="00995D67"/>
    <w:rsid w:val="009A013B"/>
    <w:rsid w:val="009A02F4"/>
    <w:rsid w:val="009A06BF"/>
    <w:rsid w:val="009A0D17"/>
    <w:rsid w:val="009A2494"/>
    <w:rsid w:val="009A32B1"/>
    <w:rsid w:val="009A33A3"/>
    <w:rsid w:val="009A36F2"/>
    <w:rsid w:val="009A40C3"/>
    <w:rsid w:val="009A40D5"/>
    <w:rsid w:val="009A57D0"/>
    <w:rsid w:val="009A6559"/>
    <w:rsid w:val="009A68FC"/>
    <w:rsid w:val="009A6CE4"/>
    <w:rsid w:val="009A7514"/>
    <w:rsid w:val="009A7E7A"/>
    <w:rsid w:val="009B1584"/>
    <w:rsid w:val="009B18F0"/>
    <w:rsid w:val="009B1F4C"/>
    <w:rsid w:val="009B2471"/>
    <w:rsid w:val="009B314F"/>
    <w:rsid w:val="009B439C"/>
    <w:rsid w:val="009B49A1"/>
    <w:rsid w:val="009B4A6C"/>
    <w:rsid w:val="009B4DA8"/>
    <w:rsid w:val="009B519A"/>
    <w:rsid w:val="009B620C"/>
    <w:rsid w:val="009B6753"/>
    <w:rsid w:val="009B676C"/>
    <w:rsid w:val="009B6A26"/>
    <w:rsid w:val="009C079D"/>
    <w:rsid w:val="009C0D70"/>
    <w:rsid w:val="009C13D1"/>
    <w:rsid w:val="009C2913"/>
    <w:rsid w:val="009C2BD4"/>
    <w:rsid w:val="009C5AFE"/>
    <w:rsid w:val="009C6606"/>
    <w:rsid w:val="009C6CE5"/>
    <w:rsid w:val="009C6D50"/>
    <w:rsid w:val="009C7547"/>
    <w:rsid w:val="009D05EC"/>
    <w:rsid w:val="009D18D4"/>
    <w:rsid w:val="009D2F60"/>
    <w:rsid w:val="009D3A2E"/>
    <w:rsid w:val="009D5ADE"/>
    <w:rsid w:val="009D5BAC"/>
    <w:rsid w:val="009D5C56"/>
    <w:rsid w:val="009D6265"/>
    <w:rsid w:val="009D64BD"/>
    <w:rsid w:val="009D6CB1"/>
    <w:rsid w:val="009E0286"/>
    <w:rsid w:val="009E153F"/>
    <w:rsid w:val="009E322A"/>
    <w:rsid w:val="009E393E"/>
    <w:rsid w:val="009E444E"/>
    <w:rsid w:val="009E4968"/>
    <w:rsid w:val="009E663C"/>
    <w:rsid w:val="009E684A"/>
    <w:rsid w:val="009E6BB1"/>
    <w:rsid w:val="009E6E14"/>
    <w:rsid w:val="009E794A"/>
    <w:rsid w:val="009E7C14"/>
    <w:rsid w:val="009F0494"/>
    <w:rsid w:val="009F0CD9"/>
    <w:rsid w:val="009F1A79"/>
    <w:rsid w:val="009F1F57"/>
    <w:rsid w:val="009F2DDD"/>
    <w:rsid w:val="009F3447"/>
    <w:rsid w:val="009F65F4"/>
    <w:rsid w:val="009F676B"/>
    <w:rsid w:val="009F6D2D"/>
    <w:rsid w:val="009F6D54"/>
    <w:rsid w:val="00A004DF"/>
    <w:rsid w:val="00A00FD5"/>
    <w:rsid w:val="00A012C0"/>
    <w:rsid w:val="00A019A8"/>
    <w:rsid w:val="00A01B03"/>
    <w:rsid w:val="00A01B89"/>
    <w:rsid w:val="00A02C66"/>
    <w:rsid w:val="00A02C84"/>
    <w:rsid w:val="00A0464C"/>
    <w:rsid w:val="00A050BB"/>
    <w:rsid w:val="00A054E0"/>
    <w:rsid w:val="00A05D91"/>
    <w:rsid w:val="00A0740B"/>
    <w:rsid w:val="00A07ED3"/>
    <w:rsid w:val="00A10CA8"/>
    <w:rsid w:val="00A11042"/>
    <w:rsid w:val="00A12579"/>
    <w:rsid w:val="00A133D8"/>
    <w:rsid w:val="00A15655"/>
    <w:rsid w:val="00A160B0"/>
    <w:rsid w:val="00A1740C"/>
    <w:rsid w:val="00A20069"/>
    <w:rsid w:val="00A2244D"/>
    <w:rsid w:val="00A2253D"/>
    <w:rsid w:val="00A2267F"/>
    <w:rsid w:val="00A22CDB"/>
    <w:rsid w:val="00A247B8"/>
    <w:rsid w:val="00A2495A"/>
    <w:rsid w:val="00A24C7A"/>
    <w:rsid w:val="00A24D8F"/>
    <w:rsid w:val="00A25B8B"/>
    <w:rsid w:val="00A2689F"/>
    <w:rsid w:val="00A26ECA"/>
    <w:rsid w:val="00A27461"/>
    <w:rsid w:val="00A27D67"/>
    <w:rsid w:val="00A30ABC"/>
    <w:rsid w:val="00A33B74"/>
    <w:rsid w:val="00A3467F"/>
    <w:rsid w:val="00A34B4C"/>
    <w:rsid w:val="00A35030"/>
    <w:rsid w:val="00A3551A"/>
    <w:rsid w:val="00A366A0"/>
    <w:rsid w:val="00A37209"/>
    <w:rsid w:val="00A37584"/>
    <w:rsid w:val="00A376E8"/>
    <w:rsid w:val="00A37F8E"/>
    <w:rsid w:val="00A41537"/>
    <w:rsid w:val="00A41737"/>
    <w:rsid w:val="00A42B8F"/>
    <w:rsid w:val="00A42D8E"/>
    <w:rsid w:val="00A43254"/>
    <w:rsid w:val="00A43896"/>
    <w:rsid w:val="00A43A26"/>
    <w:rsid w:val="00A447A0"/>
    <w:rsid w:val="00A459F5"/>
    <w:rsid w:val="00A45FC0"/>
    <w:rsid w:val="00A46B74"/>
    <w:rsid w:val="00A47ECC"/>
    <w:rsid w:val="00A50171"/>
    <w:rsid w:val="00A504FA"/>
    <w:rsid w:val="00A5102E"/>
    <w:rsid w:val="00A5132E"/>
    <w:rsid w:val="00A51375"/>
    <w:rsid w:val="00A51533"/>
    <w:rsid w:val="00A531D4"/>
    <w:rsid w:val="00A54572"/>
    <w:rsid w:val="00A575B8"/>
    <w:rsid w:val="00A61C60"/>
    <w:rsid w:val="00A61ECB"/>
    <w:rsid w:val="00A6410C"/>
    <w:rsid w:val="00A647B1"/>
    <w:rsid w:val="00A64DEF"/>
    <w:rsid w:val="00A654D2"/>
    <w:rsid w:val="00A665DF"/>
    <w:rsid w:val="00A67FCC"/>
    <w:rsid w:val="00A70AA5"/>
    <w:rsid w:val="00A70C03"/>
    <w:rsid w:val="00A71256"/>
    <w:rsid w:val="00A7217B"/>
    <w:rsid w:val="00A73861"/>
    <w:rsid w:val="00A739A6"/>
    <w:rsid w:val="00A740ED"/>
    <w:rsid w:val="00A74C29"/>
    <w:rsid w:val="00A74C62"/>
    <w:rsid w:val="00A75EF9"/>
    <w:rsid w:val="00A8311C"/>
    <w:rsid w:val="00A835D0"/>
    <w:rsid w:val="00A84C5F"/>
    <w:rsid w:val="00A85930"/>
    <w:rsid w:val="00A863F7"/>
    <w:rsid w:val="00A86604"/>
    <w:rsid w:val="00A87519"/>
    <w:rsid w:val="00A9246D"/>
    <w:rsid w:val="00A92CCA"/>
    <w:rsid w:val="00A93BD0"/>
    <w:rsid w:val="00A93CC2"/>
    <w:rsid w:val="00A974CC"/>
    <w:rsid w:val="00AA2001"/>
    <w:rsid w:val="00AA2B5C"/>
    <w:rsid w:val="00AA32D2"/>
    <w:rsid w:val="00AA4016"/>
    <w:rsid w:val="00AA4C1F"/>
    <w:rsid w:val="00AA5328"/>
    <w:rsid w:val="00AA5393"/>
    <w:rsid w:val="00AA63D4"/>
    <w:rsid w:val="00AB03FD"/>
    <w:rsid w:val="00AB2000"/>
    <w:rsid w:val="00AB38CB"/>
    <w:rsid w:val="00AB3BEC"/>
    <w:rsid w:val="00AB44E4"/>
    <w:rsid w:val="00AB4743"/>
    <w:rsid w:val="00AB4AEB"/>
    <w:rsid w:val="00AB4E5F"/>
    <w:rsid w:val="00AB5352"/>
    <w:rsid w:val="00AB56AE"/>
    <w:rsid w:val="00AB62D5"/>
    <w:rsid w:val="00AB65B5"/>
    <w:rsid w:val="00AB6DCD"/>
    <w:rsid w:val="00AB6EE0"/>
    <w:rsid w:val="00AC17A2"/>
    <w:rsid w:val="00AC40B7"/>
    <w:rsid w:val="00AC531F"/>
    <w:rsid w:val="00AC5B36"/>
    <w:rsid w:val="00AC6377"/>
    <w:rsid w:val="00AC66A4"/>
    <w:rsid w:val="00AC6CB1"/>
    <w:rsid w:val="00AC7D6D"/>
    <w:rsid w:val="00AD0091"/>
    <w:rsid w:val="00AD23EF"/>
    <w:rsid w:val="00AD2662"/>
    <w:rsid w:val="00AD307B"/>
    <w:rsid w:val="00AD4014"/>
    <w:rsid w:val="00AD41B3"/>
    <w:rsid w:val="00AD5721"/>
    <w:rsid w:val="00AD69F0"/>
    <w:rsid w:val="00AD7127"/>
    <w:rsid w:val="00AD730C"/>
    <w:rsid w:val="00AE123A"/>
    <w:rsid w:val="00AE1539"/>
    <w:rsid w:val="00AE28A7"/>
    <w:rsid w:val="00AE2A98"/>
    <w:rsid w:val="00AE2CF2"/>
    <w:rsid w:val="00AE3012"/>
    <w:rsid w:val="00AE33A6"/>
    <w:rsid w:val="00AE3729"/>
    <w:rsid w:val="00AE4CCE"/>
    <w:rsid w:val="00AE5C6A"/>
    <w:rsid w:val="00AE7280"/>
    <w:rsid w:val="00AF033A"/>
    <w:rsid w:val="00AF1699"/>
    <w:rsid w:val="00AF1FD3"/>
    <w:rsid w:val="00AF2910"/>
    <w:rsid w:val="00AF34B8"/>
    <w:rsid w:val="00AF3896"/>
    <w:rsid w:val="00AF3FC2"/>
    <w:rsid w:val="00B0098A"/>
    <w:rsid w:val="00B00A5F"/>
    <w:rsid w:val="00B029B8"/>
    <w:rsid w:val="00B02F60"/>
    <w:rsid w:val="00B032B8"/>
    <w:rsid w:val="00B04721"/>
    <w:rsid w:val="00B04B15"/>
    <w:rsid w:val="00B04B46"/>
    <w:rsid w:val="00B0534D"/>
    <w:rsid w:val="00B05685"/>
    <w:rsid w:val="00B05F9F"/>
    <w:rsid w:val="00B06368"/>
    <w:rsid w:val="00B068DA"/>
    <w:rsid w:val="00B06A00"/>
    <w:rsid w:val="00B06FC6"/>
    <w:rsid w:val="00B074C9"/>
    <w:rsid w:val="00B07D9D"/>
    <w:rsid w:val="00B1048A"/>
    <w:rsid w:val="00B11AE5"/>
    <w:rsid w:val="00B12FE6"/>
    <w:rsid w:val="00B1303F"/>
    <w:rsid w:val="00B1364A"/>
    <w:rsid w:val="00B13859"/>
    <w:rsid w:val="00B13EC9"/>
    <w:rsid w:val="00B14319"/>
    <w:rsid w:val="00B14A06"/>
    <w:rsid w:val="00B158E1"/>
    <w:rsid w:val="00B16715"/>
    <w:rsid w:val="00B1768E"/>
    <w:rsid w:val="00B17910"/>
    <w:rsid w:val="00B20F18"/>
    <w:rsid w:val="00B21516"/>
    <w:rsid w:val="00B21A37"/>
    <w:rsid w:val="00B21D23"/>
    <w:rsid w:val="00B21F62"/>
    <w:rsid w:val="00B22CE0"/>
    <w:rsid w:val="00B23738"/>
    <w:rsid w:val="00B23BEF"/>
    <w:rsid w:val="00B247BB"/>
    <w:rsid w:val="00B2504A"/>
    <w:rsid w:val="00B25EE6"/>
    <w:rsid w:val="00B3115A"/>
    <w:rsid w:val="00B31825"/>
    <w:rsid w:val="00B31A5C"/>
    <w:rsid w:val="00B33B06"/>
    <w:rsid w:val="00B33C19"/>
    <w:rsid w:val="00B35A15"/>
    <w:rsid w:val="00B35B45"/>
    <w:rsid w:val="00B36A99"/>
    <w:rsid w:val="00B42264"/>
    <w:rsid w:val="00B434B2"/>
    <w:rsid w:val="00B43D45"/>
    <w:rsid w:val="00B468F2"/>
    <w:rsid w:val="00B469DE"/>
    <w:rsid w:val="00B47286"/>
    <w:rsid w:val="00B50234"/>
    <w:rsid w:val="00B51BF4"/>
    <w:rsid w:val="00B52C68"/>
    <w:rsid w:val="00B5372B"/>
    <w:rsid w:val="00B542FE"/>
    <w:rsid w:val="00B55A1B"/>
    <w:rsid w:val="00B561DB"/>
    <w:rsid w:val="00B56DF9"/>
    <w:rsid w:val="00B600BD"/>
    <w:rsid w:val="00B61274"/>
    <w:rsid w:val="00B61DCE"/>
    <w:rsid w:val="00B62188"/>
    <w:rsid w:val="00B62F79"/>
    <w:rsid w:val="00B62F82"/>
    <w:rsid w:val="00B6306A"/>
    <w:rsid w:val="00B635E3"/>
    <w:rsid w:val="00B662FF"/>
    <w:rsid w:val="00B66679"/>
    <w:rsid w:val="00B70145"/>
    <w:rsid w:val="00B71A92"/>
    <w:rsid w:val="00B721D8"/>
    <w:rsid w:val="00B730CA"/>
    <w:rsid w:val="00B747C5"/>
    <w:rsid w:val="00B74F2F"/>
    <w:rsid w:val="00B753ED"/>
    <w:rsid w:val="00B769BC"/>
    <w:rsid w:val="00B77349"/>
    <w:rsid w:val="00B7761E"/>
    <w:rsid w:val="00B80A3D"/>
    <w:rsid w:val="00B80B04"/>
    <w:rsid w:val="00B821E4"/>
    <w:rsid w:val="00B823E0"/>
    <w:rsid w:val="00B8260D"/>
    <w:rsid w:val="00B82B78"/>
    <w:rsid w:val="00B845B4"/>
    <w:rsid w:val="00B84662"/>
    <w:rsid w:val="00B84C74"/>
    <w:rsid w:val="00B85191"/>
    <w:rsid w:val="00B858A1"/>
    <w:rsid w:val="00B85FEC"/>
    <w:rsid w:val="00B864A3"/>
    <w:rsid w:val="00B86C2A"/>
    <w:rsid w:val="00B902A5"/>
    <w:rsid w:val="00B90420"/>
    <w:rsid w:val="00B90848"/>
    <w:rsid w:val="00B91146"/>
    <w:rsid w:val="00B913E4"/>
    <w:rsid w:val="00B91DB9"/>
    <w:rsid w:val="00B91FF3"/>
    <w:rsid w:val="00B93EFE"/>
    <w:rsid w:val="00B944B9"/>
    <w:rsid w:val="00B94956"/>
    <w:rsid w:val="00B94C7F"/>
    <w:rsid w:val="00B94E93"/>
    <w:rsid w:val="00B956B5"/>
    <w:rsid w:val="00B96DF2"/>
    <w:rsid w:val="00B96E18"/>
    <w:rsid w:val="00B96F5A"/>
    <w:rsid w:val="00BA0B39"/>
    <w:rsid w:val="00BA0CB2"/>
    <w:rsid w:val="00BA0E26"/>
    <w:rsid w:val="00BA138B"/>
    <w:rsid w:val="00BA305B"/>
    <w:rsid w:val="00BA31BF"/>
    <w:rsid w:val="00BA3FC7"/>
    <w:rsid w:val="00BA478B"/>
    <w:rsid w:val="00BA5224"/>
    <w:rsid w:val="00BA575E"/>
    <w:rsid w:val="00BA76B7"/>
    <w:rsid w:val="00BA7E3B"/>
    <w:rsid w:val="00BB078D"/>
    <w:rsid w:val="00BB079C"/>
    <w:rsid w:val="00BB0D7A"/>
    <w:rsid w:val="00BB10E1"/>
    <w:rsid w:val="00BB2471"/>
    <w:rsid w:val="00BB3035"/>
    <w:rsid w:val="00BB39C1"/>
    <w:rsid w:val="00BB3DF5"/>
    <w:rsid w:val="00BB5D16"/>
    <w:rsid w:val="00BB6180"/>
    <w:rsid w:val="00BB69E6"/>
    <w:rsid w:val="00BB7BE5"/>
    <w:rsid w:val="00BC08BD"/>
    <w:rsid w:val="00BC11E8"/>
    <w:rsid w:val="00BC1B7A"/>
    <w:rsid w:val="00BC2C17"/>
    <w:rsid w:val="00BC3ACD"/>
    <w:rsid w:val="00BC3B20"/>
    <w:rsid w:val="00BC3EE4"/>
    <w:rsid w:val="00BC588C"/>
    <w:rsid w:val="00BC6E73"/>
    <w:rsid w:val="00BC74D3"/>
    <w:rsid w:val="00BD0014"/>
    <w:rsid w:val="00BD01D8"/>
    <w:rsid w:val="00BD255F"/>
    <w:rsid w:val="00BD2895"/>
    <w:rsid w:val="00BD4236"/>
    <w:rsid w:val="00BD483B"/>
    <w:rsid w:val="00BD5CD4"/>
    <w:rsid w:val="00BD65D9"/>
    <w:rsid w:val="00BD6DF3"/>
    <w:rsid w:val="00BD6E09"/>
    <w:rsid w:val="00BD6EF9"/>
    <w:rsid w:val="00BE0ACB"/>
    <w:rsid w:val="00BE2260"/>
    <w:rsid w:val="00BE3917"/>
    <w:rsid w:val="00BE50FD"/>
    <w:rsid w:val="00BE51CA"/>
    <w:rsid w:val="00BE537F"/>
    <w:rsid w:val="00BE5D77"/>
    <w:rsid w:val="00BE6D47"/>
    <w:rsid w:val="00BE7032"/>
    <w:rsid w:val="00BE7330"/>
    <w:rsid w:val="00BF01C5"/>
    <w:rsid w:val="00BF061A"/>
    <w:rsid w:val="00BF066A"/>
    <w:rsid w:val="00BF14CC"/>
    <w:rsid w:val="00BF1821"/>
    <w:rsid w:val="00BF4342"/>
    <w:rsid w:val="00BF4704"/>
    <w:rsid w:val="00BF4FFC"/>
    <w:rsid w:val="00BF5050"/>
    <w:rsid w:val="00BF50D1"/>
    <w:rsid w:val="00BF5422"/>
    <w:rsid w:val="00BF59B1"/>
    <w:rsid w:val="00BF6A78"/>
    <w:rsid w:val="00BF7695"/>
    <w:rsid w:val="00BF79B4"/>
    <w:rsid w:val="00BF7C61"/>
    <w:rsid w:val="00C01427"/>
    <w:rsid w:val="00C014C7"/>
    <w:rsid w:val="00C047AB"/>
    <w:rsid w:val="00C058AF"/>
    <w:rsid w:val="00C075B6"/>
    <w:rsid w:val="00C124C1"/>
    <w:rsid w:val="00C128AE"/>
    <w:rsid w:val="00C12BA8"/>
    <w:rsid w:val="00C136D6"/>
    <w:rsid w:val="00C13D5B"/>
    <w:rsid w:val="00C141D7"/>
    <w:rsid w:val="00C1711B"/>
    <w:rsid w:val="00C17AE2"/>
    <w:rsid w:val="00C20140"/>
    <w:rsid w:val="00C20F27"/>
    <w:rsid w:val="00C215CF"/>
    <w:rsid w:val="00C2244B"/>
    <w:rsid w:val="00C22711"/>
    <w:rsid w:val="00C2280A"/>
    <w:rsid w:val="00C22B0D"/>
    <w:rsid w:val="00C22BFF"/>
    <w:rsid w:val="00C23522"/>
    <w:rsid w:val="00C240C1"/>
    <w:rsid w:val="00C24AED"/>
    <w:rsid w:val="00C250D0"/>
    <w:rsid w:val="00C252AC"/>
    <w:rsid w:val="00C25C0F"/>
    <w:rsid w:val="00C26567"/>
    <w:rsid w:val="00C26923"/>
    <w:rsid w:val="00C27214"/>
    <w:rsid w:val="00C27597"/>
    <w:rsid w:val="00C27E5E"/>
    <w:rsid w:val="00C30382"/>
    <w:rsid w:val="00C30772"/>
    <w:rsid w:val="00C30D6F"/>
    <w:rsid w:val="00C31063"/>
    <w:rsid w:val="00C31B7E"/>
    <w:rsid w:val="00C322D1"/>
    <w:rsid w:val="00C3242A"/>
    <w:rsid w:val="00C33201"/>
    <w:rsid w:val="00C33A39"/>
    <w:rsid w:val="00C34619"/>
    <w:rsid w:val="00C35D01"/>
    <w:rsid w:val="00C360B3"/>
    <w:rsid w:val="00C37027"/>
    <w:rsid w:val="00C37B19"/>
    <w:rsid w:val="00C413CB"/>
    <w:rsid w:val="00C42752"/>
    <w:rsid w:val="00C42973"/>
    <w:rsid w:val="00C4712A"/>
    <w:rsid w:val="00C5034F"/>
    <w:rsid w:val="00C50830"/>
    <w:rsid w:val="00C52479"/>
    <w:rsid w:val="00C5266E"/>
    <w:rsid w:val="00C52C59"/>
    <w:rsid w:val="00C5349E"/>
    <w:rsid w:val="00C539FF"/>
    <w:rsid w:val="00C544BD"/>
    <w:rsid w:val="00C54D3D"/>
    <w:rsid w:val="00C55A30"/>
    <w:rsid w:val="00C56384"/>
    <w:rsid w:val="00C60F8C"/>
    <w:rsid w:val="00C61794"/>
    <w:rsid w:val="00C62A48"/>
    <w:rsid w:val="00C62AC4"/>
    <w:rsid w:val="00C62B59"/>
    <w:rsid w:val="00C62F96"/>
    <w:rsid w:val="00C631E1"/>
    <w:rsid w:val="00C638D8"/>
    <w:rsid w:val="00C63AE7"/>
    <w:rsid w:val="00C63D26"/>
    <w:rsid w:val="00C6540A"/>
    <w:rsid w:val="00C668A1"/>
    <w:rsid w:val="00C67223"/>
    <w:rsid w:val="00C707B8"/>
    <w:rsid w:val="00C712AC"/>
    <w:rsid w:val="00C71C15"/>
    <w:rsid w:val="00C71F3D"/>
    <w:rsid w:val="00C72F53"/>
    <w:rsid w:val="00C74035"/>
    <w:rsid w:val="00C748EA"/>
    <w:rsid w:val="00C77818"/>
    <w:rsid w:val="00C8063F"/>
    <w:rsid w:val="00C81282"/>
    <w:rsid w:val="00C827B4"/>
    <w:rsid w:val="00C83214"/>
    <w:rsid w:val="00C8329F"/>
    <w:rsid w:val="00C84F8A"/>
    <w:rsid w:val="00C85BA4"/>
    <w:rsid w:val="00C8618F"/>
    <w:rsid w:val="00C8625D"/>
    <w:rsid w:val="00C90372"/>
    <w:rsid w:val="00C9041F"/>
    <w:rsid w:val="00C9166B"/>
    <w:rsid w:val="00C91A45"/>
    <w:rsid w:val="00C91FB4"/>
    <w:rsid w:val="00C92150"/>
    <w:rsid w:val="00C92328"/>
    <w:rsid w:val="00C92D42"/>
    <w:rsid w:val="00C938C2"/>
    <w:rsid w:val="00C93F8A"/>
    <w:rsid w:val="00C94EA1"/>
    <w:rsid w:val="00C95745"/>
    <w:rsid w:val="00C95902"/>
    <w:rsid w:val="00C962E3"/>
    <w:rsid w:val="00C978E2"/>
    <w:rsid w:val="00C97997"/>
    <w:rsid w:val="00CA10A2"/>
    <w:rsid w:val="00CA1D83"/>
    <w:rsid w:val="00CA25C0"/>
    <w:rsid w:val="00CA3451"/>
    <w:rsid w:val="00CA35C6"/>
    <w:rsid w:val="00CA4948"/>
    <w:rsid w:val="00CA52F9"/>
    <w:rsid w:val="00CA5368"/>
    <w:rsid w:val="00CA568B"/>
    <w:rsid w:val="00CA573A"/>
    <w:rsid w:val="00CA5C58"/>
    <w:rsid w:val="00CB19D7"/>
    <w:rsid w:val="00CB19FE"/>
    <w:rsid w:val="00CB1C3F"/>
    <w:rsid w:val="00CB2364"/>
    <w:rsid w:val="00CB304C"/>
    <w:rsid w:val="00CB3933"/>
    <w:rsid w:val="00CB53E8"/>
    <w:rsid w:val="00CB594A"/>
    <w:rsid w:val="00CB5CB2"/>
    <w:rsid w:val="00CB6979"/>
    <w:rsid w:val="00CB7DDE"/>
    <w:rsid w:val="00CC0A3D"/>
    <w:rsid w:val="00CC3C53"/>
    <w:rsid w:val="00CC3D24"/>
    <w:rsid w:val="00CC3F91"/>
    <w:rsid w:val="00CC4ACD"/>
    <w:rsid w:val="00CC4B0A"/>
    <w:rsid w:val="00CC544A"/>
    <w:rsid w:val="00CC57EA"/>
    <w:rsid w:val="00CC5954"/>
    <w:rsid w:val="00CC629B"/>
    <w:rsid w:val="00CC6C4E"/>
    <w:rsid w:val="00CD009D"/>
    <w:rsid w:val="00CD05A2"/>
    <w:rsid w:val="00CD29D4"/>
    <w:rsid w:val="00CD2B5C"/>
    <w:rsid w:val="00CD2FF3"/>
    <w:rsid w:val="00CD3323"/>
    <w:rsid w:val="00CD38F5"/>
    <w:rsid w:val="00CD437E"/>
    <w:rsid w:val="00CD5DAD"/>
    <w:rsid w:val="00CD72C5"/>
    <w:rsid w:val="00CD79A7"/>
    <w:rsid w:val="00CE0789"/>
    <w:rsid w:val="00CE0E8D"/>
    <w:rsid w:val="00CE1A03"/>
    <w:rsid w:val="00CE2346"/>
    <w:rsid w:val="00CE25B2"/>
    <w:rsid w:val="00CE3529"/>
    <w:rsid w:val="00CE35C8"/>
    <w:rsid w:val="00CE3962"/>
    <w:rsid w:val="00CE4D1A"/>
    <w:rsid w:val="00CE4E8A"/>
    <w:rsid w:val="00CE5105"/>
    <w:rsid w:val="00CE56BD"/>
    <w:rsid w:val="00CE5EC0"/>
    <w:rsid w:val="00CE6F9F"/>
    <w:rsid w:val="00CE781A"/>
    <w:rsid w:val="00CE7B08"/>
    <w:rsid w:val="00CE7D52"/>
    <w:rsid w:val="00CF1D74"/>
    <w:rsid w:val="00CF2BE2"/>
    <w:rsid w:val="00CF3DEB"/>
    <w:rsid w:val="00CF55F9"/>
    <w:rsid w:val="00CF7074"/>
    <w:rsid w:val="00CF7495"/>
    <w:rsid w:val="00D01CF9"/>
    <w:rsid w:val="00D0334D"/>
    <w:rsid w:val="00D0374D"/>
    <w:rsid w:val="00D06D7B"/>
    <w:rsid w:val="00D06DA5"/>
    <w:rsid w:val="00D07191"/>
    <w:rsid w:val="00D07F1D"/>
    <w:rsid w:val="00D10558"/>
    <w:rsid w:val="00D11D4D"/>
    <w:rsid w:val="00D126DC"/>
    <w:rsid w:val="00D12B03"/>
    <w:rsid w:val="00D13E70"/>
    <w:rsid w:val="00D15FCD"/>
    <w:rsid w:val="00D16C58"/>
    <w:rsid w:val="00D17019"/>
    <w:rsid w:val="00D17FC8"/>
    <w:rsid w:val="00D20B44"/>
    <w:rsid w:val="00D21168"/>
    <w:rsid w:val="00D2438C"/>
    <w:rsid w:val="00D2585A"/>
    <w:rsid w:val="00D259B0"/>
    <w:rsid w:val="00D26C3F"/>
    <w:rsid w:val="00D27185"/>
    <w:rsid w:val="00D33488"/>
    <w:rsid w:val="00D33AB3"/>
    <w:rsid w:val="00D33F24"/>
    <w:rsid w:val="00D34160"/>
    <w:rsid w:val="00D346B8"/>
    <w:rsid w:val="00D34DCA"/>
    <w:rsid w:val="00D35AC8"/>
    <w:rsid w:val="00D36F87"/>
    <w:rsid w:val="00D37E4E"/>
    <w:rsid w:val="00D417D8"/>
    <w:rsid w:val="00D41F78"/>
    <w:rsid w:val="00D42E6C"/>
    <w:rsid w:val="00D4351C"/>
    <w:rsid w:val="00D43B80"/>
    <w:rsid w:val="00D44988"/>
    <w:rsid w:val="00D45B4C"/>
    <w:rsid w:val="00D45BA4"/>
    <w:rsid w:val="00D471AF"/>
    <w:rsid w:val="00D4724F"/>
    <w:rsid w:val="00D50519"/>
    <w:rsid w:val="00D51601"/>
    <w:rsid w:val="00D51ECB"/>
    <w:rsid w:val="00D5264C"/>
    <w:rsid w:val="00D52BBC"/>
    <w:rsid w:val="00D537FE"/>
    <w:rsid w:val="00D53CC9"/>
    <w:rsid w:val="00D54A6A"/>
    <w:rsid w:val="00D54B8F"/>
    <w:rsid w:val="00D55951"/>
    <w:rsid w:val="00D559F0"/>
    <w:rsid w:val="00D57EB6"/>
    <w:rsid w:val="00D608C0"/>
    <w:rsid w:val="00D60D6D"/>
    <w:rsid w:val="00D6128C"/>
    <w:rsid w:val="00D66D8B"/>
    <w:rsid w:val="00D70849"/>
    <w:rsid w:val="00D72297"/>
    <w:rsid w:val="00D72A1C"/>
    <w:rsid w:val="00D7308F"/>
    <w:rsid w:val="00D7313E"/>
    <w:rsid w:val="00D73580"/>
    <w:rsid w:val="00D73802"/>
    <w:rsid w:val="00D73C2C"/>
    <w:rsid w:val="00D73D52"/>
    <w:rsid w:val="00D745E7"/>
    <w:rsid w:val="00D774ED"/>
    <w:rsid w:val="00D777C3"/>
    <w:rsid w:val="00D7797C"/>
    <w:rsid w:val="00D77C44"/>
    <w:rsid w:val="00D77F88"/>
    <w:rsid w:val="00D81AFA"/>
    <w:rsid w:val="00D81EAA"/>
    <w:rsid w:val="00D81FE2"/>
    <w:rsid w:val="00D8259F"/>
    <w:rsid w:val="00D825F2"/>
    <w:rsid w:val="00D8285C"/>
    <w:rsid w:val="00D828B1"/>
    <w:rsid w:val="00D82A55"/>
    <w:rsid w:val="00D83D49"/>
    <w:rsid w:val="00D84181"/>
    <w:rsid w:val="00D846AD"/>
    <w:rsid w:val="00D84754"/>
    <w:rsid w:val="00D84F27"/>
    <w:rsid w:val="00D853F0"/>
    <w:rsid w:val="00D85862"/>
    <w:rsid w:val="00D86D47"/>
    <w:rsid w:val="00D8710C"/>
    <w:rsid w:val="00D873C6"/>
    <w:rsid w:val="00D9074A"/>
    <w:rsid w:val="00D9099E"/>
    <w:rsid w:val="00D9193A"/>
    <w:rsid w:val="00D923B2"/>
    <w:rsid w:val="00D92463"/>
    <w:rsid w:val="00D93E64"/>
    <w:rsid w:val="00D93F64"/>
    <w:rsid w:val="00D94CA4"/>
    <w:rsid w:val="00D95E99"/>
    <w:rsid w:val="00D965D5"/>
    <w:rsid w:val="00D97DA2"/>
    <w:rsid w:val="00DA1A3A"/>
    <w:rsid w:val="00DA2351"/>
    <w:rsid w:val="00DA249E"/>
    <w:rsid w:val="00DA2D3D"/>
    <w:rsid w:val="00DA4C30"/>
    <w:rsid w:val="00DB145E"/>
    <w:rsid w:val="00DB1A94"/>
    <w:rsid w:val="00DB1D52"/>
    <w:rsid w:val="00DB1E2B"/>
    <w:rsid w:val="00DB1F62"/>
    <w:rsid w:val="00DB21E7"/>
    <w:rsid w:val="00DB2E03"/>
    <w:rsid w:val="00DB3742"/>
    <w:rsid w:val="00DB3E9B"/>
    <w:rsid w:val="00DB3F4B"/>
    <w:rsid w:val="00DB5375"/>
    <w:rsid w:val="00DB67C1"/>
    <w:rsid w:val="00DB6C0B"/>
    <w:rsid w:val="00DB70F4"/>
    <w:rsid w:val="00DB748A"/>
    <w:rsid w:val="00DC1056"/>
    <w:rsid w:val="00DC1442"/>
    <w:rsid w:val="00DC21D8"/>
    <w:rsid w:val="00DC282A"/>
    <w:rsid w:val="00DC34DC"/>
    <w:rsid w:val="00DC3780"/>
    <w:rsid w:val="00DC3ADA"/>
    <w:rsid w:val="00DC3CC6"/>
    <w:rsid w:val="00DC3F55"/>
    <w:rsid w:val="00DC4782"/>
    <w:rsid w:val="00DC514A"/>
    <w:rsid w:val="00DC67B1"/>
    <w:rsid w:val="00DC7FBC"/>
    <w:rsid w:val="00DD0019"/>
    <w:rsid w:val="00DD132B"/>
    <w:rsid w:val="00DD1725"/>
    <w:rsid w:val="00DD2159"/>
    <w:rsid w:val="00DD218B"/>
    <w:rsid w:val="00DD2A18"/>
    <w:rsid w:val="00DD3044"/>
    <w:rsid w:val="00DD3985"/>
    <w:rsid w:val="00DD61E8"/>
    <w:rsid w:val="00DD62C0"/>
    <w:rsid w:val="00DD64DE"/>
    <w:rsid w:val="00DD7859"/>
    <w:rsid w:val="00DD7B41"/>
    <w:rsid w:val="00DE0784"/>
    <w:rsid w:val="00DE0A1D"/>
    <w:rsid w:val="00DE15B2"/>
    <w:rsid w:val="00DE1A9A"/>
    <w:rsid w:val="00DE3D2C"/>
    <w:rsid w:val="00DE5E82"/>
    <w:rsid w:val="00DE5FA6"/>
    <w:rsid w:val="00DE6792"/>
    <w:rsid w:val="00DE6AA1"/>
    <w:rsid w:val="00DE7EF7"/>
    <w:rsid w:val="00DF015B"/>
    <w:rsid w:val="00DF02EC"/>
    <w:rsid w:val="00DF10FC"/>
    <w:rsid w:val="00DF1185"/>
    <w:rsid w:val="00DF1299"/>
    <w:rsid w:val="00DF1A70"/>
    <w:rsid w:val="00DF1E5F"/>
    <w:rsid w:val="00DF23A8"/>
    <w:rsid w:val="00DF2F27"/>
    <w:rsid w:val="00DF36B6"/>
    <w:rsid w:val="00DF4296"/>
    <w:rsid w:val="00DF53F0"/>
    <w:rsid w:val="00DF5F38"/>
    <w:rsid w:val="00DF6608"/>
    <w:rsid w:val="00DF6CCC"/>
    <w:rsid w:val="00DF6D0C"/>
    <w:rsid w:val="00DF6F64"/>
    <w:rsid w:val="00DF721E"/>
    <w:rsid w:val="00DF7B8A"/>
    <w:rsid w:val="00DF7C87"/>
    <w:rsid w:val="00E009B0"/>
    <w:rsid w:val="00E00A12"/>
    <w:rsid w:val="00E00C49"/>
    <w:rsid w:val="00E01C9C"/>
    <w:rsid w:val="00E0219D"/>
    <w:rsid w:val="00E04C0F"/>
    <w:rsid w:val="00E0570B"/>
    <w:rsid w:val="00E10913"/>
    <w:rsid w:val="00E10B87"/>
    <w:rsid w:val="00E121CE"/>
    <w:rsid w:val="00E1478B"/>
    <w:rsid w:val="00E14FAC"/>
    <w:rsid w:val="00E15007"/>
    <w:rsid w:val="00E16277"/>
    <w:rsid w:val="00E16EC7"/>
    <w:rsid w:val="00E219CE"/>
    <w:rsid w:val="00E24071"/>
    <w:rsid w:val="00E24EBC"/>
    <w:rsid w:val="00E2522C"/>
    <w:rsid w:val="00E2552F"/>
    <w:rsid w:val="00E2599B"/>
    <w:rsid w:val="00E2710C"/>
    <w:rsid w:val="00E27428"/>
    <w:rsid w:val="00E305B4"/>
    <w:rsid w:val="00E31AFA"/>
    <w:rsid w:val="00E31CB7"/>
    <w:rsid w:val="00E324EE"/>
    <w:rsid w:val="00E34DB1"/>
    <w:rsid w:val="00E35931"/>
    <w:rsid w:val="00E359FF"/>
    <w:rsid w:val="00E402C5"/>
    <w:rsid w:val="00E402F4"/>
    <w:rsid w:val="00E405F1"/>
    <w:rsid w:val="00E417DB"/>
    <w:rsid w:val="00E43054"/>
    <w:rsid w:val="00E43655"/>
    <w:rsid w:val="00E44440"/>
    <w:rsid w:val="00E46013"/>
    <w:rsid w:val="00E47099"/>
    <w:rsid w:val="00E47284"/>
    <w:rsid w:val="00E477C3"/>
    <w:rsid w:val="00E51E16"/>
    <w:rsid w:val="00E53730"/>
    <w:rsid w:val="00E5438D"/>
    <w:rsid w:val="00E54511"/>
    <w:rsid w:val="00E54E50"/>
    <w:rsid w:val="00E55288"/>
    <w:rsid w:val="00E57577"/>
    <w:rsid w:val="00E62043"/>
    <w:rsid w:val="00E626B9"/>
    <w:rsid w:val="00E627C9"/>
    <w:rsid w:val="00E630F3"/>
    <w:rsid w:val="00E6332F"/>
    <w:rsid w:val="00E637C9"/>
    <w:rsid w:val="00E6402D"/>
    <w:rsid w:val="00E6680A"/>
    <w:rsid w:val="00E66F0D"/>
    <w:rsid w:val="00E70615"/>
    <w:rsid w:val="00E7161E"/>
    <w:rsid w:val="00E7207B"/>
    <w:rsid w:val="00E7347A"/>
    <w:rsid w:val="00E75A47"/>
    <w:rsid w:val="00E75BB6"/>
    <w:rsid w:val="00E75D8C"/>
    <w:rsid w:val="00E777F2"/>
    <w:rsid w:val="00E802C9"/>
    <w:rsid w:val="00E80BFB"/>
    <w:rsid w:val="00E80F0A"/>
    <w:rsid w:val="00E815D4"/>
    <w:rsid w:val="00E8291B"/>
    <w:rsid w:val="00E82E70"/>
    <w:rsid w:val="00E82F92"/>
    <w:rsid w:val="00E8395F"/>
    <w:rsid w:val="00E8410F"/>
    <w:rsid w:val="00E849D7"/>
    <w:rsid w:val="00E85E41"/>
    <w:rsid w:val="00E85EA1"/>
    <w:rsid w:val="00E86703"/>
    <w:rsid w:val="00E91044"/>
    <w:rsid w:val="00E910D3"/>
    <w:rsid w:val="00E92154"/>
    <w:rsid w:val="00E923CF"/>
    <w:rsid w:val="00E93685"/>
    <w:rsid w:val="00E93B65"/>
    <w:rsid w:val="00E93C8C"/>
    <w:rsid w:val="00E95111"/>
    <w:rsid w:val="00E95FDF"/>
    <w:rsid w:val="00EA14C8"/>
    <w:rsid w:val="00EA2110"/>
    <w:rsid w:val="00EA283A"/>
    <w:rsid w:val="00EA2C90"/>
    <w:rsid w:val="00EA2E07"/>
    <w:rsid w:val="00EA383B"/>
    <w:rsid w:val="00EA48F3"/>
    <w:rsid w:val="00EA60BF"/>
    <w:rsid w:val="00EA7365"/>
    <w:rsid w:val="00EA763F"/>
    <w:rsid w:val="00EA77E9"/>
    <w:rsid w:val="00EB05D0"/>
    <w:rsid w:val="00EB1151"/>
    <w:rsid w:val="00EB1D49"/>
    <w:rsid w:val="00EB23D9"/>
    <w:rsid w:val="00EB39A0"/>
    <w:rsid w:val="00EB559F"/>
    <w:rsid w:val="00EB566C"/>
    <w:rsid w:val="00EB5F3D"/>
    <w:rsid w:val="00EC1CEB"/>
    <w:rsid w:val="00EC1DC0"/>
    <w:rsid w:val="00EC1DC2"/>
    <w:rsid w:val="00EC21EC"/>
    <w:rsid w:val="00EC24B8"/>
    <w:rsid w:val="00EC268C"/>
    <w:rsid w:val="00EC3753"/>
    <w:rsid w:val="00EC4E71"/>
    <w:rsid w:val="00EC5F1C"/>
    <w:rsid w:val="00ED0365"/>
    <w:rsid w:val="00ED0865"/>
    <w:rsid w:val="00ED1C60"/>
    <w:rsid w:val="00ED2EB9"/>
    <w:rsid w:val="00ED3722"/>
    <w:rsid w:val="00ED3A31"/>
    <w:rsid w:val="00ED4469"/>
    <w:rsid w:val="00ED5424"/>
    <w:rsid w:val="00ED5F23"/>
    <w:rsid w:val="00ED6DC0"/>
    <w:rsid w:val="00ED7A7A"/>
    <w:rsid w:val="00EE0327"/>
    <w:rsid w:val="00EE038C"/>
    <w:rsid w:val="00EE28C5"/>
    <w:rsid w:val="00EE2F09"/>
    <w:rsid w:val="00EE47C5"/>
    <w:rsid w:val="00EE490C"/>
    <w:rsid w:val="00EE4E57"/>
    <w:rsid w:val="00EE5738"/>
    <w:rsid w:val="00EE58BD"/>
    <w:rsid w:val="00EE5E59"/>
    <w:rsid w:val="00EE73D0"/>
    <w:rsid w:val="00EE7CB0"/>
    <w:rsid w:val="00EF08A8"/>
    <w:rsid w:val="00EF167B"/>
    <w:rsid w:val="00EF41A8"/>
    <w:rsid w:val="00EF44FB"/>
    <w:rsid w:val="00EF5122"/>
    <w:rsid w:val="00EF5554"/>
    <w:rsid w:val="00EF5AD8"/>
    <w:rsid w:val="00EF6B90"/>
    <w:rsid w:val="00EF7807"/>
    <w:rsid w:val="00EF79F7"/>
    <w:rsid w:val="00F006C0"/>
    <w:rsid w:val="00F0125F"/>
    <w:rsid w:val="00F019AA"/>
    <w:rsid w:val="00F0267E"/>
    <w:rsid w:val="00F02686"/>
    <w:rsid w:val="00F030C0"/>
    <w:rsid w:val="00F03291"/>
    <w:rsid w:val="00F0459B"/>
    <w:rsid w:val="00F04E15"/>
    <w:rsid w:val="00F05DF3"/>
    <w:rsid w:val="00F069EA"/>
    <w:rsid w:val="00F070E5"/>
    <w:rsid w:val="00F07DDE"/>
    <w:rsid w:val="00F11675"/>
    <w:rsid w:val="00F12557"/>
    <w:rsid w:val="00F13599"/>
    <w:rsid w:val="00F13B28"/>
    <w:rsid w:val="00F156A0"/>
    <w:rsid w:val="00F15730"/>
    <w:rsid w:val="00F176A6"/>
    <w:rsid w:val="00F202C2"/>
    <w:rsid w:val="00F212F6"/>
    <w:rsid w:val="00F22756"/>
    <w:rsid w:val="00F23248"/>
    <w:rsid w:val="00F23890"/>
    <w:rsid w:val="00F2504D"/>
    <w:rsid w:val="00F2637F"/>
    <w:rsid w:val="00F268F7"/>
    <w:rsid w:val="00F30B83"/>
    <w:rsid w:val="00F30BDB"/>
    <w:rsid w:val="00F30CF8"/>
    <w:rsid w:val="00F31EDF"/>
    <w:rsid w:val="00F32CDE"/>
    <w:rsid w:val="00F32D4C"/>
    <w:rsid w:val="00F3327E"/>
    <w:rsid w:val="00F338C3"/>
    <w:rsid w:val="00F34B14"/>
    <w:rsid w:val="00F34F58"/>
    <w:rsid w:val="00F35DA7"/>
    <w:rsid w:val="00F36A6A"/>
    <w:rsid w:val="00F40101"/>
    <w:rsid w:val="00F404F7"/>
    <w:rsid w:val="00F40CCA"/>
    <w:rsid w:val="00F42D97"/>
    <w:rsid w:val="00F436B2"/>
    <w:rsid w:val="00F43813"/>
    <w:rsid w:val="00F43FEE"/>
    <w:rsid w:val="00F45A72"/>
    <w:rsid w:val="00F46723"/>
    <w:rsid w:val="00F4706D"/>
    <w:rsid w:val="00F476E1"/>
    <w:rsid w:val="00F47D1D"/>
    <w:rsid w:val="00F47F29"/>
    <w:rsid w:val="00F50016"/>
    <w:rsid w:val="00F5118A"/>
    <w:rsid w:val="00F51A21"/>
    <w:rsid w:val="00F52614"/>
    <w:rsid w:val="00F5276E"/>
    <w:rsid w:val="00F52E9F"/>
    <w:rsid w:val="00F53304"/>
    <w:rsid w:val="00F53B81"/>
    <w:rsid w:val="00F540FE"/>
    <w:rsid w:val="00F556FF"/>
    <w:rsid w:val="00F55D12"/>
    <w:rsid w:val="00F5687F"/>
    <w:rsid w:val="00F56D3F"/>
    <w:rsid w:val="00F575C7"/>
    <w:rsid w:val="00F57FD0"/>
    <w:rsid w:val="00F60305"/>
    <w:rsid w:val="00F61B12"/>
    <w:rsid w:val="00F63264"/>
    <w:rsid w:val="00F634E4"/>
    <w:rsid w:val="00F6379E"/>
    <w:rsid w:val="00F64047"/>
    <w:rsid w:val="00F65171"/>
    <w:rsid w:val="00F6560D"/>
    <w:rsid w:val="00F67844"/>
    <w:rsid w:val="00F70799"/>
    <w:rsid w:val="00F70A8B"/>
    <w:rsid w:val="00F70B8D"/>
    <w:rsid w:val="00F71936"/>
    <w:rsid w:val="00F724FB"/>
    <w:rsid w:val="00F726B8"/>
    <w:rsid w:val="00F72A26"/>
    <w:rsid w:val="00F733C3"/>
    <w:rsid w:val="00F746A1"/>
    <w:rsid w:val="00F74820"/>
    <w:rsid w:val="00F756DD"/>
    <w:rsid w:val="00F77F4E"/>
    <w:rsid w:val="00F80047"/>
    <w:rsid w:val="00F800C7"/>
    <w:rsid w:val="00F8104D"/>
    <w:rsid w:val="00F81587"/>
    <w:rsid w:val="00F8288F"/>
    <w:rsid w:val="00F84802"/>
    <w:rsid w:val="00F85B72"/>
    <w:rsid w:val="00F86540"/>
    <w:rsid w:val="00F865CE"/>
    <w:rsid w:val="00F8766F"/>
    <w:rsid w:val="00F91082"/>
    <w:rsid w:val="00F9116D"/>
    <w:rsid w:val="00F91A9A"/>
    <w:rsid w:val="00F93ABB"/>
    <w:rsid w:val="00F94D79"/>
    <w:rsid w:val="00F9658C"/>
    <w:rsid w:val="00F97A7F"/>
    <w:rsid w:val="00FA0889"/>
    <w:rsid w:val="00FA16E7"/>
    <w:rsid w:val="00FA31C7"/>
    <w:rsid w:val="00FA472D"/>
    <w:rsid w:val="00FA5C08"/>
    <w:rsid w:val="00FB0CBF"/>
    <w:rsid w:val="00FB18F6"/>
    <w:rsid w:val="00FB2A52"/>
    <w:rsid w:val="00FB3F92"/>
    <w:rsid w:val="00FB52C7"/>
    <w:rsid w:val="00FB57DC"/>
    <w:rsid w:val="00FB6E19"/>
    <w:rsid w:val="00FB71F6"/>
    <w:rsid w:val="00FC0AF8"/>
    <w:rsid w:val="00FC1483"/>
    <w:rsid w:val="00FC1C47"/>
    <w:rsid w:val="00FC3102"/>
    <w:rsid w:val="00FC39ED"/>
    <w:rsid w:val="00FC4419"/>
    <w:rsid w:val="00FC47E2"/>
    <w:rsid w:val="00FC4AA5"/>
    <w:rsid w:val="00FC4B88"/>
    <w:rsid w:val="00FC4BB8"/>
    <w:rsid w:val="00FC5148"/>
    <w:rsid w:val="00FC6524"/>
    <w:rsid w:val="00FC75AC"/>
    <w:rsid w:val="00FD01BF"/>
    <w:rsid w:val="00FD0525"/>
    <w:rsid w:val="00FD0AB7"/>
    <w:rsid w:val="00FD297D"/>
    <w:rsid w:val="00FD2D13"/>
    <w:rsid w:val="00FD374D"/>
    <w:rsid w:val="00FD6071"/>
    <w:rsid w:val="00FD633B"/>
    <w:rsid w:val="00FE0794"/>
    <w:rsid w:val="00FE1041"/>
    <w:rsid w:val="00FE24CB"/>
    <w:rsid w:val="00FE323F"/>
    <w:rsid w:val="00FE3473"/>
    <w:rsid w:val="00FE4049"/>
    <w:rsid w:val="00FE4794"/>
    <w:rsid w:val="00FE480F"/>
    <w:rsid w:val="00FE4998"/>
    <w:rsid w:val="00FE57DE"/>
    <w:rsid w:val="00FE7A68"/>
    <w:rsid w:val="00FF0231"/>
    <w:rsid w:val="00FF1C9B"/>
    <w:rsid w:val="00FF1D49"/>
    <w:rsid w:val="00FF203B"/>
    <w:rsid w:val="00FF2562"/>
    <w:rsid w:val="00FF3A41"/>
    <w:rsid w:val="00FF3E5B"/>
    <w:rsid w:val="00FF57E4"/>
    <w:rsid w:val="00FF78E5"/>
    <w:rsid w:val="01822782"/>
    <w:rsid w:val="01933707"/>
    <w:rsid w:val="01A717A7"/>
    <w:rsid w:val="01AF3D99"/>
    <w:rsid w:val="021F6BC4"/>
    <w:rsid w:val="023F2212"/>
    <w:rsid w:val="024909EF"/>
    <w:rsid w:val="02511F9D"/>
    <w:rsid w:val="025D014B"/>
    <w:rsid w:val="03336D85"/>
    <w:rsid w:val="03765E49"/>
    <w:rsid w:val="03907C79"/>
    <w:rsid w:val="03A314B8"/>
    <w:rsid w:val="03D82B98"/>
    <w:rsid w:val="03E63A70"/>
    <w:rsid w:val="03EC16A5"/>
    <w:rsid w:val="03F83E8B"/>
    <w:rsid w:val="049C1B9D"/>
    <w:rsid w:val="04B80B05"/>
    <w:rsid w:val="052E656D"/>
    <w:rsid w:val="05A50F7C"/>
    <w:rsid w:val="05A54F7F"/>
    <w:rsid w:val="05C56868"/>
    <w:rsid w:val="05E45473"/>
    <w:rsid w:val="062A20E8"/>
    <w:rsid w:val="069114AA"/>
    <w:rsid w:val="06AB1A74"/>
    <w:rsid w:val="06CF7C57"/>
    <w:rsid w:val="070F3643"/>
    <w:rsid w:val="0739256A"/>
    <w:rsid w:val="07B72767"/>
    <w:rsid w:val="07EA0493"/>
    <w:rsid w:val="08077E72"/>
    <w:rsid w:val="080E23F8"/>
    <w:rsid w:val="083D7E51"/>
    <w:rsid w:val="084E1CAD"/>
    <w:rsid w:val="086A12BB"/>
    <w:rsid w:val="08882DD0"/>
    <w:rsid w:val="08907AC0"/>
    <w:rsid w:val="08CC7B29"/>
    <w:rsid w:val="08D74823"/>
    <w:rsid w:val="09A65139"/>
    <w:rsid w:val="09CC2AAC"/>
    <w:rsid w:val="09D26E76"/>
    <w:rsid w:val="09F34714"/>
    <w:rsid w:val="0A652D3E"/>
    <w:rsid w:val="0A6D6A3D"/>
    <w:rsid w:val="0AAA25AC"/>
    <w:rsid w:val="0ACC485F"/>
    <w:rsid w:val="0AD805E2"/>
    <w:rsid w:val="0AFF72AA"/>
    <w:rsid w:val="0B013597"/>
    <w:rsid w:val="0B326F2A"/>
    <w:rsid w:val="0B4821A6"/>
    <w:rsid w:val="0B5B3688"/>
    <w:rsid w:val="0BB9361D"/>
    <w:rsid w:val="0C023101"/>
    <w:rsid w:val="0C120997"/>
    <w:rsid w:val="0C1E2888"/>
    <w:rsid w:val="0C92213C"/>
    <w:rsid w:val="0CA84E57"/>
    <w:rsid w:val="0D84032B"/>
    <w:rsid w:val="0DBA7538"/>
    <w:rsid w:val="0E0B7D94"/>
    <w:rsid w:val="0E514724"/>
    <w:rsid w:val="0E614144"/>
    <w:rsid w:val="0F0D2436"/>
    <w:rsid w:val="0F2A74C4"/>
    <w:rsid w:val="0F6F57D8"/>
    <w:rsid w:val="0F75786B"/>
    <w:rsid w:val="0F9C5147"/>
    <w:rsid w:val="0FF94348"/>
    <w:rsid w:val="10525806"/>
    <w:rsid w:val="105E064F"/>
    <w:rsid w:val="10A27F31"/>
    <w:rsid w:val="11130EC6"/>
    <w:rsid w:val="11927058"/>
    <w:rsid w:val="119D450C"/>
    <w:rsid w:val="12313F9C"/>
    <w:rsid w:val="132C7D67"/>
    <w:rsid w:val="13886F20"/>
    <w:rsid w:val="13AF4F03"/>
    <w:rsid w:val="13CE16E3"/>
    <w:rsid w:val="13EB3EF3"/>
    <w:rsid w:val="141176C7"/>
    <w:rsid w:val="145B541B"/>
    <w:rsid w:val="146462F6"/>
    <w:rsid w:val="14736E66"/>
    <w:rsid w:val="147F458F"/>
    <w:rsid w:val="14D958EC"/>
    <w:rsid w:val="15121B4E"/>
    <w:rsid w:val="1534169A"/>
    <w:rsid w:val="15463C75"/>
    <w:rsid w:val="15603936"/>
    <w:rsid w:val="15C03E03"/>
    <w:rsid w:val="15F731EB"/>
    <w:rsid w:val="162A25EB"/>
    <w:rsid w:val="165F0B39"/>
    <w:rsid w:val="165F2903"/>
    <w:rsid w:val="16FD2A55"/>
    <w:rsid w:val="17067C1A"/>
    <w:rsid w:val="17366761"/>
    <w:rsid w:val="175616EA"/>
    <w:rsid w:val="177C01F0"/>
    <w:rsid w:val="17CE6630"/>
    <w:rsid w:val="17FC49AA"/>
    <w:rsid w:val="17FD4202"/>
    <w:rsid w:val="18550589"/>
    <w:rsid w:val="189B6607"/>
    <w:rsid w:val="18FC36D9"/>
    <w:rsid w:val="19181366"/>
    <w:rsid w:val="19D42BC3"/>
    <w:rsid w:val="1A574F73"/>
    <w:rsid w:val="1A8D20B5"/>
    <w:rsid w:val="1AFF0AFE"/>
    <w:rsid w:val="1B0D35A9"/>
    <w:rsid w:val="1B254681"/>
    <w:rsid w:val="1B4F19F8"/>
    <w:rsid w:val="1BBE3B7A"/>
    <w:rsid w:val="1BF07BE4"/>
    <w:rsid w:val="1C226F03"/>
    <w:rsid w:val="1C33298F"/>
    <w:rsid w:val="1C7C56E6"/>
    <w:rsid w:val="1C833B33"/>
    <w:rsid w:val="1CD75A11"/>
    <w:rsid w:val="1CE555E9"/>
    <w:rsid w:val="1D465D4E"/>
    <w:rsid w:val="1D7417D3"/>
    <w:rsid w:val="1DC11BA0"/>
    <w:rsid w:val="1E4946EC"/>
    <w:rsid w:val="1E5778B2"/>
    <w:rsid w:val="1E672DC4"/>
    <w:rsid w:val="1EB63404"/>
    <w:rsid w:val="1ECC44FA"/>
    <w:rsid w:val="1EDA01AA"/>
    <w:rsid w:val="1EEA367A"/>
    <w:rsid w:val="1F063325"/>
    <w:rsid w:val="1F7B1096"/>
    <w:rsid w:val="1FBC5DF5"/>
    <w:rsid w:val="1FF90588"/>
    <w:rsid w:val="20247B33"/>
    <w:rsid w:val="20C3623F"/>
    <w:rsid w:val="20C525AE"/>
    <w:rsid w:val="20CB3F48"/>
    <w:rsid w:val="21781212"/>
    <w:rsid w:val="21B83F86"/>
    <w:rsid w:val="22014AC0"/>
    <w:rsid w:val="221178A8"/>
    <w:rsid w:val="221213CF"/>
    <w:rsid w:val="221E7E31"/>
    <w:rsid w:val="22327A92"/>
    <w:rsid w:val="223707CE"/>
    <w:rsid w:val="22645D35"/>
    <w:rsid w:val="226C56FE"/>
    <w:rsid w:val="22B12634"/>
    <w:rsid w:val="231963AF"/>
    <w:rsid w:val="231D0BDB"/>
    <w:rsid w:val="231D53A2"/>
    <w:rsid w:val="236D5383"/>
    <w:rsid w:val="238125CA"/>
    <w:rsid w:val="23B7504C"/>
    <w:rsid w:val="241D3F64"/>
    <w:rsid w:val="24571307"/>
    <w:rsid w:val="248649DE"/>
    <w:rsid w:val="25110A2A"/>
    <w:rsid w:val="256C0944"/>
    <w:rsid w:val="26303FE7"/>
    <w:rsid w:val="26446DE3"/>
    <w:rsid w:val="269669E7"/>
    <w:rsid w:val="26B67982"/>
    <w:rsid w:val="26D7699F"/>
    <w:rsid w:val="26E95F63"/>
    <w:rsid w:val="273677D8"/>
    <w:rsid w:val="275E2502"/>
    <w:rsid w:val="27856069"/>
    <w:rsid w:val="27C44DE4"/>
    <w:rsid w:val="287A2567"/>
    <w:rsid w:val="2895320A"/>
    <w:rsid w:val="28B36B23"/>
    <w:rsid w:val="28D129F1"/>
    <w:rsid w:val="29AD5F95"/>
    <w:rsid w:val="29DE6C29"/>
    <w:rsid w:val="29DF4A25"/>
    <w:rsid w:val="2A3925BD"/>
    <w:rsid w:val="2A4F781B"/>
    <w:rsid w:val="2A6E6A55"/>
    <w:rsid w:val="2AEE38DA"/>
    <w:rsid w:val="2AF77149"/>
    <w:rsid w:val="2B5C30F6"/>
    <w:rsid w:val="2B774624"/>
    <w:rsid w:val="2B797C70"/>
    <w:rsid w:val="2B9522A4"/>
    <w:rsid w:val="2B957A7B"/>
    <w:rsid w:val="2BC5453C"/>
    <w:rsid w:val="2C0A5198"/>
    <w:rsid w:val="2C7A72BE"/>
    <w:rsid w:val="2C7E7EEC"/>
    <w:rsid w:val="2C9A7D75"/>
    <w:rsid w:val="2CBA2245"/>
    <w:rsid w:val="2CC17412"/>
    <w:rsid w:val="2CC567B5"/>
    <w:rsid w:val="2CE908DE"/>
    <w:rsid w:val="2D147254"/>
    <w:rsid w:val="2D1C0B08"/>
    <w:rsid w:val="2D4D13D7"/>
    <w:rsid w:val="2D73311E"/>
    <w:rsid w:val="2D832210"/>
    <w:rsid w:val="2E30169A"/>
    <w:rsid w:val="2E8A3DE3"/>
    <w:rsid w:val="2E9976CE"/>
    <w:rsid w:val="2EA80F9F"/>
    <w:rsid w:val="2F401D3C"/>
    <w:rsid w:val="2F5B24E1"/>
    <w:rsid w:val="2FA95C88"/>
    <w:rsid w:val="2FC82297"/>
    <w:rsid w:val="2FF67B04"/>
    <w:rsid w:val="3014779E"/>
    <w:rsid w:val="3041370F"/>
    <w:rsid w:val="30527FC2"/>
    <w:rsid w:val="31140D75"/>
    <w:rsid w:val="312B50A3"/>
    <w:rsid w:val="31AC7601"/>
    <w:rsid w:val="32453A27"/>
    <w:rsid w:val="3263064A"/>
    <w:rsid w:val="326B181B"/>
    <w:rsid w:val="32A43132"/>
    <w:rsid w:val="32AC0C06"/>
    <w:rsid w:val="32B7030D"/>
    <w:rsid w:val="32E84ADE"/>
    <w:rsid w:val="33344EF5"/>
    <w:rsid w:val="33AE4B18"/>
    <w:rsid w:val="33C502AA"/>
    <w:rsid w:val="33E22C61"/>
    <w:rsid w:val="33EA56D5"/>
    <w:rsid w:val="34076784"/>
    <w:rsid w:val="34D32B0A"/>
    <w:rsid w:val="3537750C"/>
    <w:rsid w:val="3537798C"/>
    <w:rsid w:val="355E4C1A"/>
    <w:rsid w:val="35A324DC"/>
    <w:rsid w:val="35C13FC9"/>
    <w:rsid w:val="364257B6"/>
    <w:rsid w:val="36770937"/>
    <w:rsid w:val="368F0563"/>
    <w:rsid w:val="36CA5847"/>
    <w:rsid w:val="37264059"/>
    <w:rsid w:val="374B3ADD"/>
    <w:rsid w:val="376F6B42"/>
    <w:rsid w:val="37EA5922"/>
    <w:rsid w:val="380F3595"/>
    <w:rsid w:val="38276B93"/>
    <w:rsid w:val="38AC3431"/>
    <w:rsid w:val="392F2E16"/>
    <w:rsid w:val="39784D33"/>
    <w:rsid w:val="39D826B2"/>
    <w:rsid w:val="39E00529"/>
    <w:rsid w:val="3A0B64A7"/>
    <w:rsid w:val="3A3C4354"/>
    <w:rsid w:val="3A41502E"/>
    <w:rsid w:val="3A574DDA"/>
    <w:rsid w:val="3A992100"/>
    <w:rsid w:val="3AD0506E"/>
    <w:rsid w:val="3AD3075A"/>
    <w:rsid w:val="3AED2409"/>
    <w:rsid w:val="3AF74C02"/>
    <w:rsid w:val="3B0E10B6"/>
    <w:rsid w:val="3B171E50"/>
    <w:rsid w:val="3B722D63"/>
    <w:rsid w:val="3BF1544C"/>
    <w:rsid w:val="3C0059A5"/>
    <w:rsid w:val="3C134E78"/>
    <w:rsid w:val="3C471F69"/>
    <w:rsid w:val="3D3B2EB9"/>
    <w:rsid w:val="3DEC7285"/>
    <w:rsid w:val="3DF6345D"/>
    <w:rsid w:val="3E265A58"/>
    <w:rsid w:val="3E2B5515"/>
    <w:rsid w:val="3E410595"/>
    <w:rsid w:val="3E417D68"/>
    <w:rsid w:val="3E4D4F28"/>
    <w:rsid w:val="3E5638B9"/>
    <w:rsid w:val="3E593FC8"/>
    <w:rsid w:val="3EAD3FF2"/>
    <w:rsid w:val="3EE13701"/>
    <w:rsid w:val="3F1A4BB3"/>
    <w:rsid w:val="3F7138D8"/>
    <w:rsid w:val="3F7363D6"/>
    <w:rsid w:val="3FB85D59"/>
    <w:rsid w:val="3FC829EB"/>
    <w:rsid w:val="3FD6525C"/>
    <w:rsid w:val="40192BA6"/>
    <w:rsid w:val="40445977"/>
    <w:rsid w:val="404D10DD"/>
    <w:rsid w:val="40784177"/>
    <w:rsid w:val="40892D78"/>
    <w:rsid w:val="40C32167"/>
    <w:rsid w:val="41766EA9"/>
    <w:rsid w:val="41802257"/>
    <w:rsid w:val="420A743F"/>
    <w:rsid w:val="42550A18"/>
    <w:rsid w:val="425C1847"/>
    <w:rsid w:val="429D496A"/>
    <w:rsid w:val="42EB256B"/>
    <w:rsid w:val="42F473A1"/>
    <w:rsid w:val="43020670"/>
    <w:rsid w:val="431A3582"/>
    <w:rsid w:val="43285FDD"/>
    <w:rsid w:val="432A7D99"/>
    <w:rsid w:val="437E1E93"/>
    <w:rsid w:val="43BF0BB7"/>
    <w:rsid w:val="43D8198F"/>
    <w:rsid w:val="43E01A91"/>
    <w:rsid w:val="441E62C0"/>
    <w:rsid w:val="442C7B41"/>
    <w:rsid w:val="4462631A"/>
    <w:rsid w:val="446C56F1"/>
    <w:rsid w:val="44F07163"/>
    <w:rsid w:val="45325D14"/>
    <w:rsid w:val="457F16CE"/>
    <w:rsid w:val="45811C7C"/>
    <w:rsid w:val="45906116"/>
    <w:rsid w:val="45BE6EBE"/>
    <w:rsid w:val="45C142B9"/>
    <w:rsid w:val="46206CE3"/>
    <w:rsid w:val="464D72D0"/>
    <w:rsid w:val="46564FD1"/>
    <w:rsid w:val="468B3EFB"/>
    <w:rsid w:val="46BA2861"/>
    <w:rsid w:val="46BB1CEB"/>
    <w:rsid w:val="46DA47E3"/>
    <w:rsid w:val="470A6193"/>
    <w:rsid w:val="47156F84"/>
    <w:rsid w:val="47385210"/>
    <w:rsid w:val="474006A1"/>
    <w:rsid w:val="477A4C31"/>
    <w:rsid w:val="477E202B"/>
    <w:rsid w:val="47B13644"/>
    <w:rsid w:val="47C84024"/>
    <w:rsid w:val="47DC4F5C"/>
    <w:rsid w:val="4836049D"/>
    <w:rsid w:val="48B40671"/>
    <w:rsid w:val="48CA1E2D"/>
    <w:rsid w:val="48D65E0A"/>
    <w:rsid w:val="48F87254"/>
    <w:rsid w:val="49101AD8"/>
    <w:rsid w:val="49392F4A"/>
    <w:rsid w:val="499B5738"/>
    <w:rsid w:val="499F244D"/>
    <w:rsid w:val="49A93197"/>
    <w:rsid w:val="49B936D1"/>
    <w:rsid w:val="49BE28B7"/>
    <w:rsid w:val="49D2118A"/>
    <w:rsid w:val="49D8310C"/>
    <w:rsid w:val="4A633B41"/>
    <w:rsid w:val="4A7A6547"/>
    <w:rsid w:val="4A973F3F"/>
    <w:rsid w:val="4A9D1197"/>
    <w:rsid w:val="4AF96BC7"/>
    <w:rsid w:val="4B5A416B"/>
    <w:rsid w:val="4B862A85"/>
    <w:rsid w:val="4BC9211A"/>
    <w:rsid w:val="4C5C691F"/>
    <w:rsid w:val="4C8226F4"/>
    <w:rsid w:val="4C8C3AB9"/>
    <w:rsid w:val="4CC76658"/>
    <w:rsid w:val="4CEF36E2"/>
    <w:rsid w:val="4CEF4DC5"/>
    <w:rsid w:val="4E257655"/>
    <w:rsid w:val="4E445393"/>
    <w:rsid w:val="4E8E7871"/>
    <w:rsid w:val="4ECF0358"/>
    <w:rsid w:val="4F372380"/>
    <w:rsid w:val="4F372FFB"/>
    <w:rsid w:val="4F9C3DCC"/>
    <w:rsid w:val="4FAB6DF8"/>
    <w:rsid w:val="4FFA1A87"/>
    <w:rsid w:val="500F4BCF"/>
    <w:rsid w:val="5025116D"/>
    <w:rsid w:val="50301AD8"/>
    <w:rsid w:val="51073309"/>
    <w:rsid w:val="51211531"/>
    <w:rsid w:val="520B136E"/>
    <w:rsid w:val="5233284E"/>
    <w:rsid w:val="52395ECD"/>
    <w:rsid w:val="52613EAD"/>
    <w:rsid w:val="528C1C65"/>
    <w:rsid w:val="52C10D75"/>
    <w:rsid w:val="52D370E0"/>
    <w:rsid w:val="53C27FF8"/>
    <w:rsid w:val="541744D2"/>
    <w:rsid w:val="54611439"/>
    <w:rsid w:val="549E1A80"/>
    <w:rsid w:val="54C658F4"/>
    <w:rsid w:val="54F225CB"/>
    <w:rsid w:val="550C4BD7"/>
    <w:rsid w:val="5543596A"/>
    <w:rsid w:val="554C1D56"/>
    <w:rsid w:val="55572986"/>
    <w:rsid w:val="55680542"/>
    <w:rsid w:val="558530CC"/>
    <w:rsid w:val="55B57590"/>
    <w:rsid w:val="55C062DD"/>
    <w:rsid w:val="55F3310C"/>
    <w:rsid w:val="564A0361"/>
    <w:rsid w:val="565340FA"/>
    <w:rsid w:val="5723343E"/>
    <w:rsid w:val="573D7EAB"/>
    <w:rsid w:val="57546FBA"/>
    <w:rsid w:val="576E743F"/>
    <w:rsid w:val="57AE09B5"/>
    <w:rsid w:val="582F6169"/>
    <w:rsid w:val="58AE691E"/>
    <w:rsid w:val="5907056A"/>
    <w:rsid w:val="59411F9F"/>
    <w:rsid w:val="59785B8C"/>
    <w:rsid w:val="599D77C8"/>
    <w:rsid w:val="59B85AE9"/>
    <w:rsid w:val="59D61BA3"/>
    <w:rsid w:val="59E87FD4"/>
    <w:rsid w:val="5A0A35D4"/>
    <w:rsid w:val="5A1F6895"/>
    <w:rsid w:val="5A2F2CC8"/>
    <w:rsid w:val="5A3A2B60"/>
    <w:rsid w:val="5A7D2AEB"/>
    <w:rsid w:val="5AC42429"/>
    <w:rsid w:val="5ACC2A0E"/>
    <w:rsid w:val="5B255422"/>
    <w:rsid w:val="5B265B08"/>
    <w:rsid w:val="5BA26962"/>
    <w:rsid w:val="5BA73E63"/>
    <w:rsid w:val="5BDC01A7"/>
    <w:rsid w:val="5C10702D"/>
    <w:rsid w:val="5C152601"/>
    <w:rsid w:val="5C3F1DA9"/>
    <w:rsid w:val="5C591F03"/>
    <w:rsid w:val="5C8A1B2F"/>
    <w:rsid w:val="5CD703DF"/>
    <w:rsid w:val="5CDA7EC9"/>
    <w:rsid w:val="5D267F6F"/>
    <w:rsid w:val="5D4058C1"/>
    <w:rsid w:val="5D914004"/>
    <w:rsid w:val="5E32585B"/>
    <w:rsid w:val="5E766D43"/>
    <w:rsid w:val="5F561B72"/>
    <w:rsid w:val="5F984D27"/>
    <w:rsid w:val="5FC00C6C"/>
    <w:rsid w:val="601E1B01"/>
    <w:rsid w:val="606007BB"/>
    <w:rsid w:val="60AC7F66"/>
    <w:rsid w:val="60DB77FA"/>
    <w:rsid w:val="61BF10D9"/>
    <w:rsid w:val="61C53F19"/>
    <w:rsid w:val="61CB18BC"/>
    <w:rsid w:val="61DA3D4C"/>
    <w:rsid w:val="61EA496C"/>
    <w:rsid w:val="621A5025"/>
    <w:rsid w:val="62AC22DC"/>
    <w:rsid w:val="63333EB7"/>
    <w:rsid w:val="63394059"/>
    <w:rsid w:val="637D23AB"/>
    <w:rsid w:val="63B374DF"/>
    <w:rsid w:val="640779B7"/>
    <w:rsid w:val="6410009D"/>
    <w:rsid w:val="646E335A"/>
    <w:rsid w:val="64A07C3E"/>
    <w:rsid w:val="64D21BE7"/>
    <w:rsid w:val="64E45EF7"/>
    <w:rsid w:val="65155D05"/>
    <w:rsid w:val="65583D7D"/>
    <w:rsid w:val="65D04378"/>
    <w:rsid w:val="65D80364"/>
    <w:rsid w:val="663A7A43"/>
    <w:rsid w:val="663B7981"/>
    <w:rsid w:val="664F3968"/>
    <w:rsid w:val="665F536C"/>
    <w:rsid w:val="6691014E"/>
    <w:rsid w:val="66961C35"/>
    <w:rsid w:val="66C87CCE"/>
    <w:rsid w:val="66CC2611"/>
    <w:rsid w:val="67144738"/>
    <w:rsid w:val="677435B2"/>
    <w:rsid w:val="67D50383"/>
    <w:rsid w:val="67EF75F1"/>
    <w:rsid w:val="67FB209D"/>
    <w:rsid w:val="68435A3D"/>
    <w:rsid w:val="68FD36D6"/>
    <w:rsid w:val="69124F16"/>
    <w:rsid w:val="694A5205"/>
    <w:rsid w:val="69CD5C14"/>
    <w:rsid w:val="69CF0D33"/>
    <w:rsid w:val="6AF13BD6"/>
    <w:rsid w:val="6AF36B85"/>
    <w:rsid w:val="6B3D2788"/>
    <w:rsid w:val="6B963597"/>
    <w:rsid w:val="6B9946B3"/>
    <w:rsid w:val="6BF022C7"/>
    <w:rsid w:val="6C0224B2"/>
    <w:rsid w:val="6C7007C7"/>
    <w:rsid w:val="6D0E674B"/>
    <w:rsid w:val="6D1C3D4F"/>
    <w:rsid w:val="6DE76850"/>
    <w:rsid w:val="6EEB55FE"/>
    <w:rsid w:val="6F103A37"/>
    <w:rsid w:val="6F1F19DF"/>
    <w:rsid w:val="6F415CBC"/>
    <w:rsid w:val="6F53759C"/>
    <w:rsid w:val="6F9F5831"/>
    <w:rsid w:val="6FB20BD4"/>
    <w:rsid w:val="6FB650F7"/>
    <w:rsid w:val="6FBA59BE"/>
    <w:rsid w:val="6FDB2297"/>
    <w:rsid w:val="6FFD4F62"/>
    <w:rsid w:val="70296B3E"/>
    <w:rsid w:val="7050295F"/>
    <w:rsid w:val="70611204"/>
    <w:rsid w:val="70AC6CE3"/>
    <w:rsid w:val="717C673D"/>
    <w:rsid w:val="71EC078C"/>
    <w:rsid w:val="71F85B6D"/>
    <w:rsid w:val="72F86CBC"/>
    <w:rsid w:val="73C32BEE"/>
    <w:rsid w:val="74221BDB"/>
    <w:rsid w:val="74B775BA"/>
    <w:rsid w:val="74B87FBF"/>
    <w:rsid w:val="74FA2C30"/>
    <w:rsid w:val="754D5C4B"/>
    <w:rsid w:val="756C1AA4"/>
    <w:rsid w:val="75B754E0"/>
    <w:rsid w:val="75CB3D87"/>
    <w:rsid w:val="75D40971"/>
    <w:rsid w:val="75D80B91"/>
    <w:rsid w:val="761E1F9A"/>
    <w:rsid w:val="763E2BF3"/>
    <w:rsid w:val="76692A59"/>
    <w:rsid w:val="76787A16"/>
    <w:rsid w:val="76C240A7"/>
    <w:rsid w:val="76D733F1"/>
    <w:rsid w:val="76DB0DCF"/>
    <w:rsid w:val="76F31C74"/>
    <w:rsid w:val="76F94C58"/>
    <w:rsid w:val="77522CDB"/>
    <w:rsid w:val="775246B7"/>
    <w:rsid w:val="775818AC"/>
    <w:rsid w:val="776E05AD"/>
    <w:rsid w:val="77F81A56"/>
    <w:rsid w:val="781E69D1"/>
    <w:rsid w:val="7831514A"/>
    <w:rsid w:val="78FB168A"/>
    <w:rsid w:val="79053481"/>
    <w:rsid w:val="790F08A5"/>
    <w:rsid w:val="792B7DEB"/>
    <w:rsid w:val="79424C03"/>
    <w:rsid w:val="79956E9C"/>
    <w:rsid w:val="79A33E26"/>
    <w:rsid w:val="7A263B6B"/>
    <w:rsid w:val="7A3341CB"/>
    <w:rsid w:val="7A66770D"/>
    <w:rsid w:val="7AF46346"/>
    <w:rsid w:val="7B0F5EBF"/>
    <w:rsid w:val="7B130FB9"/>
    <w:rsid w:val="7B436EEC"/>
    <w:rsid w:val="7BCA2490"/>
    <w:rsid w:val="7BED5B47"/>
    <w:rsid w:val="7BF64EDE"/>
    <w:rsid w:val="7C400C1E"/>
    <w:rsid w:val="7C522392"/>
    <w:rsid w:val="7CA26617"/>
    <w:rsid w:val="7CB63E70"/>
    <w:rsid w:val="7CFE6DE4"/>
    <w:rsid w:val="7D022E9F"/>
    <w:rsid w:val="7DA62054"/>
    <w:rsid w:val="7DD11708"/>
    <w:rsid w:val="7DD34BB2"/>
    <w:rsid w:val="7E5F4093"/>
    <w:rsid w:val="7E7026C5"/>
    <w:rsid w:val="7EA11727"/>
    <w:rsid w:val="7EB72D23"/>
    <w:rsid w:val="7EBD579E"/>
    <w:rsid w:val="7EC167BD"/>
    <w:rsid w:val="7EF0681C"/>
    <w:rsid w:val="7EFD1016"/>
    <w:rsid w:val="7F272D9E"/>
    <w:rsid w:val="7FD5216D"/>
    <w:rsid w:val="7FD954F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9" w:semiHidden="0" w:name="heading 3"/>
    <w:lsdException w:qFormat="1" w:unhideWhenUsed="0" w:uiPriority="0" w:semiHidden="0" w:name="heading 4"/>
    <w:lsdException w:qFormat="1" w:unhideWhenUsed="0" w:uiPriority="9" w:semiHidden="0" w:name="heading 5"/>
    <w:lsdException w:qFormat="1" w:uiPriority="9" w:name="heading 6"/>
    <w:lsdException w:qFormat="1" w:uiPriority="9" w:name="heading 7"/>
    <w:lsdException w:qFormat="1" w:unhideWhenUsed="0" w:uiPriority="9" w:semiHidden="0"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nhideWhenUsed="0" w:uiPriority="0" w:semiHidden="0" w:name="annotation reference"/>
    <w:lsdException w:uiPriority="99" w:name="line number"/>
    <w:lsdException w:uiPriority="99" w:name="page number"/>
    <w:lsdException w:qFormat="1" w:uiPriority="99" w:semiHidden="0"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nhideWhenUsed="0" w:uiPriority="0" w:semiHidden="0"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qFormat="1" w:uiPriority="99" w:semiHidden="0"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qFormat="1" w:uiPriority="99" w:semiHidden="0" w:name="HTML Sample"/>
    <w:lsdException w:uiPriority="99" w:name="HTML Typewriter"/>
    <w:lsdException w:uiPriority="99" w:name="HTML Variable"/>
    <w:lsdException w:qFormat="1" w:uiPriority="99" w:semiHidden="0"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3"/>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56"/>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unhideWhenUsed/>
    <w:qFormat/>
    <w:uiPriority w:val="9"/>
    <w:pPr>
      <w:keepNext/>
      <w:keepLines/>
      <w:numPr>
        <w:ilvl w:val="2"/>
        <w:numId w:val="1"/>
      </w:numPr>
      <w:tabs>
        <w:tab w:val="left" w:pos="0"/>
      </w:tabs>
      <w:spacing w:before="260" w:after="260" w:line="413" w:lineRule="auto"/>
      <w:outlineLvl w:val="2"/>
    </w:pPr>
    <w:rPr>
      <w:b/>
      <w:sz w:val="32"/>
    </w:rPr>
  </w:style>
  <w:style w:type="paragraph" w:styleId="5">
    <w:name w:val="heading 4"/>
    <w:basedOn w:val="1"/>
    <w:next w:val="1"/>
    <w:qFormat/>
    <w:uiPriority w:val="0"/>
    <w:pPr>
      <w:ind w:firstLine="680"/>
      <w:outlineLvl w:val="3"/>
    </w:pPr>
    <w:rPr>
      <w:rFonts w:ascii="宋体"/>
      <w:sz w:val="28"/>
      <w:szCs w:val="20"/>
    </w:rPr>
  </w:style>
  <w:style w:type="paragraph" w:styleId="6">
    <w:name w:val="heading 5"/>
    <w:basedOn w:val="1"/>
    <w:next w:val="7"/>
    <w:link w:val="42"/>
    <w:qFormat/>
    <w:uiPriority w:val="9"/>
    <w:pPr>
      <w:keepNext/>
      <w:keepLines/>
      <w:spacing w:before="280" w:after="290" w:line="376" w:lineRule="auto"/>
      <w:outlineLvl w:val="4"/>
    </w:pPr>
    <w:rPr>
      <w:b/>
      <w:bCs/>
      <w:sz w:val="28"/>
      <w:szCs w:val="28"/>
    </w:rPr>
  </w:style>
  <w:style w:type="paragraph" w:styleId="8">
    <w:name w:val="heading 8"/>
    <w:basedOn w:val="1"/>
    <w:next w:val="1"/>
    <w:link w:val="43"/>
    <w:qFormat/>
    <w:uiPriority w:val="9"/>
    <w:pPr>
      <w:keepNext/>
      <w:keepLines/>
      <w:spacing w:before="240" w:after="64" w:line="320" w:lineRule="auto"/>
      <w:outlineLvl w:val="7"/>
    </w:pPr>
    <w:rPr>
      <w:rFonts w:ascii="等线 Light" w:hAnsi="等线 Light" w:eastAsia="等线 Light"/>
      <w:sz w:val="24"/>
    </w:rPr>
  </w:style>
  <w:style w:type="character" w:default="1" w:styleId="32">
    <w:name w:val="Default Paragraph Font"/>
    <w:unhideWhenUsed/>
    <w:qFormat/>
    <w:uiPriority w:val="1"/>
  </w:style>
  <w:style w:type="table" w:default="1" w:styleId="30">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7">
    <w:name w:val="Normal Indent"/>
    <w:basedOn w:val="1"/>
    <w:qFormat/>
    <w:uiPriority w:val="0"/>
    <w:pPr>
      <w:ind w:firstLine="420"/>
    </w:pPr>
    <w:rPr>
      <w:szCs w:val="20"/>
    </w:rPr>
  </w:style>
  <w:style w:type="paragraph" w:styleId="9">
    <w:name w:val="List Number"/>
    <w:basedOn w:val="1"/>
    <w:qFormat/>
    <w:uiPriority w:val="0"/>
    <w:pPr>
      <w:widowControl/>
      <w:tabs>
        <w:tab w:val="left" w:pos="454"/>
        <w:tab w:val="left" w:pos="720"/>
        <w:tab w:val="left" w:pos="840"/>
      </w:tabs>
      <w:spacing w:after="50" w:afterLines="50"/>
      <w:ind w:left="454" w:hanging="284"/>
      <w:jc w:val="left"/>
    </w:pPr>
    <w:rPr>
      <w:kern w:val="0"/>
      <w:sz w:val="24"/>
      <w:szCs w:val="20"/>
    </w:rPr>
  </w:style>
  <w:style w:type="paragraph" w:styleId="10">
    <w:name w:val="annotation text"/>
    <w:basedOn w:val="1"/>
    <w:link w:val="44"/>
    <w:qFormat/>
    <w:uiPriority w:val="0"/>
    <w:pPr>
      <w:jc w:val="left"/>
    </w:pPr>
  </w:style>
  <w:style w:type="paragraph" w:styleId="11">
    <w:name w:val="Body Text 3"/>
    <w:basedOn w:val="1"/>
    <w:link w:val="45"/>
    <w:unhideWhenUsed/>
    <w:qFormat/>
    <w:uiPriority w:val="99"/>
    <w:pPr>
      <w:spacing w:after="120"/>
    </w:pPr>
    <w:rPr>
      <w:sz w:val="16"/>
      <w:szCs w:val="16"/>
    </w:rPr>
  </w:style>
  <w:style w:type="paragraph" w:styleId="12">
    <w:name w:val="Body Text"/>
    <w:basedOn w:val="1"/>
    <w:next w:val="1"/>
    <w:link w:val="46"/>
    <w:unhideWhenUsed/>
    <w:qFormat/>
    <w:uiPriority w:val="0"/>
    <w:pPr>
      <w:spacing w:after="120"/>
    </w:pPr>
  </w:style>
  <w:style w:type="paragraph" w:styleId="13">
    <w:name w:val="Body Text Indent"/>
    <w:basedOn w:val="1"/>
    <w:next w:val="14"/>
    <w:link w:val="47"/>
    <w:qFormat/>
    <w:uiPriority w:val="0"/>
    <w:pPr>
      <w:ind w:firstLine="830" w:firstLineChars="352"/>
    </w:pPr>
    <w:rPr>
      <w:rFonts w:ascii="仿宋_GB2312" w:eastAsia="仿宋_GB2312"/>
      <w:kern w:val="0"/>
      <w:sz w:val="32"/>
      <w:szCs w:val="20"/>
    </w:rPr>
  </w:style>
  <w:style w:type="paragraph" w:styleId="14">
    <w:name w:val="envelope return"/>
    <w:basedOn w:val="1"/>
    <w:qFormat/>
    <w:uiPriority w:val="0"/>
    <w:pPr>
      <w:snapToGrid w:val="0"/>
    </w:pPr>
    <w:rPr>
      <w:rFonts w:ascii="Arial" w:hAnsi="Arial" w:cs="Arial"/>
      <w:szCs w:val="24"/>
    </w:rPr>
  </w:style>
  <w:style w:type="paragraph" w:styleId="15">
    <w:name w:val="List 2"/>
    <w:basedOn w:val="1"/>
    <w:unhideWhenUsed/>
    <w:qFormat/>
    <w:uiPriority w:val="99"/>
    <w:pPr>
      <w:ind w:left="100" w:leftChars="200" w:hanging="200" w:hangingChars="200"/>
      <w:contextualSpacing/>
    </w:pPr>
  </w:style>
  <w:style w:type="paragraph" w:styleId="16">
    <w:name w:val="toc 3"/>
    <w:basedOn w:val="1"/>
    <w:next w:val="1"/>
    <w:semiHidden/>
    <w:unhideWhenUsed/>
    <w:qFormat/>
    <w:uiPriority w:val="39"/>
    <w:pPr>
      <w:ind w:left="840" w:leftChars="400"/>
    </w:pPr>
  </w:style>
  <w:style w:type="paragraph" w:styleId="17">
    <w:name w:val="Plain Text"/>
    <w:basedOn w:val="1"/>
    <w:next w:val="18"/>
    <w:link w:val="48"/>
    <w:qFormat/>
    <w:uiPriority w:val="0"/>
    <w:rPr>
      <w:rFonts w:ascii="宋体" w:hAnsi="Courier New"/>
      <w:kern w:val="0"/>
      <w:sz w:val="20"/>
      <w:szCs w:val="21"/>
    </w:rPr>
  </w:style>
  <w:style w:type="paragraph" w:styleId="18">
    <w:name w:val="Date"/>
    <w:basedOn w:val="1"/>
    <w:next w:val="1"/>
    <w:link w:val="49"/>
    <w:unhideWhenUsed/>
    <w:qFormat/>
    <w:uiPriority w:val="99"/>
    <w:pPr>
      <w:ind w:left="100" w:leftChars="2500"/>
    </w:pPr>
  </w:style>
  <w:style w:type="paragraph" w:styleId="19">
    <w:name w:val="Body Text Indent 2"/>
    <w:basedOn w:val="1"/>
    <w:qFormat/>
    <w:uiPriority w:val="0"/>
    <w:pPr>
      <w:spacing w:line="420" w:lineRule="exact"/>
      <w:ind w:firstLine="409" w:firstLineChars="195"/>
    </w:pPr>
  </w:style>
  <w:style w:type="paragraph" w:styleId="20">
    <w:name w:val="Balloon Text"/>
    <w:basedOn w:val="1"/>
    <w:semiHidden/>
    <w:qFormat/>
    <w:uiPriority w:val="0"/>
    <w:rPr>
      <w:sz w:val="18"/>
      <w:szCs w:val="18"/>
    </w:rPr>
  </w:style>
  <w:style w:type="paragraph" w:styleId="21">
    <w:name w:val="footer"/>
    <w:basedOn w:val="1"/>
    <w:next w:val="1"/>
    <w:link w:val="50"/>
    <w:unhideWhenUsed/>
    <w:qFormat/>
    <w:uiPriority w:val="99"/>
    <w:pPr>
      <w:tabs>
        <w:tab w:val="center" w:pos="4153"/>
        <w:tab w:val="right" w:pos="8306"/>
      </w:tabs>
      <w:snapToGrid w:val="0"/>
      <w:jc w:val="left"/>
    </w:pPr>
    <w:rPr>
      <w:kern w:val="0"/>
      <w:sz w:val="18"/>
      <w:szCs w:val="18"/>
    </w:rPr>
  </w:style>
  <w:style w:type="paragraph" w:styleId="22">
    <w:name w:val="header"/>
    <w:basedOn w:val="1"/>
    <w:link w:val="51"/>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23">
    <w:name w:val="toc 1"/>
    <w:basedOn w:val="1"/>
    <w:next w:val="1"/>
    <w:unhideWhenUsed/>
    <w:qFormat/>
    <w:uiPriority w:val="39"/>
  </w:style>
  <w:style w:type="paragraph" w:styleId="24">
    <w:name w:val="toc 2"/>
    <w:basedOn w:val="1"/>
    <w:next w:val="1"/>
    <w:unhideWhenUsed/>
    <w:qFormat/>
    <w:uiPriority w:val="39"/>
    <w:pPr>
      <w:tabs>
        <w:tab w:val="right" w:leader="dot" w:pos="8296"/>
      </w:tabs>
      <w:ind w:left="420" w:leftChars="200"/>
    </w:pPr>
  </w:style>
  <w:style w:type="paragraph" w:styleId="25">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26">
    <w:name w:val="Normal (Web)"/>
    <w:basedOn w:val="1"/>
    <w:unhideWhenUsed/>
    <w:qFormat/>
    <w:uiPriority w:val="99"/>
    <w:pPr>
      <w:spacing w:before="0" w:beforeAutospacing="0" w:after="0" w:afterAutospacing="0"/>
      <w:ind w:left="0" w:right="0"/>
      <w:jc w:val="both"/>
    </w:pPr>
    <w:rPr>
      <w:rFonts w:hint="default" w:ascii="Calibri" w:hAnsi="Calibri" w:cs="Calibri"/>
      <w:kern w:val="0"/>
      <w:sz w:val="24"/>
      <w:szCs w:val="24"/>
      <w:lang w:val="en-US" w:eastAsia="zh-CN" w:bidi="ar"/>
    </w:rPr>
  </w:style>
  <w:style w:type="paragraph" w:styleId="27">
    <w:name w:val="annotation subject"/>
    <w:basedOn w:val="10"/>
    <w:next w:val="10"/>
    <w:link w:val="52"/>
    <w:qFormat/>
    <w:uiPriority w:val="99"/>
    <w:rPr>
      <w:b/>
      <w:bCs/>
    </w:rPr>
  </w:style>
  <w:style w:type="paragraph" w:styleId="28">
    <w:name w:val="Body Text First Indent"/>
    <w:basedOn w:val="12"/>
    <w:qFormat/>
    <w:uiPriority w:val="0"/>
    <w:pPr>
      <w:spacing w:after="120" w:line="275" w:lineRule="atLeast"/>
      <w:ind w:firstLine="420"/>
      <w:textAlignment w:val="baseline"/>
    </w:pPr>
  </w:style>
  <w:style w:type="paragraph" w:styleId="29">
    <w:name w:val="Body Text First Indent 2"/>
    <w:basedOn w:val="13"/>
    <w:next w:val="1"/>
    <w:qFormat/>
    <w:uiPriority w:val="0"/>
    <w:pPr>
      <w:ind w:left="420" w:leftChars="200" w:firstLine="420" w:firstLineChars="200"/>
    </w:pPr>
  </w:style>
  <w:style w:type="table" w:styleId="31">
    <w:name w:val="Table Grid"/>
    <w:basedOn w:val="30"/>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3">
    <w:name w:val="Strong"/>
    <w:basedOn w:val="32"/>
    <w:qFormat/>
    <w:uiPriority w:val="22"/>
    <w:rPr>
      <w:b/>
    </w:rPr>
  </w:style>
  <w:style w:type="character" w:styleId="34">
    <w:name w:val="endnote reference"/>
    <w:unhideWhenUsed/>
    <w:qFormat/>
    <w:uiPriority w:val="99"/>
    <w:rPr>
      <w:vertAlign w:val="superscript"/>
    </w:rPr>
  </w:style>
  <w:style w:type="character" w:styleId="35">
    <w:name w:val="FollowedHyperlink"/>
    <w:basedOn w:val="32"/>
    <w:unhideWhenUsed/>
    <w:qFormat/>
    <w:uiPriority w:val="99"/>
    <w:rPr>
      <w:color w:val="575656"/>
      <w:u w:val="none"/>
    </w:rPr>
  </w:style>
  <w:style w:type="character" w:styleId="36">
    <w:name w:val="Hyperlink"/>
    <w:basedOn w:val="32"/>
    <w:unhideWhenUsed/>
    <w:qFormat/>
    <w:uiPriority w:val="99"/>
    <w:rPr>
      <w:color w:val="575656"/>
      <w:u w:val="none"/>
    </w:rPr>
  </w:style>
  <w:style w:type="character" w:styleId="37">
    <w:name w:val="annotation reference"/>
    <w:basedOn w:val="32"/>
    <w:qFormat/>
    <w:uiPriority w:val="0"/>
    <w:rPr>
      <w:sz w:val="21"/>
      <w:szCs w:val="21"/>
    </w:rPr>
  </w:style>
  <w:style w:type="character" w:styleId="38">
    <w:name w:val="HTML Sample"/>
    <w:basedOn w:val="32"/>
    <w:unhideWhenUsed/>
    <w:qFormat/>
    <w:uiPriority w:val="99"/>
    <w:rPr>
      <w:rFonts w:ascii="Courier New" w:hAnsi="Courier New"/>
    </w:rPr>
  </w:style>
  <w:style w:type="paragraph" w:customStyle="1" w:styleId="39">
    <w:name w:val="Default"/>
    <w:unhideWhenUsed/>
    <w:qFormat/>
    <w:uiPriority w:val="99"/>
    <w:pPr>
      <w:widowControl w:val="0"/>
      <w:autoSpaceDE w:val="0"/>
      <w:autoSpaceDN w:val="0"/>
      <w:adjustRightInd w:val="0"/>
    </w:pPr>
    <w:rPr>
      <w:rFonts w:ascii="宋体" w:hAnsi="宋体" w:eastAsia="宋体" w:cs="Times New Roman"/>
      <w:color w:val="000000"/>
      <w:sz w:val="24"/>
      <w:lang w:val="en-US" w:eastAsia="zh-CN" w:bidi="ar-SA"/>
    </w:rPr>
  </w:style>
  <w:style w:type="character" w:customStyle="1" w:styleId="40">
    <w:name w:val="标题 1 字符1"/>
    <w:link w:val="2"/>
    <w:qFormat/>
    <w:uiPriority w:val="0"/>
    <w:rPr>
      <w:b/>
      <w:bCs/>
      <w:kern w:val="44"/>
      <w:sz w:val="44"/>
      <w:szCs w:val="44"/>
    </w:rPr>
  </w:style>
  <w:style w:type="character" w:customStyle="1" w:styleId="41">
    <w:name w:val="标题 2 Char1"/>
    <w:link w:val="3"/>
    <w:qFormat/>
    <w:uiPriority w:val="9"/>
    <w:rPr>
      <w:rFonts w:ascii="Cambria" w:hAnsi="Cambria" w:eastAsia="宋体" w:cs="Times New Roman"/>
      <w:b/>
      <w:bCs/>
      <w:kern w:val="2"/>
      <w:sz w:val="32"/>
      <w:szCs w:val="32"/>
    </w:rPr>
  </w:style>
  <w:style w:type="character" w:customStyle="1" w:styleId="42">
    <w:name w:val="标题 5 Char"/>
    <w:link w:val="6"/>
    <w:semiHidden/>
    <w:qFormat/>
    <w:uiPriority w:val="9"/>
    <w:rPr>
      <w:rFonts w:ascii="Times New Roman" w:hAnsi="Times New Roman"/>
      <w:b/>
      <w:bCs/>
      <w:kern w:val="2"/>
      <w:sz w:val="28"/>
      <w:szCs w:val="28"/>
    </w:rPr>
  </w:style>
  <w:style w:type="character" w:customStyle="1" w:styleId="43">
    <w:name w:val="标题 8 Char1"/>
    <w:link w:val="8"/>
    <w:semiHidden/>
    <w:qFormat/>
    <w:uiPriority w:val="9"/>
    <w:rPr>
      <w:rFonts w:ascii="等线 Light" w:hAnsi="等线 Light" w:eastAsia="等线 Light" w:cs="Times New Roman"/>
      <w:kern w:val="2"/>
      <w:sz w:val="24"/>
      <w:szCs w:val="24"/>
    </w:rPr>
  </w:style>
  <w:style w:type="character" w:customStyle="1" w:styleId="44">
    <w:name w:val="批注文字 Char1"/>
    <w:link w:val="10"/>
    <w:qFormat/>
    <w:uiPriority w:val="0"/>
    <w:rPr>
      <w:rFonts w:ascii="Times New Roman" w:hAnsi="Times New Roman"/>
      <w:kern w:val="2"/>
      <w:sz w:val="21"/>
      <w:szCs w:val="24"/>
    </w:rPr>
  </w:style>
  <w:style w:type="character" w:customStyle="1" w:styleId="45">
    <w:name w:val="正文文本 3 Char"/>
    <w:link w:val="11"/>
    <w:semiHidden/>
    <w:qFormat/>
    <w:uiPriority w:val="99"/>
    <w:rPr>
      <w:kern w:val="2"/>
      <w:sz w:val="16"/>
      <w:szCs w:val="16"/>
    </w:rPr>
  </w:style>
  <w:style w:type="character" w:customStyle="1" w:styleId="46">
    <w:name w:val="正文文本 Char1"/>
    <w:link w:val="12"/>
    <w:qFormat/>
    <w:uiPriority w:val="0"/>
    <w:rPr>
      <w:rFonts w:ascii="Times New Roman" w:hAnsi="Times New Roman"/>
      <w:kern w:val="2"/>
      <w:sz w:val="21"/>
      <w:szCs w:val="24"/>
    </w:rPr>
  </w:style>
  <w:style w:type="character" w:customStyle="1" w:styleId="47">
    <w:name w:val="正文文本缩进 Char"/>
    <w:link w:val="13"/>
    <w:qFormat/>
    <w:uiPriority w:val="0"/>
    <w:rPr>
      <w:rFonts w:ascii="仿宋_GB2312" w:hAnsi="Times New Roman" w:eastAsia="仿宋_GB2312" w:cs="Times New Roman"/>
      <w:sz w:val="32"/>
      <w:szCs w:val="20"/>
    </w:rPr>
  </w:style>
  <w:style w:type="character" w:customStyle="1" w:styleId="48">
    <w:name w:val="纯文本 Char1"/>
    <w:link w:val="17"/>
    <w:qFormat/>
    <w:uiPriority w:val="0"/>
    <w:rPr>
      <w:rFonts w:ascii="宋体" w:hAnsi="Courier New" w:eastAsia="宋体" w:cs="Courier New"/>
      <w:szCs w:val="21"/>
    </w:rPr>
  </w:style>
  <w:style w:type="character" w:customStyle="1" w:styleId="49">
    <w:name w:val="日期 Char"/>
    <w:link w:val="18"/>
    <w:semiHidden/>
    <w:qFormat/>
    <w:uiPriority w:val="99"/>
    <w:rPr>
      <w:rFonts w:ascii="Times New Roman" w:hAnsi="Times New Roman"/>
      <w:kern w:val="2"/>
      <w:sz w:val="21"/>
      <w:szCs w:val="24"/>
    </w:rPr>
  </w:style>
  <w:style w:type="character" w:customStyle="1" w:styleId="50">
    <w:name w:val="页脚 Char"/>
    <w:link w:val="21"/>
    <w:qFormat/>
    <w:uiPriority w:val="99"/>
    <w:rPr>
      <w:sz w:val="18"/>
      <w:szCs w:val="18"/>
    </w:rPr>
  </w:style>
  <w:style w:type="character" w:customStyle="1" w:styleId="51">
    <w:name w:val="页眉 Char"/>
    <w:link w:val="22"/>
    <w:qFormat/>
    <w:uiPriority w:val="99"/>
    <w:rPr>
      <w:sz w:val="18"/>
      <w:szCs w:val="18"/>
    </w:rPr>
  </w:style>
  <w:style w:type="character" w:customStyle="1" w:styleId="52">
    <w:name w:val="批注主题 Char"/>
    <w:link w:val="27"/>
    <w:qFormat/>
    <w:uiPriority w:val="99"/>
    <w:rPr>
      <w:rFonts w:ascii="Times New Roman" w:hAnsi="Times New Roman"/>
      <w:b/>
      <w:bCs/>
      <w:kern w:val="2"/>
      <w:sz w:val="21"/>
      <w:szCs w:val="24"/>
    </w:rPr>
  </w:style>
  <w:style w:type="character" w:customStyle="1" w:styleId="53">
    <w:name w:val="标题 1 Char"/>
    <w:basedOn w:val="32"/>
    <w:link w:val="2"/>
    <w:qFormat/>
    <w:uiPriority w:val="9"/>
    <w:rPr>
      <w:b/>
      <w:bCs/>
      <w:kern w:val="44"/>
      <w:sz w:val="44"/>
      <w:szCs w:val="44"/>
    </w:rPr>
  </w:style>
  <w:style w:type="character" w:customStyle="1" w:styleId="54">
    <w:name w:val="纯文本 字符2"/>
    <w:qFormat/>
    <w:uiPriority w:val="0"/>
    <w:rPr>
      <w:rFonts w:ascii="宋体" w:hAnsi="Courier New" w:eastAsia="宋体" w:cs="Courier New"/>
      <w:szCs w:val="21"/>
    </w:rPr>
  </w:style>
  <w:style w:type="character" w:customStyle="1" w:styleId="55">
    <w:name w:val="apple-style-span"/>
    <w:basedOn w:val="32"/>
    <w:qFormat/>
    <w:uiPriority w:val="0"/>
  </w:style>
  <w:style w:type="character" w:customStyle="1" w:styleId="56">
    <w:name w:val="标题 2 Char"/>
    <w:link w:val="3"/>
    <w:qFormat/>
    <w:uiPriority w:val="9"/>
    <w:rPr>
      <w:rFonts w:ascii="Cambria" w:hAnsi="Cambria" w:eastAsia="宋体" w:cs="Times New Roman"/>
      <w:b/>
      <w:bCs/>
      <w:kern w:val="2"/>
      <w:sz w:val="32"/>
      <w:szCs w:val="32"/>
    </w:rPr>
  </w:style>
  <w:style w:type="character" w:customStyle="1" w:styleId="57">
    <w:name w:val="纯文本 字符"/>
    <w:qFormat/>
    <w:uiPriority w:val="0"/>
    <w:rPr>
      <w:rFonts w:ascii="宋体" w:hAnsi="Courier New" w:eastAsia="宋体" w:cs="Courier New"/>
      <w:szCs w:val="21"/>
    </w:rPr>
  </w:style>
  <w:style w:type="character" w:customStyle="1" w:styleId="58">
    <w:name w:val="纯文本 字符1"/>
    <w:qFormat/>
    <w:uiPriority w:val="0"/>
    <w:rPr>
      <w:rFonts w:ascii="宋体" w:hAnsi="Courier New"/>
    </w:rPr>
  </w:style>
  <w:style w:type="character" w:customStyle="1" w:styleId="59">
    <w:name w:val="标题 8 Char"/>
    <w:qFormat/>
    <w:uiPriority w:val="0"/>
    <w:rPr>
      <w:rFonts w:ascii="Arial" w:hAnsi="Arial" w:eastAsia="黑体"/>
      <w:kern w:val="2"/>
      <w:sz w:val="24"/>
      <w:szCs w:val="24"/>
    </w:rPr>
  </w:style>
  <w:style w:type="character" w:customStyle="1" w:styleId="60">
    <w:name w:val="纯文本 Char"/>
    <w:qFormat/>
    <w:uiPriority w:val="0"/>
    <w:rPr>
      <w:rFonts w:ascii="宋体" w:hAnsi="Courier New" w:eastAsia="宋体" w:cs="Courier New"/>
      <w:szCs w:val="21"/>
    </w:rPr>
  </w:style>
  <w:style w:type="character" w:customStyle="1" w:styleId="61">
    <w:name w:val="正文文本 Char"/>
    <w:qFormat/>
    <w:uiPriority w:val="0"/>
    <w:rPr>
      <w:rFonts w:ascii="Times New Roman" w:hAnsi="Times New Roman"/>
      <w:kern w:val="2"/>
      <w:sz w:val="21"/>
      <w:szCs w:val="24"/>
    </w:rPr>
  </w:style>
  <w:style w:type="character" w:customStyle="1" w:styleId="62">
    <w:name w:val="批注文字 字符1"/>
    <w:qFormat/>
    <w:uiPriority w:val="0"/>
    <w:rPr>
      <w:rFonts w:ascii="Times New Roman" w:hAnsi="Times New Roman"/>
      <w:kern w:val="2"/>
      <w:sz w:val="21"/>
      <w:szCs w:val="24"/>
    </w:rPr>
  </w:style>
  <w:style w:type="character" w:customStyle="1" w:styleId="63">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64">
    <w:name w:val="正文文本 字符"/>
    <w:qFormat/>
    <w:uiPriority w:val="0"/>
    <w:rPr>
      <w:rFonts w:ascii="Times New Roman" w:hAnsi="Times New Roman"/>
      <w:kern w:val="2"/>
      <w:sz w:val="21"/>
      <w:szCs w:val="24"/>
    </w:rPr>
  </w:style>
  <w:style w:type="character" w:customStyle="1" w:styleId="65">
    <w:name w:val="批注文字 字符"/>
    <w:qFormat/>
    <w:uiPriority w:val="0"/>
    <w:rPr>
      <w:rFonts w:ascii="Times New Roman" w:hAnsi="Times New Roman"/>
      <w:kern w:val="2"/>
      <w:sz w:val="21"/>
      <w:szCs w:val="24"/>
    </w:rPr>
  </w:style>
  <w:style w:type="character" w:customStyle="1" w:styleId="66">
    <w:name w:val="textcontents"/>
    <w:basedOn w:val="32"/>
    <w:qFormat/>
    <w:uiPriority w:val="0"/>
  </w:style>
  <w:style w:type="character" w:customStyle="1" w:styleId="67">
    <w:name w:val="批注文字 Char"/>
    <w:qFormat/>
    <w:uiPriority w:val="0"/>
    <w:rPr>
      <w:rFonts w:ascii="Times New Roman" w:hAnsi="Times New Roman"/>
      <w:kern w:val="2"/>
      <w:sz w:val="21"/>
      <w:szCs w:val="24"/>
    </w:rPr>
  </w:style>
  <w:style w:type="paragraph" w:customStyle="1" w:styleId="68">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styleId="69">
    <w:name w:val="List Paragraph"/>
    <w:basedOn w:val="1"/>
    <w:qFormat/>
    <w:uiPriority w:val="34"/>
    <w:pPr>
      <w:ind w:firstLine="420" w:firstLineChars="200"/>
    </w:pPr>
  </w:style>
  <w:style w:type="paragraph" w:customStyle="1" w:styleId="70">
    <w:name w:val="默认段落字体 Para Char Char Char Char Char Char Char Char Char1 Char Char Char Char"/>
    <w:basedOn w:val="1"/>
    <w:qFormat/>
    <w:uiPriority w:val="0"/>
    <w:rPr>
      <w:rFonts w:ascii="Tahoma" w:hAnsi="Tahoma"/>
      <w:sz w:val="24"/>
      <w:szCs w:val="20"/>
    </w:rPr>
  </w:style>
  <w:style w:type="paragraph" w:customStyle="1" w:styleId="71">
    <w:name w:val="Table Paragraph"/>
    <w:basedOn w:val="1"/>
    <w:qFormat/>
    <w:uiPriority w:val="1"/>
    <w:pPr>
      <w:jc w:val="left"/>
    </w:pPr>
    <w:rPr>
      <w:rFonts w:ascii="Calibri" w:hAnsi="Calibri"/>
      <w:kern w:val="0"/>
      <w:sz w:val="22"/>
      <w:szCs w:val="22"/>
      <w:lang w:eastAsia="en-US"/>
    </w:rPr>
  </w:style>
  <w:style w:type="paragraph" w:customStyle="1" w:styleId="72">
    <w:name w:val="首行缩进"/>
    <w:basedOn w:val="1"/>
    <w:qFormat/>
    <w:uiPriority w:val="99"/>
    <w:pPr>
      <w:ind w:firstLine="480" w:firstLineChars="200"/>
    </w:pPr>
    <w:rPr>
      <w:lang w:val="zh-CN"/>
    </w:rPr>
  </w:style>
  <w:style w:type="paragraph" w:customStyle="1" w:styleId="73">
    <w:name w:val="p0"/>
    <w:basedOn w:val="1"/>
    <w:qFormat/>
    <w:uiPriority w:val="99"/>
    <w:pPr>
      <w:widowControl/>
    </w:pPr>
    <w:rPr>
      <w:kern w:val="0"/>
      <w:szCs w:val="21"/>
    </w:rPr>
  </w:style>
  <w:style w:type="paragraph" w:customStyle="1" w:styleId="74">
    <w:name w:val="*正文"/>
    <w:basedOn w:val="1"/>
    <w:qFormat/>
    <w:uiPriority w:val="0"/>
    <w:pPr>
      <w:spacing w:line="360" w:lineRule="auto"/>
      <w:ind w:firstLine="482"/>
      <w:jc w:val="left"/>
    </w:pPr>
    <w:rPr>
      <w:rFonts w:ascii="宋体" w:hAnsi="宋体" w:eastAsia="宋体" w:cs="Times New Roman"/>
      <w:sz w:val="24"/>
      <w:szCs w:val="22"/>
    </w:rPr>
  </w:style>
  <w:style w:type="paragraph" w:customStyle="1" w:styleId="75">
    <w:name w:val="列表段落2"/>
    <w:basedOn w:val="1"/>
    <w:qFormat/>
    <w:uiPriority w:val="99"/>
    <w:pPr>
      <w:ind w:firstLine="420" w:firstLineChars="200"/>
    </w:pPr>
  </w:style>
  <w:style w:type="paragraph" w:customStyle="1" w:styleId="76">
    <w:name w:val="表格文字"/>
    <w:basedOn w:val="1"/>
    <w:next w:val="12"/>
    <w:qFormat/>
    <w:uiPriority w:val="99"/>
    <w:pPr>
      <w:spacing w:before="25" w:after="25"/>
      <w:jc w:val="left"/>
    </w:pPr>
    <w:rPr>
      <w:bCs/>
      <w:spacing w:val="10"/>
      <w:kern w:val="0"/>
      <w:sz w:val="24"/>
    </w:rPr>
  </w:style>
  <w:style w:type="paragraph" w:customStyle="1" w:styleId="77">
    <w:name w:val="2"/>
    <w:basedOn w:val="1"/>
    <w:next w:val="17"/>
    <w:qFormat/>
    <w:uiPriority w:val="99"/>
    <w:rPr>
      <w:rFonts w:ascii="宋体" w:hAnsi="Courier New"/>
      <w:szCs w:val="20"/>
    </w:rPr>
  </w:style>
  <w:style w:type="paragraph" w:customStyle="1" w:styleId="78">
    <w:name w:val="样式 标题 2 + 宋体"/>
    <w:basedOn w:val="3"/>
    <w:qFormat/>
    <w:uiPriority w:val="99"/>
    <w:rPr>
      <w:rFonts w:ascii="宋体" w:hAnsi="宋体"/>
      <w:sz w:val="30"/>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广西云龙招标有限公司</Company>
  <Pages>63</Pages>
  <Words>15474</Words>
  <Characters>16435</Characters>
  <Lines>1</Lines>
  <Paragraphs>1</Paragraphs>
  <TotalTime>106</TotalTime>
  <ScaleCrop>false</ScaleCrop>
  <LinksUpToDate>false</LinksUpToDate>
  <CharactersWithSpaces>16594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2020-07-13T02:59:00Z</dcterms:created>
  <dc:creator>唐冰</dc:creator>
  <cp:lastModifiedBy>Admin</cp:lastModifiedBy>
  <cp:lastPrinted>2021-12-14T03:39:00Z</cp:lastPrinted>
  <dcterms:modified xsi:type="dcterms:W3CDTF">2026-07-21T07:59:49Z</dcterms:modified>
  <dc:title>竞争性谈判文件规范</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E45D824FC35E4680934C229E2AAACD90_13</vt:lpwstr>
  </property>
  <property fmtid="{D5CDD505-2E9C-101B-9397-08002B2CF9AE}" pid="4" name="KSOTemplateDocerSaveRecord">
    <vt:lpwstr>eyJoZGlkIjoiYWNmNzQ2YmM5YWRmYjVhZmUxODFkNDkzZTUwOTljM2MiLCJ1c2VySWQiOiIxMjA0MjAzNjAifQ==</vt:lpwstr>
  </property>
</Properties>
</file>