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D0F38">
      <w:pPr>
        <w:spacing w:before="240" w:beforeLines="100" w:after="120" w:afterLines="50" w:line="600" w:lineRule="exact"/>
        <w:jc w:val="center"/>
        <w:rPr>
          <w:rFonts w:hint="eastAsia" w:ascii="宋体" w:hAnsi="宋体" w:eastAsia="宋体"/>
          <w:b/>
          <w:color w:val="auto"/>
          <w:sz w:val="72"/>
          <w:szCs w:val="72"/>
          <w:highlight w:val="none"/>
          <w:lang w:eastAsia="zh-CN"/>
        </w:rPr>
      </w:pPr>
      <w:r>
        <w:rPr>
          <w:rFonts w:hint="eastAsia" w:ascii="宋体" w:hAnsi="宋体"/>
          <w:b/>
          <w:color w:val="auto"/>
          <w:sz w:val="72"/>
          <w:szCs w:val="72"/>
          <w:highlight w:val="none"/>
          <w:lang w:eastAsia="zh-CN"/>
        </w:rPr>
        <w:t>广西国栋招标有限公司</w:t>
      </w:r>
    </w:p>
    <w:p w14:paraId="2F90DD12">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2834DDE6">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5D138515">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4B54A72E">
      <w:pPr>
        <w:snapToGrid w:val="0"/>
        <w:spacing w:before="120" w:beforeLines="50" w:line="360" w:lineRule="auto"/>
        <w:jc w:val="center"/>
        <w:rPr>
          <w:rFonts w:hint="eastAsia" w:ascii="宋体" w:hAnsi="宋体" w:eastAsia="宋体"/>
          <w:b/>
          <w:color w:val="auto"/>
          <w:sz w:val="84"/>
          <w:szCs w:val="84"/>
          <w:highlight w:val="none"/>
          <w:lang w:val="en-US" w:eastAsia="zh-CN"/>
        </w:rPr>
      </w:pPr>
      <w:r>
        <w:rPr>
          <w:rFonts w:hint="eastAsia" w:ascii="宋体" w:hAnsi="宋体"/>
          <w:b/>
          <w:color w:val="auto"/>
          <w:sz w:val="84"/>
          <w:szCs w:val="84"/>
          <w:highlight w:val="none"/>
        </w:rPr>
        <w:t>招</w:t>
      </w:r>
      <w:r>
        <w:rPr>
          <w:rFonts w:hint="eastAsia" w:ascii="宋体" w:hAnsi="宋体"/>
          <w:b/>
          <w:color w:val="auto"/>
          <w:sz w:val="84"/>
          <w:szCs w:val="84"/>
          <w:highlight w:val="none"/>
          <w:lang w:val="en-US" w:eastAsia="zh-CN"/>
        </w:rPr>
        <w:t xml:space="preserve"> </w:t>
      </w:r>
      <w:r>
        <w:rPr>
          <w:rFonts w:hint="eastAsia" w:ascii="宋体" w:hAnsi="宋体"/>
          <w:b/>
          <w:color w:val="auto"/>
          <w:sz w:val="84"/>
          <w:szCs w:val="84"/>
          <w:highlight w:val="none"/>
        </w:rPr>
        <w:t>标</w:t>
      </w:r>
      <w:r>
        <w:rPr>
          <w:rFonts w:hint="eastAsia" w:ascii="宋体" w:hAnsi="宋体"/>
          <w:b/>
          <w:color w:val="auto"/>
          <w:sz w:val="84"/>
          <w:szCs w:val="84"/>
          <w:highlight w:val="none"/>
          <w:lang w:val="en-US" w:eastAsia="zh-CN"/>
        </w:rPr>
        <w:t xml:space="preserve"> </w:t>
      </w:r>
      <w:r>
        <w:rPr>
          <w:rFonts w:hint="eastAsia" w:ascii="宋体" w:hAnsi="宋体"/>
          <w:b/>
          <w:color w:val="auto"/>
          <w:sz w:val="84"/>
          <w:szCs w:val="84"/>
          <w:highlight w:val="none"/>
          <w:lang w:eastAsia="zh-CN"/>
        </w:rPr>
        <w:t>文</w:t>
      </w:r>
      <w:r>
        <w:rPr>
          <w:rFonts w:hint="eastAsia" w:ascii="宋体" w:hAnsi="宋体"/>
          <w:b/>
          <w:color w:val="auto"/>
          <w:sz w:val="84"/>
          <w:szCs w:val="84"/>
          <w:highlight w:val="none"/>
          <w:lang w:val="en-US" w:eastAsia="zh-CN"/>
        </w:rPr>
        <w:t xml:space="preserve"> </w:t>
      </w:r>
      <w:r>
        <w:rPr>
          <w:rFonts w:hint="eastAsia" w:ascii="宋体" w:hAnsi="宋体"/>
          <w:b/>
          <w:color w:val="auto"/>
          <w:sz w:val="84"/>
          <w:szCs w:val="84"/>
          <w:highlight w:val="none"/>
          <w:lang w:eastAsia="zh-CN"/>
        </w:rPr>
        <w:t>件</w:t>
      </w:r>
    </w:p>
    <w:p w14:paraId="0E84C2B1">
      <w:pPr>
        <w:snapToGrid w:val="0"/>
        <w:spacing w:before="120" w:beforeLines="50" w:line="360" w:lineRule="auto"/>
        <w:jc w:val="center"/>
        <w:rPr>
          <w:rFonts w:hint="eastAsia" w:ascii="宋体" w:hAnsi="宋体"/>
          <w:b/>
          <w:color w:val="auto"/>
          <w:sz w:val="48"/>
          <w:szCs w:val="48"/>
          <w:highlight w:val="none"/>
        </w:rPr>
      </w:pPr>
      <w:r>
        <w:rPr>
          <w:rFonts w:hint="eastAsia" w:ascii="宋体" w:hAnsi="宋体"/>
          <w:b/>
          <w:color w:val="auto"/>
          <w:sz w:val="48"/>
          <w:szCs w:val="48"/>
          <w:highlight w:val="none"/>
        </w:rPr>
        <w:t>（全流程电子化采购）</w:t>
      </w:r>
    </w:p>
    <w:p w14:paraId="0D137087">
      <w:pPr>
        <w:snapToGrid w:val="0"/>
        <w:spacing w:before="120" w:beforeLines="50" w:line="360" w:lineRule="auto"/>
        <w:jc w:val="center"/>
        <w:rPr>
          <w:rFonts w:hint="eastAsia" w:ascii="仿宋_GB2312" w:hAnsi="宋体" w:eastAsia="仿宋_GB2312"/>
          <w:b/>
          <w:color w:val="auto"/>
          <w:sz w:val="48"/>
          <w:szCs w:val="48"/>
          <w:highlight w:val="none"/>
        </w:rPr>
      </w:pPr>
    </w:p>
    <w:p w14:paraId="7AD4EA7C">
      <w:pPr>
        <w:pStyle w:val="15"/>
        <w:snapToGrid w:val="0"/>
        <w:spacing w:line="360" w:lineRule="auto"/>
        <w:ind w:firstLine="1209" w:firstLineChars="396"/>
        <w:rPr>
          <w:rFonts w:hint="eastAsia" w:hAnsi="宋体" w:cs="Courier New"/>
          <w:b/>
          <w:bCs/>
          <w:color w:val="auto"/>
          <w:w w:val="95"/>
          <w:sz w:val="32"/>
          <w:szCs w:val="32"/>
          <w:highlight w:val="none"/>
        </w:rPr>
      </w:pPr>
    </w:p>
    <w:p w14:paraId="7F604B2E">
      <w:pPr>
        <w:pStyle w:val="15"/>
        <w:snapToGrid w:val="0"/>
        <w:spacing w:line="360" w:lineRule="auto"/>
        <w:ind w:left="0" w:leftChars="0" w:firstLine="0" w:firstLineChars="0"/>
        <w:rPr>
          <w:rFonts w:hint="eastAsia" w:hAnsi="宋体" w:eastAsia="宋体" w:cs="Courier New"/>
          <w:b w:val="0"/>
          <w:bCs w:val="0"/>
          <w:color w:val="auto"/>
          <w:w w:val="95"/>
          <w:sz w:val="32"/>
          <w:szCs w:val="32"/>
          <w:highlight w:val="none"/>
          <w:lang w:eastAsia="zh-CN"/>
        </w:rPr>
      </w:pPr>
      <w:r>
        <w:rPr>
          <w:rFonts w:hint="eastAsia" w:hAnsi="宋体" w:cs="Courier New"/>
          <w:b/>
          <w:bCs/>
          <w:color w:val="auto"/>
          <w:w w:val="95"/>
          <w:sz w:val="32"/>
          <w:szCs w:val="32"/>
          <w:highlight w:val="none"/>
        </w:rPr>
        <w:t>项目名称：</w:t>
      </w:r>
      <w:r>
        <w:rPr>
          <w:rFonts w:hint="eastAsia" w:hAnsi="宋体" w:cs="Courier New"/>
          <w:b w:val="0"/>
          <w:bCs w:val="0"/>
          <w:color w:val="auto"/>
          <w:w w:val="95"/>
          <w:sz w:val="32"/>
          <w:szCs w:val="32"/>
          <w:highlight w:val="none"/>
          <w:lang w:eastAsia="zh-CN"/>
        </w:rPr>
        <w:t>广西防城金花茶国家级自然保护区科普宣教展区布展项目</w:t>
      </w:r>
    </w:p>
    <w:p w14:paraId="0AC65405">
      <w:pPr>
        <w:pStyle w:val="15"/>
        <w:snapToGrid w:val="0"/>
        <w:spacing w:line="360" w:lineRule="auto"/>
        <w:ind w:firstLine="0" w:firstLineChars="0"/>
        <w:rPr>
          <w:rFonts w:hint="eastAsia" w:hAnsi="宋体" w:eastAsia="宋体" w:cs="Courier New"/>
          <w:b w:val="0"/>
          <w:bCs w:val="0"/>
          <w:color w:val="auto"/>
          <w:w w:val="95"/>
          <w:sz w:val="32"/>
          <w:szCs w:val="32"/>
          <w:highlight w:val="none"/>
          <w:lang w:eastAsia="zh-CN"/>
        </w:rPr>
      </w:pPr>
      <w:r>
        <w:rPr>
          <w:rFonts w:hint="eastAsia" w:hAnsi="宋体" w:cs="Courier New"/>
          <w:b/>
          <w:bCs/>
          <w:color w:val="auto"/>
          <w:w w:val="95"/>
          <w:sz w:val="32"/>
          <w:szCs w:val="32"/>
          <w:highlight w:val="none"/>
        </w:rPr>
        <w:t>项目编号：</w:t>
      </w:r>
      <w:r>
        <w:rPr>
          <w:rFonts w:hint="eastAsia" w:hAnsi="宋体" w:cs="Courier New"/>
          <w:b w:val="0"/>
          <w:bCs w:val="0"/>
          <w:color w:val="auto"/>
          <w:w w:val="95"/>
          <w:sz w:val="32"/>
          <w:szCs w:val="32"/>
          <w:highlight w:val="none"/>
          <w:lang w:eastAsia="zh-CN"/>
        </w:rPr>
        <w:t>GXZC2026-G3-001331-GDZB</w:t>
      </w:r>
    </w:p>
    <w:p w14:paraId="5449B646">
      <w:pPr>
        <w:pStyle w:val="15"/>
        <w:snapToGrid w:val="0"/>
        <w:spacing w:line="360" w:lineRule="auto"/>
        <w:ind w:firstLine="0" w:firstLineChars="0"/>
        <w:rPr>
          <w:rFonts w:hint="eastAsia" w:hAnsi="宋体" w:eastAsia="宋体" w:cs="Courier New"/>
          <w:b/>
          <w:bCs/>
          <w:color w:val="auto"/>
          <w:w w:val="95"/>
          <w:sz w:val="32"/>
          <w:szCs w:val="32"/>
          <w:highlight w:val="none"/>
          <w:lang w:eastAsia="zh-CN"/>
        </w:rPr>
      </w:pPr>
      <w:r>
        <w:rPr>
          <w:rFonts w:hint="eastAsia" w:hAnsi="宋体" w:cs="Courier New"/>
          <w:b/>
          <w:bCs/>
          <w:color w:val="auto"/>
          <w:w w:val="95"/>
          <w:sz w:val="32"/>
          <w:szCs w:val="32"/>
          <w:highlight w:val="none"/>
        </w:rPr>
        <w:t>采购人：</w:t>
      </w:r>
      <w:r>
        <w:rPr>
          <w:rFonts w:hint="eastAsia" w:hAnsi="宋体" w:cs="Courier New"/>
          <w:b w:val="0"/>
          <w:bCs w:val="0"/>
          <w:color w:val="auto"/>
          <w:w w:val="95"/>
          <w:sz w:val="32"/>
          <w:szCs w:val="32"/>
          <w:highlight w:val="none"/>
          <w:lang w:eastAsia="zh-CN"/>
        </w:rPr>
        <w:t>广西壮族自治区防城金花茶国家级自然保护区管理中心</w:t>
      </w:r>
    </w:p>
    <w:p w14:paraId="7A5FEE35">
      <w:pPr>
        <w:pStyle w:val="15"/>
        <w:snapToGrid w:val="0"/>
        <w:spacing w:line="360" w:lineRule="auto"/>
        <w:ind w:firstLine="0" w:firstLineChars="0"/>
        <w:jc w:val="left"/>
        <w:rPr>
          <w:rFonts w:hint="eastAsia" w:hAnsi="宋体" w:eastAsia="宋体" w:cs="Courier New"/>
          <w:b w:val="0"/>
          <w:bCs w:val="0"/>
          <w:color w:val="auto"/>
          <w:w w:val="95"/>
          <w:sz w:val="32"/>
          <w:szCs w:val="32"/>
          <w:highlight w:val="none"/>
          <w:lang w:eastAsia="zh-CN"/>
        </w:rPr>
      </w:pPr>
      <w:r>
        <w:rPr>
          <w:rFonts w:hint="eastAsia" w:hAnsi="宋体" w:cs="Courier New"/>
          <w:b/>
          <w:bCs/>
          <w:color w:val="auto"/>
          <w:w w:val="95"/>
          <w:sz w:val="32"/>
          <w:szCs w:val="32"/>
          <w:highlight w:val="none"/>
        </w:rPr>
        <w:t>采购代理机构：</w:t>
      </w:r>
      <w:r>
        <w:rPr>
          <w:rFonts w:hint="eastAsia" w:hAnsi="宋体" w:cs="Courier New"/>
          <w:b w:val="0"/>
          <w:bCs w:val="0"/>
          <w:color w:val="auto"/>
          <w:w w:val="95"/>
          <w:sz w:val="32"/>
          <w:szCs w:val="32"/>
          <w:highlight w:val="none"/>
          <w:lang w:eastAsia="zh-CN"/>
        </w:rPr>
        <w:t>广西国栋招标有限公司</w:t>
      </w:r>
    </w:p>
    <w:p w14:paraId="6B03241C">
      <w:pPr>
        <w:pStyle w:val="15"/>
        <w:snapToGrid w:val="0"/>
        <w:spacing w:line="360" w:lineRule="auto"/>
        <w:ind w:firstLine="893" w:firstLineChars="294"/>
        <w:jc w:val="center"/>
        <w:rPr>
          <w:rFonts w:hint="eastAsia" w:hAnsi="宋体"/>
          <w:b w:val="0"/>
          <w:bCs w:val="0"/>
          <w:color w:val="auto"/>
          <w:w w:val="95"/>
          <w:sz w:val="32"/>
          <w:szCs w:val="32"/>
          <w:highlight w:val="none"/>
          <w:lang w:eastAsia="zh-CN"/>
        </w:rPr>
      </w:pPr>
    </w:p>
    <w:p w14:paraId="6D54D7B7">
      <w:pPr>
        <w:pStyle w:val="15"/>
        <w:snapToGrid w:val="0"/>
        <w:spacing w:line="360" w:lineRule="auto"/>
        <w:ind w:firstLine="893" w:firstLineChars="294"/>
        <w:jc w:val="center"/>
        <w:rPr>
          <w:rFonts w:hint="eastAsia" w:hAnsi="宋体"/>
          <w:b w:val="0"/>
          <w:bCs w:val="0"/>
          <w:color w:val="auto"/>
          <w:w w:val="95"/>
          <w:sz w:val="32"/>
          <w:szCs w:val="32"/>
          <w:highlight w:val="none"/>
          <w:lang w:eastAsia="zh-CN"/>
        </w:rPr>
      </w:pPr>
    </w:p>
    <w:p w14:paraId="67FCA7F4">
      <w:pPr>
        <w:pStyle w:val="15"/>
        <w:snapToGrid w:val="0"/>
        <w:spacing w:line="360" w:lineRule="auto"/>
        <w:ind w:firstLine="893" w:firstLineChars="294"/>
        <w:jc w:val="center"/>
        <w:rPr>
          <w:rFonts w:hint="eastAsia" w:hAnsi="宋体" w:eastAsia="宋体"/>
          <w:b w:val="0"/>
          <w:bCs w:val="0"/>
          <w:color w:val="auto"/>
          <w:sz w:val="32"/>
          <w:szCs w:val="32"/>
          <w:highlight w:val="none"/>
          <w:lang w:eastAsia="zh-CN"/>
        </w:rPr>
      </w:pPr>
      <w:r>
        <w:rPr>
          <w:rFonts w:hint="eastAsia" w:hAnsi="宋体"/>
          <w:b w:val="0"/>
          <w:bCs w:val="0"/>
          <w:color w:val="auto"/>
          <w:w w:val="95"/>
          <w:sz w:val="32"/>
          <w:szCs w:val="32"/>
          <w:highlight w:val="none"/>
          <w:lang w:eastAsia="zh-CN"/>
        </w:rPr>
        <w:t>202</w:t>
      </w:r>
      <w:r>
        <w:rPr>
          <w:rFonts w:hint="eastAsia" w:hAnsi="宋体"/>
          <w:b w:val="0"/>
          <w:bCs w:val="0"/>
          <w:color w:val="auto"/>
          <w:w w:val="95"/>
          <w:sz w:val="32"/>
          <w:szCs w:val="32"/>
          <w:highlight w:val="none"/>
          <w:lang w:val="en-US" w:eastAsia="zh-CN"/>
        </w:rPr>
        <w:t>6</w:t>
      </w:r>
      <w:r>
        <w:rPr>
          <w:rFonts w:hint="eastAsia" w:hAnsi="宋体"/>
          <w:b w:val="0"/>
          <w:bCs w:val="0"/>
          <w:color w:val="auto"/>
          <w:w w:val="95"/>
          <w:sz w:val="32"/>
          <w:szCs w:val="32"/>
          <w:highlight w:val="none"/>
          <w:lang w:eastAsia="zh-CN"/>
        </w:rPr>
        <w:t>年</w:t>
      </w:r>
      <w:r>
        <w:rPr>
          <w:rFonts w:hint="eastAsia" w:hAnsi="宋体"/>
          <w:b w:val="0"/>
          <w:bCs w:val="0"/>
          <w:color w:val="auto"/>
          <w:w w:val="95"/>
          <w:sz w:val="32"/>
          <w:szCs w:val="32"/>
          <w:highlight w:val="none"/>
          <w:lang w:val="en-US" w:eastAsia="zh-CN"/>
        </w:rPr>
        <w:t>8</w:t>
      </w:r>
      <w:r>
        <w:rPr>
          <w:rFonts w:hint="eastAsia" w:hAnsi="宋体"/>
          <w:b w:val="0"/>
          <w:bCs w:val="0"/>
          <w:color w:val="auto"/>
          <w:w w:val="95"/>
          <w:sz w:val="32"/>
          <w:szCs w:val="32"/>
          <w:highlight w:val="none"/>
          <w:lang w:eastAsia="zh-CN"/>
        </w:rPr>
        <w:t>月</w:t>
      </w:r>
      <w:r>
        <w:rPr>
          <w:rFonts w:hint="eastAsia" w:hAnsi="宋体"/>
          <w:b w:val="0"/>
          <w:bCs w:val="0"/>
          <w:color w:val="auto"/>
          <w:w w:val="95"/>
          <w:sz w:val="32"/>
          <w:szCs w:val="32"/>
          <w:highlight w:val="none"/>
          <w:lang w:val="en-US" w:eastAsia="zh-CN"/>
        </w:rPr>
        <w:t>7</w:t>
      </w:r>
      <w:r>
        <w:rPr>
          <w:rFonts w:hint="eastAsia" w:hAnsi="宋体"/>
          <w:b w:val="0"/>
          <w:bCs w:val="0"/>
          <w:color w:val="auto"/>
          <w:w w:val="95"/>
          <w:sz w:val="32"/>
          <w:szCs w:val="32"/>
          <w:highlight w:val="none"/>
          <w:lang w:eastAsia="zh-CN"/>
        </w:rPr>
        <w:t>日</w:t>
      </w:r>
    </w:p>
    <w:p w14:paraId="338739C6">
      <w:pPr>
        <w:pStyle w:val="15"/>
        <w:spacing w:before="120" w:after="120" w:line="360" w:lineRule="auto"/>
        <w:jc w:val="center"/>
        <w:rPr>
          <w:rFonts w:hint="eastAsia" w:ascii="仿宋_GB2312" w:hAnsi="宋体" w:eastAsia="仿宋_GB2312"/>
          <w:color w:val="auto"/>
          <w:highlight w:val="none"/>
        </w:rPr>
      </w:pPr>
    </w:p>
    <w:p w14:paraId="085DC01D">
      <w:pPr>
        <w:pStyle w:val="15"/>
        <w:spacing w:before="120" w:after="120" w:line="360" w:lineRule="auto"/>
        <w:jc w:val="center"/>
        <w:rPr>
          <w:rFonts w:hint="eastAsia" w:ascii="仿宋_GB2312" w:hAnsi="宋体" w:eastAsia="仿宋_GB2312"/>
          <w:color w:val="auto"/>
          <w:highlight w:val="none"/>
        </w:rPr>
      </w:pPr>
    </w:p>
    <w:p w14:paraId="10CD25BE">
      <w:pPr>
        <w:spacing w:line="360" w:lineRule="auto"/>
        <w:jc w:val="both"/>
        <w:rPr>
          <w:rFonts w:hint="eastAsia" w:ascii="宋体" w:hAnsi="宋体"/>
          <w:b/>
          <w:color w:val="auto"/>
          <w:sz w:val="44"/>
          <w:szCs w:val="44"/>
          <w:highlight w:val="none"/>
        </w:rPr>
        <w:sectPr>
          <w:headerReference r:id="rId3" w:type="first"/>
          <w:footerReference r:id="rId5" w:type="first"/>
          <w:footerReference r:id="rId4" w:type="default"/>
          <w:pgSz w:w="11910" w:h="16840"/>
          <w:pgMar w:top="1520" w:right="1278" w:bottom="280" w:left="1680" w:header="720" w:footer="720" w:gutter="0"/>
          <w:pgBorders>
            <w:top w:val="none" w:sz="0" w:space="0"/>
            <w:left w:val="none" w:sz="0" w:space="0"/>
            <w:bottom w:val="none" w:sz="0" w:space="0"/>
            <w:right w:val="none" w:sz="0" w:space="0"/>
          </w:pgBorders>
          <w:pgNumType w:start="0"/>
          <w:cols w:space="720" w:num="1"/>
          <w:titlePg/>
          <w:docGrid w:linePitch="286" w:charSpace="0"/>
        </w:sectPr>
      </w:pPr>
    </w:p>
    <w:p w14:paraId="0C63B463">
      <w:pPr>
        <w:spacing w:line="360" w:lineRule="auto"/>
        <w:ind w:firstLine="3534" w:firstLineChars="800"/>
        <w:jc w:val="both"/>
        <w:rPr>
          <w:rFonts w:hint="eastAsia" w:ascii="宋体" w:hAnsi="宋体"/>
          <w:b/>
          <w:color w:val="auto"/>
          <w:sz w:val="44"/>
          <w:szCs w:val="44"/>
          <w:highlight w:val="none"/>
        </w:rPr>
      </w:pPr>
      <w:r>
        <w:rPr>
          <w:rFonts w:hint="eastAsia" w:ascii="宋体" w:hAnsi="宋体"/>
          <w:b/>
          <w:color w:val="auto"/>
          <w:sz w:val="44"/>
          <w:szCs w:val="44"/>
          <w:highlight w:val="none"/>
        </w:rPr>
        <w:t>目录</w:t>
      </w:r>
    </w:p>
    <w:p w14:paraId="16272F38">
      <w:pPr>
        <w:pStyle w:val="16"/>
        <w:tabs>
          <w:tab w:val="right" w:leader="dot" w:pos="8730"/>
          <w:tab w:val="clear" w:pos="8398"/>
        </w:tabs>
        <w:rPr>
          <w:color w:val="auto"/>
          <w:highlight w:val="none"/>
        </w:rPr>
      </w:pPr>
      <w:r>
        <w:rPr>
          <w:rFonts w:ascii="仿宋_GB2312" w:eastAsia="仿宋_GB2312"/>
          <w:b w:val="0"/>
          <w:color w:val="auto"/>
          <w:highlight w:val="none"/>
        </w:rPr>
        <w:fldChar w:fldCharType="begin"/>
      </w:r>
      <w:r>
        <w:rPr>
          <w:rFonts w:ascii="仿宋_GB2312" w:eastAsia="仿宋_GB2312"/>
          <w:b w:val="0"/>
          <w:color w:val="auto"/>
          <w:highlight w:val="none"/>
        </w:rPr>
        <w:instrText xml:space="preserve"> </w:instrText>
      </w:r>
      <w:r>
        <w:rPr>
          <w:rFonts w:hint="eastAsia" w:ascii="仿宋_GB2312" w:eastAsia="仿宋_GB2312"/>
          <w:b w:val="0"/>
          <w:color w:val="auto"/>
          <w:highlight w:val="none"/>
        </w:rPr>
        <w:instrText xml:space="preserve">TOC \o "1-2" \h \z \u</w:instrText>
      </w:r>
      <w:r>
        <w:rPr>
          <w:rFonts w:ascii="仿宋_GB2312" w:eastAsia="仿宋_GB2312"/>
          <w:b w:val="0"/>
          <w:color w:val="auto"/>
          <w:highlight w:val="none"/>
        </w:rPr>
        <w:instrText xml:space="preserve"> </w:instrText>
      </w:r>
      <w:r>
        <w:rPr>
          <w:rFonts w:ascii="仿宋_GB2312" w:eastAsia="仿宋_GB2312"/>
          <w:b w:val="0"/>
          <w:color w:val="auto"/>
          <w:highlight w:val="none"/>
        </w:rPr>
        <w:fldChar w:fldCharType="separate"/>
      </w:r>
      <w:r>
        <w:rPr>
          <w:color w:val="auto"/>
          <w:highlight w:val="none"/>
        </w:rPr>
        <w:fldChar w:fldCharType="begin"/>
      </w:r>
      <w:r>
        <w:rPr>
          <w:color w:val="auto"/>
          <w:highlight w:val="none"/>
        </w:rPr>
        <w:instrText xml:space="preserve"> HYPERLINK \l "_Toc26956" </w:instrText>
      </w:r>
      <w:r>
        <w:rPr>
          <w:color w:val="auto"/>
          <w:highlight w:val="none"/>
        </w:rPr>
        <w:fldChar w:fldCharType="separate"/>
      </w:r>
      <w:r>
        <w:rPr>
          <w:rFonts w:hint="eastAsia"/>
          <w:color w:val="auto"/>
          <w:highlight w:val="none"/>
        </w:rPr>
        <w:t>第一章招标公告</w:t>
      </w:r>
      <w:r>
        <w:rPr>
          <w:color w:val="auto"/>
          <w:highlight w:val="none"/>
        </w:rPr>
        <w:tab/>
      </w:r>
      <w:r>
        <w:rPr>
          <w:color w:val="auto"/>
          <w:highlight w:val="none"/>
        </w:rPr>
        <w:fldChar w:fldCharType="begin"/>
      </w:r>
      <w:r>
        <w:rPr>
          <w:color w:val="auto"/>
          <w:highlight w:val="none"/>
        </w:rPr>
        <w:instrText xml:space="preserve"> PAGEREF _Toc26956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7EC6B4EF">
      <w:pPr>
        <w:pStyle w:val="16"/>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"_Toc27979" </w:instrText>
      </w:r>
      <w:r>
        <w:rPr>
          <w:color w:val="auto"/>
          <w:highlight w:val="none"/>
        </w:rPr>
        <w:fldChar w:fldCharType="separate"/>
      </w:r>
      <w:r>
        <w:rPr>
          <w:rFonts w:hint="eastAsia"/>
          <w:color w:val="auto"/>
          <w:highlight w:val="none"/>
        </w:rPr>
        <w:t>第二章采购需求</w:t>
      </w:r>
      <w:r>
        <w:rPr>
          <w:color w:val="auto"/>
          <w:highlight w:val="none"/>
        </w:rPr>
        <w:tab/>
      </w:r>
      <w:r>
        <w:rPr>
          <w:color w:val="auto"/>
          <w:highlight w:val="none"/>
        </w:rPr>
        <w:fldChar w:fldCharType="begin"/>
      </w:r>
      <w:r>
        <w:rPr>
          <w:color w:val="auto"/>
          <w:highlight w:val="none"/>
        </w:rPr>
        <w:instrText xml:space="preserve"> PAGEREF _Toc27979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45BE4D6C">
      <w:pPr>
        <w:pStyle w:val="16"/>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"_Toc25688" </w:instrText>
      </w:r>
      <w:r>
        <w:rPr>
          <w:color w:val="auto"/>
          <w:highlight w:val="none"/>
        </w:rPr>
        <w:fldChar w:fldCharType="separate"/>
      </w:r>
      <w:r>
        <w:rPr>
          <w:rFonts w:hint="eastAsia"/>
          <w:color w:val="auto"/>
          <w:highlight w:val="none"/>
        </w:rPr>
        <w:t>第三章投标人须知</w:t>
      </w:r>
      <w:r>
        <w:rPr>
          <w:color w:val="auto"/>
          <w:highlight w:val="none"/>
        </w:rPr>
        <w:tab/>
      </w:r>
      <w:r>
        <w:rPr>
          <w:color w:val="auto"/>
          <w:highlight w:val="none"/>
        </w:rPr>
        <w:fldChar w:fldCharType="begin"/>
      </w:r>
      <w:r>
        <w:rPr>
          <w:color w:val="auto"/>
          <w:highlight w:val="none"/>
        </w:rPr>
        <w:instrText xml:space="preserve"> PAGEREF _Toc25688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0B038449">
      <w:pPr>
        <w:pStyle w:val="16"/>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"_Toc15687" </w:instrText>
      </w:r>
      <w:r>
        <w:rPr>
          <w:color w:val="auto"/>
          <w:highlight w:val="none"/>
        </w:rPr>
        <w:fldChar w:fldCharType="separate"/>
      </w:r>
      <w:r>
        <w:rPr>
          <w:rFonts w:hint="eastAsia"/>
          <w:color w:val="auto"/>
          <w:highlight w:val="none"/>
        </w:rPr>
        <w:t>第四章评标方法及评标标准</w:t>
      </w:r>
      <w:r>
        <w:rPr>
          <w:color w:val="auto"/>
          <w:highlight w:val="none"/>
        </w:rPr>
        <w:tab/>
      </w:r>
      <w:r>
        <w:rPr>
          <w:color w:val="auto"/>
          <w:highlight w:val="none"/>
        </w:rPr>
        <w:fldChar w:fldCharType="begin"/>
      </w:r>
      <w:r>
        <w:rPr>
          <w:color w:val="auto"/>
          <w:highlight w:val="none"/>
        </w:rPr>
        <w:instrText xml:space="preserve"> PAGEREF _Toc15687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796C6B8D">
      <w:pPr>
        <w:pStyle w:val="16"/>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"_Toc25250" </w:instrText>
      </w:r>
      <w:r>
        <w:rPr>
          <w:color w:val="auto"/>
          <w:highlight w:val="none"/>
        </w:rPr>
        <w:fldChar w:fldCharType="separate"/>
      </w:r>
      <w:r>
        <w:rPr>
          <w:rFonts w:hint="eastAsia"/>
          <w:color w:val="auto"/>
          <w:highlight w:val="none"/>
        </w:rPr>
        <w:t>第五章拟签订的合同文本</w:t>
      </w:r>
      <w:r>
        <w:rPr>
          <w:color w:val="auto"/>
          <w:highlight w:val="none"/>
        </w:rPr>
        <w:tab/>
      </w:r>
      <w:r>
        <w:rPr>
          <w:color w:val="auto"/>
          <w:highlight w:val="none"/>
        </w:rPr>
        <w:fldChar w:fldCharType="begin"/>
      </w:r>
      <w:r>
        <w:rPr>
          <w:color w:val="auto"/>
          <w:highlight w:val="none"/>
        </w:rPr>
        <w:instrText xml:space="preserve"> PAGEREF _Toc25250 \h </w:instrText>
      </w:r>
      <w:r>
        <w:rPr>
          <w:color w:val="auto"/>
          <w:highlight w:val="none"/>
        </w:rPr>
        <w:fldChar w:fldCharType="separate"/>
      </w:r>
      <w:r>
        <w:rPr>
          <w:color w:val="auto"/>
          <w:highlight w:val="none"/>
        </w:rPr>
        <w:t>91</w:t>
      </w:r>
      <w:r>
        <w:rPr>
          <w:color w:val="auto"/>
          <w:highlight w:val="none"/>
        </w:rPr>
        <w:fldChar w:fldCharType="end"/>
      </w:r>
      <w:r>
        <w:rPr>
          <w:color w:val="auto"/>
          <w:highlight w:val="none"/>
        </w:rPr>
        <w:fldChar w:fldCharType="end"/>
      </w:r>
    </w:p>
    <w:p w14:paraId="6AE6D605">
      <w:pPr>
        <w:pStyle w:val="16"/>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0DD9BEDE">
      <w:pPr>
        <w:tabs>
          <w:tab w:val="right" w:leader="dot" w:pos="8789"/>
        </w:tabs>
        <w:snapToGrid w:val="0"/>
        <w:spacing w:line="500" w:lineRule="atLeast"/>
        <w:rPr>
          <w:rFonts w:hint="eastAsia" w:ascii="仿宋_GB2312" w:hAnsi="宋体" w:eastAsia="仿宋_GB2312"/>
          <w:color w:val="auto"/>
          <w:sz w:val="24"/>
          <w:highlight w:val="none"/>
        </w:rPr>
      </w:pPr>
      <w:r>
        <w:rPr>
          <w:rFonts w:ascii="仿宋_GB2312" w:hAnsi="宋体" w:eastAsia="仿宋_GB2312"/>
          <w:color w:val="auto"/>
          <w:highlight w:val="none"/>
        </w:rPr>
        <w:fldChar w:fldCharType="end"/>
      </w:r>
    </w:p>
    <w:p w14:paraId="25C6DD20">
      <w:pPr>
        <w:spacing w:before="120" w:beforeLines="50" w:line="480" w:lineRule="exact"/>
        <w:rPr>
          <w:rFonts w:hint="eastAsia" w:ascii="仿宋_GB2312" w:hAnsi="宋体" w:eastAsia="仿宋_GB2312"/>
          <w:color w:val="auto"/>
          <w:sz w:val="30"/>
          <w:highlight w:val="none"/>
        </w:rPr>
      </w:pPr>
    </w:p>
    <w:p w14:paraId="7F5E8F55">
      <w:pPr>
        <w:rPr>
          <w:rFonts w:hint="eastAsia"/>
          <w:color w:val="auto"/>
          <w:highlight w:val="none"/>
        </w:rPr>
      </w:pPr>
    </w:p>
    <w:p w14:paraId="78E2D268">
      <w:pPr>
        <w:spacing w:before="120" w:beforeLines="50" w:line="480" w:lineRule="exact"/>
        <w:rPr>
          <w:rFonts w:hint="eastAsia" w:ascii="仿宋_GB2312" w:hAnsi="宋体" w:eastAsia="仿宋_GB2312"/>
          <w:color w:val="auto"/>
          <w:sz w:val="30"/>
          <w:highlight w:val="none"/>
        </w:rPr>
      </w:pPr>
    </w:p>
    <w:p w14:paraId="6832444F">
      <w:pPr>
        <w:spacing w:before="120" w:beforeLines="50" w:line="480" w:lineRule="exact"/>
        <w:rPr>
          <w:rFonts w:hint="eastAsia" w:ascii="仿宋_GB2312" w:hAnsi="宋体" w:eastAsia="仿宋_GB2312"/>
          <w:color w:val="auto"/>
          <w:sz w:val="30"/>
          <w:highlight w:val="none"/>
        </w:rPr>
      </w:pPr>
    </w:p>
    <w:p w14:paraId="0F561750">
      <w:pPr>
        <w:pStyle w:val="10"/>
        <w:rPr>
          <w:rFonts w:hint="eastAsia" w:ascii="宋体" w:hAnsi="宋体" w:cs="宋体"/>
          <w:b/>
          <w:bCs/>
          <w:color w:val="auto"/>
          <w:highlight w:val="none"/>
        </w:rPr>
      </w:pPr>
      <w:bookmarkStart w:id="0" w:name="_Toc254970489"/>
      <w:bookmarkStart w:id="1" w:name="_Toc254970630"/>
    </w:p>
    <w:p w14:paraId="6291856A">
      <w:pPr>
        <w:pStyle w:val="2"/>
        <w:keepNext w:val="0"/>
        <w:keepLines w:val="0"/>
        <w:tabs>
          <w:tab w:val="left" w:pos="0"/>
          <w:tab w:val="left" w:pos="3165"/>
          <w:tab w:val="center" w:pos="4153"/>
        </w:tabs>
        <w:autoSpaceDE w:val="0"/>
        <w:autoSpaceDN w:val="0"/>
        <w:adjustRightInd w:val="0"/>
        <w:spacing w:before="0" w:after="0" w:line="360" w:lineRule="auto"/>
        <w:jc w:val="center"/>
        <w:rPr>
          <w:color w:val="auto"/>
          <w:highlight w:val="none"/>
        </w:rPr>
      </w:pPr>
      <w:r>
        <w:rPr>
          <w:rFonts w:ascii="宋体" w:hAnsi="宋体" w:cs="宋体"/>
          <w:b w:val="0"/>
          <w:bCs w:val="0"/>
          <w:color w:val="auto"/>
          <w:highlight w:val="none"/>
        </w:rPr>
        <w:br w:type="page"/>
      </w:r>
      <w:bookmarkStart w:id="2" w:name="_Toc26956"/>
      <w:r>
        <w:rPr>
          <w:rFonts w:hint="eastAsia"/>
          <w:color w:val="auto"/>
          <w:highlight w:val="none"/>
        </w:rPr>
        <w:t>第一章</w:t>
      </w:r>
      <w:bookmarkEnd w:id="0"/>
      <w:bookmarkEnd w:id="1"/>
      <w:bookmarkStart w:id="3" w:name="_Toc28359001"/>
      <w:bookmarkStart w:id="4" w:name="_Toc35393789"/>
      <w:r>
        <w:rPr>
          <w:rFonts w:hint="eastAsia"/>
          <w:color w:val="auto"/>
          <w:highlight w:val="none"/>
          <w:lang w:val="en-US" w:eastAsia="zh-CN"/>
        </w:rPr>
        <w:t xml:space="preserve"> </w:t>
      </w:r>
      <w:r>
        <w:rPr>
          <w:rFonts w:hint="eastAsia"/>
          <w:color w:val="auto"/>
          <w:highlight w:val="none"/>
        </w:rPr>
        <w:t>招标公告</w:t>
      </w:r>
      <w:bookmarkEnd w:id="2"/>
      <w:bookmarkEnd w:id="3"/>
      <w:bookmarkEnd w:id="4"/>
    </w:p>
    <w:p w14:paraId="438446CF">
      <w:pPr>
        <w:spacing w:line="360" w:lineRule="auto"/>
        <w:jc w:val="center"/>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t>广西防城金花茶国家级自然保护区科普宣教展区布展项目公开招标公告</w:t>
      </w:r>
    </w:p>
    <w:p w14:paraId="6AE072F5">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项目概况</w:t>
      </w:r>
    </w:p>
    <w:p w14:paraId="5AA2768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lang w:eastAsia="zh-CN"/>
        </w:rPr>
        <w:t>广西防城金花茶国家级自然保护区科普宣教展区布展项目</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项目的潜在投标人应在</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获取招标文件，并于</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28</w:t>
      </w:r>
      <w:r>
        <w:rPr>
          <w:rFonts w:hint="eastAsia" w:ascii="宋体" w:hAnsi="宋体"/>
          <w:color w:val="auto"/>
          <w:szCs w:val="21"/>
          <w:highlight w:val="none"/>
          <w:lang w:eastAsia="zh-CN"/>
        </w:rPr>
        <w:t>日9:30</w:t>
      </w:r>
      <w:r>
        <w:rPr>
          <w:rFonts w:hint="eastAsia" w:ascii="宋体" w:hAnsi="宋体"/>
          <w:bCs/>
          <w:color w:val="auto"/>
          <w:szCs w:val="21"/>
          <w:highlight w:val="none"/>
        </w:rPr>
        <w:t>（北京时间）前按要求递交投标</w:t>
      </w:r>
      <w:r>
        <w:rPr>
          <w:rFonts w:ascii="宋体" w:hAnsi="宋体"/>
          <w:bCs/>
          <w:color w:val="auto"/>
          <w:szCs w:val="21"/>
          <w:highlight w:val="none"/>
        </w:rPr>
        <w:t>文件</w:t>
      </w:r>
      <w:r>
        <w:rPr>
          <w:rFonts w:hint="eastAsia" w:ascii="宋体" w:hAnsi="宋体"/>
          <w:color w:val="auto"/>
          <w:szCs w:val="21"/>
          <w:highlight w:val="none"/>
        </w:rPr>
        <w:t>。</w:t>
      </w:r>
    </w:p>
    <w:p w14:paraId="4E0444E2">
      <w:pPr>
        <w:spacing w:line="360" w:lineRule="auto"/>
        <w:rPr>
          <w:rFonts w:ascii="宋体" w:hAnsi="宋体"/>
          <w:color w:val="auto"/>
          <w:szCs w:val="21"/>
          <w:highlight w:val="none"/>
        </w:rPr>
      </w:pPr>
    </w:p>
    <w:p w14:paraId="27472461">
      <w:pPr>
        <w:spacing w:line="360" w:lineRule="auto"/>
        <w:rPr>
          <w:rFonts w:ascii="黑体" w:hAnsi="黑体" w:eastAsia="黑体"/>
          <w:b/>
          <w:bCs/>
          <w:color w:val="auto"/>
          <w:sz w:val="24"/>
          <w:highlight w:val="none"/>
        </w:rPr>
      </w:pPr>
      <w:bookmarkStart w:id="5" w:name="_Toc28359079"/>
      <w:bookmarkStart w:id="6" w:name="_Toc28359002"/>
      <w:bookmarkStart w:id="7" w:name="_Toc35393790"/>
      <w:bookmarkStart w:id="8" w:name="_Toc35393621"/>
      <w:bookmarkStart w:id="9" w:name="_Hlk24379207"/>
      <w:r>
        <w:rPr>
          <w:rFonts w:hint="eastAsia" w:ascii="黑体" w:hAnsi="黑体" w:eastAsia="黑体"/>
          <w:b/>
          <w:bCs/>
          <w:color w:val="auto"/>
          <w:sz w:val="24"/>
          <w:highlight w:val="none"/>
        </w:rPr>
        <w:t>一、项目基本情况</w:t>
      </w:r>
      <w:bookmarkEnd w:id="5"/>
      <w:bookmarkEnd w:id="6"/>
      <w:bookmarkEnd w:id="7"/>
      <w:bookmarkEnd w:id="8"/>
    </w:p>
    <w:bookmarkEnd w:id="9"/>
    <w:p w14:paraId="751B2D00">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GXZC2026-G3-001331-GDZB</w:t>
      </w:r>
    </w:p>
    <w:p w14:paraId="6FD3B31E">
      <w:pPr>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项目名称：</w:t>
      </w:r>
      <w:r>
        <w:rPr>
          <w:rFonts w:hint="eastAsia" w:ascii="宋体" w:hAnsi="宋体"/>
          <w:color w:val="auto"/>
          <w:szCs w:val="21"/>
          <w:highlight w:val="none"/>
          <w:lang w:eastAsia="zh-CN"/>
        </w:rPr>
        <w:t>广西防城金花茶国家级自然保护区科普宣教展区布展项目</w:t>
      </w:r>
    </w:p>
    <w:p w14:paraId="6041F3C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预算金额：</w:t>
      </w:r>
      <w:r>
        <w:rPr>
          <w:rFonts w:hint="eastAsia" w:ascii="宋体" w:hAnsi="宋体"/>
          <w:color w:val="auto"/>
          <w:szCs w:val="21"/>
          <w:highlight w:val="none"/>
          <w:lang w:val="en-US" w:eastAsia="zh-CN"/>
        </w:rPr>
        <w:t>423.00</w:t>
      </w:r>
      <w:r>
        <w:rPr>
          <w:rFonts w:ascii="宋体" w:hAnsi="宋体"/>
          <w:color w:val="auto"/>
          <w:szCs w:val="21"/>
          <w:highlight w:val="none"/>
        </w:rPr>
        <w:t>万元</w:t>
      </w:r>
    </w:p>
    <w:p w14:paraId="0AFDC9A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最高限价：</w:t>
      </w:r>
      <w:r>
        <w:rPr>
          <w:rFonts w:hint="eastAsia" w:ascii="宋体" w:hAnsi="宋体"/>
          <w:color w:val="auto"/>
          <w:szCs w:val="21"/>
          <w:highlight w:val="none"/>
          <w:lang w:val="en-US" w:eastAsia="zh-CN"/>
        </w:rPr>
        <w:t>423.00万元</w:t>
      </w:r>
    </w:p>
    <w:p w14:paraId="76638FA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采购需求：</w:t>
      </w:r>
      <w:r>
        <w:rPr>
          <w:rFonts w:hint="eastAsia" w:ascii="宋体" w:hAnsi="宋体"/>
          <w:color w:val="auto"/>
          <w:szCs w:val="21"/>
          <w:highlight w:val="none"/>
          <w:lang w:eastAsia="zh-CN"/>
        </w:rPr>
        <w:t>广西防城金花茶国家级自然保护区科普宣教展区布展项目</w:t>
      </w:r>
      <w:r>
        <w:rPr>
          <w:rFonts w:hint="eastAsia" w:ascii="宋体" w:hAnsi="宋体"/>
          <w:color w:val="auto"/>
          <w:szCs w:val="21"/>
          <w:highlight w:val="none"/>
        </w:rPr>
        <w:t>1项，具体内容详见采购需求。</w:t>
      </w:r>
    </w:p>
    <w:p w14:paraId="5D066F3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合同履行期限</w:t>
      </w:r>
      <w:r>
        <w:rPr>
          <w:rFonts w:hint="eastAsia" w:ascii="宋体" w:hAnsi="宋体"/>
          <w:color w:val="auto"/>
          <w:szCs w:val="21"/>
          <w:highlight w:val="none"/>
          <w:lang w:eastAsia="zh-CN"/>
        </w:rPr>
        <w:t>：</w:t>
      </w:r>
      <w:r>
        <w:rPr>
          <w:rFonts w:hint="eastAsia" w:ascii="宋体" w:hAnsi="宋体"/>
          <w:color w:val="auto"/>
          <w:szCs w:val="21"/>
          <w:highlight w:val="none"/>
        </w:rPr>
        <w:t>合同签订后</w:t>
      </w:r>
      <w:r>
        <w:rPr>
          <w:rFonts w:hint="eastAsia" w:ascii="宋体" w:hAnsi="宋体"/>
          <w:color w:val="auto"/>
          <w:szCs w:val="21"/>
          <w:highlight w:val="none"/>
          <w:lang w:val="en-US" w:eastAsia="zh-CN"/>
        </w:rPr>
        <w:t>120天内</w:t>
      </w:r>
      <w:r>
        <w:rPr>
          <w:rFonts w:hint="eastAsia" w:ascii="宋体" w:hAnsi="宋体"/>
          <w:color w:val="auto"/>
          <w:szCs w:val="21"/>
          <w:highlight w:val="none"/>
        </w:rPr>
        <w:t>通过验收并交付使用。</w:t>
      </w:r>
    </w:p>
    <w:p w14:paraId="0B5527E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本项目不接受联合体投标。</w:t>
      </w:r>
    </w:p>
    <w:p w14:paraId="686BF5BB">
      <w:pPr>
        <w:spacing w:line="360" w:lineRule="auto"/>
        <w:rPr>
          <w:rFonts w:ascii="黑体" w:hAnsi="黑体" w:eastAsia="黑体"/>
          <w:b/>
          <w:bCs/>
          <w:color w:val="auto"/>
          <w:sz w:val="24"/>
          <w:highlight w:val="none"/>
        </w:rPr>
      </w:pPr>
      <w:bookmarkStart w:id="10" w:name="_Toc35393791"/>
      <w:bookmarkStart w:id="11" w:name="_Toc35393622"/>
      <w:bookmarkStart w:id="12" w:name="_Toc28359080"/>
      <w:bookmarkStart w:id="13" w:name="_Toc28359003"/>
      <w:r>
        <w:rPr>
          <w:rFonts w:hint="eastAsia" w:ascii="黑体" w:hAnsi="黑体" w:eastAsia="黑体"/>
          <w:b/>
          <w:bCs/>
          <w:color w:val="auto"/>
          <w:sz w:val="24"/>
          <w:highlight w:val="none"/>
        </w:rPr>
        <w:t>二、申请人的资格要求：</w:t>
      </w:r>
      <w:bookmarkEnd w:id="10"/>
      <w:bookmarkEnd w:id="11"/>
      <w:bookmarkEnd w:id="12"/>
      <w:bookmarkEnd w:id="13"/>
    </w:p>
    <w:p w14:paraId="2586D6D6">
      <w:pPr>
        <w:spacing w:line="360" w:lineRule="auto"/>
        <w:ind w:firstLine="420" w:firstLineChars="200"/>
        <w:rPr>
          <w:rFonts w:hint="eastAsia" w:ascii="宋体" w:hAnsi="宋体" w:eastAsia="宋体"/>
          <w:color w:val="auto"/>
          <w:szCs w:val="21"/>
          <w:highlight w:val="none"/>
          <w:lang w:eastAsia="zh-CN"/>
        </w:rPr>
      </w:pPr>
      <w:bookmarkStart w:id="14" w:name="_Hlk51746371"/>
      <w:bookmarkStart w:id="15" w:name="_Toc28359004"/>
      <w:bookmarkStart w:id="16" w:name="_Toc35393623"/>
      <w:bookmarkStart w:id="17" w:name="_Toc28359081"/>
      <w:bookmarkStart w:id="18" w:name="_Toc35393792"/>
      <w:r>
        <w:rPr>
          <w:rFonts w:hint="eastAsia" w:ascii="宋体" w:hAnsi="宋体"/>
          <w:color w:val="auto"/>
          <w:szCs w:val="21"/>
          <w:highlight w:val="none"/>
        </w:rPr>
        <w:t>1.满足《中华人民共和国政府采购法》第二十二条规定</w:t>
      </w:r>
      <w:r>
        <w:rPr>
          <w:rFonts w:hint="eastAsia" w:ascii="宋体" w:hAnsi="宋体"/>
          <w:color w:val="auto"/>
          <w:szCs w:val="21"/>
          <w:highlight w:val="none"/>
          <w:lang w:eastAsia="zh-CN"/>
        </w:rPr>
        <w:t>。</w:t>
      </w:r>
    </w:p>
    <w:p w14:paraId="652C5651">
      <w:pPr>
        <w:spacing w:line="360" w:lineRule="auto"/>
        <w:ind w:firstLine="420" w:firstLineChars="200"/>
        <w:rPr>
          <w:rFonts w:hint="default" w:ascii="宋体" w:hAnsi="宋体"/>
          <w:color w:val="auto"/>
          <w:szCs w:val="21"/>
          <w:highlight w:val="none"/>
          <w:lang w:val="en-US" w:eastAsia="zh-CN"/>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r>
        <w:rPr>
          <w:rFonts w:hint="eastAsia" w:ascii="宋体" w:hAnsi="宋体"/>
          <w:color w:val="auto"/>
          <w:szCs w:val="21"/>
          <w:highlight w:val="none"/>
          <w:lang w:val="en-US" w:eastAsia="zh-CN"/>
        </w:rPr>
        <w:t>非专门面向中小企业采购的项目。</w:t>
      </w:r>
    </w:p>
    <w:p w14:paraId="6FCC70F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.本项目的特定资格要求：</w:t>
      </w:r>
      <w:r>
        <w:rPr>
          <w:rFonts w:hint="eastAsia" w:ascii="宋体" w:hAnsi="宋体"/>
          <w:color w:val="auto"/>
          <w:szCs w:val="21"/>
          <w:highlight w:val="none"/>
          <w:lang w:val="en-US" w:eastAsia="zh-CN"/>
        </w:rPr>
        <w:t>无</w:t>
      </w:r>
      <w:r>
        <w:rPr>
          <w:rFonts w:hint="eastAsia" w:ascii="宋体" w:hAnsi="宋体"/>
          <w:color w:val="auto"/>
          <w:szCs w:val="21"/>
          <w:highlight w:val="none"/>
        </w:rPr>
        <w:t>。</w:t>
      </w:r>
    </w:p>
    <w:p w14:paraId="67EBC113">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p>
    <w:p w14:paraId="717B10B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.对在“信用中国”网站(</w:t>
      </w:r>
      <w:r>
        <w:rPr>
          <w:rFonts w:hint="eastAsia" w:ascii="宋体" w:hAnsi="宋体"/>
          <w:color w:val="auto"/>
          <w:szCs w:val="21"/>
          <w:highlight w:val="none"/>
          <w:lang w:eastAsia="zh-CN"/>
        </w:rPr>
        <w:fldChar w:fldCharType="begin"/>
      </w:r>
      <w:r>
        <w:rPr>
          <w:rFonts w:hint="eastAsia" w:ascii="宋体" w:hAnsi="宋体"/>
          <w:color w:val="auto"/>
          <w:szCs w:val="21"/>
          <w:highlight w:val="none"/>
          <w:lang w:eastAsia="zh-CN"/>
        </w:rPr>
        <w:instrText xml:space="preserve"> HYPERLINK "https://www.creditchina.gov.cn" </w:instrText>
      </w:r>
      <w:r>
        <w:rPr>
          <w:rFonts w:hint="eastAsia" w:ascii="宋体" w:hAnsi="宋体"/>
          <w:color w:val="auto"/>
          <w:szCs w:val="21"/>
          <w:highlight w:val="none"/>
          <w:lang w:eastAsia="zh-CN"/>
        </w:rPr>
        <w:fldChar w:fldCharType="separate"/>
      </w:r>
      <w:r>
        <w:rPr>
          <w:rFonts w:hint="eastAsia" w:ascii="宋体" w:hAnsi="宋体"/>
          <w:color w:val="auto"/>
          <w:szCs w:val="21"/>
          <w:highlight w:val="none"/>
          <w:lang w:eastAsia="zh-CN"/>
        </w:rPr>
        <w:t>www.creditchina.gov.cn</w:t>
      </w:r>
      <w:r>
        <w:rPr>
          <w:rFonts w:hint="eastAsia" w:ascii="宋体" w:hAnsi="宋体"/>
          <w:color w:val="auto"/>
          <w:szCs w:val="21"/>
          <w:highlight w:val="none"/>
          <w:lang w:eastAsia="zh-CN"/>
        </w:rPr>
        <w:fldChar w:fldCharType="end"/>
      </w:r>
      <w:r>
        <w:rPr>
          <w:rFonts w:hint="eastAsia" w:ascii="宋体" w:hAnsi="宋体"/>
          <w:color w:val="auto"/>
          <w:szCs w:val="21"/>
          <w:highlight w:val="none"/>
          <w:lang w:eastAsia="zh-CN"/>
        </w:rPr>
        <w:t>)、中国政府采购网(</w:t>
      </w:r>
      <w:r>
        <w:rPr>
          <w:rFonts w:hint="eastAsia" w:ascii="宋体" w:hAnsi="宋体"/>
          <w:color w:val="auto"/>
          <w:szCs w:val="21"/>
          <w:highlight w:val="none"/>
          <w:lang w:eastAsia="zh-CN"/>
        </w:rPr>
        <w:fldChar w:fldCharType="begin"/>
      </w:r>
      <w:r>
        <w:rPr>
          <w:rFonts w:hint="eastAsia" w:ascii="宋体" w:hAnsi="宋体"/>
          <w:color w:val="auto"/>
          <w:szCs w:val="21"/>
          <w:highlight w:val="none"/>
          <w:lang w:eastAsia="zh-CN"/>
        </w:rPr>
        <w:instrText xml:space="preserve"> HYPERLINK "https://www.ccgp.go" </w:instrText>
      </w:r>
      <w:r>
        <w:rPr>
          <w:rFonts w:hint="eastAsia" w:ascii="宋体" w:hAnsi="宋体"/>
          <w:color w:val="auto"/>
          <w:szCs w:val="21"/>
          <w:highlight w:val="none"/>
          <w:lang w:eastAsia="zh-CN"/>
        </w:rPr>
        <w:fldChar w:fldCharType="separate"/>
      </w:r>
      <w:r>
        <w:rPr>
          <w:rFonts w:hint="eastAsia" w:ascii="宋体" w:hAnsi="宋体"/>
          <w:color w:val="auto"/>
          <w:szCs w:val="21"/>
          <w:highlight w:val="none"/>
          <w:lang w:eastAsia="zh-CN"/>
        </w:rPr>
        <w:t>www.ccgp.go</w:t>
      </w:r>
      <w:r>
        <w:rPr>
          <w:rFonts w:hint="eastAsia" w:ascii="宋体" w:hAnsi="宋体"/>
          <w:color w:val="auto"/>
          <w:szCs w:val="21"/>
          <w:highlight w:val="none"/>
          <w:lang w:eastAsia="zh-CN"/>
        </w:rPr>
        <w:fldChar w:fldCharType="end"/>
      </w:r>
      <w:r>
        <w:rPr>
          <w:rFonts w:hint="eastAsia" w:ascii="宋体" w:hAnsi="宋体"/>
          <w:color w:val="auto"/>
          <w:szCs w:val="21"/>
          <w:highlight w:val="none"/>
          <w:lang w:eastAsia="zh-CN"/>
        </w:rPr>
        <w:fldChar w:fldCharType="begin"/>
      </w:r>
      <w:r>
        <w:rPr>
          <w:rFonts w:hint="eastAsia" w:ascii="宋体" w:hAnsi="宋体"/>
          <w:color w:val="auto"/>
          <w:szCs w:val="21"/>
          <w:highlight w:val="none"/>
          <w:lang w:eastAsia="zh-CN"/>
        </w:rPr>
        <w:instrText xml:space="preserve"> HYPERLINK "v.cn" </w:instrText>
      </w:r>
      <w:r>
        <w:rPr>
          <w:rFonts w:hint="eastAsia" w:ascii="宋体" w:hAnsi="宋体"/>
          <w:color w:val="auto"/>
          <w:szCs w:val="21"/>
          <w:highlight w:val="none"/>
          <w:lang w:eastAsia="zh-CN"/>
        </w:rPr>
        <w:fldChar w:fldCharType="separate"/>
      </w:r>
      <w:r>
        <w:rPr>
          <w:rFonts w:hint="eastAsia" w:ascii="宋体" w:hAnsi="宋体"/>
          <w:color w:val="auto"/>
          <w:szCs w:val="21"/>
          <w:highlight w:val="none"/>
          <w:lang w:eastAsia="zh-CN"/>
        </w:rPr>
        <w:t>v.cn</w:t>
      </w:r>
      <w:r>
        <w:rPr>
          <w:rFonts w:hint="eastAsia" w:ascii="宋体" w:hAnsi="宋体"/>
          <w:color w:val="auto"/>
          <w:szCs w:val="21"/>
          <w:highlight w:val="none"/>
          <w:lang w:eastAsia="zh-CN"/>
        </w:rPr>
        <w:fldChar w:fldCharType="end"/>
      </w:r>
      <w:r>
        <w:rPr>
          <w:rFonts w:hint="eastAsia" w:ascii="宋体" w:hAnsi="宋体"/>
          <w:color w:val="auto"/>
          <w:szCs w:val="21"/>
          <w:highlight w:val="none"/>
          <w:lang w:eastAsia="zh-CN"/>
        </w:rPr>
        <w:t>)被列入失信被执行人、重大税收违法失信主体、政府采购严重违法失信行为记录名单及其他不符合《中华人民共和国政府采购法》第二十二条规定条件的投标人，不得参与政府采购活动。</w:t>
      </w:r>
    </w:p>
    <w:bookmarkEnd w:id="14"/>
    <w:p w14:paraId="3EFC2179">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三、获取招标文件</w:t>
      </w:r>
      <w:bookmarkEnd w:id="15"/>
      <w:bookmarkEnd w:id="16"/>
      <w:bookmarkEnd w:id="17"/>
      <w:bookmarkEnd w:id="18"/>
    </w:p>
    <w:p w14:paraId="58F3D9D0">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时间：</w:t>
      </w:r>
      <w:r>
        <w:rPr>
          <w:rFonts w:hint="eastAsia" w:ascii="宋体" w:hAnsi="宋体" w:cs="宋体"/>
          <w:bCs/>
          <w:color w:val="auto"/>
          <w:kern w:val="0"/>
          <w:szCs w:val="21"/>
          <w:highlight w:val="none"/>
          <w:lang w:eastAsia="zh-CN"/>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lang w:eastAsia="zh-CN"/>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lang w:eastAsia="zh-CN"/>
        </w:rPr>
        <w:t>月</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lang w:eastAsia="zh-CN"/>
        </w:rPr>
        <w:t>日</w:t>
      </w:r>
      <w:r>
        <w:rPr>
          <w:rFonts w:hint="eastAsia" w:ascii="宋体" w:hAnsi="宋体" w:cs="宋体"/>
          <w:bCs/>
          <w:color w:val="auto"/>
          <w:kern w:val="0"/>
          <w:szCs w:val="21"/>
          <w:highlight w:val="none"/>
        </w:rPr>
        <w:t>至202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14</w:t>
      </w:r>
      <w:r>
        <w:rPr>
          <w:rFonts w:hint="eastAsia" w:ascii="宋体" w:hAnsi="宋体" w:cs="宋体"/>
          <w:bCs/>
          <w:color w:val="auto"/>
          <w:kern w:val="0"/>
          <w:szCs w:val="21"/>
          <w:highlight w:val="none"/>
        </w:rPr>
        <w:t>日，每天</w:t>
      </w:r>
      <w:r>
        <w:rPr>
          <w:rFonts w:hint="eastAsia" w:ascii="宋体" w:hAnsi="宋体" w:cs="宋体"/>
          <w:bCs/>
          <w:color w:val="auto"/>
          <w:kern w:val="0"/>
          <w:szCs w:val="21"/>
          <w:highlight w:val="none"/>
          <w:lang w:val="en-US" w:eastAsia="zh-CN"/>
        </w:rPr>
        <w:t>0:</w:t>
      </w:r>
      <w:r>
        <w:rPr>
          <w:rFonts w:hint="eastAsia" w:ascii="宋体" w:hAnsi="宋体" w:cs="宋体"/>
          <w:bCs/>
          <w:color w:val="auto"/>
          <w:kern w:val="0"/>
          <w:szCs w:val="21"/>
          <w:highlight w:val="none"/>
        </w:rPr>
        <w:t>00至12</w:t>
      </w:r>
      <w:r>
        <w:rPr>
          <w:rFonts w:hint="eastAsia" w:ascii="宋体" w:hAnsi="宋体" w:cs="宋体"/>
          <w:bCs/>
          <w:color w:val="auto"/>
          <w:kern w:val="0"/>
          <w:szCs w:val="21"/>
          <w:highlight w:val="none"/>
          <w:lang w:val="en-US" w:eastAsia="zh-CN"/>
        </w:rPr>
        <w:t>:</w:t>
      </w:r>
      <w:r>
        <w:rPr>
          <w:rFonts w:hint="eastAsia" w:ascii="宋体" w:hAnsi="宋体" w:cs="宋体"/>
          <w:bCs/>
          <w:color w:val="auto"/>
          <w:kern w:val="0"/>
          <w:szCs w:val="21"/>
          <w:highlight w:val="none"/>
        </w:rPr>
        <w:t>00，</w:t>
      </w:r>
      <w:r>
        <w:rPr>
          <w:rFonts w:hint="eastAsia" w:ascii="宋体" w:hAnsi="宋体" w:cs="宋体"/>
          <w:bCs/>
          <w:color w:val="auto"/>
          <w:kern w:val="0"/>
          <w:szCs w:val="21"/>
          <w:highlight w:val="none"/>
          <w:lang w:val="en-US" w:eastAsia="zh-CN"/>
        </w:rPr>
        <w:t>12:00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lang w:val="en-US" w:eastAsia="zh-CN"/>
        </w:rPr>
        <w:t>23:59</w:t>
      </w:r>
      <w:r>
        <w:rPr>
          <w:rFonts w:hint="eastAsia" w:ascii="宋体" w:hAnsi="宋体" w:cs="宋体"/>
          <w:bCs/>
          <w:color w:val="auto"/>
          <w:kern w:val="0"/>
          <w:szCs w:val="21"/>
          <w:highlight w:val="none"/>
        </w:rPr>
        <w:t>（北京时间，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14:paraId="15B08C0E">
      <w:pPr>
        <w:spacing w:line="360" w:lineRule="auto"/>
        <w:ind w:firstLine="420" w:firstLineChars="200"/>
        <w:rPr>
          <w:rFonts w:hint="eastAsia" w:ascii="宋体" w:hAnsi="宋体" w:cs="宋体"/>
          <w:bCs/>
          <w:color w:val="auto"/>
          <w:kern w:val="0"/>
          <w:szCs w:val="21"/>
          <w:highlight w:val="none"/>
          <w:lang w:eastAsia="zh-CN"/>
        </w:rPr>
      </w:pPr>
      <w:r>
        <w:rPr>
          <w:rFonts w:hint="eastAsia" w:ascii="宋体" w:hAnsi="宋体" w:cs="宋体"/>
          <w:bCs/>
          <w:color w:val="auto"/>
          <w:kern w:val="0"/>
          <w:szCs w:val="21"/>
          <w:highlight w:val="none"/>
        </w:rPr>
        <w:t>地点：</w:t>
      </w:r>
      <w:r>
        <w:rPr>
          <w:rFonts w:hint="eastAsia" w:ascii="宋体" w:hAnsi="宋体" w:cs="宋体"/>
          <w:bCs/>
          <w:color w:val="auto"/>
          <w:kern w:val="0"/>
          <w:szCs w:val="21"/>
          <w:highlight w:val="none"/>
          <w:lang w:eastAsia="zh-CN"/>
        </w:rPr>
        <w:t>广西政府采购云平台</w:t>
      </w:r>
    </w:p>
    <w:p w14:paraId="303246A3">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供应商需使用账号登录或者使用CA登录“广西政府采购云平台”-进入“项目采购”应用，在获取采购文件菜单中选择项目，获取招标文件（或在“广西政府采购云平台电子投标客户端-获取采购文件”跳转到广西政府采购云平台系统获取）。电子投标文件制作需要基于“广西政府采购云平台”获取的招标文件编制，通过其他方式获取招标文件的，将有可能导致供应商无法在“广西政府采购云平台”编制及上传投标文件。</w:t>
      </w:r>
    </w:p>
    <w:p w14:paraId="0AAA508B">
      <w:pPr>
        <w:spacing w:line="360" w:lineRule="auto"/>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w:t>
      </w:r>
      <w:r>
        <w:rPr>
          <w:rFonts w:hint="eastAsia" w:ascii="宋体" w:hAnsi="宋体"/>
          <w:color w:val="auto"/>
          <w:szCs w:val="21"/>
          <w:highlight w:val="none"/>
        </w:rPr>
        <w:t>0元</w:t>
      </w:r>
    </w:p>
    <w:p w14:paraId="6AE01023">
      <w:pPr>
        <w:spacing w:line="360" w:lineRule="auto"/>
        <w:rPr>
          <w:rFonts w:ascii="黑体" w:hAnsi="黑体" w:eastAsia="黑体"/>
          <w:b/>
          <w:bCs/>
          <w:color w:val="auto"/>
          <w:sz w:val="24"/>
          <w:highlight w:val="none"/>
        </w:rPr>
      </w:pPr>
      <w:bookmarkStart w:id="19" w:name="_Toc28359005"/>
      <w:bookmarkStart w:id="20" w:name="_Toc28359082"/>
      <w:bookmarkStart w:id="21" w:name="_Toc35393624"/>
      <w:bookmarkStart w:id="22" w:name="_Toc35393793"/>
      <w:r>
        <w:rPr>
          <w:rFonts w:hint="eastAsia" w:ascii="黑体" w:hAnsi="黑体" w:eastAsia="黑体"/>
          <w:b/>
          <w:bCs/>
          <w:color w:val="auto"/>
          <w:sz w:val="24"/>
          <w:highlight w:val="none"/>
        </w:rPr>
        <w:t>四、提交投标文件</w:t>
      </w:r>
      <w:bookmarkEnd w:id="19"/>
      <w:bookmarkEnd w:id="20"/>
      <w:r>
        <w:rPr>
          <w:rFonts w:hint="eastAsia" w:ascii="黑体" w:hAnsi="黑体" w:eastAsia="黑体"/>
          <w:b/>
          <w:bCs/>
          <w:color w:val="auto"/>
          <w:sz w:val="24"/>
          <w:highlight w:val="none"/>
        </w:rPr>
        <w:t>截止时间、开标时间和地点</w:t>
      </w:r>
      <w:bookmarkEnd w:id="21"/>
      <w:bookmarkEnd w:id="22"/>
    </w:p>
    <w:p w14:paraId="5A9CC69C">
      <w:pPr>
        <w:spacing w:line="360" w:lineRule="auto"/>
        <w:ind w:firstLine="420" w:firstLineChars="200"/>
        <w:rPr>
          <w:rFonts w:hint="eastAsia" w:ascii="宋体" w:hAnsi="宋体" w:cs="宋体"/>
          <w:iCs/>
          <w:color w:val="auto"/>
          <w:szCs w:val="21"/>
          <w:highlight w:val="none"/>
        </w:rPr>
      </w:pPr>
      <w:bookmarkStart w:id="23" w:name="_Toc28359007"/>
      <w:bookmarkStart w:id="24" w:name="_Toc35393625"/>
      <w:bookmarkStart w:id="25" w:name="_Toc28359084"/>
      <w:bookmarkStart w:id="26" w:name="_Toc35393794"/>
      <w:r>
        <w:rPr>
          <w:rFonts w:hint="eastAsia" w:ascii="宋体" w:hAnsi="宋体"/>
          <w:bCs/>
          <w:color w:val="auto"/>
          <w:szCs w:val="21"/>
          <w:highlight w:val="none"/>
          <w:lang w:eastAsia="zh-CN"/>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lang w:eastAsia="zh-CN"/>
        </w:rPr>
        <w:t>月</w:t>
      </w:r>
      <w:r>
        <w:rPr>
          <w:rFonts w:hint="eastAsia" w:ascii="宋体" w:hAnsi="宋体"/>
          <w:bCs/>
          <w:color w:val="auto"/>
          <w:szCs w:val="21"/>
          <w:highlight w:val="none"/>
          <w:lang w:val="en-US" w:eastAsia="zh-CN"/>
        </w:rPr>
        <w:t>28</w:t>
      </w:r>
      <w:r>
        <w:rPr>
          <w:rFonts w:hint="eastAsia" w:ascii="宋体" w:hAnsi="宋体"/>
          <w:bCs/>
          <w:color w:val="auto"/>
          <w:szCs w:val="21"/>
          <w:highlight w:val="none"/>
          <w:lang w:eastAsia="zh-CN"/>
        </w:rPr>
        <w:t>日9:30</w:t>
      </w:r>
      <w:r>
        <w:rPr>
          <w:rFonts w:hint="eastAsia" w:ascii="宋体" w:hAnsi="宋体"/>
          <w:bCs/>
          <w:color w:val="auto"/>
          <w:szCs w:val="21"/>
          <w:highlight w:val="none"/>
        </w:rPr>
        <w:t>（北京时间）</w:t>
      </w:r>
    </w:p>
    <w:p w14:paraId="6966970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地点：政采云”平台电子开标大厅在线解密开启</w:t>
      </w:r>
    </w:p>
    <w:p w14:paraId="01FFD7D4">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投标地点：</w:t>
      </w:r>
      <w:r>
        <w:rPr>
          <w:rFonts w:hint="eastAsia" w:ascii="宋体" w:hAnsi="宋体"/>
          <w:color w:val="auto"/>
          <w:szCs w:val="21"/>
          <w:highlight w:val="none"/>
          <w:lang w:eastAsia="zh-CN"/>
        </w:rPr>
        <w:t>广西政府采购云平台</w:t>
      </w:r>
    </w:p>
    <w:p w14:paraId="4D0D4328">
      <w:pPr>
        <w:spacing w:line="360" w:lineRule="auto"/>
        <w:ind w:firstLine="420" w:firstLineChars="200"/>
        <w:rPr>
          <w:rFonts w:hint="default" w:ascii="宋体" w:hAnsi="宋体"/>
          <w:color w:val="auto"/>
          <w:szCs w:val="21"/>
          <w:highlight w:val="none"/>
          <w:lang w:val="en-US"/>
        </w:rPr>
      </w:pPr>
      <w:r>
        <w:rPr>
          <w:rFonts w:hint="eastAsia" w:ascii="宋体" w:hAnsi="宋体"/>
          <w:color w:val="auto"/>
          <w:szCs w:val="21"/>
          <w:highlight w:val="none"/>
        </w:rPr>
        <w:t>开标地点：</w:t>
      </w:r>
      <w:r>
        <w:rPr>
          <w:rFonts w:hint="eastAsia" w:ascii="宋体" w:hAnsi="宋体"/>
          <w:color w:val="auto"/>
          <w:szCs w:val="21"/>
          <w:highlight w:val="none"/>
          <w:lang w:eastAsia="zh-CN"/>
        </w:rPr>
        <w:t>广西政府采购云平台电子开标大厅</w:t>
      </w:r>
    </w:p>
    <w:p w14:paraId="7CC101BB">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五、公告期限</w:t>
      </w:r>
      <w:bookmarkEnd w:id="23"/>
      <w:bookmarkEnd w:id="24"/>
      <w:bookmarkEnd w:id="25"/>
      <w:bookmarkEnd w:id="26"/>
    </w:p>
    <w:p w14:paraId="768B384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3809F91D">
      <w:pPr>
        <w:spacing w:line="360" w:lineRule="auto"/>
        <w:rPr>
          <w:rFonts w:ascii="黑体" w:hAnsi="黑体" w:eastAsia="黑体"/>
          <w:b/>
          <w:bCs/>
          <w:color w:val="auto"/>
          <w:sz w:val="24"/>
          <w:highlight w:val="none"/>
        </w:rPr>
      </w:pPr>
      <w:bookmarkStart w:id="27" w:name="_Toc35393795"/>
      <w:bookmarkStart w:id="28" w:name="_Toc35393626"/>
      <w:r>
        <w:rPr>
          <w:rFonts w:hint="eastAsia" w:ascii="黑体" w:hAnsi="黑体" w:eastAsia="黑体"/>
          <w:b/>
          <w:bCs/>
          <w:color w:val="auto"/>
          <w:sz w:val="24"/>
          <w:highlight w:val="none"/>
        </w:rPr>
        <w:t>六、其他补充事宜</w:t>
      </w:r>
      <w:bookmarkEnd w:id="27"/>
      <w:bookmarkEnd w:id="28"/>
    </w:p>
    <w:p w14:paraId="0578FAD0">
      <w:pPr>
        <w:spacing w:line="360" w:lineRule="auto"/>
        <w:ind w:firstLine="424" w:firstLineChars="202"/>
        <w:rPr>
          <w:rFonts w:hint="eastAsia" w:ascii="宋体" w:hAnsi="宋体" w:cs="宋体"/>
          <w:color w:val="auto"/>
          <w:kern w:val="0"/>
          <w:szCs w:val="21"/>
          <w:highlight w:val="none"/>
        </w:rPr>
      </w:pPr>
      <w:bookmarkStart w:id="29" w:name="_Hlk37429585"/>
      <w:bookmarkStart w:id="30" w:name="_Hlk37429595"/>
      <w:bookmarkStart w:id="31" w:name="_Toc28359008"/>
      <w:bookmarkStart w:id="32" w:name="_Toc35393627"/>
      <w:bookmarkStart w:id="33" w:name="_Toc28359085"/>
      <w:bookmarkStart w:id="34" w:name="_Toc35393796"/>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投标保证金（人民币）：</w:t>
      </w:r>
      <w:r>
        <w:rPr>
          <w:rFonts w:hint="eastAsia" w:ascii="宋体" w:hAnsi="宋体" w:cs="宋体"/>
          <w:color w:val="auto"/>
          <w:kern w:val="0"/>
          <w:szCs w:val="21"/>
          <w:highlight w:val="none"/>
          <w:lang w:val="en-US" w:eastAsia="zh-CN"/>
        </w:rPr>
        <w:t>肆万贰仟元整（420</w:t>
      </w:r>
      <w:r>
        <w:rPr>
          <w:rFonts w:hint="eastAsia" w:ascii="宋体" w:hAnsi="宋体" w:cs="宋体"/>
          <w:color w:val="auto"/>
          <w:kern w:val="0"/>
          <w:szCs w:val="21"/>
          <w:highlight w:val="none"/>
        </w:rPr>
        <w:t>00.00元</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w:t>
      </w:r>
    </w:p>
    <w:p w14:paraId="2884B87C">
      <w:pPr>
        <w:spacing w:line="360" w:lineRule="auto"/>
        <w:ind w:firstLine="424" w:firstLineChars="202"/>
        <w:rPr>
          <w:rFonts w:ascii="宋体" w:hAnsi="宋体" w:cs="宋体"/>
          <w:i/>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.网上查询地址</w:t>
      </w:r>
      <w:bookmarkEnd w:id="29"/>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http://www.ccgp.gov.cn（中国政府采购网）、http://zfcg.gxzf.gov.cn（广西壮族自治区政府采购网）、http://gxggzy.gxzf.gov.cn/（广西壮族自治区公共资源交易中心）</w:t>
      </w:r>
      <w:r>
        <w:rPr>
          <w:rFonts w:hint="eastAsia" w:ascii="宋体" w:hAnsi="宋体" w:cs="宋体"/>
          <w:color w:val="auto"/>
          <w:kern w:val="0"/>
          <w:szCs w:val="21"/>
          <w:highlight w:val="none"/>
        </w:rPr>
        <w:t>。</w:t>
      </w:r>
    </w:p>
    <w:bookmarkEnd w:id="30"/>
    <w:p w14:paraId="70537036">
      <w:pPr>
        <w:spacing w:line="360" w:lineRule="auto"/>
        <w:ind w:firstLine="424" w:firstLineChars="202"/>
        <w:rPr>
          <w:rFonts w:hint="eastAsia" w:ascii="宋体" w:hAnsi="宋体" w:cs="宋体"/>
          <w:color w:val="auto"/>
          <w:kern w:val="0"/>
          <w:szCs w:val="21"/>
          <w:highlight w:val="none"/>
        </w:rPr>
      </w:pPr>
      <w:bookmarkStart w:id="35" w:name="_Hlk37429674"/>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p>
    <w:bookmarkEnd w:id="35"/>
    <w:p w14:paraId="1554A219">
      <w:pPr>
        <w:spacing w:line="360" w:lineRule="auto"/>
        <w:ind w:firstLine="424" w:firstLineChars="202"/>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9C1D250">
      <w:pPr>
        <w:spacing w:line="360" w:lineRule="auto"/>
        <w:ind w:firstLine="424" w:firstLineChars="202"/>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）政府采购促进残疾人就业政策。</w:t>
      </w:r>
    </w:p>
    <w:p w14:paraId="0704B8B8">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）政府采购支持监狱企业发展。</w:t>
      </w:r>
    </w:p>
    <w:p w14:paraId="69C77447">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（4）政府采购支持采用本国产品的政策。</w:t>
      </w:r>
    </w:p>
    <w:p w14:paraId="1C26359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.监督部门</w:t>
      </w:r>
    </w:p>
    <w:p w14:paraId="356C7BD6">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名称：</w:t>
      </w:r>
      <w:r>
        <w:rPr>
          <w:rFonts w:hint="eastAsia" w:ascii="宋体" w:hAnsi="宋体"/>
          <w:color w:val="auto"/>
          <w:szCs w:val="21"/>
          <w:highlight w:val="none"/>
          <w:lang w:eastAsia="zh-CN"/>
        </w:rPr>
        <w:t>广西壮族自治区财政厅政府采购监督管理处</w:t>
      </w:r>
    </w:p>
    <w:p w14:paraId="33562681">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电话：</w:t>
      </w:r>
      <w:r>
        <w:rPr>
          <w:rFonts w:hint="eastAsia" w:ascii="宋体" w:hAnsi="宋体"/>
          <w:color w:val="auto"/>
          <w:szCs w:val="21"/>
          <w:highlight w:val="none"/>
          <w:lang w:eastAsia="zh-CN"/>
        </w:rPr>
        <w:t>0771-5331544</w:t>
      </w:r>
    </w:p>
    <w:p w14:paraId="69FE9A8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.投标人投标注意事项</w:t>
      </w:r>
    </w:p>
    <w:p w14:paraId="70E9CF4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实行在线电子投标，投标人应先安装“广西政府采购云平台电子投标客户端”（请自行前往“广西政府采购云平台”进行下载），并按照本项目招标文件和“广西政府采购云平台”的要求编制、加密后在投标截止时间前通过网络上传至“广西政府采购云平台”（加密的电子投标文件是指后缀名为“jmbs”的文件），投标人在“广西政府采购云平台”提交电子投标文件时，请填写参加远程开标活动经办人联系方式。投标人登录“广西政府采购云平台”，依次进入“服务中心-项目采购-操作流程-电子招投标-政府采购项目电子交易管理操作指南-供应商”查看电子投标具体操作流程。</w:t>
      </w:r>
    </w:p>
    <w:p w14:paraId="6BEA6A6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95763）。</w:t>
      </w:r>
    </w:p>
    <w:p w14:paraId="7321E4D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59FE54A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6B8C4FDC">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31"/>
      <w:bookmarkEnd w:id="32"/>
      <w:bookmarkEnd w:id="33"/>
      <w:bookmarkEnd w:id="34"/>
    </w:p>
    <w:p w14:paraId="73253249">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1.采购人信息</w:t>
      </w:r>
    </w:p>
    <w:p w14:paraId="5B08D50D">
      <w:pPr>
        <w:spacing w:line="36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名称：</w:t>
      </w:r>
      <w:r>
        <w:rPr>
          <w:rFonts w:hint="eastAsia" w:ascii="宋体" w:hAnsi="宋体" w:cs="宋体"/>
          <w:bCs/>
          <w:color w:val="auto"/>
          <w:kern w:val="0"/>
          <w:szCs w:val="21"/>
          <w:highlight w:val="none"/>
          <w:lang w:eastAsia="zh-CN"/>
        </w:rPr>
        <w:t>广西壮族自治区防城金花茶国家级自然保护区管理中心</w:t>
      </w:r>
    </w:p>
    <w:p w14:paraId="6E8FBD6B">
      <w:pPr>
        <w:spacing w:line="36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地址：</w:t>
      </w:r>
      <w:r>
        <w:rPr>
          <w:rFonts w:hint="eastAsia" w:ascii="宋体" w:hAnsi="宋体" w:cs="宋体"/>
          <w:color w:val="auto"/>
          <w:kern w:val="0"/>
          <w:szCs w:val="21"/>
          <w:highlight w:val="none"/>
          <w:lang w:eastAsia="zh-CN"/>
        </w:rPr>
        <w:t>防城港市防城区西湾环海大道墨鱼港金花茶保护区科研监测基地</w:t>
      </w:r>
    </w:p>
    <w:p w14:paraId="48DE61E8">
      <w:pPr>
        <w:spacing w:line="360" w:lineRule="exact"/>
        <w:ind w:firstLine="42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联系方式：</w:t>
      </w:r>
      <w:r>
        <w:rPr>
          <w:rFonts w:hint="eastAsia" w:ascii="宋体" w:hAnsi="宋体" w:cs="宋体"/>
          <w:color w:val="auto"/>
          <w:kern w:val="0"/>
          <w:szCs w:val="21"/>
          <w:highlight w:val="none"/>
          <w:lang w:val="en-US" w:eastAsia="zh-CN"/>
        </w:rPr>
        <w:t>杨婷 0770-2070339</w:t>
      </w:r>
    </w:p>
    <w:p w14:paraId="7395797D">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4E780845">
      <w:pPr>
        <w:spacing w:line="36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名称：</w:t>
      </w:r>
      <w:r>
        <w:rPr>
          <w:rFonts w:hint="eastAsia" w:ascii="宋体" w:hAnsi="宋体" w:cs="宋体"/>
          <w:color w:val="auto"/>
          <w:kern w:val="0"/>
          <w:szCs w:val="21"/>
          <w:highlight w:val="none"/>
          <w:lang w:eastAsia="zh-CN"/>
        </w:rPr>
        <w:t>广西国栋招标有限公司</w:t>
      </w:r>
    </w:p>
    <w:p w14:paraId="41BCF7CB">
      <w:pPr>
        <w:spacing w:line="36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地址：</w:t>
      </w:r>
      <w:r>
        <w:rPr>
          <w:rFonts w:hint="eastAsia" w:ascii="宋体" w:hAnsi="宋体" w:cs="宋体"/>
          <w:color w:val="auto"/>
          <w:kern w:val="0"/>
          <w:szCs w:val="21"/>
          <w:highlight w:val="none"/>
          <w:lang w:eastAsia="zh-CN"/>
        </w:rPr>
        <w:t>南宁市青秀区双拥路40-1号东方明珠花园1栋1单元9层</w:t>
      </w:r>
    </w:p>
    <w:p w14:paraId="3191680C">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联系方式：</w:t>
      </w:r>
      <w:r>
        <w:rPr>
          <w:rFonts w:hint="eastAsia" w:ascii="宋体" w:hAnsi="宋体" w:cs="宋体"/>
          <w:color w:val="auto"/>
          <w:kern w:val="0"/>
          <w:szCs w:val="21"/>
          <w:highlight w:val="none"/>
          <w:lang w:eastAsia="zh-CN"/>
        </w:rPr>
        <w:t>0771-5894688</w:t>
      </w:r>
    </w:p>
    <w:p w14:paraId="62D289C1">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3.项目联系方式</w:t>
      </w:r>
    </w:p>
    <w:p w14:paraId="3821DB48">
      <w:pPr>
        <w:spacing w:line="36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lang w:eastAsia="zh-CN"/>
        </w:rPr>
        <w:t>陈凯媛</w:t>
      </w:r>
    </w:p>
    <w:p w14:paraId="63861E7D">
      <w:pPr>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电话：</w:t>
      </w:r>
      <w:r>
        <w:rPr>
          <w:rFonts w:hint="eastAsia" w:ascii="宋体" w:hAnsi="宋体" w:cs="宋体"/>
          <w:color w:val="auto"/>
          <w:kern w:val="0"/>
          <w:szCs w:val="21"/>
          <w:highlight w:val="none"/>
          <w:lang w:eastAsia="zh-CN"/>
        </w:rPr>
        <w:t>0771-5894688</w:t>
      </w:r>
    </w:p>
    <w:p w14:paraId="24F840B5">
      <w:pPr>
        <w:spacing w:line="360" w:lineRule="exact"/>
        <w:ind w:firstLine="420" w:firstLineChars="200"/>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采购人：</w:t>
      </w:r>
      <w:r>
        <w:rPr>
          <w:rFonts w:hint="eastAsia" w:ascii="宋体" w:hAnsi="宋体" w:cs="宋体"/>
          <w:bCs/>
          <w:color w:val="auto"/>
          <w:kern w:val="0"/>
          <w:szCs w:val="21"/>
          <w:highlight w:val="none"/>
          <w:lang w:eastAsia="zh-CN"/>
        </w:rPr>
        <w:t>广西壮族自治区防城金花茶国家级自然保护区管理中心</w:t>
      </w:r>
    </w:p>
    <w:p w14:paraId="3238917F">
      <w:pPr>
        <w:spacing w:line="360" w:lineRule="exact"/>
        <w:ind w:firstLine="420" w:firstLineChars="200"/>
        <w:jc w:val="righ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采购代理机构：</w:t>
      </w:r>
      <w:r>
        <w:rPr>
          <w:rFonts w:hint="eastAsia" w:ascii="宋体" w:hAnsi="宋体" w:cs="宋体"/>
          <w:color w:val="auto"/>
          <w:kern w:val="0"/>
          <w:szCs w:val="21"/>
          <w:highlight w:val="none"/>
          <w:lang w:eastAsia="zh-CN"/>
        </w:rPr>
        <w:t>广西国栋招标有限公司</w:t>
      </w:r>
    </w:p>
    <w:p w14:paraId="12A46744">
      <w:pPr>
        <w:wordWrap w:val="0"/>
        <w:spacing w:line="360" w:lineRule="exact"/>
        <w:ind w:firstLine="420" w:firstLineChars="200"/>
        <w:jc w:val="right"/>
        <w:rPr>
          <w:rFonts w:hint="eastAsia" w:ascii="宋体" w:hAnsi="宋体" w:eastAsia="宋体"/>
          <w:bCs/>
          <w:color w:val="auto"/>
          <w:szCs w:val="21"/>
          <w:highlight w:val="none"/>
          <w:lang w:eastAsia="zh-CN"/>
        </w:rPr>
      </w:pPr>
      <w:r>
        <w:rPr>
          <w:rFonts w:hint="eastAsia" w:ascii="宋体" w:hAnsi="宋体"/>
          <w:bCs/>
          <w:color w:val="auto"/>
          <w:szCs w:val="21"/>
          <w:highlight w:val="none"/>
          <w:lang w:eastAsia="zh-CN"/>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lang w:eastAsia="zh-CN"/>
        </w:rPr>
        <w:t>年</w:t>
      </w:r>
      <w:r>
        <w:rPr>
          <w:rFonts w:hint="eastAsia" w:ascii="宋体" w:hAnsi="宋体"/>
          <w:bCs/>
          <w:color w:val="auto"/>
          <w:szCs w:val="21"/>
          <w:highlight w:val="none"/>
          <w:lang w:val="en-US" w:eastAsia="zh-CN"/>
        </w:rPr>
        <w:t>8</w:t>
      </w:r>
      <w:r>
        <w:rPr>
          <w:rFonts w:hint="eastAsia" w:ascii="宋体" w:hAnsi="宋体"/>
          <w:bCs/>
          <w:color w:val="auto"/>
          <w:szCs w:val="21"/>
          <w:highlight w:val="none"/>
          <w:lang w:eastAsia="zh-CN"/>
        </w:rPr>
        <w:t>月</w:t>
      </w:r>
      <w:r>
        <w:rPr>
          <w:rFonts w:hint="eastAsia" w:ascii="宋体" w:hAnsi="宋体"/>
          <w:bCs/>
          <w:color w:val="auto"/>
          <w:szCs w:val="21"/>
          <w:highlight w:val="none"/>
          <w:lang w:val="en-US" w:eastAsia="zh-CN"/>
        </w:rPr>
        <w:t>7</w:t>
      </w:r>
      <w:r>
        <w:rPr>
          <w:rFonts w:hint="eastAsia" w:ascii="宋体" w:hAnsi="宋体"/>
          <w:bCs/>
          <w:color w:val="auto"/>
          <w:szCs w:val="21"/>
          <w:highlight w:val="none"/>
          <w:lang w:eastAsia="zh-CN"/>
        </w:rPr>
        <w:t>日</w:t>
      </w:r>
    </w:p>
    <w:p w14:paraId="277A5AA0">
      <w:pPr>
        <w:pStyle w:val="2"/>
        <w:keepNext w:val="0"/>
        <w:keepLines w:val="0"/>
        <w:tabs>
          <w:tab w:val="left" w:pos="0"/>
          <w:tab w:val="left" w:pos="3165"/>
          <w:tab w:val="center" w:pos="4153"/>
        </w:tabs>
        <w:autoSpaceDE w:val="0"/>
        <w:autoSpaceDN w:val="0"/>
        <w:adjustRightInd w:val="0"/>
        <w:spacing w:before="0" w:after="0" w:line="360" w:lineRule="auto"/>
        <w:ind w:firstLine="0" w:firstLineChars="0"/>
        <w:jc w:val="center"/>
        <w:rPr>
          <w:rFonts w:hint="eastAsia" w:eastAsia="宋体"/>
          <w:color w:val="auto"/>
          <w:highlight w:val="none"/>
          <w:lang w:eastAsia="zh-CN"/>
        </w:rPr>
      </w:pPr>
      <w:bookmarkStart w:id="36" w:name="_Toc27979"/>
      <w:r>
        <w:rPr>
          <w:rFonts w:hint="eastAsia"/>
          <w:color w:val="auto"/>
          <w:highlight w:val="none"/>
        </w:rPr>
        <w:t>第二章</w:t>
      </w:r>
      <w:r>
        <w:rPr>
          <w:rFonts w:hint="eastAsia" w:ascii="Times New Roman" w:hAnsi="Times New Roman" w:eastAsia="宋体" w:cs="Times New Roman"/>
          <w:color w:val="auto"/>
          <w:highlight w:val="none"/>
          <w:lang w:val="en-US" w:eastAsia="zh-CN"/>
        </w:rPr>
        <w:t xml:space="preserve"> </w:t>
      </w:r>
      <w:r>
        <w:rPr>
          <w:rFonts w:hint="eastAsia"/>
          <w:color w:val="auto"/>
          <w:highlight w:val="none"/>
        </w:rPr>
        <w:t>采购需求</w:t>
      </w:r>
      <w:bookmarkEnd w:id="36"/>
    </w:p>
    <w:p w14:paraId="6C38B978">
      <w:pPr>
        <w:spacing w:line="400" w:lineRule="exact"/>
        <w:jc w:val="left"/>
        <w:rPr>
          <w:rFonts w:hint="eastAsia" w:ascii="宋体" w:hAnsi="宋体" w:cs="宋体"/>
          <w:color w:val="auto"/>
          <w:sz w:val="24"/>
          <w:szCs w:val="24"/>
          <w:highlight w:val="none"/>
        </w:rPr>
      </w:pPr>
      <w:bookmarkStart w:id="37" w:name="_Toc254970490"/>
      <w:bookmarkStart w:id="38" w:name="_Toc254970631"/>
      <w:r>
        <w:rPr>
          <w:rFonts w:hint="eastAsia" w:ascii="宋体" w:hAnsi="宋体" w:cs="宋体"/>
          <w:color w:val="auto"/>
          <w:sz w:val="24"/>
          <w:szCs w:val="24"/>
          <w:highlight w:val="none"/>
        </w:rPr>
        <w:t>说明：</w:t>
      </w:r>
    </w:p>
    <w:p w14:paraId="3CF8CC08">
      <w:pPr>
        <w:spacing w:line="4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1.为落实政府采购政策需满足的要求</w:t>
      </w:r>
    </w:p>
    <w:p w14:paraId="6E95DDB6">
      <w:pPr>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本招标文件所称中小企业必须符合《政府采购促进中小企业发展管理办法》（财库〔2020〕46号）的规定。</w:t>
      </w:r>
    </w:p>
    <w:p w14:paraId="752FF672">
      <w:pPr>
        <w:spacing w:line="400" w:lineRule="exact"/>
        <w:ind w:firstLine="487" w:firstLineChars="202"/>
        <w:jc w:val="left"/>
        <w:rPr>
          <w:rFonts w:hint="eastAsia" w:ascii="宋体" w:hAnsi="宋体" w:cs="宋体"/>
          <w:b/>
          <w:color w:val="auto"/>
          <w:sz w:val="24"/>
          <w:highlight w:val="none"/>
        </w:rPr>
      </w:pPr>
      <w:r>
        <w:rPr>
          <w:rFonts w:hint="eastAsia" w:ascii="宋体" w:hAnsi="宋体" w:cs="宋体"/>
          <w:b/>
          <w:color w:val="auto"/>
          <w:sz w:val="24"/>
          <w:highlight w:val="none"/>
        </w:rPr>
        <w:t>2.“实质性要求”是指招标文件中已经指明不满足则投标无效的条款，或者不能负偏离的条款，或者采购需求中带“▲”的条款。本项目属于服务采购，无核心产品要求，不允许负偏离响应，否则做否决</w:t>
      </w:r>
      <w:r>
        <w:rPr>
          <w:rFonts w:hint="eastAsia" w:ascii="宋体" w:hAnsi="宋体" w:cs="宋体"/>
          <w:b/>
          <w:color w:val="auto"/>
          <w:sz w:val="24"/>
          <w:highlight w:val="none"/>
          <w:lang w:val="en-US" w:eastAsia="zh-CN"/>
        </w:rPr>
        <w:t>投</w:t>
      </w:r>
      <w:r>
        <w:rPr>
          <w:rFonts w:hint="eastAsia" w:ascii="宋体" w:hAnsi="宋体" w:cs="宋体"/>
          <w:b/>
          <w:color w:val="auto"/>
          <w:sz w:val="24"/>
          <w:highlight w:val="none"/>
        </w:rPr>
        <w:t>标处理。</w:t>
      </w:r>
    </w:p>
    <w:p w14:paraId="198819D5">
      <w:pPr>
        <w:spacing w:line="400" w:lineRule="exact"/>
        <w:ind w:firstLine="484" w:firstLineChars="202"/>
        <w:jc w:val="left"/>
        <w:rPr>
          <w:rStyle w:val="29"/>
          <w:rFonts w:ascii="宋体" w:hAnsi="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.投标人应根据自身实际情况如实响应招标文件</w:t>
      </w:r>
      <w:r>
        <w:rPr>
          <w:rFonts w:hint="eastAsia" w:ascii="宋体" w:hAnsi="宋体"/>
          <w:color w:val="auto"/>
          <w:sz w:val="24"/>
          <w:szCs w:val="24"/>
          <w:highlight w:val="none"/>
        </w:rPr>
        <w:t>，不得仅将招标文件内容简单复制粘贴作为投标响应，还应当提供相关证明材料。</w:t>
      </w:r>
      <w:r>
        <w:rPr>
          <w:rFonts w:hint="eastAsia" w:ascii="宋体" w:hAnsi="宋体"/>
          <w:color w:val="auto"/>
          <w:sz w:val="24"/>
          <w:highlight w:val="none"/>
        </w:rPr>
        <w:t>对于重要技术条款或技术参数应当在投标文件中提供技术支持资料，技术支持资料以招标文件中规定的形式为准。</w:t>
      </w:r>
    </w:p>
    <w:p w14:paraId="7B4526FD">
      <w:pPr>
        <w:spacing w:line="400" w:lineRule="exact"/>
        <w:ind w:firstLine="352" w:firstLineChars="147"/>
        <w:jc w:val="left"/>
        <w:rPr>
          <w:rFonts w:hint="eastAsia" w:ascii="宋体" w:hAnsi="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olor w:val="auto"/>
          <w:sz w:val="24"/>
          <w:highlight w:val="none"/>
        </w:rPr>
        <w:t>投标人</w:t>
      </w:r>
      <w:r>
        <w:rPr>
          <w:rFonts w:ascii="宋体" w:hAnsi="宋体"/>
          <w:color w:val="auto"/>
          <w:sz w:val="24"/>
          <w:highlight w:val="none"/>
        </w:rPr>
        <w:t>必须自行为其</w:t>
      </w:r>
      <w:r>
        <w:rPr>
          <w:rFonts w:hint="eastAsia" w:ascii="宋体" w:hAnsi="宋体"/>
          <w:color w:val="auto"/>
          <w:sz w:val="24"/>
          <w:highlight w:val="none"/>
        </w:rPr>
        <w:t>投标</w:t>
      </w:r>
      <w:r>
        <w:rPr>
          <w:rFonts w:ascii="宋体" w:hAnsi="宋体"/>
          <w:color w:val="auto"/>
          <w:sz w:val="24"/>
          <w:highlight w:val="none"/>
        </w:rPr>
        <w:t>产品侵犯</w:t>
      </w:r>
      <w:r>
        <w:rPr>
          <w:rFonts w:hint="eastAsia" w:ascii="宋体" w:hAnsi="宋体"/>
          <w:color w:val="auto"/>
          <w:sz w:val="24"/>
          <w:highlight w:val="none"/>
        </w:rPr>
        <w:t>他人的知识产权或者专利成果的行为</w:t>
      </w:r>
      <w:r>
        <w:rPr>
          <w:rFonts w:ascii="宋体" w:hAnsi="宋体"/>
          <w:color w:val="auto"/>
          <w:sz w:val="24"/>
          <w:highlight w:val="none"/>
        </w:rPr>
        <w:t>承担相应法律责任</w:t>
      </w:r>
      <w:r>
        <w:rPr>
          <w:rFonts w:hint="eastAsia" w:ascii="宋体" w:hAnsi="宋体"/>
          <w:color w:val="auto"/>
          <w:sz w:val="24"/>
          <w:highlight w:val="none"/>
        </w:rPr>
        <w:t>。</w:t>
      </w:r>
    </w:p>
    <w:bookmarkEnd w:id="37"/>
    <w:bookmarkEnd w:id="38"/>
    <w:p w14:paraId="3C123C39">
      <w:pPr>
        <w:widowControl/>
        <w:spacing w:line="40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5.中小企业划分所属行业：</w:t>
      </w:r>
      <w:r>
        <w:rPr>
          <w:rFonts w:hint="eastAsia" w:ascii="宋体" w:hAnsi="宋体" w:eastAsia="宋体" w:cs="宋体"/>
          <w:b w:val="0"/>
          <w:bCs w:val="0"/>
          <w:color w:val="auto"/>
          <w:sz w:val="24"/>
          <w:szCs w:val="24"/>
          <w:highlight w:val="none"/>
          <w:u w:val="single"/>
        </w:rPr>
        <w:t>其他未列明行业</w:t>
      </w:r>
      <w:r>
        <w:rPr>
          <w:rFonts w:hint="eastAsia" w:ascii="宋体" w:hAnsi="宋体" w:eastAsia="宋体" w:cs="宋体"/>
          <w:b w:val="0"/>
          <w:bCs w:val="0"/>
          <w:color w:val="auto"/>
          <w:sz w:val="24"/>
          <w:szCs w:val="24"/>
          <w:highlight w:val="none"/>
          <w:lang w:val="en-US" w:eastAsia="zh-CN"/>
        </w:rPr>
        <w:t>（详见中小微企业划型标准）</w:t>
      </w:r>
    </w:p>
    <w:p w14:paraId="707CA7BB">
      <w:pPr>
        <w:widowControl/>
        <w:spacing w:line="400" w:lineRule="exact"/>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6.采购项目中采购需求技术及商务内容与“合同”相关条款不一致的，以采购需求为准。</w:t>
      </w:r>
    </w:p>
    <w:p w14:paraId="06FDB8F0">
      <w:pPr>
        <w:widowControl/>
        <w:spacing w:line="400" w:lineRule="exact"/>
        <w:ind w:firstLine="241" w:firstLineChars="10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rPr>
        <w:t>一、项目要求及技术需求</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1051"/>
        <w:gridCol w:w="808"/>
        <w:gridCol w:w="6509"/>
      </w:tblGrid>
      <w:tr w14:paraId="291F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noWrap w:val="0"/>
            <w:vAlign w:val="center"/>
          </w:tcPr>
          <w:p w14:paraId="1D664911">
            <w:pPr>
              <w:widowControl/>
              <w:jc w:val="center"/>
              <w:rPr>
                <w:rFonts w:hint="default"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序号</w:t>
            </w:r>
          </w:p>
        </w:tc>
        <w:tc>
          <w:tcPr>
            <w:tcW w:w="580" w:type="pct"/>
            <w:noWrap w:val="0"/>
            <w:vAlign w:val="center"/>
          </w:tcPr>
          <w:p w14:paraId="06C8D783">
            <w:pPr>
              <w:widowControl/>
              <w:jc w:val="center"/>
              <w:rPr>
                <w:rFonts w:hint="eastAsia" w:ascii="宋体" w:hAnsi="宋体" w:cs="宋体"/>
                <w:b/>
                <w:bCs/>
                <w:color w:val="auto"/>
                <w:kern w:val="0"/>
                <w:sz w:val="24"/>
                <w:szCs w:val="24"/>
                <w:highlight w:val="none"/>
              </w:rPr>
            </w:pPr>
            <w:r>
              <w:rPr>
                <w:rFonts w:hint="eastAsia" w:ascii="宋体" w:hAnsi="宋体" w:cs="宋体"/>
                <w:b/>
                <w:bCs/>
                <w:color w:val="auto"/>
                <w:szCs w:val="21"/>
                <w:highlight w:val="none"/>
              </w:rPr>
              <w:t>标的的名称</w:t>
            </w:r>
          </w:p>
        </w:tc>
        <w:tc>
          <w:tcPr>
            <w:tcW w:w="446" w:type="pct"/>
            <w:noWrap w:val="0"/>
            <w:vAlign w:val="center"/>
          </w:tcPr>
          <w:p w14:paraId="005EF825">
            <w:pPr>
              <w:widowControl/>
              <w:jc w:val="center"/>
              <w:rPr>
                <w:rFonts w:hint="eastAsia"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数量</w:t>
            </w:r>
          </w:p>
        </w:tc>
        <w:tc>
          <w:tcPr>
            <w:tcW w:w="3593" w:type="pct"/>
            <w:noWrap w:val="0"/>
            <w:vAlign w:val="center"/>
          </w:tcPr>
          <w:p w14:paraId="2FB1EFBD">
            <w:pPr>
              <w:widowControl/>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技术参数及要求</w:t>
            </w:r>
          </w:p>
        </w:tc>
      </w:tr>
      <w:tr w14:paraId="1B9F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shd w:val="clear" w:color="auto" w:fill="auto"/>
            <w:noWrap w:val="0"/>
            <w:vAlign w:val="center"/>
          </w:tcPr>
          <w:p w14:paraId="1446422D">
            <w:pPr>
              <w:widowControl/>
              <w:spacing w:line="360" w:lineRule="auto"/>
              <w:ind w:firstLine="0" w:firstLineChars="0"/>
              <w:jc w:val="center"/>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w:t>
            </w:r>
          </w:p>
        </w:tc>
        <w:tc>
          <w:tcPr>
            <w:tcW w:w="580" w:type="pct"/>
            <w:shd w:val="clear" w:color="auto" w:fill="auto"/>
            <w:noWrap w:val="0"/>
            <w:vAlign w:val="center"/>
          </w:tcPr>
          <w:p w14:paraId="33415501">
            <w:pPr>
              <w:widowControl/>
              <w:spacing w:line="360" w:lineRule="auto"/>
              <w:ind w:firstLine="0" w:firstLineChars="0"/>
              <w:rPr>
                <w:rFonts w:hint="default" w:ascii="宋体" w:hAnsi="宋体" w:eastAsia="宋体" w:cs="宋体"/>
                <w:b w:val="0"/>
                <w:bCs w:val="0"/>
                <w:color w:val="auto"/>
                <w:kern w:val="0"/>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rPr>
              <w:t>广西防城金花茶国家级自然保护区科普宣教展区布展项目</w:t>
            </w:r>
          </w:p>
        </w:tc>
        <w:tc>
          <w:tcPr>
            <w:tcW w:w="446" w:type="pct"/>
            <w:shd w:val="clear" w:color="auto" w:fill="auto"/>
            <w:noWrap w:val="0"/>
            <w:vAlign w:val="center"/>
          </w:tcPr>
          <w:p w14:paraId="79D78C0D">
            <w:pPr>
              <w:widowControl/>
              <w:spacing w:line="360" w:lineRule="auto"/>
              <w:ind w:firstLine="0" w:firstLineChars="0"/>
              <w:jc w:val="center"/>
              <w:rPr>
                <w:rFonts w:hint="default" w:ascii="宋体" w:hAnsi="宋体" w:cs="宋体"/>
                <w:b w:val="0"/>
                <w:bCs w:val="0"/>
                <w:i w:val="0"/>
                <w:iCs w:val="0"/>
                <w:color w:val="auto"/>
                <w:kern w:val="0"/>
                <w:sz w:val="24"/>
                <w:szCs w:val="24"/>
                <w:highlight w:val="none"/>
                <w:u w:val="none"/>
                <w:lang w:val="en-US" w:eastAsia="zh-CN" w:bidi="ar"/>
              </w:rPr>
            </w:pPr>
            <w:r>
              <w:rPr>
                <w:rFonts w:hint="eastAsia" w:ascii="宋体" w:hAnsi="宋体" w:cs="宋体"/>
                <w:b w:val="0"/>
                <w:bCs w:val="0"/>
                <w:i w:val="0"/>
                <w:iCs w:val="0"/>
                <w:color w:val="auto"/>
                <w:kern w:val="0"/>
                <w:sz w:val="24"/>
                <w:szCs w:val="24"/>
                <w:highlight w:val="none"/>
                <w:u w:val="none"/>
                <w:lang w:val="en-US" w:eastAsia="zh-CN" w:bidi="ar"/>
              </w:rPr>
              <w:t>1项</w:t>
            </w:r>
          </w:p>
        </w:tc>
        <w:tc>
          <w:tcPr>
            <w:tcW w:w="3593" w:type="pct"/>
            <w:shd w:val="clear" w:color="auto" w:fill="auto"/>
            <w:noWrap w:val="0"/>
            <w:vAlign w:val="center"/>
          </w:tcPr>
          <w:p w14:paraId="5E307706">
            <w:pPr>
              <w:widowControl/>
              <w:spacing w:line="420" w:lineRule="exact"/>
              <w:ind w:firstLine="482" w:firstLineChars="200"/>
              <w:jc w:val="both"/>
              <w:rPr>
                <w:rFonts w:hint="eastAsia" w:ascii="宋体" w:hAnsi="宋体" w:cs="宋体"/>
                <w:b/>
                <w:color w:val="auto"/>
                <w:sz w:val="24"/>
                <w:szCs w:val="24"/>
                <w:highlight w:val="none"/>
              </w:rPr>
            </w:pPr>
            <w:r>
              <w:rPr>
                <w:rFonts w:hint="eastAsia" w:ascii="宋体" w:hAnsi="宋体" w:cs="宋体"/>
                <w:b/>
                <w:color w:val="auto"/>
                <w:sz w:val="24"/>
                <w:szCs w:val="24"/>
                <w:highlight w:val="none"/>
              </w:rPr>
              <w:t>一</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rPr>
              <w:t>区域环境渲染及装饰</w:t>
            </w:r>
          </w:p>
          <w:p w14:paraId="69417DD0">
            <w:pPr>
              <w:widowControl/>
              <w:spacing w:line="420" w:lineRule="exact"/>
              <w:ind w:firstLine="482" w:firstLineChars="200"/>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1.1“自然之门”区域环境渲染及装饰：</w:t>
            </w:r>
          </w:p>
          <w:p w14:paraId="463223E5">
            <w:pPr>
              <w:widowControl/>
              <w:spacing w:line="420" w:lineRule="exact"/>
              <w:ind w:firstLine="480" w:firstLineChars="200"/>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lang w:eastAsia="zh-CN"/>
              </w:rPr>
              <w:t>（</w:t>
            </w:r>
            <w:r>
              <w:rPr>
                <w:rFonts w:hint="eastAsia" w:ascii="宋体" w:hAnsi="宋体" w:cs="宋体"/>
                <w:b w:val="0"/>
                <w:bCs w:val="0"/>
                <w:color w:val="auto"/>
                <w:kern w:val="0"/>
                <w:sz w:val="24"/>
                <w:szCs w:val="24"/>
                <w:highlight w:val="none"/>
                <w:lang w:val="en-US" w:eastAsia="zh-CN"/>
              </w:rPr>
              <w:t>1</w:t>
            </w:r>
            <w:r>
              <w:rPr>
                <w:rFonts w:hint="eastAsia" w:ascii="宋体" w:hAnsi="宋体" w:cs="宋体"/>
                <w:b w:val="0"/>
                <w:bCs w:val="0"/>
                <w:color w:val="auto"/>
                <w:kern w:val="0"/>
                <w:sz w:val="24"/>
                <w:szCs w:val="24"/>
                <w:highlight w:val="none"/>
                <w:lang w:eastAsia="zh-CN"/>
              </w:rPr>
              <w:t>）</w:t>
            </w:r>
            <w:r>
              <w:rPr>
                <w:rFonts w:hint="eastAsia" w:ascii="宋体" w:hAnsi="宋体" w:cs="宋体"/>
                <w:b w:val="0"/>
                <w:bCs w:val="0"/>
                <w:color w:val="auto"/>
                <w:kern w:val="0"/>
                <w:sz w:val="24"/>
                <w:szCs w:val="24"/>
                <w:highlight w:val="none"/>
              </w:rPr>
              <w:t>基础改造：“自然之门”区域实施规模约43㎡，根据初步的展示大纲框架进行布局规划进行装修、电气、消防、暖通等改造,确保实现“自然之门”区域所涵盖的全部设计、材料、施工、安装及调试等内容，根据“自然之门”区域的用电负荷需求，从临近配电间敷设电缆至展厅中所需位置，同时要求满足“自然之门”区域的宣教互动设备用电负荷要求，基本内容包括不限于简介屏隔墙、全息屏玻璃基底、全息屏后隔墙、窗口改墙、大门改造、吊顶、强弱电改造、空调等;</w:t>
            </w:r>
          </w:p>
          <w:p w14:paraId="727A0A14">
            <w:pPr>
              <w:widowControl/>
              <w:spacing w:line="420" w:lineRule="exact"/>
              <w:ind w:firstLine="480" w:firstLineChars="200"/>
              <w:jc w:val="both"/>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lang w:eastAsia="zh-CN"/>
              </w:rPr>
              <w:t>（</w:t>
            </w:r>
            <w:r>
              <w:rPr>
                <w:rFonts w:hint="eastAsia" w:ascii="宋体" w:hAnsi="宋体" w:cs="宋体"/>
                <w:b w:val="0"/>
                <w:bCs w:val="0"/>
                <w:color w:val="auto"/>
                <w:kern w:val="0"/>
                <w:sz w:val="24"/>
                <w:szCs w:val="24"/>
                <w:highlight w:val="none"/>
                <w:lang w:val="en-US" w:eastAsia="zh-CN"/>
              </w:rPr>
              <w:t>2</w:t>
            </w:r>
            <w:r>
              <w:rPr>
                <w:rFonts w:hint="eastAsia" w:ascii="宋体" w:hAnsi="宋体" w:cs="宋体"/>
                <w:b w:val="0"/>
                <w:bCs w:val="0"/>
                <w:color w:val="auto"/>
                <w:kern w:val="0"/>
                <w:sz w:val="24"/>
                <w:szCs w:val="24"/>
                <w:highlight w:val="none"/>
                <w:lang w:eastAsia="zh-CN"/>
              </w:rPr>
              <w:t>）</w:t>
            </w:r>
            <w:r>
              <w:rPr>
                <w:rFonts w:hint="eastAsia" w:ascii="宋体" w:hAnsi="宋体" w:cs="宋体"/>
                <w:b w:val="0"/>
                <w:bCs w:val="0"/>
                <w:color w:val="auto"/>
                <w:kern w:val="0"/>
                <w:sz w:val="24"/>
                <w:szCs w:val="24"/>
                <w:highlight w:val="none"/>
              </w:rPr>
              <w:t>配套设施：包括场景营造、图文展板（含展板、灯箱、立体字等）和展品（道具、模型、艺术品、实物或复制件等）。</w:t>
            </w:r>
          </w:p>
          <w:p w14:paraId="630B527E">
            <w:pPr>
              <w:widowControl/>
              <w:spacing w:line="420" w:lineRule="exact"/>
              <w:ind w:left="0" w:leftChars="0"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1.2“记忆共生”区域环境渲染及装饰：</w:t>
            </w:r>
          </w:p>
          <w:p w14:paraId="4B5509DA">
            <w:pPr>
              <w:widowControl/>
              <w:spacing w:line="420" w:lineRule="exact"/>
              <w:ind w:left="0" w:leftChars="0"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基础改造：“记忆共生”区域实施规模约54㎡，根据初步的展示大纲框架进行布局规划进行装修、电气、消防、暖通等改造,确保实现“记忆共生”区域所涵盖的全部设计、材料、施工、安装及调试等内容，根据“自然之门”区域的用电负荷需求，从临近配电间敷设电缆至展厅中所需位置，同时要求满足“记忆共生”区域的宣教互动设备用电负荷要求，基本内容包括不限于；隧道入口门、隧道封窗、隧道中隔断、吊顶、强弱电改造、制冷新风设备等。</w:t>
            </w:r>
          </w:p>
          <w:p w14:paraId="08897008">
            <w:pPr>
              <w:widowControl/>
              <w:spacing w:line="420" w:lineRule="exact"/>
              <w:ind w:left="0" w:leftChars="0"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配套设施：包括场景营造、图文展板（含展板、灯箱、立体字等）和展品（道具、模型、艺术品、实物或复制件等）。</w:t>
            </w:r>
          </w:p>
          <w:p w14:paraId="68CB54FF">
            <w:pPr>
              <w:widowControl/>
              <w:spacing w:line="420" w:lineRule="exact"/>
              <w:ind w:left="0"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1.3“自然故事夜”区域环境渲染及装饰：</w:t>
            </w:r>
          </w:p>
          <w:p w14:paraId="1AD6EDB7">
            <w:pPr>
              <w:widowControl/>
              <w:spacing w:line="420" w:lineRule="exact"/>
              <w:ind w:left="0"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基础改造：“自然故事夜”区域实施规模约69㎡，根据初步的展示大纲框架进行布局规划进行装修、电气、消防、暖通等改造,确保实现“自然故事夜”区域所涵盖的全部设计、材料、施工、安装及调试等内容，根据“自然之门”区域的用电负荷需求，从临近配电间敷设电缆至展厅中所需位置，同时要求满足“自然故事夜”区域的宣教互动设备用电负荷要求，基本内容包括不限于封墙、封窗、吊顶、强弱电改造、制冷新风设备等；</w:t>
            </w:r>
          </w:p>
          <w:p w14:paraId="7BD9651A">
            <w:pPr>
              <w:widowControl/>
              <w:spacing w:line="420" w:lineRule="exact"/>
              <w:ind w:left="0"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配套设施：包括场景营造、图文展板（含展板、灯箱、立体字等）。</w:t>
            </w:r>
          </w:p>
          <w:p w14:paraId="7EFE62E7">
            <w:pPr>
              <w:widowControl/>
              <w:spacing w:line="420" w:lineRule="exact"/>
              <w:ind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1.4“自然同行”区域环境渲染及装饰：</w:t>
            </w:r>
          </w:p>
          <w:p w14:paraId="370687EC">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基础改造：“自然同行”区域实施规模约49.4㎡，根据初步的展示大纲框架进行布局规划进行装修、电气、消防、暖通等改造,确保实现“自然同行”区域所涵盖的全部设计、材料、施工、安装及调试等内容，根据“自然之门”区域的用电负荷需求，从临近配电间敷设电缆至展厅中所需位置，同时要求满足“自然同行”区域的宣教互动设备用电负荷要求，基本内容包括不限于隔墙、墙面氛围装饰、吊顶、强弱电改造及制冷新风设备等；</w:t>
            </w:r>
          </w:p>
          <w:p w14:paraId="15FE3B63">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配套设施：包括场景营造、图文展板（含展板、灯箱、立体字等）和展品（道具、模型、艺术品、实物或复制件等）。</w:t>
            </w:r>
          </w:p>
          <w:p w14:paraId="2A705272">
            <w:pPr>
              <w:widowControl/>
              <w:spacing w:line="420" w:lineRule="exact"/>
              <w:ind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1.5“生境舞台”区域环境渲染及装饰：</w:t>
            </w:r>
          </w:p>
          <w:p w14:paraId="75C1BFF4">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基础改造：“生境舞台”区域实施规模约33.4㎡，根据初步的展示大纲框架进行布局规划进行装修、电气、消防、暖通等改造,确保实现“生境舞台”区域所涵盖的全部设计、材料、施工、安装及调试等内容，同时要求满足“生境舞台”区域的宣教互动设备用电负荷要求，基本内容包括不限于造型平台、拆卸原玻璃、采光井中非观景内壁贴图、俯瞰玻璃围栏、遮光棚、强弱电改造及制冷新风设备等；</w:t>
            </w:r>
          </w:p>
          <w:p w14:paraId="4139FB45">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配套设施：包括场景营造、图文展板（含展板、灯箱、立体字等）和展品（道具、模型、艺术品、实物或复制件等）。</w:t>
            </w:r>
          </w:p>
          <w:p w14:paraId="5CCECA73">
            <w:pPr>
              <w:widowControl/>
              <w:spacing w:line="420" w:lineRule="exact"/>
              <w:ind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1.6“共鸣之声”区域环境渲染及装饰：</w:t>
            </w:r>
          </w:p>
          <w:p w14:paraId="064F83FF">
            <w:pPr>
              <w:widowControl/>
              <w:spacing w:line="420" w:lineRule="exact"/>
              <w:ind w:firstLine="480" w:firstLineChars="200"/>
              <w:jc w:val="both"/>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基础改造：“共鸣之声”区域实施规模约34㎡，根据初步的展示大纲框架进行布局规划进行装修、电气、消防、暖通等改造,确保实现“共鸣之声”区域所涵盖的全部设计、材料、施工、安装及调试等内容，根据“自然之门”区域的用电负荷需求，从临近配电间敷设电缆至展厅中所需位置，同时要求满足“共鸣之声”区域的宣教互动设备用电负荷要求，基本内容包括不限于影音室隔墙、影音室门、封窗、封墙、强弱电改造、制冷新风设备等；</w:t>
            </w:r>
          </w:p>
          <w:p w14:paraId="4F2341B9">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配套设施：包括场景营造、图文展板（含展板、灯箱、立体字等）和展品（道具、模型、艺术品、实物或复制件等）。</w:t>
            </w:r>
          </w:p>
          <w:p w14:paraId="3C0022CD">
            <w:pPr>
              <w:widowControl/>
              <w:spacing w:line="420" w:lineRule="exact"/>
              <w:ind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1.7“研学芬芳”区域环境渲染及装饰：</w:t>
            </w:r>
          </w:p>
          <w:p w14:paraId="3A254A4A">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基础改造：“研学芬芳”区域实施规模约139㎡，根据初步的展示大纲框架进行布局规划进行装修、电气、消防、暖通等改造,确保实现“研学芬芳”区域所涵盖的全部设计、材料、施工、安装及调试等内容，根据“自然之门”区域的用电负荷需求，从临近配电间敷设电缆至展厅中所需位置，同时要求满足“研学芬芳”区域的宣教互动设备用电负荷要求，基本内容包括不限于隔墙、吊顶、门、窗帘、强弱电改造及制冷新风设备等；</w:t>
            </w:r>
          </w:p>
          <w:p w14:paraId="281A31E4">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配套设施：包括场景营造、图文展板（含展板、灯箱、立体字等）和展品（道具、模型、艺术品、实物或复制件等）。</w:t>
            </w:r>
          </w:p>
          <w:p w14:paraId="11E3952B">
            <w:pPr>
              <w:widowControl/>
              <w:spacing w:line="420" w:lineRule="exact"/>
              <w:ind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1.8“敬畏自然”“自然数字语”区域环境渲染及装饰：</w:t>
            </w:r>
          </w:p>
          <w:p w14:paraId="1BA6F3E8">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基础改造：“敬畏自然”区域实施规模约45㎡，根据初步的展示大纲框架进行布局规划进行装修、电气、消防、暖通等改造,确保实现“敬畏自然”“区域所涵盖的全部设计、材料、施工、安装及调试等内容，根据“自然之门”区域的用电负荷需求，从临近配电间敷设电缆至展厅中所需位置，同时要求满足“敬畏自然”区域的宣教互动设备用电负荷要求，基本内容包括不限于封墙、窗改墙、大门改造、吊顶、门、墙面装饰、强弱电改造及制冷新风设备等；</w:t>
            </w:r>
          </w:p>
          <w:p w14:paraId="49AD8E6B">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配套设施：包括场景营造、图文展板（含展板、灯箱、立体字等）和展品（道具、模型、艺术品、实物或复制件等）。</w:t>
            </w:r>
          </w:p>
          <w:p w14:paraId="00000187">
            <w:pPr>
              <w:widowControl/>
              <w:spacing w:line="420" w:lineRule="exact"/>
              <w:ind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1.9休憩区域、总机房区域环境渲染及装饰：</w:t>
            </w:r>
          </w:p>
          <w:p w14:paraId="45C07A41">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基础改造：“休憩区域、总机房”区域实施规模约44.25㎡，根据初步的展示大纲框架进行布局规划进行装修、电气、消防、暖通等改造,确保实现“休憩区域、总机房”区域所涵盖的全部设计、材料、施工、安装及调试等内容，根据“自然之门”区域的用电负荷需求，从临近配电间敷设电缆至展厅中所需位置，同时要求满足“休憩区域、总机房”区域的宣教互动设备用电负荷要求，基本内容包括不限于机房隔墙及隔断、机房门、墙面防水、楼道贴装饰、梯门更换、展厅主标题墙装饰、吊顶、强弱电改造及制冷新风设备等；</w:t>
            </w:r>
          </w:p>
          <w:p w14:paraId="166FE4EA">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配套设施：包括场景营造、图文展板（含展板、灯箱、立体字等）和展品（道具、模型、艺术品、实物或复制件等）。</w:t>
            </w:r>
          </w:p>
          <w:p w14:paraId="5E78389D">
            <w:pPr>
              <w:widowControl/>
              <w:spacing w:line="420" w:lineRule="exact"/>
              <w:ind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1.10其他区域环境渲染及装饰：</w:t>
            </w:r>
          </w:p>
          <w:p w14:paraId="394D5E6D">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布展区域整体电路布局、消防、色彩分析、鸟瞰、三维效果等；</w:t>
            </w:r>
          </w:p>
          <w:p w14:paraId="283C1FEA">
            <w:pPr>
              <w:widowControl/>
              <w:spacing w:line="420" w:lineRule="exact"/>
              <w:ind w:firstLine="480" w:firstLineChars="200"/>
              <w:jc w:val="both"/>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根据现场实际对暖通空调出风口应结合吊顶造型与展览流线优化设置同时考虑电气及消防等改造</w:t>
            </w:r>
            <w:r>
              <w:rPr>
                <w:rFonts w:hint="eastAsia" w:ascii="宋体" w:hAnsi="宋体" w:cs="宋体"/>
                <w:i w:val="0"/>
                <w:iCs w:val="0"/>
                <w:color w:val="auto"/>
                <w:kern w:val="0"/>
                <w:sz w:val="24"/>
                <w:szCs w:val="24"/>
                <w:highlight w:val="none"/>
                <w:u w:val="none"/>
                <w:lang w:val="en-US" w:eastAsia="zh-CN" w:bidi="ar"/>
              </w:rPr>
              <w:t>；</w:t>
            </w:r>
          </w:p>
          <w:p w14:paraId="472DAF8D">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（3）</w:t>
            </w:r>
            <w:r>
              <w:rPr>
                <w:rFonts w:hint="eastAsia" w:ascii="Segoe UI" w:hAnsi="Segoe UI" w:cs="Segoe UI"/>
                <w:i w:val="0"/>
                <w:iCs w:val="0"/>
                <w:caps w:val="0"/>
                <w:color w:val="auto"/>
                <w:spacing w:val="0"/>
                <w:sz w:val="24"/>
                <w:szCs w:val="24"/>
                <w:highlight w:val="none"/>
                <w:shd w:val="clear" w:fill="FFFFFF"/>
                <w:lang w:val="en-US" w:eastAsia="zh-CN"/>
              </w:rPr>
              <w:t>本项目</w:t>
            </w:r>
            <w:r>
              <w:rPr>
                <w:rFonts w:ascii="Segoe UI" w:hAnsi="Segoe UI" w:eastAsia="Segoe UI" w:cs="Segoe UI"/>
                <w:i w:val="0"/>
                <w:iCs w:val="0"/>
                <w:caps w:val="0"/>
                <w:color w:val="auto"/>
                <w:spacing w:val="0"/>
                <w:sz w:val="24"/>
                <w:szCs w:val="24"/>
                <w:highlight w:val="none"/>
                <w:shd w:val="clear" w:fill="FFFFFF"/>
              </w:rPr>
              <w:t>防水工程质量保证年限</w:t>
            </w:r>
            <w:r>
              <w:rPr>
                <w:rFonts w:hint="eastAsia" w:ascii="Segoe UI" w:hAnsi="Segoe UI" w:eastAsia="宋体" w:cs="Segoe UI"/>
                <w:i w:val="0"/>
                <w:iCs w:val="0"/>
                <w:caps w:val="0"/>
                <w:color w:val="auto"/>
                <w:spacing w:val="0"/>
                <w:sz w:val="24"/>
                <w:szCs w:val="24"/>
                <w:highlight w:val="none"/>
                <w:shd w:val="clear" w:fill="FFFFFF"/>
                <w:lang w:val="en-US" w:eastAsia="zh-CN"/>
              </w:rPr>
              <w:t>为5年，质保期内</w:t>
            </w:r>
            <w:r>
              <w:rPr>
                <w:rFonts w:hint="eastAsia" w:ascii="Segoe UI" w:hAnsi="Segoe UI" w:cs="Segoe UI"/>
                <w:i w:val="0"/>
                <w:iCs w:val="0"/>
                <w:caps w:val="0"/>
                <w:color w:val="auto"/>
                <w:spacing w:val="0"/>
                <w:sz w:val="24"/>
                <w:szCs w:val="24"/>
                <w:highlight w:val="none"/>
                <w:shd w:val="clear" w:fill="FFFFFF"/>
                <w:lang w:val="en-US" w:eastAsia="zh-CN"/>
              </w:rPr>
              <w:t>如</w:t>
            </w:r>
            <w:r>
              <w:rPr>
                <w:rFonts w:hint="eastAsia" w:ascii="Segoe UI" w:hAnsi="Segoe UI" w:eastAsia="宋体" w:cs="Segoe UI"/>
                <w:i w:val="0"/>
                <w:iCs w:val="0"/>
                <w:caps w:val="0"/>
                <w:color w:val="auto"/>
                <w:spacing w:val="0"/>
                <w:sz w:val="24"/>
                <w:szCs w:val="24"/>
                <w:highlight w:val="none"/>
                <w:shd w:val="clear" w:fill="FFFFFF"/>
                <w:lang w:val="en-US" w:eastAsia="zh-CN"/>
              </w:rPr>
              <w:t>出现渗漏问题，中标方应免费维修并及时响应</w:t>
            </w:r>
            <w:r>
              <w:rPr>
                <w:rFonts w:hint="eastAsia" w:ascii="Segoe UI" w:hAnsi="Segoe UI" w:cs="Segoe UI"/>
                <w:i w:val="0"/>
                <w:iCs w:val="0"/>
                <w:caps w:val="0"/>
                <w:color w:val="auto"/>
                <w:spacing w:val="0"/>
                <w:sz w:val="24"/>
                <w:szCs w:val="24"/>
                <w:highlight w:val="none"/>
                <w:shd w:val="clear" w:fill="FFFFFF"/>
                <w:lang w:val="en-US" w:eastAsia="zh-CN"/>
              </w:rPr>
              <w:t>。</w:t>
            </w:r>
            <w:r>
              <w:rPr>
                <w:rFonts w:ascii="Segoe UI" w:hAnsi="Segoe UI" w:eastAsia="Segoe UI" w:cs="Segoe UI"/>
                <w:i w:val="0"/>
                <w:iCs w:val="0"/>
                <w:caps w:val="0"/>
                <w:color w:val="auto"/>
                <w:spacing w:val="0"/>
                <w:sz w:val="24"/>
                <w:szCs w:val="24"/>
                <w:highlight w:val="none"/>
                <w:shd w:val="clear" w:fill="FFFFFF"/>
              </w:rPr>
              <w:t>本</w:t>
            </w:r>
            <w:r>
              <w:rPr>
                <w:rFonts w:hint="eastAsia" w:ascii="Segoe UI" w:hAnsi="Segoe UI" w:eastAsia="宋体" w:cs="Segoe UI"/>
                <w:i w:val="0"/>
                <w:iCs w:val="0"/>
                <w:caps w:val="0"/>
                <w:color w:val="auto"/>
                <w:spacing w:val="0"/>
                <w:sz w:val="24"/>
                <w:szCs w:val="24"/>
                <w:highlight w:val="none"/>
                <w:shd w:val="clear" w:fill="FFFFFF"/>
                <w:lang w:val="en-US" w:eastAsia="zh-CN"/>
              </w:rPr>
              <w:t>项目</w:t>
            </w:r>
            <w:r>
              <w:rPr>
                <w:rFonts w:ascii="Segoe UI" w:hAnsi="Segoe UI" w:eastAsia="Segoe UI" w:cs="Segoe UI"/>
                <w:i w:val="0"/>
                <w:iCs w:val="0"/>
                <w:caps w:val="0"/>
                <w:color w:val="auto"/>
                <w:spacing w:val="0"/>
                <w:sz w:val="24"/>
                <w:szCs w:val="24"/>
                <w:highlight w:val="none"/>
                <w:shd w:val="clear" w:fill="FFFFFF"/>
              </w:rPr>
              <w:t>位于台风多发、雨量充沛的沿海地区，在台风雨情况下</w:t>
            </w:r>
            <w:r>
              <w:rPr>
                <w:rFonts w:hint="eastAsia" w:ascii="Segoe UI" w:hAnsi="Segoe UI" w:eastAsia="宋体" w:cs="Segoe UI"/>
                <w:i w:val="0"/>
                <w:iCs w:val="0"/>
                <w:caps w:val="0"/>
                <w:color w:val="auto"/>
                <w:spacing w:val="0"/>
                <w:sz w:val="24"/>
                <w:szCs w:val="24"/>
                <w:highlight w:val="none"/>
                <w:shd w:val="clear" w:fill="FFFFFF"/>
                <w:lang w:val="en-US" w:eastAsia="zh-CN"/>
              </w:rPr>
              <w:t>项目所在</w:t>
            </w:r>
            <w:r>
              <w:rPr>
                <w:rFonts w:ascii="Segoe UI" w:hAnsi="Segoe UI" w:eastAsia="Segoe UI" w:cs="Segoe UI"/>
                <w:i w:val="0"/>
                <w:iCs w:val="0"/>
                <w:caps w:val="0"/>
                <w:color w:val="auto"/>
                <w:spacing w:val="0"/>
                <w:sz w:val="24"/>
                <w:szCs w:val="24"/>
                <w:highlight w:val="none"/>
                <w:shd w:val="clear" w:fill="FFFFFF"/>
              </w:rPr>
              <w:t>楼层出现窗户和外墙渗漏水问题</w:t>
            </w:r>
            <w:r>
              <w:rPr>
                <w:rFonts w:hint="eastAsia" w:ascii="Segoe UI" w:hAnsi="Segoe UI" w:eastAsia="宋体" w:cs="Segoe UI"/>
                <w:i w:val="0"/>
                <w:iCs w:val="0"/>
                <w:caps w:val="0"/>
                <w:color w:val="auto"/>
                <w:spacing w:val="0"/>
                <w:sz w:val="24"/>
                <w:szCs w:val="24"/>
                <w:highlight w:val="none"/>
                <w:shd w:val="clear" w:fill="FFFFFF"/>
                <w:lang w:eastAsia="zh-CN"/>
              </w:rPr>
              <w:t>，</w:t>
            </w:r>
            <w:r>
              <w:rPr>
                <w:rFonts w:ascii="Segoe UI" w:hAnsi="Segoe UI" w:eastAsia="Segoe UI" w:cs="Segoe UI"/>
                <w:i w:val="0"/>
                <w:iCs w:val="0"/>
                <w:caps w:val="0"/>
                <w:color w:val="auto"/>
                <w:spacing w:val="0"/>
                <w:sz w:val="24"/>
                <w:szCs w:val="24"/>
                <w:highlight w:val="none"/>
                <w:shd w:val="clear" w:fill="FFFFFF"/>
              </w:rPr>
              <w:t>鉴于科普宣教布展，展品、展陈设施对防潮防渗要求较高</w:t>
            </w:r>
            <w:r>
              <w:rPr>
                <w:rFonts w:hint="eastAsia" w:ascii="Segoe UI" w:hAnsi="Segoe UI" w:eastAsia="宋体" w:cs="Segoe UI"/>
                <w:i w:val="0"/>
                <w:iCs w:val="0"/>
                <w:caps w:val="0"/>
                <w:color w:val="auto"/>
                <w:spacing w:val="0"/>
                <w:sz w:val="24"/>
                <w:szCs w:val="24"/>
                <w:highlight w:val="none"/>
                <w:shd w:val="clear" w:fill="FFFFFF"/>
                <w:lang w:eastAsia="zh-CN"/>
              </w:rPr>
              <w:t>，</w:t>
            </w:r>
            <w:r>
              <w:rPr>
                <w:rFonts w:ascii="Segoe UI" w:hAnsi="Segoe UI" w:eastAsia="Segoe UI" w:cs="Segoe UI"/>
                <w:i w:val="0"/>
                <w:iCs w:val="0"/>
                <w:caps w:val="0"/>
                <w:color w:val="auto"/>
                <w:spacing w:val="0"/>
                <w:sz w:val="24"/>
                <w:szCs w:val="24"/>
                <w:highlight w:val="none"/>
                <w:shd w:val="clear" w:fill="FFFFFF"/>
              </w:rPr>
              <w:t>须在装修前彻底解决外墙及窗户渗漏问题</w:t>
            </w:r>
            <w:r>
              <w:rPr>
                <w:rFonts w:hint="eastAsia" w:ascii="Segoe UI" w:hAnsi="Segoe UI" w:eastAsia="宋体" w:cs="Segoe UI"/>
                <w:i w:val="0"/>
                <w:iCs w:val="0"/>
                <w:caps w:val="0"/>
                <w:color w:val="auto"/>
                <w:spacing w:val="0"/>
                <w:sz w:val="24"/>
                <w:szCs w:val="24"/>
                <w:highlight w:val="none"/>
                <w:shd w:val="clear" w:fill="FFFFFF"/>
                <w:lang w:val="en-US" w:eastAsia="zh-CN"/>
              </w:rPr>
              <w:t>。</w:t>
            </w:r>
          </w:p>
          <w:p w14:paraId="747ED7D8">
            <w:pPr>
              <w:widowControl/>
              <w:spacing w:line="420" w:lineRule="exact"/>
              <w:ind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二</w:t>
            </w:r>
            <w:r>
              <w:rPr>
                <w:rFonts w:hint="eastAsia" w:ascii="宋体" w:hAnsi="宋体" w:cs="宋体"/>
                <w:b/>
                <w:bCs/>
                <w:i w:val="0"/>
                <w:iCs w:val="0"/>
                <w:color w:val="auto"/>
                <w:kern w:val="0"/>
                <w:sz w:val="24"/>
                <w:szCs w:val="24"/>
                <w:highlight w:val="none"/>
                <w:u w:val="none"/>
                <w:lang w:val="en-US" w:eastAsia="zh-CN" w:bidi="ar"/>
              </w:rPr>
              <w:t>、</w:t>
            </w:r>
            <w:r>
              <w:rPr>
                <w:rFonts w:hint="eastAsia" w:ascii="宋体" w:hAnsi="宋体" w:eastAsia="宋体" w:cs="宋体"/>
                <w:b/>
                <w:bCs/>
                <w:i w:val="0"/>
                <w:iCs w:val="0"/>
                <w:color w:val="auto"/>
                <w:kern w:val="0"/>
                <w:sz w:val="24"/>
                <w:szCs w:val="24"/>
                <w:highlight w:val="none"/>
                <w:u w:val="none"/>
                <w:lang w:val="en-US" w:eastAsia="zh-CN" w:bidi="ar"/>
              </w:rPr>
              <w:t>区域展示布展</w:t>
            </w:r>
          </w:p>
          <w:p w14:paraId="53109884">
            <w:pPr>
              <w:widowControl/>
              <w:spacing w:line="420" w:lineRule="exact"/>
              <w:ind w:firstLine="482" w:firstLineChars="200"/>
              <w:jc w:val="both"/>
              <w:rPr>
                <w:rFonts w:hint="eastAsia" w:ascii="宋体" w:hAnsi="宋体" w:cs="宋体"/>
                <w:b/>
                <w:bCs/>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2.1</w:t>
            </w:r>
            <w:r>
              <w:rPr>
                <w:rFonts w:hint="eastAsia" w:ascii="宋体" w:hAnsi="宋体" w:cs="宋体"/>
                <w:b/>
                <w:bCs/>
                <w:color w:val="auto"/>
                <w:kern w:val="0"/>
                <w:sz w:val="24"/>
                <w:szCs w:val="24"/>
                <w:highlight w:val="none"/>
              </w:rPr>
              <w:t>“自然之门”区域展示布展</w:t>
            </w:r>
          </w:p>
          <w:p w14:paraId="71CB93C2">
            <w:pPr>
              <w:widowControl/>
              <w:spacing w:line="420" w:lineRule="exact"/>
              <w:ind w:firstLine="480" w:firstLineChars="200"/>
              <w:jc w:val="both"/>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rPr>
              <w:t>区域展示布展说明</w:t>
            </w:r>
            <w:r>
              <w:rPr>
                <w:rFonts w:hint="eastAsia" w:ascii="宋体" w:hAnsi="宋体" w:cs="宋体"/>
                <w:color w:val="auto"/>
                <w:kern w:val="0"/>
                <w:sz w:val="24"/>
                <w:szCs w:val="24"/>
                <w:highlight w:val="none"/>
                <w:lang w:eastAsia="zh-CN"/>
              </w:rPr>
              <w:t>：该区域引导观众从“认识金花茶”转向“理解人与金花茶的共生关系”，明确“从认知到行动”的展陈主线，以科技为桥建立人与自然的初次对话，锚定“人类参与生态保护”的核心定位。</w:t>
            </w:r>
          </w:p>
          <w:p w14:paraId="65873B32">
            <w:pPr>
              <w:widowControl/>
              <w:spacing w:line="420" w:lineRule="exact"/>
              <w:ind w:firstLine="482" w:firstLineChars="200"/>
              <w:jc w:val="both"/>
              <w:rPr>
                <w:rFonts w:hint="eastAsia" w:ascii="宋体" w:hAnsi="宋体" w:eastAsia="宋体" w:cs="宋体"/>
                <w:b/>
                <w:bCs/>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2.2</w:t>
            </w:r>
            <w:r>
              <w:rPr>
                <w:rFonts w:hint="eastAsia" w:ascii="宋体" w:hAnsi="宋体" w:eastAsia="宋体" w:cs="宋体"/>
                <w:b/>
                <w:bCs/>
                <w:color w:val="auto"/>
                <w:kern w:val="0"/>
                <w:sz w:val="24"/>
                <w:szCs w:val="24"/>
                <w:highlight w:val="none"/>
              </w:rPr>
              <w:t>“记忆共生”区域展示布展</w:t>
            </w:r>
          </w:p>
          <w:p w14:paraId="7A493A7A">
            <w:pPr>
              <w:widowControl/>
              <w:spacing w:line="420" w:lineRule="exact"/>
              <w:ind w:firstLine="480" w:firstLineChars="200"/>
              <w:jc w:val="both"/>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区域展示布展说明</w:t>
            </w:r>
            <w:r>
              <w:rPr>
                <w:rFonts w:hint="eastAsia" w:ascii="宋体" w:hAnsi="宋体" w:eastAsia="宋体" w:cs="宋体"/>
                <w:color w:val="auto"/>
                <w:kern w:val="0"/>
                <w:sz w:val="24"/>
                <w:szCs w:val="24"/>
                <w:highlight w:val="none"/>
                <w:lang w:eastAsia="zh-CN"/>
              </w:rPr>
              <w:t>：展现人与物种的协同史，人与自然的共生记忆，打造出一条地质纪元为轴线的沉浸式穿越地球演化历程体验通道，理解“保护金花茶就是守护共同的生命记忆”。</w:t>
            </w:r>
          </w:p>
          <w:p w14:paraId="74F327EB">
            <w:pPr>
              <w:widowControl/>
              <w:spacing w:line="420" w:lineRule="exact"/>
              <w:ind w:firstLine="482" w:firstLineChars="200"/>
              <w:jc w:val="both"/>
              <w:rPr>
                <w:rFonts w:hint="eastAsia" w:ascii="宋体" w:hAnsi="宋体" w:eastAsia="宋体" w:cs="宋体"/>
                <w:b/>
                <w:bCs/>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2.3</w:t>
            </w:r>
            <w:r>
              <w:rPr>
                <w:rFonts w:hint="eastAsia" w:ascii="宋体" w:hAnsi="宋体" w:eastAsia="宋体" w:cs="宋体"/>
                <w:b/>
                <w:bCs/>
                <w:color w:val="auto"/>
                <w:kern w:val="0"/>
                <w:sz w:val="24"/>
                <w:szCs w:val="24"/>
                <w:highlight w:val="none"/>
              </w:rPr>
              <w:t>“自然故事夜”区域展示布展</w:t>
            </w:r>
          </w:p>
          <w:p w14:paraId="0DCACE53">
            <w:pPr>
              <w:widowControl/>
              <w:spacing w:line="420" w:lineRule="exact"/>
              <w:ind w:firstLine="480" w:firstLineChars="200"/>
              <w:jc w:val="both"/>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区域展示布展说明</w:t>
            </w:r>
            <w:r>
              <w:rPr>
                <w:rFonts w:hint="eastAsia" w:ascii="宋体" w:hAnsi="宋体" w:eastAsia="宋体" w:cs="宋体"/>
                <w:color w:val="auto"/>
                <w:kern w:val="0"/>
                <w:sz w:val="24"/>
                <w:szCs w:val="24"/>
                <w:highlight w:val="none"/>
                <w:lang w:eastAsia="zh-CN"/>
              </w:rPr>
              <w:t>：区域为一个圆形区域，中央区域为一株仿真大树，四周环形搭建背景灯箱，模拟森林、山脉和星空远景，环形灯箱前环形搭建仿真树林绿植带，用全息显示设备显示各种树上和地上的动物，区域天花顶悬挂灯光系统营造夜空月光光线透过大树的丁达尔效果和萤火虫效果。全景音响模拟夜间各类动物从不同角度发出的声音。薄雾造物机模拟森林内的雾气，也加强了丁达尔效果的美丽和谐意境。打造夜间森林场景，展区内容基于“生态链层级”设计，每个故事都包含“上游关联-下游影响”的科普逻辑，用生动的童话/故事形式解释复杂的生态平衡原理。</w:t>
            </w:r>
          </w:p>
          <w:p w14:paraId="24D41E74">
            <w:pPr>
              <w:widowControl/>
              <w:spacing w:line="420" w:lineRule="exact"/>
              <w:ind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2.4“自然同行”区域展示布展</w:t>
            </w:r>
          </w:p>
          <w:p w14:paraId="7B0650F3">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区域展示布展说明：布展展示“人类与自然的双向互动”，从“物种适应”升级为“人类参与”，让抽象的“保护行动”具象化。</w:t>
            </w:r>
            <w:r>
              <w:rPr>
                <w:rFonts w:hint="eastAsia" w:ascii="宋体" w:hAnsi="宋体" w:cs="宋体"/>
                <w:i w:val="0"/>
                <w:iCs w:val="0"/>
                <w:color w:val="auto"/>
                <w:kern w:val="0"/>
                <w:sz w:val="24"/>
                <w:szCs w:val="24"/>
                <w:highlight w:val="none"/>
                <w:u w:val="none"/>
                <w:lang w:val="en-US" w:eastAsia="zh-CN" w:bidi="ar"/>
              </w:rPr>
              <w:t>该区域包含磁吸七巧板互动墙、弧形感应墙。</w:t>
            </w:r>
          </w:p>
          <w:p w14:paraId="7490721E">
            <w:pPr>
              <w:widowControl/>
              <w:spacing w:line="420" w:lineRule="exact"/>
              <w:ind w:firstLine="482" w:firstLineChars="200"/>
              <w:jc w:val="both"/>
              <w:rPr>
                <w:rFonts w:hint="eastAsia" w:ascii="宋体" w:hAnsi="宋体" w:eastAsia="宋体" w:cs="宋体"/>
                <w:b/>
                <w:bCs/>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2.5</w:t>
            </w:r>
            <w:r>
              <w:rPr>
                <w:rFonts w:hint="eastAsia" w:ascii="宋体" w:hAnsi="宋体" w:eastAsia="宋体" w:cs="宋体"/>
                <w:b/>
                <w:bCs/>
                <w:color w:val="auto"/>
                <w:kern w:val="0"/>
                <w:sz w:val="24"/>
                <w:szCs w:val="24"/>
                <w:highlight w:val="none"/>
              </w:rPr>
              <w:t>“生境舞台”区域展示布展</w:t>
            </w:r>
          </w:p>
          <w:p w14:paraId="7E814092">
            <w:pPr>
              <w:widowControl/>
              <w:spacing w:line="420" w:lineRule="exact"/>
              <w:ind w:firstLine="480" w:firstLineChars="200"/>
              <w:jc w:val="both"/>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区域展示布展说明</w:t>
            </w:r>
            <w:r>
              <w:rPr>
                <w:rFonts w:hint="eastAsia" w:ascii="宋体" w:hAnsi="宋体" w:eastAsia="宋体" w:cs="宋体"/>
                <w:color w:val="auto"/>
                <w:kern w:val="0"/>
                <w:sz w:val="24"/>
                <w:szCs w:val="24"/>
                <w:highlight w:val="none"/>
                <w:lang w:eastAsia="zh-CN"/>
              </w:rPr>
              <w:t>：将原有采光井改造为一个敞开式小舞台，用“森境微缩戏台+静态背景+动态光影+音效”的纯演绎形式，按“地球演化→生态形成→和谐共生→共生之基→呼吁参与”五段式结构展开，全程5分钟自动循环，无任何互动设计，聚焦“沉浸叙事+意识传递”，衔接“物种认知→生态关联→人类行动→未来共生”核心闭环。</w:t>
            </w:r>
          </w:p>
          <w:p w14:paraId="4A9B9EC0">
            <w:pPr>
              <w:widowControl/>
              <w:spacing w:line="420" w:lineRule="exact"/>
              <w:ind w:firstLine="482" w:firstLineChars="200"/>
              <w:jc w:val="both"/>
              <w:rPr>
                <w:rFonts w:hint="eastAsia" w:ascii="宋体" w:hAnsi="宋体" w:eastAsia="宋体" w:cs="宋体"/>
                <w:b/>
                <w:bCs/>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2.6</w:t>
            </w:r>
            <w:r>
              <w:rPr>
                <w:rFonts w:hint="eastAsia" w:ascii="宋体" w:hAnsi="宋体" w:eastAsia="宋体" w:cs="宋体"/>
                <w:b/>
                <w:bCs/>
                <w:color w:val="auto"/>
                <w:kern w:val="0"/>
                <w:sz w:val="24"/>
                <w:szCs w:val="24"/>
                <w:highlight w:val="none"/>
              </w:rPr>
              <w:t>“共鸣之声”区域展示布展</w:t>
            </w:r>
          </w:p>
          <w:p w14:paraId="3BDA9DC7">
            <w:pPr>
              <w:widowControl/>
              <w:spacing w:line="420" w:lineRule="exact"/>
              <w:ind w:firstLine="480" w:firstLineChars="200"/>
              <w:jc w:val="both"/>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区域展示布展说明</w:t>
            </w:r>
            <w:r>
              <w:rPr>
                <w:rFonts w:hint="eastAsia" w:ascii="宋体" w:hAnsi="宋体" w:eastAsia="宋体" w:cs="宋体"/>
                <w:color w:val="auto"/>
                <w:kern w:val="0"/>
                <w:sz w:val="24"/>
                <w:szCs w:val="24"/>
                <w:highlight w:val="none"/>
                <w:lang w:eastAsia="zh-CN"/>
              </w:rPr>
              <w:t>：该区域主要做简单吸音墙面装修，配以藤蔓等装饰物和仿真造景，室内三面墙设立6个独立体验的听音位，整体营造“置身金花茶林”的沉浸感。6个不同主题的听音位，打造一个隔绝外界噪音的“声音博物馆”，参观者戴上耳机，指尖划过屏幕即可切换“雨林声”、“昆虫声”或“人类噪音”，在强烈的听觉对比中，通过多声道系统，让耳朵去触摸金花茶林的四季脉搏，深刻共情生物多样性的重要性。配上场地中间互动桌，听声音选动物。</w:t>
            </w:r>
          </w:p>
          <w:p w14:paraId="6403549C">
            <w:pPr>
              <w:widowControl/>
              <w:spacing w:line="420" w:lineRule="exact"/>
              <w:ind w:firstLine="482" w:firstLineChars="200"/>
              <w:jc w:val="both"/>
              <w:rPr>
                <w:rFonts w:hint="eastAsia" w:ascii="宋体" w:hAnsi="宋体" w:eastAsia="宋体" w:cs="宋体"/>
                <w:b/>
                <w:bCs/>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2.7</w:t>
            </w:r>
            <w:r>
              <w:rPr>
                <w:rFonts w:hint="eastAsia" w:ascii="宋体" w:hAnsi="宋体" w:eastAsia="宋体" w:cs="宋体"/>
                <w:b/>
                <w:bCs/>
                <w:color w:val="auto"/>
                <w:kern w:val="0"/>
                <w:sz w:val="24"/>
                <w:szCs w:val="24"/>
                <w:highlight w:val="none"/>
              </w:rPr>
              <w:t>“研学芬芳”区域展示布展</w:t>
            </w:r>
          </w:p>
          <w:p w14:paraId="7CB63A10">
            <w:pPr>
              <w:widowControl/>
              <w:spacing w:line="420" w:lineRule="exact"/>
              <w:ind w:firstLine="480" w:firstLineChars="200"/>
              <w:jc w:val="both"/>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区域展示布展说明</w:t>
            </w:r>
            <w:r>
              <w:rPr>
                <w:rFonts w:hint="eastAsia" w:ascii="宋体" w:hAnsi="宋体" w:eastAsia="宋体" w:cs="宋体"/>
                <w:color w:val="auto"/>
                <w:kern w:val="0"/>
                <w:sz w:val="24"/>
                <w:szCs w:val="24"/>
                <w:highlight w:val="none"/>
                <w:lang w:eastAsia="zh-CN"/>
              </w:rPr>
              <w:t>：空间规划19.5m*7.1m可容纳60人的多功能教室，教室内安装有显示大屏，定制置物架讲台，配备课桌座椅等，满足现代研学活动的授课教学、互动活动、参观观摩等需求。</w:t>
            </w:r>
          </w:p>
          <w:p w14:paraId="70693888">
            <w:pPr>
              <w:widowControl/>
              <w:spacing w:line="420" w:lineRule="exact"/>
              <w:ind w:firstLine="482" w:firstLineChars="200"/>
              <w:jc w:val="both"/>
              <w:rPr>
                <w:rFonts w:hint="eastAsia" w:ascii="宋体" w:hAnsi="宋体" w:eastAsia="宋体" w:cs="宋体"/>
                <w:b/>
                <w:bCs/>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2.8</w:t>
            </w:r>
            <w:r>
              <w:rPr>
                <w:rFonts w:hint="eastAsia" w:ascii="宋体" w:hAnsi="宋体" w:eastAsia="宋体" w:cs="宋体"/>
                <w:b/>
                <w:bCs/>
                <w:color w:val="auto"/>
                <w:kern w:val="0"/>
                <w:sz w:val="24"/>
                <w:szCs w:val="24"/>
                <w:highlight w:val="none"/>
              </w:rPr>
              <w:t>“敬畏自然”区域展示布展</w:t>
            </w:r>
          </w:p>
          <w:p w14:paraId="1CEDFEC2">
            <w:pPr>
              <w:widowControl/>
              <w:spacing w:line="420" w:lineRule="exact"/>
              <w:ind w:firstLine="480" w:firstLineChars="200"/>
              <w:jc w:val="both"/>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区域展示布展说明</w:t>
            </w:r>
            <w:r>
              <w:rPr>
                <w:rFonts w:hint="eastAsia" w:ascii="宋体" w:hAnsi="宋体" w:eastAsia="宋体" w:cs="宋体"/>
                <w:color w:val="auto"/>
                <w:kern w:val="0"/>
                <w:sz w:val="24"/>
                <w:szCs w:val="24"/>
                <w:highlight w:val="none"/>
                <w:lang w:eastAsia="zh-CN"/>
              </w:rPr>
              <w:t>：采用“可视化呈现+破坏生态后果模拟+法律责任图文展示”三位一体的方式，精心构建沉浸式体验环境，将抽象的法律条文转化为生动可感的互动场景，引导观众深入理解生态保护的深远意义。</w:t>
            </w:r>
          </w:p>
          <w:p w14:paraId="2F696BA0">
            <w:pPr>
              <w:widowControl/>
              <w:spacing w:line="420" w:lineRule="exact"/>
              <w:ind w:firstLine="482" w:firstLineChars="200"/>
              <w:jc w:val="both"/>
              <w:rPr>
                <w:rFonts w:hint="eastAsia" w:ascii="宋体" w:hAnsi="宋体" w:eastAsia="宋体" w:cs="宋体"/>
                <w:b/>
                <w:bCs/>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2.9</w:t>
            </w:r>
            <w:r>
              <w:rPr>
                <w:rFonts w:hint="eastAsia" w:ascii="宋体" w:hAnsi="宋体" w:eastAsia="宋体" w:cs="宋体"/>
                <w:b/>
                <w:bCs/>
                <w:color w:val="auto"/>
                <w:kern w:val="0"/>
                <w:sz w:val="24"/>
                <w:szCs w:val="24"/>
                <w:highlight w:val="none"/>
              </w:rPr>
              <w:t>“自然数字语”区域展示布展</w:t>
            </w:r>
          </w:p>
          <w:p w14:paraId="70D851E4">
            <w:pPr>
              <w:widowControl/>
              <w:spacing w:line="420" w:lineRule="exact"/>
              <w:ind w:firstLine="480" w:firstLineChars="200"/>
              <w:jc w:val="both"/>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区域展示布展说明</w:t>
            </w:r>
            <w:r>
              <w:rPr>
                <w:rFonts w:hint="eastAsia" w:ascii="宋体" w:hAnsi="宋体" w:eastAsia="宋体" w:cs="宋体"/>
                <w:color w:val="auto"/>
                <w:kern w:val="0"/>
                <w:sz w:val="24"/>
                <w:szCs w:val="24"/>
                <w:highlight w:val="none"/>
                <w:lang w:eastAsia="zh-CN"/>
              </w:rPr>
              <w:t>：让公众成为“科普代言人”，从“被动听”升级为“主动说”，实现保护理念的个性化表达与传播。区域为5.6m*6.2m的方形区域，一面墙内嵌2套体感互动展示柜，一面墙内嵌4m*1m多彩光学导光亚克力作为可擦写留言墙，另一侧为整个4层活动区域出口，出口旁配置AI合影留念一体柜机。</w:t>
            </w:r>
          </w:p>
          <w:p w14:paraId="1295A81E">
            <w:pPr>
              <w:widowControl/>
              <w:spacing w:line="420" w:lineRule="exact"/>
              <w:ind w:firstLine="482" w:firstLineChars="200"/>
              <w:jc w:val="both"/>
              <w:rPr>
                <w:rFonts w:hint="eastAsia" w:ascii="宋体" w:hAnsi="宋体" w:eastAsia="宋体" w:cs="宋体"/>
                <w:b/>
                <w:bCs/>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2.10</w:t>
            </w:r>
            <w:r>
              <w:rPr>
                <w:rFonts w:hint="eastAsia" w:ascii="宋体" w:hAnsi="宋体" w:eastAsia="宋体" w:cs="宋体"/>
                <w:b/>
                <w:bCs/>
                <w:color w:val="auto"/>
                <w:kern w:val="0"/>
                <w:sz w:val="24"/>
                <w:szCs w:val="24"/>
                <w:highlight w:val="none"/>
              </w:rPr>
              <w:t>休憩区展示布展</w:t>
            </w:r>
          </w:p>
          <w:p w14:paraId="699138DB">
            <w:pPr>
              <w:widowControl/>
              <w:spacing w:line="420" w:lineRule="exact"/>
              <w:ind w:firstLine="480" w:firstLineChars="200"/>
              <w:jc w:val="both"/>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区域建设说明</w:t>
            </w:r>
            <w:r>
              <w:rPr>
                <w:rFonts w:hint="eastAsia" w:ascii="宋体" w:hAnsi="宋体" w:eastAsia="宋体" w:cs="宋体"/>
                <w:color w:val="auto"/>
                <w:kern w:val="0"/>
                <w:sz w:val="24"/>
                <w:szCs w:val="24"/>
                <w:highlight w:val="none"/>
                <w:lang w:eastAsia="zh-CN"/>
              </w:rPr>
              <w:t>：该区域设置在整个2层活动区域外侧空旷区域，利用原有场地优势，为研学团队或参观者提供人性化服务。</w:t>
            </w:r>
          </w:p>
          <w:p w14:paraId="2573E548">
            <w:pPr>
              <w:widowControl/>
              <w:spacing w:line="420" w:lineRule="exact"/>
              <w:ind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2.11中控系统设备</w:t>
            </w:r>
          </w:p>
          <w:p w14:paraId="57B38FD3">
            <w:pPr>
              <w:widowControl/>
              <w:spacing w:line="420" w:lineRule="exact"/>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区域建设说明：该板块为衔接各个区域的设备，主要放置在总控机房，方便集中控制2楼互动设备，包含控制媒体服务器、显示设备、LED屏、投影、红外、互动雷达探测、音响、效果灯光等设备的电源、信号源切换、开关机等。并可对互动设备服务器的工作模版、场景模式进行切换，通过与1楼、4楼的设备互联，可进行统一控制，赠送视频播放软件。</w:t>
            </w:r>
          </w:p>
          <w:p w14:paraId="7DF71C94">
            <w:pPr>
              <w:widowControl/>
              <w:spacing w:line="360" w:lineRule="auto"/>
              <w:ind w:firstLine="420"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color w:val="auto"/>
                <w:highlight w:val="none"/>
              </w:rPr>
              <w:drawing>
                <wp:inline distT="0" distB="0" distL="114300" distR="114300">
                  <wp:extent cx="2836545" cy="2285365"/>
                  <wp:effectExtent l="0" t="0" r="1905"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9"/>
                          <a:stretch>
                            <a:fillRect/>
                          </a:stretch>
                        </pic:blipFill>
                        <pic:spPr>
                          <a:xfrm>
                            <a:off x="0" y="0"/>
                            <a:ext cx="2836545" cy="2285365"/>
                          </a:xfrm>
                          <a:prstGeom prst="rect">
                            <a:avLst/>
                          </a:prstGeom>
                          <a:noFill/>
                          <a:ln>
                            <a:noFill/>
                          </a:ln>
                        </pic:spPr>
                      </pic:pic>
                    </a:graphicData>
                  </a:graphic>
                </wp:inline>
              </w:drawing>
            </w:r>
          </w:p>
          <w:p w14:paraId="360A0200">
            <w:pPr>
              <w:widowControl/>
              <w:spacing w:line="360" w:lineRule="auto"/>
              <w:ind w:firstLine="472" w:firstLineChars="200"/>
              <w:jc w:val="center"/>
              <w:rPr>
                <w:rFonts w:hint="eastAsia" w:ascii="宋体" w:hAnsi="宋体" w:eastAsia="宋体" w:cs="宋体"/>
                <w:b/>
                <w:bCs/>
                <w:i w:val="0"/>
                <w:iCs w:val="0"/>
                <w:color w:val="auto"/>
                <w:kern w:val="0"/>
                <w:sz w:val="24"/>
                <w:szCs w:val="24"/>
                <w:highlight w:val="none"/>
                <w:u w:val="none"/>
                <w:lang w:val="en-US" w:eastAsia="zh-CN" w:bidi="ar"/>
              </w:rPr>
            </w:pPr>
            <w:r>
              <w:rPr>
                <w:rFonts w:ascii="仿宋" w:hAnsi="仿宋" w:eastAsia="仿宋" w:cs="仿宋"/>
                <w:color w:val="auto"/>
                <w:spacing w:val="8"/>
                <w:sz w:val="22"/>
                <w:szCs w:val="22"/>
                <w:highlight w:val="none"/>
              </w:rPr>
              <w:t>二楼金花茶科普研学展区规划图</w:t>
            </w:r>
          </w:p>
          <w:p w14:paraId="49572691">
            <w:pPr>
              <w:widowControl/>
              <w:spacing w:line="420" w:lineRule="exact"/>
              <w:ind w:firstLine="482" w:firstLineChars="200"/>
              <w:jc w:val="both"/>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2.12 展示布展内容和风格需协调。</w:t>
            </w:r>
            <w:r>
              <w:rPr>
                <w:rFonts w:hint="eastAsia" w:ascii="宋体" w:hAnsi="宋体" w:cs="宋体"/>
                <w:b w:val="0"/>
                <w:bCs w:val="0"/>
                <w:i w:val="0"/>
                <w:iCs w:val="0"/>
                <w:color w:val="auto"/>
                <w:kern w:val="0"/>
                <w:sz w:val="24"/>
                <w:szCs w:val="24"/>
                <w:highlight w:val="none"/>
                <w:u w:val="none"/>
                <w:lang w:val="en-US" w:eastAsia="zh-CN" w:bidi="ar"/>
              </w:rPr>
              <w:t>二楼布展的设计和策划需兼容一楼金花茶科普馆，在大纲上与一楼现有的金花茶科普宣教馆内容衔接为一个整体。</w:t>
            </w:r>
            <w:r>
              <w:rPr>
                <w:rFonts w:ascii="Segoe UI" w:hAnsi="Segoe UI" w:eastAsia="Segoe UI" w:cs="Segoe UI"/>
                <w:i w:val="0"/>
                <w:iCs w:val="0"/>
                <w:caps w:val="0"/>
                <w:color w:val="auto"/>
                <w:spacing w:val="0"/>
                <w:sz w:val="24"/>
                <w:szCs w:val="24"/>
                <w:highlight w:val="none"/>
                <w:shd w:val="clear" w:fill="FFFFFF"/>
              </w:rPr>
              <w:t>一楼</w:t>
            </w:r>
            <w:r>
              <w:rPr>
                <w:rFonts w:hint="eastAsia" w:ascii="Segoe UI" w:hAnsi="Segoe UI" w:eastAsia="宋体" w:cs="Segoe UI"/>
                <w:i w:val="0"/>
                <w:iCs w:val="0"/>
                <w:caps w:val="0"/>
                <w:color w:val="auto"/>
                <w:spacing w:val="0"/>
                <w:sz w:val="24"/>
                <w:szCs w:val="24"/>
                <w:highlight w:val="none"/>
                <w:shd w:val="clear" w:fill="FFFFFF"/>
                <w:lang w:val="en-US" w:eastAsia="zh-CN"/>
              </w:rPr>
              <w:t>金花茶科普展馆</w:t>
            </w:r>
            <w:r>
              <w:rPr>
                <w:rFonts w:ascii="Segoe UI" w:hAnsi="Segoe UI" w:eastAsia="Segoe UI" w:cs="Segoe UI"/>
                <w:i w:val="0"/>
                <w:iCs w:val="0"/>
                <w:caps w:val="0"/>
                <w:color w:val="auto"/>
                <w:spacing w:val="0"/>
                <w:sz w:val="24"/>
                <w:szCs w:val="24"/>
                <w:highlight w:val="none"/>
                <w:shd w:val="clear" w:fill="FFFFFF"/>
              </w:rPr>
              <w:t>以图文并茂的</w:t>
            </w:r>
            <w:r>
              <w:rPr>
                <w:rFonts w:hint="eastAsia" w:ascii="Segoe UI" w:hAnsi="Segoe UI" w:eastAsia="宋体" w:cs="Segoe UI"/>
                <w:i w:val="0"/>
                <w:iCs w:val="0"/>
                <w:caps w:val="0"/>
                <w:color w:val="auto"/>
                <w:spacing w:val="0"/>
                <w:sz w:val="24"/>
                <w:szCs w:val="24"/>
                <w:highlight w:val="none"/>
                <w:shd w:val="clear" w:fill="FFFFFF"/>
                <w:lang w:val="en-US" w:eastAsia="zh-CN"/>
              </w:rPr>
              <w:t>展示</w:t>
            </w:r>
            <w:r>
              <w:rPr>
                <w:rFonts w:hint="eastAsia" w:ascii="Segoe UI" w:hAnsi="Segoe UI" w:eastAsia="宋体" w:cs="Segoe UI"/>
                <w:i w:val="0"/>
                <w:iCs w:val="0"/>
                <w:caps w:val="0"/>
                <w:color w:val="auto"/>
                <w:spacing w:val="0"/>
                <w:sz w:val="24"/>
                <w:szCs w:val="24"/>
                <w:highlight w:val="none"/>
                <w:shd w:val="clear" w:fill="FFFFFF"/>
                <w:lang w:eastAsia="zh-CN"/>
              </w:rPr>
              <w:t>，</w:t>
            </w:r>
            <w:r>
              <w:rPr>
                <w:rFonts w:hint="eastAsia" w:ascii="Segoe UI" w:hAnsi="Segoe UI" w:eastAsia="宋体" w:cs="Segoe UI"/>
                <w:i w:val="0"/>
                <w:iCs w:val="0"/>
                <w:caps w:val="0"/>
                <w:color w:val="auto"/>
                <w:spacing w:val="0"/>
                <w:sz w:val="24"/>
                <w:szCs w:val="24"/>
                <w:highlight w:val="none"/>
                <w:shd w:val="clear" w:fill="FFFFFF"/>
                <w:lang w:val="en-US" w:eastAsia="zh-CN"/>
              </w:rPr>
              <w:t>建有金花茶标本和仿生场景</w:t>
            </w:r>
            <w:r>
              <w:rPr>
                <w:rFonts w:ascii="Segoe UI" w:hAnsi="Segoe UI" w:eastAsia="Segoe UI" w:cs="Segoe UI"/>
                <w:i w:val="0"/>
                <w:iCs w:val="0"/>
                <w:caps w:val="0"/>
                <w:color w:val="auto"/>
                <w:spacing w:val="0"/>
                <w:sz w:val="24"/>
                <w:szCs w:val="24"/>
                <w:highlight w:val="none"/>
                <w:shd w:val="clear" w:fill="FFFFFF"/>
              </w:rPr>
              <w:t>、</w:t>
            </w:r>
            <w:r>
              <w:rPr>
                <w:rFonts w:hint="eastAsia" w:ascii="Segoe UI" w:hAnsi="Segoe UI" w:eastAsia="宋体" w:cs="Segoe UI"/>
                <w:i w:val="0"/>
                <w:iCs w:val="0"/>
                <w:caps w:val="0"/>
                <w:color w:val="auto"/>
                <w:spacing w:val="0"/>
                <w:sz w:val="24"/>
                <w:szCs w:val="24"/>
                <w:highlight w:val="none"/>
                <w:shd w:val="clear" w:fill="FFFFFF"/>
                <w:lang w:val="en-US" w:eastAsia="zh-CN"/>
              </w:rPr>
              <w:t>安装少量互动设备，属于</w:t>
            </w:r>
            <w:r>
              <w:rPr>
                <w:rFonts w:ascii="Segoe UI" w:hAnsi="Segoe UI" w:eastAsia="Segoe UI" w:cs="Segoe UI"/>
                <w:i w:val="0"/>
                <w:iCs w:val="0"/>
                <w:caps w:val="0"/>
                <w:color w:val="auto"/>
                <w:spacing w:val="0"/>
                <w:sz w:val="24"/>
                <w:szCs w:val="24"/>
                <w:highlight w:val="none"/>
                <w:shd w:val="clear" w:fill="FFFFFF"/>
              </w:rPr>
              <w:t>信息传递直接、展示手段相对静态、以看为主</w:t>
            </w:r>
            <w:r>
              <w:rPr>
                <w:rFonts w:hint="eastAsia" w:ascii="Segoe UI" w:hAnsi="Segoe UI" w:eastAsia="宋体" w:cs="Segoe UI"/>
                <w:i w:val="0"/>
                <w:iCs w:val="0"/>
                <w:caps w:val="0"/>
                <w:color w:val="auto"/>
                <w:spacing w:val="0"/>
                <w:sz w:val="24"/>
                <w:szCs w:val="24"/>
                <w:highlight w:val="none"/>
                <w:shd w:val="clear" w:fill="FFFFFF"/>
                <w:lang w:eastAsia="zh-CN"/>
              </w:rPr>
              <w:t>，</w:t>
            </w:r>
            <w:r>
              <w:rPr>
                <w:rFonts w:ascii="Segoe UI" w:hAnsi="Segoe UI" w:eastAsia="Segoe UI" w:cs="Segoe UI"/>
                <w:i w:val="0"/>
                <w:iCs w:val="0"/>
                <w:caps w:val="0"/>
                <w:color w:val="auto"/>
                <w:spacing w:val="0"/>
                <w:sz w:val="24"/>
                <w:szCs w:val="24"/>
                <w:highlight w:val="none"/>
                <w:shd w:val="clear" w:fill="FFFFFF"/>
              </w:rPr>
              <w:t>二楼</w:t>
            </w:r>
            <w:r>
              <w:rPr>
                <w:rFonts w:hint="eastAsia" w:ascii="Segoe UI" w:hAnsi="Segoe UI" w:eastAsia="宋体" w:cs="Segoe UI"/>
                <w:i w:val="0"/>
                <w:iCs w:val="0"/>
                <w:caps w:val="0"/>
                <w:color w:val="auto"/>
                <w:spacing w:val="0"/>
                <w:sz w:val="24"/>
                <w:szCs w:val="24"/>
                <w:highlight w:val="none"/>
                <w:shd w:val="clear" w:fill="FFFFFF"/>
                <w:lang w:val="en-US" w:eastAsia="zh-CN"/>
              </w:rPr>
              <w:t>展陈布局需要</w:t>
            </w:r>
            <w:r>
              <w:rPr>
                <w:rFonts w:ascii="Segoe UI" w:hAnsi="Segoe UI" w:eastAsia="Segoe UI" w:cs="Segoe UI"/>
                <w:i w:val="0"/>
                <w:iCs w:val="0"/>
                <w:caps w:val="0"/>
                <w:color w:val="auto"/>
                <w:spacing w:val="0"/>
                <w:sz w:val="24"/>
                <w:szCs w:val="24"/>
                <w:highlight w:val="none"/>
                <w:shd w:val="clear" w:fill="FFFFFF"/>
              </w:rPr>
              <w:t>在此基础上应实现</w:t>
            </w:r>
            <w:r>
              <w:rPr>
                <w:rFonts w:hint="default" w:ascii="Segoe UI" w:hAnsi="Segoe UI" w:eastAsia="Segoe UI" w:cs="Segoe UI"/>
                <w:b w:val="0"/>
                <w:bCs w:val="0"/>
                <w:i w:val="0"/>
                <w:iCs w:val="0"/>
                <w:caps w:val="0"/>
                <w:color w:val="auto"/>
                <w:spacing w:val="0"/>
                <w:sz w:val="24"/>
                <w:szCs w:val="24"/>
                <w:highlight w:val="none"/>
                <w:shd w:val="clear" w:fill="FFFFFF"/>
              </w:rPr>
              <w:t>升级</w:t>
            </w:r>
            <w:r>
              <w:rPr>
                <w:rFonts w:hint="eastAsia" w:ascii="Segoe UI" w:hAnsi="Segoe UI" w:eastAsia="宋体" w:cs="Segoe UI"/>
                <w:b w:val="0"/>
                <w:bCs w:val="0"/>
                <w:i w:val="0"/>
                <w:iCs w:val="0"/>
                <w:caps w:val="0"/>
                <w:color w:val="auto"/>
                <w:spacing w:val="0"/>
                <w:sz w:val="24"/>
                <w:szCs w:val="24"/>
                <w:highlight w:val="none"/>
                <w:shd w:val="clear" w:fill="FFFFFF"/>
                <w:lang w:val="en-US" w:eastAsia="zh-CN"/>
              </w:rPr>
              <w:t>和兼容</w:t>
            </w:r>
            <w:r>
              <w:rPr>
                <w:rFonts w:hint="default" w:ascii="Segoe UI" w:hAnsi="Segoe UI" w:eastAsia="Segoe UI" w:cs="Segoe UI"/>
                <w:i w:val="0"/>
                <w:iCs w:val="0"/>
                <w:caps w:val="0"/>
                <w:color w:val="auto"/>
                <w:spacing w:val="0"/>
                <w:sz w:val="24"/>
                <w:szCs w:val="24"/>
                <w:highlight w:val="none"/>
                <w:shd w:val="clear" w:fill="FFFFFF"/>
              </w:rPr>
              <w:t>。</w:t>
            </w:r>
          </w:p>
          <w:p w14:paraId="07207177">
            <w:pPr>
              <w:widowControl/>
              <w:spacing w:line="420" w:lineRule="exact"/>
              <w:ind w:firstLine="482" w:firstLineChars="200"/>
              <w:jc w:val="both"/>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w:t>
            </w:r>
            <w:r>
              <w:rPr>
                <w:rFonts w:hint="eastAsia" w:ascii="宋体" w:hAnsi="宋体" w:cs="宋体"/>
                <w:b/>
                <w:bCs/>
                <w:i w:val="0"/>
                <w:iCs w:val="0"/>
                <w:color w:val="auto"/>
                <w:kern w:val="0"/>
                <w:sz w:val="24"/>
                <w:szCs w:val="24"/>
                <w:highlight w:val="none"/>
                <w:u w:val="none"/>
                <w:lang w:val="en-US" w:eastAsia="zh-CN" w:bidi="ar"/>
              </w:rPr>
              <w:t>、</w:t>
            </w:r>
            <w:r>
              <w:rPr>
                <w:rFonts w:hint="eastAsia" w:ascii="宋体" w:hAnsi="宋体" w:eastAsia="宋体" w:cs="宋体"/>
                <w:b/>
                <w:bCs/>
                <w:i w:val="0"/>
                <w:iCs w:val="0"/>
                <w:color w:val="auto"/>
                <w:kern w:val="0"/>
                <w:sz w:val="24"/>
                <w:szCs w:val="24"/>
                <w:highlight w:val="none"/>
                <w:u w:val="none"/>
                <w:lang w:val="en-US" w:eastAsia="zh-CN" w:bidi="ar"/>
              </w:rPr>
              <w:t>布展上岳保护站森林体验实践基地</w:t>
            </w:r>
          </w:p>
          <w:p w14:paraId="355D0F14">
            <w:pPr>
              <w:widowControl/>
              <w:spacing w:line="420" w:lineRule="exact"/>
              <w:ind w:firstLine="480" w:firstLineChars="200"/>
              <w:jc w:val="both"/>
              <w:rPr>
                <w:rFonts w:hint="default" w:ascii="宋体" w:hAnsi="宋体" w:cs="宋体"/>
                <w:b w:val="0"/>
                <w:bCs w:val="0"/>
                <w:i w:val="0"/>
                <w:iCs w:val="0"/>
                <w:color w:val="auto"/>
                <w:kern w:val="0"/>
                <w:sz w:val="24"/>
                <w:szCs w:val="24"/>
                <w:highlight w:val="none"/>
                <w:u w:val="none"/>
                <w:lang w:val="en-US" w:eastAsia="zh-CN" w:bidi="ar"/>
              </w:rPr>
            </w:pPr>
            <w:r>
              <w:rPr>
                <w:rFonts w:hint="eastAsia" w:ascii="宋体" w:hAnsi="宋体" w:cs="宋体"/>
                <w:b w:val="0"/>
                <w:bCs w:val="0"/>
                <w:i w:val="0"/>
                <w:iCs w:val="0"/>
                <w:color w:val="auto"/>
                <w:kern w:val="0"/>
                <w:sz w:val="24"/>
                <w:szCs w:val="24"/>
                <w:highlight w:val="none"/>
                <w:u w:val="none"/>
                <w:lang w:val="en-US" w:eastAsia="zh-CN" w:bidi="ar"/>
              </w:rPr>
              <w:t>3.1 包含野外科普长廊布展、野外科普研学区布展、野外观鸟平台布展、手持电子显微镜等内容。</w:t>
            </w:r>
          </w:p>
        </w:tc>
      </w:tr>
    </w:tbl>
    <w:p w14:paraId="2CC4DAE9">
      <w:pPr>
        <w:pStyle w:val="30"/>
        <w:rPr>
          <w:color w:val="auto"/>
          <w:highlight w:val="none"/>
        </w:rPr>
      </w:pPr>
    </w:p>
    <w:p w14:paraId="65B360EB">
      <w:pPr>
        <w:rPr>
          <w:color w:val="auto"/>
          <w:sz w:val="24"/>
          <w:highlight w:val="none"/>
        </w:rPr>
      </w:pPr>
    </w:p>
    <w:p w14:paraId="2560587B">
      <w:pPr>
        <w:widowControl/>
        <w:spacing w:line="240" w:lineRule="auto"/>
        <w:ind w:firstLine="0" w:firstLineChars="0"/>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4468BE9E">
      <w:pPr>
        <w:widowControl/>
        <w:spacing w:line="400" w:lineRule="exact"/>
        <w:ind w:firstLine="241" w:firstLineChars="10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、商务要求表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7267"/>
      </w:tblGrid>
      <w:tr w14:paraId="3DCD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5000" w:type="pct"/>
            <w:gridSpan w:val="2"/>
          </w:tcPr>
          <w:p w14:paraId="78B538B6">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auto"/>
              <w:ind w:firstLine="241" w:firstLineChars="1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二、商务要求表</w:t>
            </w:r>
          </w:p>
        </w:tc>
      </w:tr>
      <w:tr w14:paraId="7708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90" w:type="pct"/>
            <w:vAlign w:val="center"/>
          </w:tcPr>
          <w:p w14:paraId="7758D48F">
            <w:pPr>
              <w:tabs>
                <w:tab w:val="left" w:pos="180"/>
                <w:tab w:val="left" w:pos="1620"/>
              </w:tabs>
              <w:spacing w:line="360" w:lineRule="auto"/>
              <w:ind w:firstLine="0" w:firstLineChars="0"/>
              <w:jc w:val="both"/>
              <w:rPr>
                <w:rFonts w:hint="default" w:ascii="宋体" w:hAnsi="宋体" w:eastAsia="宋体" w:cs="宋体"/>
                <w:color w:val="auto"/>
                <w:spacing w:val="0"/>
                <w:sz w:val="24"/>
                <w:szCs w:val="24"/>
                <w:highlight w:val="none"/>
                <w:lang w:val="en-US" w:eastAsia="zh-CN"/>
              </w:rPr>
            </w:pPr>
            <w:r>
              <w:rPr>
                <w:rFonts w:hint="default" w:ascii="宋体" w:hAnsi="宋体" w:eastAsia="宋体" w:cs="宋体"/>
                <w:color w:val="auto"/>
                <w:spacing w:val="0"/>
                <w:sz w:val="24"/>
                <w:szCs w:val="24"/>
                <w:highlight w:val="none"/>
                <w:lang w:val="en-US" w:eastAsia="zh-CN"/>
              </w:rPr>
              <w:t>签订合同时限</w:t>
            </w:r>
          </w:p>
        </w:tc>
        <w:tc>
          <w:tcPr>
            <w:tcW w:w="4009" w:type="pct"/>
          </w:tcPr>
          <w:p w14:paraId="3866E6A2">
            <w:pPr>
              <w:tabs>
                <w:tab w:val="left" w:pos="180"/>
                <w:tab w:val="left" w:pos="1620"/>
              </w:tabs>
              <w:spacing w:line="360" w:lineRule="auto"/>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snapToGrid/>
                <w:color w:val="auto"/>
                <w:kern w:val="2"/>
                <w:sz w:val="24"/>
                <w:szCs w:val="24"/>
                <w:highlight w:val="none"/>
                <w:lang w:eastAsia="zh-CN"/>
              </w:rPr>
              <w:t>自中标通知书发出之日起</w:t>
            </w:r>
            <w:r>
              <w:rPr>
                <w:rFonts w:hint="eastAsia" w:ascii="宋体" w:hAnsi="宋体" w:eastAsia="宋体" w:cs="宋体"/>
                <w:snapToGrid/>
                <w:color w:val="auto"/>
                <w:kern w:val="2"/>
                <w:sz w:val="24"/>
                <w:szCs w:val="24"/>
                <w:highlight w:val="none"/>
                <w:lang w:val="en-US" w:eastAsia="zh-CN"/>
              </w:rPr>
              <w:t>10</w:t>
            </w:r>
            <w:r>
              <w:rPr>
                <w:rFonts w:hint="eastAsia" w:ascii="宋体" w:hAnsi="宋体" w:eastAsia="宋体" w:cs="宋体"/>
                <w:snapToGrid/>
                <w:color w:val="auto"/>
                <w:kern w:val="2"/>
                <w:sz w:val="24"/>
                <w:szCs w:val="24"/>
                <w:highlight w:val="none"/>
                <w:lang w:eastAsia="zh-CN"/>
              </w:rPr>
              <w:t>日内。</w:t>
            </w:r>
          </w:p>
        </w:tc>
      </w:tr>
      <w:tr w14:paraId="1642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90" w:type="pct"/>
            <w:vAlign w:val="center"/>
          </w:tcPr>
          <w:p w14:paraId="190CE5D0">
            <w:pPr>
              <w:tabs>
                <w:tab w:val="left" w:pos="180"/>
                <w:tab w:val="left" w:pos="1620"/>
              </w:tabs>
              <w:spacing w:line="360" w:lineRule="auto"/>
              <w:ind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0"/>
                <w:sz w:val="24"/>
                <w:szCs w:val="24"/>
                <w:highlight w:val="none"/>
              </w:rPr>
              <w:t>报价要求</w:t>
            </w:r>
          </w:p>
        </w:tc>
        <w:tc>
          <w:tcPr>
            <w:tcW w:w="4009" w:type="pct"/>
          </w:tcPr>
          <w:p w14:paraId="3914538E">
            <w:pPr>
              <w:tabs>
                <w:tab w:val="left" w:pos="180"/>
                <w:tab w:val="left" w:pos="1620"/>
              </w:tabs>
              <w:spacing w:line="420" w:lineRule="exact"/>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1．总报价不得高于预算价，投标人应充分考虑材料价格、工期定额、资金、拨付、政策性调整等未知风险因素。</w:t>
            </w:r>
          </w:p>
          <w:p w14:paraId="5C5A4E5A">
            <w:pPr>
              <w:tabs>
                <w:tab w:val="left" w:pos="180"/>
                <w:tab w:val="left" w:pos="1620"/>
              </w:tabs>
              <w:spacing w:line="420" w:lineRule="exact"/>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2．本</w:t>
            </w:r>
            <w:r>
              <w:rPr>
                <w:rFonts w:hint="eastAsia" w:ascii="宋体" w:hAnsi="宋体" w:cs="宋体"/>
                <w:color w:val="auto"/>
                <w:spacing w:val="0"/>
                <w:sz w:val="24"/>
                <w:szCs w:val="24"/>
                <w:highlight w:val="none"/>
                <w:lang w:val="en-US" w:eastAsia="zh-CN"/>
              </w:rPr>
              <w:t>项目</w:t>
            </w:r>
            <w:r>
              <w:rPr>
                <w:rFonts w:hint="eastAsia" w:ascii="宋体" w:hAnsi="宋体" w:eastAsia="宋体" w:cs="宋体"/>
                <w:color w:val="auto"/>
                <w:spacing w:val="0"/>
                <w:sz w:val="24"/>
                <w:szCs w:val="24"/>
                <w:highlight w:val="none"/>
                <w:lang w:eastAsia="zh-CN"/>
              </w:rPr>
              <w:t>的中标价为</w:t>
            </w:r>
            <w:r>
              <w:rPr>
                <w:rFonts w:hint="eastAsia" w:ascii="宋体" w:hAnsi="宋体" w:cs="宋体"/>
                <w:color w:val="auto"/>
                <w:spacing w:val="0"/>
                <w:sz w:val="24"/>
                <w:szCs w:val="24"/>
                <w:highlight w:val="none"/>
                <w:lang w:val="en-US" w:eastAsia="zh-CN"/>
              </w:rPr>
              <w:t>暂定</w:t>
            </w:r>
            <w:r>
              <w:rPr>
                <w:rFonts w:hint="eastAsia" w:ascii="宋体" w:hAnsi="宋体" w:eastAsia="宋体" w:cs="宋体"/>
                <w:color w:val="auto"/>
                <w:spacing w:val="0"/>
                <w:sz w:val="24"/>
                <w:szCs w:val="24"/>
                <w:highlight w:val="none"/>
                <w:lang w:eastAsia="zh-CN"/>
              </w:rPr>
              <w:t>合同价</w:t>
            </w:r>
            <w:r>
              <w:rPr>
                <w:rFonts w:hint="eastAsia" w:ascii="宋体" w:hAnsi="宋体" w:cs="宋体"/>
                <w:color w:val="auto"/>
                <w:spacing w:val="0"/>
                <w:sz w:val="24"/>
                <w:szCs w:val="24"/>
                <w:highlight w:val="none"/>
                <w:lang w:eastAsia="zh-CN"/>
              </w:rPr>
              <w:t>，</w:t>
            </w:r>
            <w:r>
              <w:rPr>
                <w:rFonts w:hint="eastAsia" w:ascii="宋体" w:hAnsi="宋体" w:cs="宋体"/>
                <w:color w:val="auto"/>
                <w:spacing w:val="0"/>
                <w:sz w:val="24"/>
                <w:szCs w:val="24"/>
                <w:highlight w:val="none"/>
                <w:lang w:val="en-US" w:eastAsia="zh-CN"/>
              </w:rPr>
              <w:t>其中</w:t>
            </w:r>
            <w:r>
              <w:rPr>
                <w:rFonts w:hint="eastAsia" w:ascii="宋体" w:hAnsi="宋体" w:cs="宋体"/>
                <w:color w:val="auto"/>
                <w:spacing w:val="0"/>
                <w:sz w:val="24"/>
                <w:szCs w:val="24"/>
                <w:highlight w:val="none"/>
                <w:lang w:eastAsia="zh-CN"/>
              </w:rPr>
              <w:t>区域环境渲染及装饰</w:t>
            </w:r>
            <w:r>
              <w:rPr>
                <w:rFonts w:hint="eastAsia" w:ascii="宋体" w:hAnsi="宋体" w:cs="宋体"/>
                <w:color w:val="auto"/>
                <w:spacing w:val="0"/>
                <w:sz w:val="24"/>
                <w:szCs w:val="24"/>
                <w:highlight w:val="none"/>
                <w:lang w:val="en-US" w:eastAsia="zh-CN"/>
              </w:rPr>
              <w:t>根据竣工时以实际发生的工程量进行结算（根据业主审定后的施工图纸按规范套取清单定额计价，并按合同约定以实际发生的工程量进行结算）</w:t>
            </w:r>
            <w:r>
              <w:rPr>
                <w:rFonts w:hint="eastAsia" w:ascii="宋体" w:hAnsi="宋体" w:eastAsia="宋体" w:cs="宋体"/>
                <w:color w:val="auto"/>
                <w:spacing w:val="0"/>
                <w:sz w:val="24"/>
                <w:szCs w:val="24"/>
                <w:highlight w:val="none"/>
                <w:u w:val="single"/>
                <w:lang w:eastAsia="zh-CN"/>
              </w:rPr>
              <w:t>，</w:t>
            </w:r>
            <w:r>
              <w:rPr>
                <w:rFonts w:hint="eastAsia" w:ascii="宋体" w:hAnsi="宋体" w:cs="宋体"/>
                <w:color w:val="auto"/>
                <w:spacing w:val="0"/>
                <w:sz w:val="24"/>
                <w:szCs w:val="24"/>
                <w:highlight w:val="none"/>
                <w:lang w:val="en-US" w:eastAsia="zh-CN"/>
              </w:rPr>
              <w:t>本项目最终结算价不得高于招标中标价。</w:t>
            </w:r>
            <w:r>
              <w:rPr>
                <w:rFonts w:hint="eastAsia" w:ascii="宋体" w:hAnsi="宋体" w:eastAsia="宋体" w:cs="宋体"/>
                <w:color w:val="auto"/>
                <w:spacing w:val="0"/>
                <w:sz w:val="24"/>
                <w:szCs w:val="24"/>
                <w:highlight w:val="none"/>
                <w:lang w:eastAsia="zh-CN"/>
              </w:rPr>
              <w:t>必须包含满足本次投标全部采购需求所应提供的服务，以及伴随的货物和</w:t>
            </w:r>
            <w:r>
              <w:rPr>
                <w:rFonts w:hint="eastAsia" w:ascii="宋体" w:hAnsi="宋体" w:cs="宋体"/>
                <w:color w:val="auto"/>
                <w:spacing w:val="0"/>
                <w:sz w:val="24"/>
                <w:szCs w:val="24"/>
                <w:highlight w:val="none"/>
                <w:lang w:val="en-US" w:eastAsia="zh-CN"/>
              </w:rPr>
              <w:t>设计</w:t>
            </w:r>
            <w:r>
              <w:rPr>
                <w:rFonts w:hint="eastAsia" w:ascii="宋体" w:hAnsi="宋体" w:eastAsia="宋体" w:cs="宋体"/>
                <w:color w:val="auto"/>
                <w:spacing w:val="0"/>
                <w:sz w:val="24"/>
                <w:szCs w:val="24"/>
                <w:highlight w:val="none"/>
                <w:lang w:eastAsia="zh-CN"/>
              </w:rPr>
              <w:t>工程（如有）的价格；包含投标服务、货物、</w:t>
            </w:r>
            <w:r>
              <w:rPr>
                <w:rFonts w:hint="eastAsia" w:ascii="宋体" w:hAnsi="宋体" w:cs="宋体"/>
                <w:color w:val="auto"/>
                <w:spacing w:val="0"/>
                <w:sz w:val="24"/>
                <w:szCs w:val="24"/>
                <w:highlight w:val="none"/>
                <w:lang w:val="en-US" w:eastAsia="zh-CN"/>
              </w:rPr>
              <w:t>布展策划和施工、</w:t>
            </w:r>
            <w:r>
              <w:rPr>
                <w:rFonts w:hint="eastAsia" w:ascii="宋体" w:hAnsi="宋体" w:eastAsia="宋体" w:cs="宋体"/>
                <w:color w:val="auto"/>
                <w:spacing w:val="0"/>
                <w:sz w:val="24"/>
                <w:szCs w:val="24"/>
                <w:highlight w:val="none"/>
                <w:lang w:eastAsia="zh-CN"/>
              </w:rPr>
              <w:t>工程的成本、运输（含保险）、安装（如有）、调试、检验、技术服务、培训、税费等所有费用（采购需求另有约定的，从其约定）。</w:t>
            </w:r>
          </w:p>
          <w:p w14:paraId="33EA8AD1">
            <w:pPr>
              <w:tabs>
                <w:tab w:val="left" w:pos="180"/>
                <w:tab w:val="left" w:pos="1620"/>
              </w:tabs>
              <w:spacing w:line="420" w:lineRule="exact"/>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3．投标报价必须含以下部分，包括：</w:t>
            </w:r>
          </w:p>
          <w:p w14:paraId="22ED5AA5">
            <w:pPr>
              <w:tabs>
                <w:tab w:val="left" w:pos="180"/>
                <w:tab w:val="left" w:pos="1620"/>
              </w:tabs>
              <w:spacing w:line="420" w:lineRule="exact"/>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cs="宋体"/>
                <w:color w:val="auto"/>
                <w:spacing w:val="0"/>
                <w:sz w:val="24"/>
                <w:szCs w:val="24"/>
                <w:highlight w:val="none"/>
                <w:lang w:eastAsia="zh-CN"/>
              </w:rPr>
              <w:t>（</w:t>
            </w:r>
            <w:r>
              <w:rPr>
                <w:rFonts w:hint="eastAsia" w:ascii="宋体" w:hAnsi="宋体" w:cs="宋体"/>
                <w:color w:val="auto"/>
                <w:spacing w:val="0"/>
                <w:sz w:val="24"/>
                <w:szCs w:val="24"/>
                <w:highlight w:val="none"/>
                <w:lang w:val="en-US" w:eastAsia="zh-CN"/>
              </w:rPr>
              <w:t>1</w:t>
            </w:r>
            <w:r>
              <w:rPr>
                <w:rFonts w:hint="eastAsia" w:ascii="宋体" w:hAnsi="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eastAsia="zh-CN"/>
              </w:rPr>
              <w:t>按照本项目的专业设计、制作、运输、安装、设施软硬件设备、软硬件设备调试、各项管线辅材、劳务和机具机械、安全文明施工费</w:t>
            </w:r>
            <w:r>
              <w:rPr>
                <w:rFonts w:hint="eastAsia" w:ascii="宋体" w:hAnsi="宋体" w:cs="宋体"/>
                <w:color w:val="auto"/>
                <w:spacing w:val="0"/>
                <w:sz w:val="24"/>
                <w:szCs w:val="24"/>
                <w:highlight w:val="none"/>
                <w:lang w:eastAsia="zh-CN"/>
              </w:rPr>
              <w:t>（</w:t>
            </w:r>
            <w:r>
              <w:rPr>
                <w:rFonts w:hint="eastAsia" w:ascii="宋体" w:hAnsi="宋体" w:cs="宋体"/>
                <w:color w:val="auto"/>
                <w:spacing w:val="0"/>
                <w:sz w:val="24"/>
                <w:szCs w:val="24"/>
                <w:highlight w:val="none"/>
                <w:lang w:val="en-US" w:eastAsia="zh-CN"/>
              </w:rPr>
              <w:t>如有</w:t>
            </w:r>
            <w:r>
              <w:rPr>
                <w:rFonts w:hint="eastAsia" w:ascii="宋体" w:hAnsi="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eastAsia="zh-CN"/>
              </w:rPr>
              <w:t>、各项管理费用等费用；</w:t>
            </w:r>
          </w:p>
          <w:p w14:paraId="0CE5B335">
            <w:pPr>
              <w:tabs>
                <w:tab w:val="left" w:pos="180"/>
                <w:tab w:val="left" w:pos="1620"/>
              </w:tabs>
              <w:spacing w:line="420" w:lineRule="exact"/>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cs="宋体"/>
                <w:color w:val="auto"/>
                <w:spacing w:val="0"/>
                <w:sz w:val="24"/>
                <w:szCs w:val="24"/>
                <w:highlight w:val="none"/>
                <w:lang w:eastAsia="zh-CN"/>
              </w:rPr>
              <w:t>（</w:t>
            </w:r>
            <w:r>
              <w:rPr>
                <w:rFonts w:hint="eastAsia" w:ascii="宋体" w:hAnsi="宋体" w:cs="宋体"/>
                <w:color w:val="auto"/>
                <w:spacing w:val="0"/>
                <w:sz w:val="24"/>
                <w:szCs w:val="24"/>
                <w:highlight w:val="none"/>
                <w:lang w:val="en-US" w:eastAsia="zh-CN"/>
              </w:rPr>
              <w:t>2</w:t>
            </w:r>
            <w:r>
              <w:rPr>
                <w:rFonts w:hint="eastAsia" w:ascii="宋体" w:hAnsi="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eastAsia="zh-CN"/>
              </w:rPr>
              <w:t>素材收集、整理、撰写、</w:t>
            </w:r>
            <w:r>
              <w:rPr>
                <w:rFonts w:hint="eastAsia" w:ascii="宋体" w:hAnsi="宋体" w:cs="宋体"/>
                <w:color w:val="auto"/>
                <w:spacing w:val="0"/>
                <w:sz w:val="24"/>
                <w:szCs w:val="24"/>
                <w:highlight w:val="none"/>
                <w:lang w:val="en-US" w:eastAsia="zh-CN"/>
              </w:rPr>
              <w:t>设计与</w:t>
            </w:r>
            <w:r>
              <w:rPr>
                <w:rFonts w:hint="eastAsia" w:ascii="宋体" w:hAnsi="宋体" w:eastAsia="宋体" w:cs="宋体"/>
                <w:color w:val="auto"/>
                <w:spacing w:val="0"/>
                <w:sz w:val="24"/>
                <w:szCs w:val="24"/>
                <w:highlight w:val="none"/>
                <w:lang w:eastAsia="zh-CN"/>
              </w:rPr>
              <w:t>策划、制作</w:t>
            </w:r>
            <w:r>
              <w:rPr>
                <w:rFonts w:hint="eastAsia" w:ascii="宋体" w:hAnsi="宋体" w:cs="宋体"/>
                <w:color w:val="auto"/>
                <w:spacing w:val="0"/>
                <w:sz w:val="24"/>
                <w:szCs w:val="24"/>
                <w:highlight w:val="none"/>
                <w:lang w:eastAsia="zh-CN"/>
              </w:rPr>
              <w:t>、</w:t>
            </w:r>
            <w:r>
              <w:rPr>
                <w:rFonts w:hint="eastAsia" w:ascii="宋体" w:hAnsi="宋体" w:cs="宋体"/>
                <w:color w:val="auto"/>
                <w:spacing w:val="0"/>
                <w:sz w:val="24"/>
                <w:szCs w:val="24"/>
                <w:highlight w:val="none"/>
                <w:lang w:val="en-US" w:eastAsia="zh-CN"/>
              </w:rPr>
              <w:t>展陈大纲审核等有关</w:t>
            </w:r>
            <w:r>
              <w:rPr>
                <w:rFonts w:hint="eastAsia" w:ascii="宋体" w:hAnsi="宋体" w:eastAsia="宋体" w:cs="宋体"/>
                <w:color w:val="auto"/>
                <w:spacing w:val="0"/>
                <w:sz w:val="24"/>
                <w:szCs w:val="24"/>
                <w:highlight w:val="none"/>
                <w:lang w:eastAsia="zh-CN"/>
              </w:rPr>
              <w:t>费用；</w:t>
            </w:r>
          </w:p>
          <w:p w14:paraId="4A2192EC">
            <w:pPr>
              <w:tabs>
                <w:tab w:val="left" w:pos="180"/>
                <w:tab w:val="left" w:pos="1620"/>
              </w:tabs>
              <w:spacing w:line="420" w:lineRule="exact"/>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w:t>
            </w:r>
            <w:r>
              <w:rPr>
                <w:rFonts w:hint="eastAsia" w:ascii="宋体" w:hAnsi="宋体" w:cs="宋体"/>
                <w:color w:val="auto"/>
                <w:spacing w:val="0"/>
                <w:sz w:val="24"/>
                <w:szCs w:val="24"/>
                <w:highlight w:val="none"/>
                <w:lang w:val="en-US" w:eastAsia="zh-CN"/>
              </w:rPr>
              <w:t>项目竣工验收并交付使用后</w:t>
            </w:r>
            <w:r>
              <w:rPr>
                <w:rFonts w:hint="eastAsia" w:ascii="宋体" w:hAnsi="宋体" w:eastAsia="宋体" w:cs="宋体"/>
                <w:color w:val="auto"/>
                <w:spacing w:val="0"/>
                <w:sz w:val="24"/>
                <w:szCs w:val="24"/>
                <w:highlight w:val="none"/>
                <w:lang w:eastAsia="zh-CN"/>
              </w:rPr>
              <w:t>维修3年内的免费维护、维修、保养；</w:t>
            </w:r>
          </w:p>
          <w:p w14:paraId="5463DB17">
            <w:pPr>
              <w:tabs>
                <w:tab w:val="left" w:pos="180"/>
                <w:tab w:val="left" w:pos="1620"/>
              </w:tabs>
              <w:spacing w:line="420" w:lineRule="exact"/>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（4）必要的保险费用和各项税金；</w:t>
            </w:r>
          </w:p>
          <w:p w14:paraId="1720F820">
            <w:pPr>
              <w:tabs>
                <w:tab w:val="left" w:pos="180"/>
                <w:tab w:val="left" w:pos="1620"/>
              </w:tabs>
              <w:spacing w:line="420" w:lineRule="exact"/>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（5）合理的进场施工配合费（含</w:t>
            </w:r>
            <w:r>
              <w:rPr>
                <w:rFonts w:hint="eastAsia" w:ascii="宋体" w:hAnsi="宋体" w:cs="宋体"/>
                <w:color w:val="auto"/>
                <w:spacing w:val="0"/>
                <w:sz w:val="24"/>
                <w:szCs w:val="24"/>
                <w:highlight w:val="none"/>
                <w:lang w:val="en-US" w:eastAsia="zh-CN"/>
              </w:rPr>
              <w:t>施工电费</w:t>
            </w:r>
            <w:r>
              <w:rPr>
                <w:rFonts w:hint="eastAsia" w:ascii="宋体" w:hAnsi="宋体" w:eastAsia="宋体" w:cs="宋体"/>
                <w:color w:val="auto"/>
                <w:spacing w:val="0"/>
                <w:sz w:val="24"/>
                <w:szCs w:val="24"/>
                <w:highlight w:val="none"/>
                <w:lang w:eastAsia="zh-CN"/>
              </w:rPr>
              <w:t>）；</w:t>
            </w:r>
          </w:p>
          <w:p w14:paraId="5F76EB35">
            <w:pPr>
              <w:tabs>
                <w:tab w:val="left" w:pos="180"/>
                <w:tab w:val="left" w:pos="1620"/>
              </w:tabs>
              <w:spacing w:line="420" w:lineRule="exact"/>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（6）为验收所需的检测费；</w:t>
            </w:r>
          </w:p>
          <w:p w14:paraId="0D5271F1">
            <w:pPr>
              <w:tabs>
                <w:tab w:val="left" w:pos="180"/>
                <w:tab w:val="left" w:pos="1620"/>
              </w:tabs>
              <w:spacing w:line="4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0"/>
                <w:sz w:val="24"/>
                <w:szCs w:val="24"/>
                <w:highlight w:val="none"/>
                <w:lang w:eastAsia="zh-CN"/>
              </w:rPr>
              <w:t>（7）其他完成项目所需的费用总和。</w:t>
            </w:r>
          </w:p>
        </w:tc>
      </w:tr>
      <w:tr w14:paraId="0D48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990" w:type="pct"/>
            <w:vAlign w:val="center"/>
          </w:tcPr>
          <w:p w14:paraId="2E0EE4E7">
            <w:pPr>
              <w:tabs>
                <w:tab w:val="left" w:pos="180"/>
                <w:tab w:val="left" w:pos="1620"/>
              </w:tabs>
              <w:spacing w:line="360" w:lineRule="auto"/>
              <w:ind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0"/>
                <w:sz w:val="24"/>
                <w:szCs w:val="24"/>
                <w:highlight w:val="none"/>
              </w:rPr>
              <w:t>提交服务成果时间及地点</w:t>
            </w:r>
          </w:p>
        </w:tc>
        <w:tc>
          <w:tcPr>
            <w:tcW w:w="4009" w:type="pct"/>
          </w:tcPr>
          <w:p w14:paraId="7A103D35">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val="en-US" w:eastAsia="zh-CN"/>
              </w:rPr>
              <w:t>提交服务成果时间</w:t>
            </w:r>
            <w:r>
              <w:rPr>
                <w:rFonts w:hint="eastAsia" w:ascii="宋体" w:hAnsi="宋体" w:eastAsia="宋体" w:cs="宋体"/>
                <w:color w:val="auto"/>
                <w:spacing w:val="0"/>
                <w:sz w:val="24"/>
                <w:szCs w:val="24"/>
                <w:highlight w:val="none"/>
              </w:rPr>
              <w:t>：</w:t>
            </w:r>
            <w:r>
              <w:rPr>
                <w:rFonts w:hint="eastAsia" w:ascii="宋体" w:hAnsi="宋体"/>
                <w:color w:val="auto"/>
                <w:sz w:val="24"/>
                <w:szCs w:val="24"/>
                <w:highlight w:val="none"/>
              </w:rPr>
              <w:t>合同签订后</w:t>
            </w:r>
            <w:r>
              <w:rPr>
                <w:rFonts w:hint="eastAsia" w:ascii="宋体" w:hAnsi="宋体"/>
                <w:color w:val="auto"/>
                <w:sz w:val="24"/>
                <w:szCs w:val="24"/>
                <w:highlight w:val="none"/>
                <w:lang w:val="en-US" w:eastAsia="zh-CN"/>
              </w:rPr>
              <w:t>120天内</w:t>
            </w:r>
            <w:r>
              <w:rPr>
                <w:rFonts w:hint="eastAsia" w:ascii="宋体" w:hAnsi="宋体"/>
                <w:color w:val="auto"/>
                <w:sz w:val="24"/>
                <w:szCs w:val="24"/>
                <w:highlight w:val="none"/>
              </w:rPr>
              <w:t>通过验收并交付使用。</w:t>
            </w:r>
          </w:p>
          <w:p w14:paraId="336C6440">
            <w:pPr>
              <w:tabs>
                <w:tab w:val="left" w:pos="180"/>
                <w:tab w:val="left" w:pos="1620"/>
              </w:tabs>
              <w:spacing w:line="420" w:lineRule="exact"/>
              <w:ind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2.服务地点：采购单位指定地点。</w:t>
            </w:r>
          </w:p>
        </w:tc>
      </w:tr>
      <w:tr w14:paraId="5913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0" w:hRule="exact"/>
          <w:jc w:val="center"/>
        </w:trPr>
        <w:tc>
          <w:tcPr>
            <w:tcW w:w="990" w:type="pct"/>
            <w:vAlign w:val="center"/>
          </w:tcPr>
          <w:p w14:paraId="68855E31">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ind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付款方式</w:t>
            </w:r>
          </w:p>
        </w:tc>
        <w:tc>
          <w:tcPr>
            <w:tcW w:w="4009" w:type="pct"/>
          </w:tcPr>
          <w:p w14:paraId="6BEE756C">
            <w:pPr>
              <w:keepNext w:val="0"/>
              <w:keepLines w:val="0"/>
              <w:pageBreakBefore w:val="0"/>
              <w:widowControl/>
              <w:tabs>
                <w:tab w:val="left" w:pos="180"/>
                <w:tab w:val="left" w:pos="162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）在签订合同后，中标人支付中标金额的5%作为履约保证金（中标人如为中小企业的，按中标金额的2%）；</w:t>
            </w:r>
          </w:p>
          <w:p w14:paraId="4AFB2BEB">
            <w:pPr>
              <w:keepNext w:val="0"/>
              <w:keepLines w:val="0"/>
              <w:pageBreakBefore w:val="0"/>
              <w:widowControl/>
              <w:tabs>
                <w:tab w:val="left" w:pos="180"/>
                <w:tab w:val="left" w:pos="162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第一次付款：</w:t>
            </w:r>
            <w:r>
              <w:rPr>
                <w:rFonts w:hint="eastAsia" w:ascii="宋体" w:hAnsi="宋体" w:eastAsia="宋体" w:cs="宋体"/>
                <w:color w:val="auto"/>
                <w:sz w:val="24"/>
                <w:szCs w:val="24"/>
                <w:highlight w:val="none"/>
                <w:lang w:eastAsia="zh-CN"/>
              </w:rPr>
              <w:t>采购人收到履约保证金后在</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个工作日内向中标人支付合同金额的</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％作为预付款；</w:t>
            </w:r>
          </w:p>
          <w:p w14:paraId="0AEC9880">
            <w:pPr>
              <w:keepNext w:val="0"/>
              <w:keepLines w:val="0"/>
              <w:pageBreakBefore w:val="0"/>
              <w:widowControl/>
              <w:tabs>
                <w:tab w:val="left" w:pos="180"/>
                <w:tab w:val="left" w:pos="162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第二次付款：中标人提交布展展陈大纲，经</w:t>
            </w:r>
            <w:r>
              <w:rPr>
                <w:rFonts w:hint="eastAsia" w:ascii="宋体" w:hAnsi="宋体" w:cs="宋体"/>
                <w:color w:val="auto"/>
                <w:sz w:val="24"/>
                <w:szCs w:val="24"/>
                <w:highlight w:val="none"/>
                <w:lang w:val="en-US" w:eastAsia="zh-CN"/>
              </w:rPr>
              <w:t>采购人</w:t>
            </w:r>
            <w:r>
              <w:rPr>
                <w:rFonts w:hint="eastAsia" w:ascii="宋体" w:hAnsi="宋体" w:eastAsia="宋体" w:cs="宋体"/>
                <w:color w:val="auto"/>
                <w:sz w:val="24"/>
                <w:szCs w:val="24"/>
                <w:highlight w:val="none"/>
                <w:lang w:val="en-US" w:eastAsia="zh-CN"/>
              </w:rPr>
              <w:t>确认后，10</w:t>
            </w:r>
            <w:r>
              <w:rPr>
                <w:rFonts w:hint="eastAsia" w:ascii="宋体" w:hAnsi="宋体" w:eastAsia="宋体" w:cs="宋体"/>
                <w:color w:val="auto"/>
                <w:sz w:val="24"/>
                <w:szCs w:val="24"/>
                <w:highlight w:val="none"/>
                <w:lang w:eastAsia="zh-CN"/>
              </w:rPr>
              <w:t>个工作日内向中标人支付合同金额的</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％作为</w:t>
            </w:r>
            <w:r>
              <w:rPr>
                <w:rFonts w:hint="eastAsia" w:ascii="宋体" w:hAnsi="宋体" w:eastAsia="宋体" w:cs="宋体"/>
                <w:color w:val="auto"/>
                <w:sz w:val="24"/>
                <w:szCs w:val="24"/>
                <w:highlight w:val="none"/>
                <w:lang w:val="en-US" w:eastAsia="zh-CN"/>
              </w:rPr>
              <w:t>进度</w:t>
            </w:r>
            <w:r>
              <w:rPr>
                <w:rFonts w:hint="eastAsia" w:ascii="宋体" w:hAnsi="宋体" w:eastAsia="宋体" w:cs="宋体"/>
                <w:color w:val="auto"/>
                <w:sz w:val="24"/>
                <w:szCs w:val="24"/>
                <w:highlight w:val="none"/>
                <w:lang w:eastAsia="zh-CN"/>
              </w:rPr>
              <w:t>款；</w:t>
            </w:r>
          </w:p>
          <w:p w14:paraId="045EB40D">
            <w:pPr>
              <w:keepNext w:val="0"/>
              <w:keepLines w:val="0"/>
              <w:pageBreakBefore w:val="0"/>
              <w:widowControl/>
              <w:tabs>
                <w:tab w:val="left" w:pos="180"/>
                <w:tab w:val="left" w:pos="162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第三次付款：</w:t>
            </w:r>
            <w:r>
              <w:rPr>
                <w:rFonts w:hint="eastAsia" w:ascii="宋体" w:hAnsi="宋体" w:eastAsia="宋体" w:cs="宋体"/>
                <w:color w:val="auto"/>
                <w:sz w:val="24"/>
                <w:szCs w:val="24"/>
                <w:highlight w:val="none"/>
                <w:lang w:eastAsia="zh-CN"/>
              </w:rPr>
              <w:t>中标人完成各</w:t>
            </w:r>
            <w:r>
              <w:rPr>
                <w:rFonts w:hint="eastAsia" w:ascii="宋体" w:hAnsi="宋体" w:eastAsia="宋体" w:cs="宋体"/>
                <w:color w:val="auto"/>
                <w:sz w:val="24"/>
                <w:szCs w:val="24"/>
                <w:highlight w:val="none"/>
                <w:lang w:val="en-US" w:eastAsia="zh-CN"/>
              </w:rPr>
              <w:t>区域展示布展部分</w:t>
            </w:r>
            <w:r>
              <w:rPr>
                <w:rFonts w:hint="eastAsia" w:ascii="宋体" w:hAnsi="宋体" w:eastAsia="宋体" w:cs="宋体"/>
                <w:color w:val="auto"/>
                <w:sz w:val="24"/>
                <w:szCs w:val="24"/>
                <w:highlight w:val="none"/>
                <w:lang w:eastAsia="zh-CN"/>
              </w:rPr>
              <w:t>的所有成品类设备采购，并将</w:t>
            </w:r>
            <w:r>
              <w:rPr>
                <w:rFonts w:hint="eastAsia" w:ascii="宋体" w:hAnsi="宋体" w:eastAsia="宋体" w:cs="宋体"/>
                <w:color w:val="auto"/>
                <w:sz w:val="24"/>
                <w:szCs w:val="24"/>
                <w:highlight w:val="none"/>
                <w:lang w:val="en-US" w:eastAsia="zh-CN"/>
              </w:rPr>
              <w:t>设备</w:t>
            </w:r>
            <w:r>
              <w:rPr>
                <w:rFonts w:hint="eastAsia" w:ascii="宋体" w:hAnsi="宋体" w:eastAsia="宋体" w:cs="宋体"/>
                <w:color w:val="auto"/>
                <w:sz w:val="24"/>
                <w:szCs w:val="24"/>
                <w:highlight w:val="none"/>
                <w:lang w:eastAsia="zh-CN"/>
              </w:rPr>
              <w:t>送到指定地点，经双方开箱清点核对无误后，采购人在</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个工作日内支付合同金额的</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lang w:val="en-US" w:eastAsia="zh-CN"/>
              </w:rPr>
              <w:t>作为进度款</w:t>
            </w:r>
            <w:r>
              <w:rPr>
                <w:rFonts w:hint="eastAsia" w:ascii="宋体" w:hAnsi="宋体" w:eastAsia="宋体" w:cs="宋体"/>
                <w:color w:val="auto"/>
                <w:sz w:val="24"/>
                <w:szCs w:val="24"/>
                <w:highlight w:val="none"/>
                <w:lang w:eastAsia="zh-CN"/>
              </w:rPr>
              <w:t>；</w:t>
            </w:r>
          </w:p>
          <w:p w14:paraId="271F9FAA">
            <w:pPr>
              <w:keepNext w:val="0"/>
              <w:keepLines w:val="0"/>
              <w:pageBreakBefore w:val="0"/>
              <w:widowControl/>
              <w:tabs>
                <w:tab w:val="left" w:pos="180"/>
                <w:tab w:val="left" w:pos="162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第四次付款：中标人完成区域环境渲染及装饰、各区域展示布展、上岳保护站森林体验实践基地布展部分的</w:t>
            </w:r>
            <w:r>
              <w:rPr>
                <w:rFonts w:hint="eastAsia" w:ascii="宋体" w:hAnsi="宋体" w:eastAsia="宋体" w:cs="宋体"/>
                <w:color w:val="auto"/>
                <w:sz w:val="24"/>
                <w:szCs w:val="24"/>
                <w:highlight w:val="none"/>
                <w:lang w:eastAsia="zh-CN"/>
              </w:rPr>
              <w:t>进度达到9</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%时，采购人在</w:t>
            </w:r>
            <w:r>
              <w:rPr>
                <w:rFonts w:hint="eastAsia" w:ascii="宋体" w:hAnsi="宋体" w:eastAsia="宋体" w:cs="宋体"/>
                <w:color w:val="auto"/>
                <w:sz w:val="24"/>
                <w:szCs w:val="24"/>
                <w:highlight w:val="none"/>
                <w:lang w:val="en-US" w:eastAsia="zh-CN"/>
              </w:rPr>
              <w:t>10个工作日内</w:t>
            </w:r>
            <w:r>
              <w:rPr>
                <w:rFonts w:hint="eastAsia" w:ascii="宋体" w:hAnsi="宋体" w:eastAsia="宋体" w:cs="宋体"/>
                <w:color w:val="auto"/>
                <w:sz w:val="24"/>
                <w:szCs w:val="24"/>
                <w:highlight w:val="none"/>
                <w:lang w:eastAsia="zh-CN"/>
              </w:rPr>
              <w:t>支付合同金额的30%</w:t>
            </w:r>
            <w:r>
              <w:rPr>
                <w:rFonts w:hint="eastAsia" w:ascii="宋体" w:hAnsi="宋体" w:eastAsia="宋体" w:cs="宋体"/>
                <w:color w:val="auto"/>
                <w:sz w:val="24"/>
                <w:szCs w:val="24"/>
                <w:highlight w:val="none"/>
                <w:lang w:val="en-US" w:eastAsia="zh-CN"/>
              </w:rPr>
              <w:t>作为进度款；</w:t>
            </w:r>
          </w:p>
          <w:p w14:paraId="5F583F21">
            <w:pPr>
              <w:keepNext w:val="0"/>
              <w:keepLines w:val="0"/>
              <w:pageBreakBefore w:val="0"/>
              <w:widowControl/>
              <w:tabs>
                <w:tab w:val="left" w:pos="180"/>
                <w:tab w:val="left" w:pos="162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第五次付款：</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lang w:eastAsia="zh-CN"/>
              </w:rPr>
              <w:t>完成并通过</w:t>
            </w:r>
            <w:r>
              <w:rPr>
                <w:rFonts w:hint="eastAsia" w:ascii="宋体" w:hAnsi="宋体" w:eastAsia="宋体" w:cs="宋体"/>
                <w:color w:val="auto"/>
                <w:sz w:val="24"/>
                <w:szCs w:val="24"/>
                <w:highlight w:val="none"/>
                <w:lang w:val="en-US" w:eastAsia="zh-CN"/>
              </w:rPr>
              <w:t>采购人组织的预</w:t>
            </w:r>
            <w:r>
              <w:rPr>
                <w:rFonts w:hint="eastAsia" w:ascii="宋体" w:hAnsi="宋体" w:eastAsia="宋体" w:cs="宋体"/>
                <w:color w:val="auto"/>
                <w:sz w:val="24"/>
                <w:szCs w:val="24"/>
                <w:highlight w:val="none"/>
                <w:lang w:eastAsia="zh-CN"/>
              </w:rPr>
              <w:t>验收后，付清合同尾款；</w:t>
            </w:r>
          </w:p>
          <w:p w14:paraId="5311EA04">
            <w:pPr>
              <w:keepNext w:val="0"/>
              <w:keepLines w:val="0"/>
              <w:pageBreakBefore w:val="0"/>
              <w:widowControl/>
              <w:tabs>
                <w:tab w:val="left" w:pos="180"/>
                <w:tab w:val="left" w:pos="162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）从验收之日起到质保期（</w:t>
            </w:r>
            <w:r>
              <w:rPr>
                <w:rFonts w:hint="eastAsia" w:ascii="宋体" w:hAnsi="宋体" w:eastAsia="宋体" w:cs="宋体"/>
                <w:color w:val="auto"/>
                <w:sz w:val="24"/>
                <w:szCs w:val="24"/>
                <w:highlight w:val="none"/>
                <w:lang w:val="en-US" w:eastAsia="zh-CN"/>
              </w:rPr>
              <w:t>从采购人书面确认交付书之日起计算</w:t>
            </w:r>
            <w:r>
              <w:rPr>
                <w:rFonts w:hint="eastAsia" w:ascii="宋体" w:hAnsi="宋体" w:eastAsia="宋体" w:cs="宋体"/>
                <w:color w:val="auto"/>
                <w:sz w:val="24"/>
                <w:szCs w:val="24"/>
                <w:highlight w:val="none"/>
                <w:lang w:eastAsia="zh-CN"/>
              </w:rPr>
              <w:t>）过后无质量问题的，采购人在收到合格材料后</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个工作日内退还履约保证金（不计利息）给中标人。</w:t>
            </w:r>
          </w:p>
        </w:tc>
      </w:tr>
      <w:tr w14:paraId="089F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pct"/>
            <w:vAlign w:val="center"/>
          </w:tcPr>
          <w:p w14:paraId="412961D9">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售后服务要求</w:t>
            </w:r>
          </w:p>
        </w:tc>
        <w:tc>
          <w:tcPr>
            <w:tcW w:w="4009" w:type="pct"/>
          </w:tcPr>
          <w:p w14:paraId="639DEE47">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cs="宋体"/>
                <w:color w:val="auto"/>
                <w:spacing w:val="0"/>
                <w:sz w:val="24"/>
                <w:szCs w:val="24"/>
                <w:highlight w:val="none"/>
                <w:lang w:val="en-US" w:eastAsia="zh-CN"/>
              </w:rPr>
              <w:t>本项目涉及的所有服务内容（即整体质保，包括但不限于布展、设备等）</w:t>
            </w:r>
            <w:r>
              <w:rPr>
                <w:rFonts w:hint="eastAsia" w:ascii="宋体" w:hAnsi="宋体" w:cs="宋体"/>
                <w:color w:val="auto"/>
                <w:sz w:val="24"/>
                <w:szCs w:val="24"/>
                <w:highlight w:val="none"/>
              </w:rPr>
              <w:t>最短不得少于</w:t>
            </w:r>
            <w:r>
              <w:rPr>
                <w:rFonts w:hint="eastAsia" w:ascii="宋体" w:hAnsi="宋体" w:cs="宋体"/>
                <w:color w:val="auto"/>
                <w:sz w:val="24"/>
                <w:szCs w:val="24"/>
                <w:highlight w:val="none"/>
                <w:u w:val="none"/>
              </w:rPr>
              <w:t>3</w:t>
            </w:r>
            <w:r>
              <w:rPr>
                <w:rFonts w:hint="eastAsia" w:ascii="宋体" w:hAnsi="宋体" w:cs="宋体"/>
                <w:color w:val="auto"/>
                <w:sz w:val="24"/>
                <w:szCs w:val="24"/>
                <w:highlight w:val="none"/>
              </w:rPr>
              <w:t>年（</w:t>
            </w:r>
            <w:r>
              <w:rPr>
                <w:rFonts w:hint="eastAsia" w:ascii="宋体" w:hAnsi="宋体" w:eastAsia="宋体" w:cs="宋体"/>
                <w:color w:val="auto"/>
                <w:sz w:val="24"/>
                <w:szCs w:val="24"/>
                <w:highlight w:val="none"/>
                <w:lang w:val="en-US" w:eastAsia="zh-CN"/>
              </w:rPr>
              <w:t>从采购人书面确认交付书之日起计算</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整体质保期</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整体</w:t>
            </w:r>
            <w:r>
              <w:rPr>
                <w:rFonts w:hint="eastAsia" w:ascii="宋体" w:hAnsi="宋体" w:cs="宋体"/>
                <w:color w:val="auto"/>
                <w:sz w:val="24"/>
                <w:szCs w:val="24"/>
                <w:highlight w:val="none"/>
              </w:rPr>
              <w:t>质保期内负责上门服务、维修、更换配件，不得收取任何费用。</w:t>
            </w:r>
          </w:p>
          <w:p w14:paraId="69D73AD2">
            <w:pPr>
              <w:tabs>
                <w:tab w:val="left" w:pos="180"/>
                <w:tab w:val="left" w:pos="1620"/>
              </w:tabs>
              <w:spacing w:line="420" w:lineRule="exact"/>
              <w:ind w:firstLineChars="200"/>
              <w:rPr>
                <w:rFonts w:hint="default" w:ascii="宋体" w:hAnsi="宋体" w:cs="宋体"/>
                <w:color w:val="auto"/>
                <w:spacing w:val="0"/>
                <w:sz w:val="24"/>
                <w:szCs w:val="24"/>
                <w:highlight w:val="none"/>
                <w:lang w:val="en-US" w:eastAsia="zh-CN"/>
              </w:rPr>
            </w:pPr>
            <w:r>
              <w:rPr>
                <w:rFonts w:hint="eastAsia" w:ascii="宋体" w:hAnsi="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服务响应时间：要求中标人在接到采购人故障信息后</w:t>
            </w:r>
            <w:r>
              <w:rPr>
                <w:rFonts w:hint="eastAsia" w:ascii="宋体" w:hAnsi="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rPr>
              <w:t>小时内电话响应，在5小时内到达现场，24小时内排除一般故障。重大故障应尽快排除，不能及时排除，用同等或更优质量的材料设备替代使用，保证正常运行并由中标人承担由此产生的费用。</w:t>
            </w:r>
            <w:r>
              <w:rPr>
                <w:rFonts w:hint="eastAsia" w:ascii="宋体" w:hAnsi="宋体" w:cs="宋体"/>
                <w:color w:val="auto"/>
                <w:spacing w:val="0"/>
                <w:sz w:val="24"/>
                <w:szCs w:val="24"/>
                <w:highlight w:val="none"/>
                <w:lang w:val="en-US" w:eastAsia="zh-CN"/>
              </w:rPr>
              <w:t>如中标人未能按约定的服务响应要求进行响应，采购人有权扣减履约保证金，单次扣减金额为履约保证金总额的0.5%，并且采购人有权使用中标人缴纳的履约保证金进行售后维修相关事项。</w:t>
            </w:r>
          </w:p>
          <w:p w14:paraId="44FD0F9B">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．所有材料和设备保修服务方式均为中标人上门保修，即中标人派人员到设备使用现场维修，由此产生的一切费用均由中标人承担。</w:t>
            </w:r>
          </w:p>
          <w:p w14:paraId="7C047AE1">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rPr>
              <w:t>．保修期外的服务要求：免费保修期满后，提供不高于市场价的备品备件和人工维修服务。</w:t>
            </w:r>
          </w:p>
          <w:p w14:paraId="34C228B5">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rPr>
              <w:t>．质保期后，中标人应提交厂家售后服务电话，厂家技术人员联系手机，确保采购人质保期后，能自行联系咨询技术人员。</w:t>
            </w:r>
          </w:p>
        </w:tc>
      </w:tr>
      <w:tr w14:paraId="6E88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90" w:type="pct"/>
            <w:vAlign w:val="center"/>
          </w:tcPr>
          <w:p w14:paraId="118160BC">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0"/>
                <w:sz w:val="24"/>
                <w:szCs w:val="24"/>
                <w:highlight w:val="none"/>
              </w:rPr>
              <w:t>验收标准及要求</w:t>
            </w:r>
          </w:p>
        </w:tc>
        <w:tc>
          <w:tcPr>
            <w:tcW w:w="4009" w:type="pct"/>
          </w:tcPr>
          <w:p w14:paraId="1A22DAC2">
            <w:pPr>
              <w:tabs>
                <w:tab w:val="left" w:pos="180"/>
                <w:tab w:val="left" w:pos="1620"/>
              </w:tabs>
              <w:spacing w:line="420" w:lineRule="exact"/>
              <w:ind w:firstLineChars="200"/>
              <w:jc w:val="left"/>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1.</w:t>
            </w:r>
            <w:r>
              <w:rPr>
                <w:rFonts w:hint="eastAsia" w:ascii="宋体" w:hAnsi="宋体" w:cs="宋体"/>
                <w:color w:val="auto"/>
                <w:kern w:val="2"/>
                <w:sz w:val="24"/>
                <w:szCs w:val="24"/>
                <w:highlight w:val="none"/>
                <w:lang w:val="en-US" w:eastAsia="zh-CN"/>
              </w:rPr>
              <w:t>本项目设计采购的设备，要求</w:t>
            </w:r>
            <w:r>
              <w:rPr>
                <w:rFonts w:hint="eastAsia" w:ascii="宋体" w:hAnsi="宋体" w:cs="宋体"/>
                <w:color w:val="auto"/>
                <w:kern w:val="2"/>
                <w:sz w:val="24"/>
                <w:szCs w:val="24"/>
                <w:highlight w:val="none"/>
              </w:rPr>
              <w:t>所有设备货物必须是全新产品。交货前不允许提前开箱、调试；货物备齐后通知采购人对货物进行清点、核实，由采购人、中标人双方派代表当场开箱验货，并按合同条款逐条检验签收后，双方代表签字，否则不予验收。如供货时出现有设备停产的情况，须提供具备与原设备技术参数要求相同或高于原设备技术参数要求的替代产品，并经采购人确认后方可更换。</w:t>
            </w:r>
          </w:p>
          <w:p w14:paraId="5F8586B1">
            <w:pPr>
              <w:tabs>
                <w:tab w:val="left" w:pos="180"/>
                <w:tab w:val="left" w:pos="1620"/>
              </w:tabs>
              <w:spacing w:line="420" w:lineRule="exact"/>
              <w:ind w:firstLineChars="200"/>
              <w:jc w:val="left"/>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2.交货时，所有</w:t>
            </w:r>
            <w:r>
              <w:rPr>
                <w:rFonts w:hint="eastAsia" w:ascii="宋体" w:hAnsi="宋体" w:cs="宋体"/>
                <w:color w:val="auto"/>
                <w:kern w:val="2"/>
                <w:sz w:val="24"/>
                <w:szCs w:val="24"/>
                <w:highlight w:val="none"/>
                <w:lang w:val="en-US" w:eastAsia="zh-CN"/>
              </w:rPr>
              <w:t>服务、设备</w:t>
            </w:r>
            <w:r>
              <w:rPr>
                <w:rFonts w:hint="eastAsia" w:ascii="宋体" w:hAnsi="宋体" w:cs="宋体"/>
                <w:color w:val="auto"/>
                <w:kern w:val="2"/>
                <w:sz w:val="24"/>
                <w:szCs w:val="24"/>
                <w:highlight w:val="none"/>
              </w:rPr>
              <w:t>均严格按</w:t>
            </w:r>
            <w:r>
              <w:rPr>
                <w:rFonts w:hint="eastAsia" w:ascii="宋体" w:hAnsi="宋体" w:cs="宋体"/>
                <w:color w:val="auto"/>
                <w:kern w:val="2"/>
                <w:sz w:val="24"/>
                <w:szCs w:val="24"/>
                <w:highlight w:val="none"/>
                <w:lang w:val="en-US" w:eastAsia="zh-CN"/>
              </w:rPr>
              <w:t>招标</w:t>
            </w:r>
            <w:r>
              <w:rPr>
                <w:rFonts w:hint="eastAsia" w:ascii="宋体" w:hAnsi="宋体" w:cs="宋体"/>
                <w:color w:val="auto"/>
                <w:kern w:val="2"/>
                <w:sz w:val="24"/>
                <w:szCs w:val="24"/>
                <w:highlight w:val="none"/>
              </w:rPr>
              <w:t>文件上的技术规格要求、中标供应商响应和承诺的技术参数及性能和国家有关标准进行验收，达不到实质性要求的视为产品验收不合格，并按相关规定处理、处罚。</w:t>
            </w:r>
          </w:p>
          <w:p w14:paraId="5C21D464">
            <w:pPr>
              <w:tabs>
                <w:tab w:val="left" w:pos="180"/>
                <w:tab w:val="left" w:pos="1620"/>
              </w:tabs>
              <w:spacing w:line="420" w:lineRule="exact"/>
              <w:ind w:firstLineChars="200"/>
              <w:jc w:val="left"/>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3.中标供应商承诺所提供的</w:t>
            </w:r>
            <w:r>
              <w:rPr>
                <w:rFonts w:hint="eastAsia" w:ascii="宋体" w:hAnsi="宋体" w:cs="宋体"/>
                <w:color w:val="auto"/>
                <w:kern w:val="2"/>
                <w:sz w:val="24"/>
                <w:szCs w:val="24"/>
                <w:highlight w:val="none"/>
                <w:lang w:val="en-US" w:eastAsia="zh-CN"/>
              </w:rPr>
              <w:t>服务</w:t>
            </w:r>
            <w:r>
              <w:rPr>
                <w:rFonts w:hint="eastAsia" w:ascii="宋体" w:hAnsi="宋体" w:cs="宋体"/>
                <w:color w:val="auto"/>
                <w:kern w:val="2"/>
                <w:sz w:val="24"/>
                <w:szCs w:val="24"/>
                <w:highlight w:val="none"/>
              </w:rPr>
              <w:t>（包括硬件、配套软件）为符合国家知识产权法律法规要求的正规正版产品，不属于假冒伪劣商品；中标供应商还应保证采购人不受到第三方关于侵犯知识产权以及专利权、商标权或工业设计权等知识产权方面的指控，任何第三方如果提出此方面指控均与采购人无关，中标供应商应与第三方交涉，并承担可能发生的一切法律责任、费用和后果；若采购人因此而遭致损失的，中标供应商须赔偿该损失。</w:t>
            </w:r>
          </w:p>
          <w:p w14:paraId="0E89C992">
            <w:pPr>
              <w:tabs>
                <w:tab w:val="left" w:pos="180"/>
                <w:tab w:val="left" w:pos="1620"/>
              </w:tabs>
              <w:spacing w:line="420" w:lineRule="exact"/>
              <w:ind w:firstLineChars="200"/>
              <w:jc w:val="left"/>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4.试运行：设备使用科室验收人员按设备说明书要求在供应商指导下，常规负荷试运行七个工作日，没有出现异常者，为合格。</w:t>
            </w:r>
          </w:p>
          <w:p w14:paraId="471B413A">
            <w:pPr>
              <w:tabs>
                <w:tab w:val="left" w:pos="180"/>
                <w:tab w:val="left" w:pos="1620"/>
              </w:tabs>
              <w:adjustRightInd/>
              <w:snapToGrid/>
              <w:spacing w:line="420" w:lineRule="exact"/>
              <w:ind w:firstLineChars="200"/>
              <w:rPr>
                <w:rFonts w:hint="eastAsia" w:ascii="宋体" w:hAnsi="宋体" w:cs="宋体"/>
                <w:bCs w:val="0"/>
                <w:color w:val="auto"/>
                <w:sz w:val="24"/>
                <w:szCs w:val="24"/>
                <w:highlight w:val="none"/>
              </w:rPr>
            </w:pPr>
            <w:r>
              <w:rPr>
                <w:rFonts w:hint="eastAsia" w:ascii="宋体" w:hAnsi="宋体" w:cs="宋体"/>
                <w:color w:val="auto"/>
                <w:kern w:val="2"/>
                <w:sz w:val="24"/>
                <w:szCs w:val="24"/>
                <w:highlight w:val="none"/>
              </w:rPr>
              <w:t>5.采购人有权委托第三方进行验收，单次验收费用不超过合同金额的2%，验收产生的所有费用（包括但不限于</w:t>
            </w:r>
            <w:r>
              <w:rPr>
                <w:rFonts w:hint="eastAsia" w:ascii="宋体" w:hAnsi="宋体" w:cs="宋体"/>
                <w:color w:val="auto"/>
                <w:sz w:val="24"/>
                <w:szCs w:val="24"/>
                <w:highlight w:val="none"/>
              </w:rPr>
              <w:t>验收时所产生的相关检测费用、专家验收费等</w:t>
            </w:r>
            <w:r>
              <w:rPr>
                <w:rFonts w:hint="eastAsia" w:ascii="宋体" w:hAnsi="宋体" w:cs="宋体"/>
                <w:color w:val="auto"/>
                <w:kern w:val="2"/>
                <w:sz w:val="24"/>
                <w:szCs w:val="24"/>
                <w:highlight w:val="none"/>
              </w:rPr>
              <w:t>）由中标人承担。供应商在进行报价时应将验收费用考虑在内。中标人</w:t>
            </w:r>
            <w:r>
              <w:rPr>
                <w:rFonts w:hint="eastAsia" w:ascii="宋体" w:hAnsi="宋体" w:cs="宋体"/>
                <w:color w:val="auto"/>
                <w:kern w:val="2"/>
                <w:sz w:val="24"/>
                <w:szCs w:val="24"/>
                <w:highlight w:val="none"/>
                <w:lang w:val="en-US" w:eastAsia="zh-CN"/>
              </w:rPr>
              <w:t>需要</w:t>
            </w:r>
            <w:r>
              <w:rPr>
                <w:rFonts w:hint="eastAsia" w:ascii="宋体" w:hAnsi="宋体" w:cs="宋体"/>
                <w:color w:val="auto"/>
                <w:kern w:val="2"/>
                <w:sz w:val="24"/>
                <w:szCs w:val="24"/>
                <w:highlight w:val="none"/>
              </w:rPr>
              <w:t>承担因多次验收而产生的验收费用。</w:t>
            </w:r>
          </w:p>
          <w:p w14:paraId="111C30F5">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6.验收依据：按</w:t>
            </w:r>
            <w:r>
              <w:rPr>
                <w:rFonts w:hint="eastAsia" w:ascii="宋体" w:hAnsi="宋体" w:cs="宋体"/>
                <w:bCs w:val="0"/>
                <w:color w:val="auto"/>
                <w:sz w:val="24"/>
                <w:szCs w:val="24"/>
                <w:highlight w:val="none"/>
                <w:lang w:val="en-US" w:eastAsia="zh-CN"/>
              </w:rPr>
              <w:t>招标</w:t>
            </w:r>
            <w:r>
              <w:rPr>
                <w:rFonts w:hint="eastAsia" w:ascii="宋体" w:hAnsi="宋体" w:cs="宋体"/>
                <w:bCs w:val="0"/>
                <w:color w:val="auto"/>
                <w:sz w:val="24"/>
                <w:szCs w:val="24"/>
                <w:highlight w:val="none"/>
              </w:rPr>
              <w:t>文件、投标文件、合同要求及国家标准进行验收。</w:t>
            </w:r>
          </w:p>
          <w:p w14:paraId="0EAD85FE">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7.验收标准</w:t>
            </w:r>
          </w:p>
          <w:p w14:paraId="0DE73BEC">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（1）所供</w:t>
            </w:r>
            <w:r>
              <w:rPr>
                <w:rFonts w:hint="eastAsia" w:ascii="宋体" w:hAnsi="宋体" w:cs="宋体"/>
                <w:bCs w:val="0"/>
                <w:color w:val="auto"/>
                <w:sz w:val="24"/>
                <w:szCs w:val="24"/>
                <w:highlight w:val="none"/>
                <w:lang w:val="en-US" w:eastAsia="zh-CN"/>
              </w:rPr>
              <w:t>服务、</w:t>
            </w:r>
            <w:r>
              <w:rPr>
                <w:rFonts w:hint="eastAsia" w:ascii="宋体" w:hAnsi="宋体" w:cs="宋体"/>
                <w:bCs w:val="0"/>
                <w:color w:val="auto"/>
                <w:sz w:val="24"/>
                <w:szCs w:val="24"/>
                <w:highlight w:val="none"/>
              </w:rPr>
              <w:t>产品的规格、数量、材质、颜色等符合采购文件采购需求及采购合同约定的要求。</w:t>
            </w:r>
          </w:p>
          <w:p w14:paraId="6C3398D3">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（2）所供</w:t>
            </w:r>
            <w:r>
              <w:rPr>
                <w:rFonts w:hint="eastAsia" w:ascii="宋体" w:hAnsi="宋体" w:cs="宋体"/>
                <w:bCs w:val="0"/>
                <w:color w:val="auto"/>
                <w:sz w:val="24"/>
                <w:szCs w:val="24"/>
                <w:highlight w:val="none"/>
                <w:lang w:val="en-US" w:eastAsia="zh-CN"/>
              </w:rPr>
              <w:t>服务、设备</w:t>
            </w:r>
            <w:r>
              <w:rPr>
                <w:rFonts w:hint="eastAsia" w:ascii="宋体" w:hAnsi="宋体" w:cs="宋体"/>
                <w:bCs w:val="0"/>
                <w:color w:val="auto"/>
                <w:sz w:val="24"/>
                <w:szCs w:val="24"/>
                <w:highlight w:val="none"/>
              </w:rPr>
              <w:t>的外观完好，无严重碰撞、表皮脱落、五金件生锈等明显瑕疵。</w:t>
            </w:r>
          </w:p>
          <w:p w14:paraId="20557F2E">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（3）所供</w:t>
            </w:r>
            <w:r>
              <w:rPr>
                <w:rFonts w:hint="eastAsia" w:ascii="宋体" w:hAnsi="宋体" w:cs="宋体"/>
                <w:bCs w:val="0"/>
                <w:color w:val="auto"/>
                <w:sz w:val="24"/>
                <w:szCs w:val="24"/>
                <w:highlight w:val="none"/>
                <w:lang w:val="en-US" w:eastAsia="zh-CN"/>
              </w:rPr>
              <w:t>服务、设备</w:t>
            </w:r>
            <w:r>
              <w:rPr>
                <w:rFonts w:hint="eastAsia" w:ascii="宋体" w:hAnsi="宋体" w:cs="宋体"/>
                <w:bCs w:val="0"/>
                <w:color w:val="auto"/>
                <w:sz w:val="24"/>
                <w:szCs w:val="24"/>
                <w:highlight w:val="none"/>
              </w:rPr>
              <w:t>结构牢固，无安全隐患。</w:t>
            </w:r>
          </w:p>
          <w:p w14:paraId="73942762">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（4）如有抽检要求的，检测结果符合采购文件采购需求及采购合同约定的要求。</w:t>
            </w:r>
          </w:p>
          <w:p w14:paraId="1F36EE40">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（5）所有</w:t>
            </w:r>
            <w:r>
              <w:rPr>
                <w:rFonts w:hint="eastAsia" w:ascii="宋体" w:hAnsi="宋体" w:cs="宋体"/>
                <w:bCs w:val="0"/>
                <w:color w:val="auto"/>
                <w:sz w:val="24"/>
                <w:szCs w:val="24"/>
                <w:highlight w:val="none"/>
                <w:lang w:val="en-US" w:eastAsia="zh-CN"/>
              </w:rPr>
              <w:t>服务、设备</w:t>
            </w:r>
            <w:r>
              <w:rPr>
                <w:rFonts w:hint="eastAsia" w:ascii="宋体" w:hAnsi="宋体" w:cs="宋体"/>
                <w:bCs w:val="0"/>
                <w:color w:val="auto"/>
                <w:sz w:val="24"/>
                <w:szCs w:val="24"/>
                <w:highlight w:val="none"/>
              </w:rPr>
              <w:t>均已运输至指定地点，并安装调试完毕。</w:t>
            </w:r>
          </w:p>
          <w:p w14:paraId="3021495A">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（6）采购文件采购需求及采购合同约定的附件、工具、技术资料等齐全；提供产品使用说明书、合格证。</w:t>
            </w:r>
          </w:p>
          <w:p w14:paraId="0AD7C728">
            <w:pPr>
              <w:tabs>
                <w:tab w:val="left" w:pos="180"/>
                <w:tab w:val="left" w:pos="1620"/>
              </w:tabs>
              <w:adjustRightInd/>
              <w:snapToGrid/>
              <w:spacing w:line="420" w:lineRule="exact"/>
              <w:ind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（7）项目有关的</w:t>
            </w:r>
            <w:r>
              <w:rPr>
                <w:rFonts w:hint="eastAsia" w:ascii="宋体" w:hAnsi="宋体" w:cs="宋体"/>
                <w:bCs w:val="0"/>
                <w:color w:val="auto"/>
                <w:sz w:val="24"/>
                <w:szCs w:val="24"/>
                <w:highlight w:val="none"/>
                <w:lang w:val="en-US" w:eastAsia="zh-CN"/>
              </w:rPr>
              <w:t>服务、</w:t>
            </w:r>
            <w:r>
              <w:rPr>
                <w:rFonts w:hint="eastAsia" w:ascii="宋体" w:hAnsi="宋体" w:cs="宋体"/>
                <w:bCs w:val="0"/>
                <w:color w:val="auto"/>
                <w:sz w:val="24"/>
                <w:szCs w:val="24"/>
                <w:highlight w:val="none"/>
              </w:rPr>
              <w:t>工程施工、设备安装、软件开发和运维服务竣工须符合国家现行的标准、规范和有关技术文件要求。</w:t>
            </w:r>
          </w:p>
          <w:p w14:paraId="26CBEBDC">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8.验收要求</w:t>
            </w:r>
          </w:p>
          <w:p w14:paraId="7B903C6A">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（1）</w:t>
            </w:r>
            <w:r>
              <w:rPr>
                <w:rFonts w:hint="eastAsia" w:ascii="宋体" w:hAnsi="宋体" w:cs="宋体"/>
                <w:color w:val="auto"/>
                <w:kern w:val="2"/>
                <w:sz w:val="24"/>
                <w:szCs w:val="24"/>
                <w:highlight w:val="none"/>
              </w:rPr>
              <w:t>采购人有权委托第三方进行验收，</w:t>
            </w:r>
            <w:r>
              <w:rPr>
                <w:rFonts w:hint="eastAsia" w:ascii="宋体" w:hAnsi="宋体" w:cs="宋体"/>
                <w:bCs w:val="0"/>
                <w:color w:val="auto"/>
                <w:sz w:val="24"/>
                <w:szCs w:val="24"/>
                <w:highlight w:val="none"/>
              </w:rPr>
              <w:t>由验收小组对照</w:t>
            </w:r>
            <w:r>
              <w:rPr>
                <w:rFonts w:hint="eastAsia" w:ascii="宋体" w:hAnsi="宋体" w:cs="宋体"/>
                <w:bCs w:val="0"/>
                <w:color w:val="auto"/>
                <w:sz w:val="24"/>
                <w:szCs w:val="24"/>
                <w:highlight w:val="none"/>
                <w:lang w:val="en-US" w:eastAsia="zh-CN"/>
              </w:rPr>
              <w:t>招标</w:t>
            </w:r>
            <w:r>
              <w:rPr>
                <w:rFonts w:hint="eastAsia" w:ascii="宋体" w:hAnsi="宋体" w:cs="宋体"/>
                <w:bCs w:val="0"/>
                <w:color w:val="auto"/>
                <w:sz w:val="24"/>
                <w:szCs w:val="24"/>
                <w:highlight w:val="none"/>
              </w:rPr>
              <w:t>文件的技术参数要求核对检验，如不符合</w:t>
            </w:r>
            <w:r>
              <w:rPr>
                <w:rFonts w:hint="eastAsia" w:ascii="宋体" w:hAnsi="宋体" w:cs="宋体"/>
                <w:bCs w:val="0"/>
                <w:color w:val="auto"/>
                <w:sz w:val="24"/>
                <w:szCs w:val="24"/>
                <w:highlight w:val="none"/>
                <w:lang w:val="en-US" w:eastAsia="zh-CN"/>
              </w:rPr>
              <w:t>招标</w:t>
            </w:r>
            <w:r>
              <w:rPr>
                <w:rFonts w:hint="eastAsia" w:ascii="宋体" w:hAnsi="宋体" w:cs="宋体"/>
                <w:bCs w:val="0"/>
                <w:color w:val="auto"/>
                <w:sz w:val="24"/>
                <w:szCs w:val="24"/>
                <w:highlight w:val="none"/>
              </w:rPr>
              <w:t>文件的技术参数要求的，按合同约定执行，中标人承担所有责任和费用。采购人保留进一步追究责任的权利。</w:t>
            </w:r>
          </w:p>
          <w:p w14:paraId="03E334CA">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①验收活动开始前，中标人应对</w:t>
            </w:r>
            <w:r>
              <w:rPr>
                <w:rFonts w:hint="eastAsia" w:ascii="宋体" w:hAnsi="宋体" w:cs="宋体"/>
                <w:bCs w:val="0"/>
                <w:color w:val="auto"/>
                <w:sz w:val="24"/>
                <w:szCs w:val="24"/>
                <w:highlight w:val="none"/>
                <w:lang w:val="en-US" w:eastAsia="zh-CN"/>
              </w:rPr>
              <w:t>服务、设备</w:t>
            </w:r>
            <w:r>
              <w:rPr>
                <w:rFonts w:hint="eastAsia" w:ascii="宋体" w:hAnsi="宋体" w:cs="宋体"/>
                <w:bCs w:val="0"/>
                <w:color w:val="auto"/>
                <w:sz w:val="24"/>
                <w:szCs w:val="24"/>
                <w:highlight w:val="none"/>
              </w:rPr>
              <w:t>作出全面检查和对验收文件进行整理，并列出清单，作为采购人收货验收和使用的技术条件依据。</w:t>
            </w:r>
          </w:p>
          <w:p w14:paraId="4330D3F0">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②因验收不合格的，需要再次组织验收的，由此产生相关成本费用由中标人承担。</w:t>
            </w:r>
          </w:p>
          <w:p w14:paraId="197E6BEB">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2）验收时中标人提供验收文档，具体如下：技术方案、实施方案、售后服务方案、培训方案、系统部署文档、测试文档、使用说明书、电子文档、软件设计开发的源代码等，包括但不限于由以上验收文档产生的原始数据、视频、图片等资料。</w:t>
            </w:r>
          </w:p>
          <w:p w14:paraId="437389B1">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（3）对所有要求出具的证明文件的原件进行核查，如不符合</w:t>
            </w:r>
            <w:r>
              <w:rPr>
                <w:rFonts w:hint="eastAsia" w:ascii="宋体" w:hAnsi="宋体" w:cs="宋体"/>
                <w:bCs w:val="0"/>
                <w:color w:val="auto"/>
                <w:sz w:val="24"/>
                <w:szCs w:val="24"/>
                <w:highlight w:val="none"/>
                <w:lang w:val="en-US" w:eastAsia="zh-CN"/>
              </w:rPr>
              <w:t>招标</w:t>
            </w:r>
            <w:r>
              <w:rPr>
                <w:rFonts w:hint="eastAsia" w:ascii="宋体" w:hAnsi="宋体" w:cs="宋体"/>
                <w:bCs w:val="0"/>
                <w:color w:val="auto"/>
                <w:sz w:val="24"/>
                <w:szCs w:val="24"/>
                <w:highlight w:val="none"/>
              </w:rPr>
              <w:t>文件的技术需求及要求，以及提供虚假承诺的，按相关规定做退货处理及违约处理，中标人承担所有责任和费用，采购人保留进一步追究责任的权利。</w:t>
            </w:r>
          </w:p>
          <w:p w14:paraId="1114F3F0">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（4）项目验收过程中，如委托第三方检测机构介入，费用由中标人另行承担。</w:t>
            </w:r>
          </w:p>
          <w:p w14:paraId="60F001B0">
            <w:pPr>
              <w:tabs>
                <w:tab w:val="left" w:pos="180"/>
                <w:tab w:val="left" w:pos="1620"/>
              </w:tabs>
              <w:adjustRightInd/>
              <w:snapToGrid/>
              <w:spacing w:line="420" w:lineRule="exact"/>
              <w:ind w:firstLine="480" w:firstLineChars="200"/>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5）采购人在验收时要求中标人对所提供的标的进行功能演示，如不满足采购需求要求的，验收不合格，采购人将依法解除合同，并报采购监督管理部门处理，采购人保留进一步追究其法律责任的权利，由此引发的所有损失由中标人承担。</w:t>
            </w:r>
          </w:p>
          <w:p w14:paraId="172DCFB2">
            <w:pPr>
              <w:tabs>
                <w:tab w:val="left" w:pos="180"/>
                <w:tab w:val="left" w:pos="1620"/>
              </w:tabs>
              <w:spacing w:line="420" w:lineRule="exact"/>
              <w:ind w:firstLineChars="200"/>
              <w:rPr>
                <w:rFonts w:hint="eastAsia" w:ascii="宋体" w:hAnsi="宋体" w:eastAsia="宋体" w:cs="宋体"/>
                <w:color w:val="auto"/>
                <w:sz w:val="24"/>
                <w:szCs w:val="24"/>
                <w:highlight w:val="none"/>
              </w:rPr>
            </w:pPr>
            <w:r>
              <w:rPr>
                <w:rFonts w:hint="eastAsia" w:ascii="宋体" w:hAnsi="宋体" w:cs="宋体"/>
                <w:bCs w:val="0"/>
                <w:color w:val="auto"/>
                <w:sz w:val="24"/>
                <w:szCs w:val="24"/>
                <w:highlight w:val="none"/>
              </w:rPr>
              <w:t>9.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73D2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90" w:type="pct"/>
            <w:vAlign w:val="center"/>
          </w:tcPr>
          <w:p w14:paraId="08B4500B">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货物及材料要求</w:t>
            </w:r>
          </w:p>
        </w:tc>
        <w:tc>
          <w:tcPr>
            <w:tcW w:w="4009" w:type="pct"/>
          </w:tcPr>
          <w:p w14:paraId="558C06EE">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1．所有产品均应符合《中华人民共和国政府采购法》的有关规定，产品来源渠道合法。</w:t>
            </w:r>
          </w:p>
          <w:p w14:paraId="3755382F">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2．投标人提供的产品必须符合国家标准的技术要求。所提供的货物必须是原厂生产的、全新的、未使用过的，并完全符合原厂质量检测标准和国家相关标准、行业标准。</w:t>
            </w:r>
          </w:p>
          <w:p w14:paraId="7F425B95">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布展主材达到B1级或以上并符合消防防火要求，布展主材达到E0级或以上并符合环保要求，甲醛及其他金属含量经检测达到国家相关要求，交工时场地达到净味或无其他气味，符合室内装修规范要求。所有布展主材最终经采购人审核批准后方可使用。</w:t>
            </w:r>
          </w:p>
          <w:p w14:paraId="5770C1CD">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4．布展设备及材料</w:t>
            </w:r>
            <w:r>
              <w:rPr>
                <w:rFonts w:hint="eastAsia" w:ascii="宋体" w:hAnsi="宋体" w:cs="宋体"/>
                <w:color w:val="auto"/>
                <w:spacing w:val="0"/>
                <w:sz w:val="24"/>
                <w:szCs w:val="24"/>
                <w:highlight w:val="none"/>
                <w:lang w:val="en-US" w:eastAsia="zh-CN"/>
              </w:rPr>
              <w:t>如需</w:t>
            </w:r>
            <w:r>
              <w:rPr>
                <w:rFonts w:hint="eastAsia" w:ascii="宋体" w:hAnsi="宋体" w:eastAsia="宋体" w:cs="宋体"/>
                <w:color w:val="auto"/>
                <w:spacing w:val="0"/>
                <w:sz w:val="24"/>
                <w:szCs w:val="24"/>
                <w:highlight w:val="none"/>
              </w:rPr>
              <w:t>根据设计效果或使用要求增减</w:t>
            </w:r>
            <w:r>
              <w:rPr>
                <w:rFonts w:hint="eastAsia" w:ascii="宋体" w:hAnsi="宋体" w:cs="宋体"/>
                <w:color w:val="auto"/>
                <w:spacing w:val="0"/>
                <w:sz w:val="24"/>
                <w:szCs w:val="24"/>
                <w:highlight w:val="none"/>
                <w:lang w:val="en-US" w:eastAsia="zh-CN"/>
              </w:rPr>
              <w:t>时，必须</w:t>
            </w:r>
            <w:r>
              <w:rPr>
                <w:rFonts w:hint="eastAsia" w:ascii="宋体" w:hAnsi="宋体" w:eastAsia="宋体" w:cs="宋体"/>
                <w:color w:val="auto"/>
                <w:spacing w:val="0"/>
                <w:sz w:val="24"/>
                <w:szCs w:val="24"/>
                <w:highlight w:val="none"/>
              </w:rPr>
              <w:t>最终经采购人审核批准后方可使用。</w:t>
            </w:r>
          </w:p>
          <w:p w14:paraId="32D35447">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5、所有货物须充分考虑安全性、稳固性和优良的质量。投标人应严格按要求进行施工，做好各项安全措施。</w:t>
            </w:r>
          </w:p>
          <w:p w14:paraId="138C7AF0">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．货物的包装均应有良好的防湿、防锈、防潮、防雨、防腐及防碰撞的措施，并适宜本项目实施地点的气候条件。凡由于包装不良造成的损失和由此产生的费用均由中标人承担。</w:t>
            </w:r>
          </w:p>
          <w:p w14:paraId="73F01632">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cs="宋体"/>
                <w:color w:val="auto"/>
                <w:spacing w:val="0"/>
                <w:sz w:val="24"/>
                <w:szCs w:val="24"/>
                <w:highlight w:val="none"/>
                <w:lang w:val="en-US" w:eastAsia="zh-CN"/>
              </w:rPr>
              <w:t>7</w:t>
            </w:r>
            <w:r>
              <w:rPr>
                <w:rFonts w:hint="eastAsia" w:ascii="宋体" w:hAnsi="宋体" w:eastAsia="宋体" w:cs="宋体"/>
                <w:color w:val="auto"/>
                <w:spacing w:val="0"/>
                <w:sz w:val="24"/>
                <w:szCs w:val="24"/>
                <w:highlight w:val="none"/>
              </w:rPr>
              <w:t>．投标人应保证，采购人在使用该货物或货物的任何一部分时，免受第三方提出的侵犯其专利权、商标权、工业设计权、所有权和工业产权、著作（版权）等知识产权的起诉。</w:t>
            </w:r>
          </w:p>
          <w:p w14:paraId="0811D79E">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．中标人在安装、搬运过程必须接受采购人的监督和安排。如采购人发现</w:t>
            </w:r>
            <w:r>
              <w:rPr>
                <w:rFonts w:hint="eastAsia" w:ascii="宋体" w:hAnsi="宋体" w:cs="宋体"/>
                <w:color w:val="auto"/>
                <w:spacing w:val="0"/>
                <w:sz w:val="24"/>
                <w:szCs w:val="24"/>
                <w:highlight w:val="none"/>
                <w:lang w:val="en-US" w:eastAsia="zh-CN"/>
              </w:rPr>
              <w:t>中</w:t>
            </w:r>
            <w:r>
              <w:rPr>
                <w:rFonts w:hint="eastAsia" w:ascii="宋体" w:hAnsi="宋体" w:eastAsia="宋体" w:cs="宋体"/>
                <w:color w:val="auto"/>
                <w:spacing w:val="0"/>
                <w:sz w:val="24"/>
                <w:szCs w:val="24"/>
                <w:highlight w:val="none"/>
              </w:rPr>
              <w:t>标人不按承诺生产或产品存在质量问题，采购人有权要求中标人更换，更换所产生费用由中标人承担；若中标人未能按采购人要求更换的，采购人有权不予支付采购费用，并保留暂停或终止合同的权利。</w:t>
            </w:r>
          </w:p>
        </w:tc>
      </w:tr>
      <w:tr w14:paraId="5BD8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90" w:type="pct"/>
            <w:vAlign w:val="center"/>
          </w:tcPr>
          <w:p w14:paraId="25D7FE71">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培训要求</w:t>
            </w:r>
          </w:p>
        </w:tc>
        <w:tc>
          <w:tcPr>
            <w:tcW w:w="4009" w:type="pct"/>
          </w:tcPr>
          <w:p w14:paraId="3FFCB0E9">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1．中标人应对采购人的设备操作人员提供至少4次免费培训（具体培训时间由采购人确定），确保采购人能够正确熟练地使用设备。</w:t>
            </w:r>
          </w:p>
          <w:p w14:paraId="7D527D05">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r>
              <w:rPr>
                <w:rFonts w:hint="eastAsia" w:ascii="宋体" w:hAnsi="宋体" w:cs="宋体"/>
                <w:color w:val="auto"/>
                <w:spacing w:val="0"/>
                <w:sz w:val="24"/>
                <w:szCs w:val="24"/>
                <w:highlight w:val="none"/>
                <w:lang w:val="en-US" w:eastAsia="zh-CN"/>
              </w:rPr>
              <w:t>布展</w:t>
            </w:r>
            <w:r>
              <w:rPr>
                <w:rFonts w:hint="default" w:ascii="宋体" w:hAnsi="宋体" w:eastAsia="宋体" w:cs="宋体"/>
                <w:color w:val="auto"/>
                <w:spacing w:val="0"/>
                <w:sz w:val="24"/>
                <w:szCs w:val="24"/>
                <w:highlight w:val="none"/>
                <w:lang w:val="en-US"/>
              </w:rPr>
              <w:t>展馆</w:t>
            </w:r>
            <w:r>
              <w:rPr>
                <w:rFonts w:hint="eastAsia" w:ascii="宋体" w:hAnsi="宋体" w:eastAsia="宋体" w:cs="宋体"/>
                <w:color w:val="auto"/>
                <w:spacing w:val="0"/>
                <w:sz w:val="24"/>
                <w:szCs w:val="24"/>
                <w:highlight w:val="none"/>
              </w:rPr>
              <w:t>建成运营后1年内为采购人提供不少于2次的讲解员及</w:t>
            </w:r>
            <w:r>
              <w:rPr>
                <w:rFonts w:hint="eastAsia" w:ascii="宋体" w:hAnsi="宋体" w:eastAsia="宋体" w:cs="宋体"/>
                <w:color w:val="auto"/>
                <w:spacing w:val="0"/>
                <w:sz w:val="24"/>
                <w:szCs w:val="24"/>
                <w:highlight w:val="none"/>
                <w:lang w:val="en-US" w:eastAsia="zh-CN"/>
              </w:rPr>
              <w:t>自然保护区科普宣教</w:t>
            </w:r>
            <w:r>
              <w:rPr>
                <w:rFonts w:hint="eastAsia" w:ascii="宋体" w:hAnsi="宋体" w:eastAsia="宋体" w:cs="宋体"/>
                <w:color w:val="auto"/>
                <w:spacing w:val="0"/>
                <w:sz w:val="24"/>
                <w:szCs w:val="24"/>
                <w:highlight w:val="none"/>
              </w:rPr>
              <w:t>讲师培训服务，实际提供服务以采购人要求为准。</w:t>
            </w:r>
          </w:p>
          <w:p w14:paraId="1FB301BD">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3．中标人提供针对本项目的培训计划，内容包含培训人数、课程、方式、场地及时间安排等，培训费用及被培训人员所有费用由中标人负责。</w:t>
            </w:r>
          </w:p>
        </w:tc>
      </w:tr>
      <w:tr w14:paraId="31BA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90" w:type="pct"/>
            <w:vAlign w:val="center"/>
          </w:tcPr>
          <w:p w14:paraId="5BF3C41D">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ind w:firstLineChars="200"/>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安装要求</w:t>
            </w:r>
          </w:p>
        </w:tc>
        <w:tc>
          <w:tcPr>
            <w:tcW w:w="4009" w:type="pct"/>
          </w:tcPr>
          <w:p w14:paraId="62852B17">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1．中标人负责布置过程中的全部运输，包括装卸车、货物现场的搬运。包装、保险及发运等环节和费用均由中标人负责。</w:t>
            </w:r>
          </w:p>
          <w:p w14:paraId="7F32DC7F">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2．中标人负责将本项目的工艺成品和材料运送到现场进行安装调试并须拆除、清理、搬迁因施工而产生的杂物和垃圾等，过程中的全部运输，包括装卸车、材料及工艺成品的现场搬运均为中标人负责。</w:t>
            </w:r>
          </w:p>
          <w:p w14:paraId="221C0AB8">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3．布展现场的保管由中标人负责，直至项目安装、验收、移交完毕。</w:t>
            </w:r>
          </w:p>
        </w:tc>
      </w:tr>
      <w:tr w14:paraId="24BD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90" w:type="pct"/>
            <w:vAlign w:val="center"/>
          </w:tcPr>
          <w:p w14:paraId="1B4A9D85">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ind w:firstLineChars="200"/>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安全要求</w:t>
            </w:r>
          </w:p>
        </w:tc>
        <w:tc>
          <w:tcPr>
            <w:tcW w:w="4009" w:type="pct"/>
          </w:tcPr>
          <w:p w14:paraId="10BD5726">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安全指示：（1）在与安全有关的场所和位置，应按现行有效国家、行业和项目本地市有关安全设施设置规范、技术规范、技术标准、规程、文件等相关规定设置安全标志。（2）安全标志应在醒目的位置设立，清晰易辨，不应设在可移动的物体上，以免这些物体位置移动后，看不见安全标志。</w:t>
            </w:r>
          </w:p>
          <w:p w14:paraId="4C1D1653">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安全防护：（1）所有可操作和接触的展项，其被受教育者的手、脚、头等身体接触的部位，必须考虑可能会出现的各种机械伤害并做出保护设计。（2）所有展项不应露出锐利边缘或锐利尖端，以及其他可伤害手指、腿脚等身体部位的危险部件，不得已露出时应做圆滑卷边处理。（3）对于外露的零件（例如螺母、螺钉等）要设法保护，防止对受教育者带来伤害。（4）对于运行中发生位置移动的展项，或者展项的运动部位，如驱动、传动装置（如齿轮、链条、皮带）等，要设有安全防护罩（网或栏），防止对受教育者带来伤害。（5）通电设备的金属外壳及布展金属结构应进行接地保护设计。（6）展厅内受教育者可能到达区域的所有供排水、气和电源、计算机等的控制装置均应设置保护柜并加锁，既便于操作、观察和维修，又防止受教育者触摸。</w:t>
            </w:r>
          </w:p>
        </w:tc>
      </w:tr>
      <w:tr w14:paraId="6FD7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90" w:type="pct"/>
            <w:vAlign w:val="center"/>
          </w:tcPr>
          <w:p w14:paraId="5A1A5214">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需执行的国家相关标准、行业标准、地方标准或者其他标准、规范</w:t>
            </w:r>
          </w:p>
        </w:tc>
        <w:tc>
          <w:tcPr>
            <w:tcW w:w="4009" w:type="pct"/>
          </w:tcPr>
          <w:p w14:paraId="51F9DE1C">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14:paraId="7A1C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90" w:type="pct"/>
            <w:vAlign w:val="center"/>
          </w:tcPr>
          <w:p w14:paraId="737BE018">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对合同条款的调整</w:t>
            </w:r>
          </w:p>
        </w:tc>
        <w:tc>
          <w:tcPr>
            <w:tcW w:w="4009" w:type="pct"/>
          </w:tcPr>
          <w:p w14:paraId="078D82AE">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1．采购需求中所提面积仅供投标人参考，最终以现场实际实施确认的面积为准。如实施面积与采购文件提供的参考面积有差异，不能以此作为结算调整的依据。</w:t>
            </w:r>
          </w:p>
          <w:p w14:paraId="2F470F0C">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2．由于中标人原因，未能按本合同规定的内容、时间及相关要求向采购人交付成果的，中标人承担违约责任，支付违约金，具体违约金额以合同签订为准。</w:t>
            </w:r>
          </w:p>
          <w:p w14:paraId="57B36CE7">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合同履行期间，如发现中标人或其法定代表人、股东、其他高级管理人员（按照《公司法》规定认定）在本合同签订前、后有行贿行为或犯罪情形的（含经法院判决确认、经相关国家机关调查确认但未进一步追究、以及正在接受相关国家机关调查的情形）--在前两种即“经法院判决确认、经相关国家机关调查确认但未进一步追究”的情形下，采购人有权解除合同、不支付合同价款，且中标人已收取的合同价款应退回采购人；在后一种即“正在接受相关国家机关调查”的情形下，采购人有权解除合同，后续处理由双方协商；如协商未果的，采购人仍有权解除合同，对中标人已投入工作的部分，由采购人委托第三方评估工作量并结算，根据结算结果支付中标人已投入工作部分的合同价款。</w:t>
            </w:r>
          </w:p>
          <w:p w14:paraId="7B59197E">
            <w:pPr>
              <w:tabs>
                <w:tab w:val="left" w:pos="180"/>
                <w:tab w:val="left" w:pos="1620"/>
              </w:tabs>
              <w:spacing w:line="420" w:lineRule="exact"/>
              <w:ind w:firstLineChars="200"/>
              <w:rPr>
                <w:rFonts w:hint="eastAsia" w:ascii="宋体" w:hAnsi="宋体" w:eastAsia="宋体" w:cs="宋体"/>
                <w:color w:val="auto"/>
                <w:spacing w:val="0"/>
                <w:sz w:val="24"/>
                <w:szCs w:val="24"/>
                <w:highlight w:val="none"/>
              </w:rPr>
            </w:pPr>
            <w:r>
              <w:rPr>
                <w:rFonts w:hint="eastAsia" w:ascii="宋体" w:hAnsi="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rPr>
              <w:t>．合同履行期间，如发现中标人或其法定代表人在本合同签订前三年或签订后存在其他属于纪委监委管辖范围的违纪违法情形的，采购人有权解除合同，对中标人已投入工作的部分，由采购人委托第三方评估工作量并结算，根据结算结果支付中标人已投入工作部分的合同价款。</w:t>
            </w:r>
          </w:p>
        </w:tc>
      </w:tr>
      <w:tr w14:paraId="7F74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90" w:type="pct"/>
            <w:vAlign w:val="center"/>
          </w:tcPr>
          <w:p w14:paraId="67A00E43">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ind w:firstLineChars="200"/>
              <w:jc w:val="left"/>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rPr>
              <w:t>其他要求</w:t>
            </w:r>
          </w:p>
        </w:tc>
        <w:tc>
          <w:tcPr>
            <w:tcW w:w="4009" w:type="pct"/>
          </w:tcPr>
          <w:p w14:paraId="7E0409FB">
            <w:pPr>
              <w:widowControl/>
              <w:tabs>
                <w:tab w:val="left" w:pos="180"/>
                <w:tab w:val="left" w:pos="1620"/>
              </w:tabs>
              <w:spacing w:line="400" w:lineRule="exact"/>
              <w:ind w:firstLineChars="20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1．项目服务所涉及的货物如属于财库[2019]19号文列明的政府强制采购节能产品品目清单范围的，供货时须提供国家确定的认证机构出具的、处于有效期之内的节能产品认证证书证明材料。</w:t>
            </w:r>
          </w:p>
          <w:p w14:paraId="3802B303">
            <w:pPr>
              <w:widowControl/>
              <w:tabs>
                <w:tab w:val="left" w:pos="180"/>
                <w:tab w:val="left" w:pos="1620"/>
              </w:tabs>
              <w:spacing w:line="400" w:lineRule="exact"/>
              <w:ind w:firstLineChars="200"/>
              <w:jc w:val="left"/>
              <w:rPr>
                <w:rFonts w:hint="eastAsia" w:ascii="宋体" w:hAnsi="宋体" w:cs="宋体"/>
                <w:color w:val="auto"/>
                <w:sz w:val="24"/>
                <w:szCs w:val="24"/>
                <w:highlight w:val="none"/>
              </w:rPr>
            </w:pPr>
            <w:r>
              <w:rPr>
                <w:rFonts w:hint="eastAsia" w:ascii="宋体" w:hAnsi="宋体" w:eastAsia="宋体" w:cs="宋体"/>
                <w:color w:val="auto"/>
                <w:spacing w:val="0"/>
                <w:sz w:val="24"/>
                <w:szCs w:val="24"/>
                <w:highlight w:val="none"/>
              </w:rPr>
              <w:t>2.</w:t>
            </w:r>
            <w:r>
              <w:rPr>
                <w:rFonts w:hint="eastAsia" w:ascii="宋体" w:hAnsi="宋体" w:cs="宋体"/>
                <w:color w:val="auto"/>
                <w:kern w:val="2"/>
                <w:sz w:val="24"/>
                <w:szCs w:val="24"/>
                <w:highlight w:val="none"/>
              </w:rPr>
              <w:t>投标人中标</w:t>
            </w:r>
            <w:r>
              <w:rPr>
                <w:rFonts w:hint="eastAsia" w:ascii="宋体" w:hAnsi="宋体" w:cs="宋体"/>
                <w:color w:val="auto"/>
                <w:kern w:val="2"/>
                <w:sz w:val="24"/>
                <w:szCs w:val="24"/>
                <w:highlight w:val="none"/>
                <w:lang w:val="en-US" w:eastAsia="zh-CN"/>
              </w:rPr>
              <w:t>并签订合同后10个工作日内</w:t>
            </w:r>
            <w:r>
              <w:rPr>
                <w:rFonts w:hint="eastAsia" w:ascii="宋体" w:hAnsi="宋体" w:cs="宋体"/>
                <w:color w:val="auto"/>
                <w:kern w:val="2"/>
                <w:sz w:val="24"/>
                <w:szCs w:val="24"/>
                <w:highlight w:val="none"/>
              </w:rPr>
              <w:t>，</w:t>
            </w:r>
            <w:r>
              <w:rPr>
                <w:rFonts w:hint="eastAsia" w:ascii="宋体" w:hAnsi="宋体" w:cs="宋体"/>
                <w:color w:val="auto"/>
                <w:kern w:val="2"/>
                <w:sz w:val="24"/>
                <w:szCs w:val="24"/>
                <w:highlight w:val="none"/>
                <w:lang w:val="en-US" w:eastAsia="zh-CN"/>
              </w:rPr>
              <w:t>需要先</w:t>
            </w:r>
            <w:r>
              <w:rPr>
                <w:rFonts w:hint="eastAsia" w:ascii="宋体" w:hAnsi="宋体" w:cs="宋体"/>
                <w:color w:val="auto"/>
                <w:sz w:val="24"/>
                <w:szCs w:val="24"/>
                <w:highlight w:val="none"/>
              </w:rPr>
              <w:t>编制布展展示展陈大纲</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以及</w:t>
            </w:r>
            <w:r>
              <w:rPr>
                <w:rFonts w:hint="eastAsia" w:ascii="宋体" w:hAnsi="宋体" w:eastAsia="宋体" w:cs="宋体"/>
                <w:color w:val="auto"/>
                <w:sz w:val="24"/>
                <w:highlight w:val="none"/>
                <w:lang w:val="en-US" w:eastAsia="zh-CN"/>
              </w:rPr>
              <w:t>金花茶科普研学展区</w:t>
            </w:r>
            <w:r>
              <w:rPr>
                <w:rFonts w:hint="eastAsia" w:ascii="宋体" w:hAnsi="宋体" w:cs="宋体"/>
                <w:color w:val="auto"/>
                <w:kern w:val="2"/>
                <w:sz w:val="24"/>
                <w:szCs w:val="24"/>
                <w:highlight w:val="none"/>
              </w:rPr>
              <w:t>区域环境渲染及装饰部分</w:t>
            </w:r>
            <w:r>
              <w:rPr>
                <w:rFonts w:hint="eastAsia" w:ascii="宋体" w:hAnsi="宋体" w:cs="宋体"/>
                <w:color w:val="auto"/>
                <w:kern w:val="2"/>
                <w:sz w:val="24"/>
                <w:szCs w:val="24"/>
                <w:highlight w:val="none"/>
                <w:lang w:eastAsia="zh-CN"/>
              </w:rPr>
              <w:t>、</w:t>
            </w:r>
            <w:r>
              <w:rPr>
                <w:rFonts w:hint="eastAsia" w:ascii="宋体" w:hAnsi="宋体" w:cs="宋体"/>
                <w:color w:val="auto"/>
                <w:kern w:val="2"/>
                <w:sz w:val="24"/>
                <w:szCs w:val="24"/>
                <w:highlight w:val="none"/>
                <w:lang w:val="en-US" w:eastAsia="zh-CN"/>
              </w:rPr>
              <w:t>上岳保护站建设森林体验实践基地的</w:t>
            </w:r>
            <w:r>
              <w:rPr>
                <w:rFonts w:hint="eastAsia" w:ascii="宋体" w:hAnsi="宋体" w:cs="宋体"/>
                <w:color w:val="auto"/>
                <w:kern w:val="2"/>
                <w:sz w:val="24"/>
                <w:szCs w:val="24"/>
                <w:highlight w:val="none"/>
              </w:rPr>
              <w:t>设计</w:t>
            </w:r>
            <w:r>
              <w:rPr>
                <w:rFonts w:hint="eastAsia" w:ascii="宋体" w:hAnsi="宋体" w:cs="宋体"/>
                <w:color w:val="auto"/>
                <w:kern w:val="2"/>
                <w:sz w:val="24"/>
                <w:szCs w:val="24"/>
                <w:highlight w:val="none"/>
                <w:lang w:val="en-US" w:eastAsia="zh-CN"/>
              </w:rPr>
              <w:t>策划</w:t>
            </w:r>
            <w:r>
              <w:rPr>
                <w:rFonts w:hint="eastAsia" w:ascii="宋体" w:hAnsi="宋体" w:cs="宋体"/>
                <w:color w:val="auto"/>
                <w:kern w:val="2"/>
                <w:sz w:val="24"/>
                <w:szCs w:val="24"/>
                <w:highlight w:val="none"/>
                <w:lang w:eastAsia="zh-CN"/>
              </w:rPr>
              <w:t>。</w:t>
            </w:r>
            <w:r>
              <w:rPr>
                <w:rFonts w:hint="eastAsia" w:ascii="宋体" w:hAnsi="宋体" w:cs="宋体"/>
                <w:color w:val="auto"/>
                <w:sz w:val="24"/>
                <w:szCs w:val="24"/>
                <w:highlight w:val="none"/>
              </w:rPr>
              <w:t>展陈大纲需结合采购人</w:t>
            </w:r>
            <w:r>
              <w:rPr>
                <w:rFonts w:hint="eastAsia" w:ascii="宋体" w:hAnsi="宋体" w:cs="宋体"/>
                <w:color w:val="auto"/>
                <w:sz w:val="24"/>
                <w:szCs w:val="24"/>
                <w:highlight w:val="none"/>
                <w:lang w:val="en-US" w:eastAsia="zh-CN"/>
              </w:rPr>
              <w:t>业务</w:t>
            </w:r>
            <w:r>
              <w:rPr>
                <w:rFonts w:hint="eastAsia" w:ascii="宋体" w:hAnsi="宋体" w:cs="宋体"/>
                <w:color w:val="auto"/>
                <w:sz w:val="24"/>
                <w:szCs w:val="24"/>
                <w:highlight w:val="none"/>
              </w:rPr>
              <w:t>特色和实际情况</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在</w:t>
            </w:r>
            <w:r>
              <w:rPr>
                <w:rFonts w:hint="eastAsia" w:ascii="宋体" w:hAnsi="宋体" w:cs="宋体"/>
                <w:color w:val="auto"/>
                <w:sz w:val="24"/>
                <w:szCs w:val="24"/>
                <w:highlight w:val="none"/>
                <w:lang w:eastAsia="zh-CN"/>
              </w:rPr>
              <w:t>一楼金花茶科普展馆的</w:t>
            </w:r>
            <w:r>
              <w:rPr>
                <w:rFonts w:hint="eastAsia" w:ascii="宋体" w:hAnsi="宋体" w:cs="宋体"/>
                <w:color w:val="auto"/>
                <w:sz w:val="24"/>
                <w:szCs w:val="24"/>
                <w:highlight w:val="none"/>
                <w:lang w:val="en-US" w:eastAsia="zh-CN"/>
              </w:rPr>
              <w:t>内容和风格的基础上实现提升和兼容</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结合现场布展空间，凸显金花茶保护文化特色，强化宣教功能</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同时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从专业方面综合考虑，采购人可聘请</w:t>
            </w:r>
            <w:r>
              <w:rPr>
                <w:rFonts w:hint="eastAsia" w:ascii="宋体" w:hAnsi="宋体" w:cs="宋体"/>
                <w:color w:val="auto"/>
                <w:sz w:val="24"/>
                <w:szCs w:val="24"/>
                <w:highlight w:val="none"/>
                <w:lang w:val="en-US" w:eastAsia="zh-CN"/>
              </w:rPr>
              <w:t>展览、生态学、植物学、</w:t>
            </w:r>
            <w:r>
              <w:rPr>
                <w:rFonts w:hint="eastAsia" w:ascii="宋体" w:hAnsi="宋体" w:cs="宋体"/>
                <w:color w:val="auto"/>
                <w:sz w:val="24"/>
                <w:szCs w:val="24"/>
                <w:highlight w:val="none"/>
              </w:rPr>
              <w:t>金花茶资源保护等</w:t>
            </w:r>
            <w:r>
              <w:rPr>
                <w:rFonts w:hint="eastAsia" w:ascii="宋体" w:hAnsi="宋体" w:cs="宋体"/>
                <w:color w:val="auto"/>
                <w:sz w:val="24"/>
                <w:szCs w:val="24"/>
                <w:highlight w:val="none"/>
                <w:lang w:val="en-US" w:eastAsia="zh-CN"/>
              </w:rPr>
              <w:t>有关</w:t>
            </w:r>
            <w:r>
              <w:rPr>
                <w:rFonts w:hint="eastAsia" w:ascii="宋体" w:hAnsi="宋体" w:cs="宋体"/>
                <w:color w:val="auto"/>
                <w:sz w:val="24"/>
                <w:szCs w:val="24"/>
                <w:highlight w:val="none"/>
              </w:rPr>
              <w:t>方面的专家协助对中标人编写的展陈大纲</w:t>
            </w:r>
            <w:r>
              <w:rPr>
                <w:rFonts w:hint="eastAsia" w:ascii="宋体" w:hAnsi="宋体" w:cs="宋体"/>
                <w:color w:val="auto"/>
                <w:sz w:val="24"/>
                <w:szCs w:val="24"/>
                <w:highlight w:val="none"/>
                <w:lang w:val="en-US" w:eastAsia="zh-CN"/>
              </w:rPr>
              <w:t>进行</w:t>
            </w:r>
            <w:r>
              <w:rPr>
                <w:rFonts w:hint="eastAsia" w:ascii="宋体" w:hAnsi="宋体" w:cs="宋体"/>
                <w:color w:val="auto"/>
                <w:sz w:val="24"/>
                <w:szCs w:val="24"/>
                <w:highlight w:val="none"/>
              </w:rPr>
              <w:t>审核</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完善</w:t>
            </w:r>
            <w:r>
              <w:rPr>
                <w:rFonts w:hint="eastAsia" w:ascii="宋体" w:hAnsi="宋体" w:cs="宋体"/>
                <w:color w:val="auto"/>
                <w:sz w:val="24"/>
                <w:szCs w:val="24"/>
                <w:highlight w:val="none"/>
                <w:lang w:val="en-US" w:eastAsia="zh-CN"/>
              </w:rPr>
              <w:t>展陈大纲</w:t>
            </w:r>
            <w:r>
              <w:rPr>
                <w:rFonts w:hint="eastAsia" w:ascii="宋体" w:hAnsi="宋体" w:cs="宋体"/>
                <w:color w:val="auto"/>
                <w:sz w:val="24"/>
                <w:szCs w:val="24"/>
                <w:highlight w:val="none"/>
              </w:rPr>
              <w:t>内容，</w:t>
            </w:r>
            <w:r>
              <w:rPr>
                <w:rFonts w:hint="eastAsia" w:ascii="宋体" w:hAnsi="宋体" w:cs="宋体"/>
                <w:color w:val="auto"/>
                <w:sz w:val="24"/>
                <w:szCs w:val="24"/>
                <w:highlight w:val="none"/>
                <w:lang w:val="en-US" w:eastAsia="zh-CN"/>
              </w:rPr>
              <w:t>专家评审相关</w:t>
            </w:r>
            <w:r>
              <w:rPr>
                <w:rFonts w:hint="eastAsia" w:ascii="宋体" w:hAnsi="宋体" w:cs="宋体"/>
                <w:color w:val="auto"/>
                <w:sz w:val="24"/>
                <w:szCs w:val="24"/>
                <w:highlight w:val="none"/>
              </w:rPr>
              <w:t>费用由中标人支付。展陈大纲内容需待采购人审核确认后，才可上墙展示或切入系统展现。</w:t>
            </w:r>
          </w:p>
          <w:p w14:paraId="14A2E27C">
            <w:pPr>
              <w:widowControl/>
              <w:tabs>
                <w:tab w:val="left" w:pos="180"/>
                <w:tab w:val="left" w:pos="1620"/>
              </w:tabs>
              <w:spacing w:line="400" w:lineRule="exact"/>
              <w:ind w:firstLineChars="200"/>
              <w:jc w:val="left"/>
              <w:rPr>
                <w:rFonts w:hint="eastAsia" w:ascii="宋体" w:hAnsi="宋体" w:cs="宋体"/>
                <w:color w:val="auto"/>
                <w:kern w:val="2"/>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kern w:val="2"/>
                <w:sz w:val="24"/>
                <w:szCs w:val="24"/>
                <w:highlight w:val="none"/>
              </w:rPr>
              <w:t>采购人对设计方案进行确认后</w:t>
            </w:r>
            <w:r>
              <w:rPr>
                <w:rFonts w:hint="eastAsia" w:ascii="宋体" w:hAnsi="宋体" w:cs="宋体"/>
                <w:color w:val="auto"/>
                <w:kern w:val="2"/>
                <w:sz w:val="24"/>
                <w:szCs w:val="24"/>
                <w:highlight w:val="none"/>
                <w:lang w:eastAsia="zh-CN"/>
              </w:rPr>
              <w:t>，</w:t>
            </w:r>
            <w:r>
              <w:rPr>
                <w:rFonts w:hint="eastAsia" w:ascii="宋体" w:hAnsi="宋体" w:cs="宋体"/>
                <w:color w:val="auto"/>
                <w:kern w:val="2"/>
                <w:sz w:val="24"/>
                <w:szCs w:val="24"/>
                <w:highlight w:val="none"/>
              </w:rPr>
              <w:t>中标人根据设计</w:t>
            </w:r>
            <w:r>
              <w:rPr>
                <w:rFonts w:hint="eastAsia" w:ascii="宋体" w:hAnsi="宋体" w:cs="宋体"/>
                <w:color w:val="auto"/>
                <w:kern w:val="2"/>
                <w:sz w:val="24"/>
                <w:szCs w:val="24"/>
                <w:highlight w:val="none"/>
                <w:lang w:val="en-US" w:eastAsia="zh-CN"/>
              </w:rPr>
              <w:t>方案</w:t>
            </w:r>
            <w:r>
              <w:rPr>
                <w:rFonts w:hint="eastAsia" w:ascii="宋体" w:hAnsi="宋体" w:cs="宋体"/>
                <w:color w:val="auto"/>
                <w:kern w:val="2"/>
                <w:sz w:val="24"/>
                <w:szCs w:val="24"/>
                <w:highlight w:val="none"/>
              </w:rPr>
              <w:t>编制预算（预算价格不能超过该项标的中标价），</w:t>
            </w:r>
            <w:r>
              <w:rPr>
                <w:rFonts w:hint="eastAsia" w:ascii="宋体" w:hAnsi="宋体" w:cs="宋体"/>
                <w:color w:val="auto"/>
                <w:kern w:val="2"/>
                <w:sz w:val="24"/>
                <w:szCs w:val="24"/>
                <w:highlight w:val="none"/>
                <w:lang w:val="en-US" w:eastAsia="zh-CN"/>
              </w:rPr>
              <w:t>经</w:t>
            </w:r>
            <w:r>
              <w:rPr>
                <w:rFonts w:hint="eastAsia" w:ascii="宋体" w:hAnsi="宋体" w:cs="宋体"/>
                <w:color w:val="auto"/>
                <w:kern w:val="2"/>
                <w:sz w:val="24"/>
                <w:szCs w:val="24"/>
                <w:highlight w:val="none"/>
              </w:rPr>
              <w:t>采购人审核</w:t>
            </w:r>
            <w:r>
              <w:rPr>
                <w:rFonts w:hint="eastAsia" w:ascii="宋体" w:hAnsi="宋体" w:cs="宋体"/>
                <w:color w:val="auto"/>
                <w:kern w:val="2"/>
                <w:sz w:val="24"/>
                <w:szCs w:val="24"/>
                <w:highlight w:val="none"/>
                <w:lang w:val="en-US" w:eastAsia="zh-CN"/>
              </w:rPr>
              <w:t>确认</w:t>
            </w:r>
            <w:r>
              <w:rPr>
                <w:rFonts w:hint="eastAsia" w:ascii="宋体" w:hAnsi="宋体" w:cs="宋体"/>
                <w:color w:val="auto"/>
                <w:kern w:val="2"/>
                <w:sz w:val="24"/>
                <w:szCs w:val="24"/>
                <w:highlight w:val="none"/>
              </w:rPr>
              <w:t>后</w:t>
            </w:r>
            <w:r>
              <w:rPr>
                <w:rFonts w:hint="eastAsia" w:ascii="宋体" w:hAnsi="宋体" w:cs="宋体"/>
                <w:color w:val="auto"/>
                <w:kern w:val="2"/>
                <w:sz w:val="24"/>
                <w:szCs w:val="24"/>
                <w:highlight w:val="none"/>
                <w:lang w:val="en-US" w:eastAsia="zh-CN"/>
              </w:rPr>
              <w:t>再</w:t>
            </w:r>
            <w:r>
              <w:rPr>
                <w:rFonts w:hint="eastAsia" w:ascii="宋体" w:hAnsi="宋体" w:cs="宋体"/>
                <w:color w:val="auto"/>
                <w:kern w:val="2"/>
                <w:sz w:val="24"/>
                <w:szCs w:val="24"/>
                <w:highlight w:val="none"/>
              </w:rPr>
              <w:t>进行施工。</w:t>
            </w:r>
          </w:p>
          <w:p w14:paraId="328B25F0">
            <w:pPr>
              <w:widowControl/>
              <w:tabs>
                <w:tab w:val="left" w:pos="180"/>
                <w:tab w:val="left" w:pos="1620"/>
              </w:tabs>
              <w:spacing w:line="400" w:lineRule="exact"/>
              <w:ind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.技术参数及要求中所有涉及展示柜、定制柜</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提供板材等的板材环保等级不低于E0级，板材进场时需提供板材的环保等级检测报告</w:t>
            </w:r>
            <w:r>
              <w:rPr>
                <w:rFonts w:hint="eastAsia" w:ascii="宋体" w:hAnsi="宋体" w:cs="宋体"/>
                <w:color w:val="auto"/>
                <w:sz w:val="24"/>
                <w:szCs w:val="24"/>
                <w:highlight w:val="none"/>
                <w:lang w:eastAsia="zh-CN"/>
              </w:rPr>
              <w:t>。</w:t>
            </w:r>
          </w:p>
          <w:p w14:paraId="28D92797">
            <w:pPr>
              <w:widowControl/>
              <w:tabs>
                <w:tab w:val="left" w:pos="180"/>
                <w:tab w:val="left" w:pos="1620"/>
              </w:tabs>
              <w:spacing w:line="400" w:lineRule="exact"/>
              <w:ind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.技术参数及要求中所有涉及尺寸定制的，即使已标注规格尺寸，施工时采购人有权结合场地实际进行调整。</w:t>
            </w:r>
          </w:p>
          <w:p w14:paraId="537B5049">
            <w:pPr>
              <w:widowControl/>
              <w:tabs>
                <w:tab w:val="left" w:pos="180"/>
                <w:tab w:val="left" w:pos="1620"/>
              </w:tabs>
              <w:spacing w:line="400" w:lineRule="exact"/>
              <w:ind w:firstLineChars="200"/>
              <w:jc w:val="left"/>
              <w:rPr>
                <w:rFonts w:hint="eastAsia" w:ascii="宋体" w:hAnsi="宋体" w:eastAsia="宋体" w:cs="宋体"/>
                <w:color w:val="auto"/>
                <w:sz w:val="24"/>
                <w:szCs w:val="24"/>
                <w:highlight w:val="none"/>
                <w:lang w:val="en-US" w:eastAsia="zh-CN"/>
              </w:rPr>
            </w:pPr>
            <w:r>
              <w:rPr>
                <w:rFonts w:hint="eastAsia" w:ascii="宋体" w:hAnsi="宋体" w:cs="宋体"/>
                <w:color w:val="auto"/>
                <w:kern w:val="2"/>
                <w:sz w:val="24"/>
                <w:szCs w:val="24"/>
                <w:highlight w:val="none"/>
                <w:lang w:val="en-US" w:eastAsia="zh-CN"/>
              </w:rPr>
              <w:t>6.</w:t>
            </w:r>
            <w:r>
              <w:rPr>
                <w:rFonts w:hint="eastAsia" w:ascii="宋体" w:hAnsi="宋体" w:cs="宋体"/>
                <w:color w:val="auto"/>
                <w:kern w:val="2"/>
                <w:sz w:val="24"/>
                <w:szCs w:val="24"/>
                <w:highlight w:val="none"/>
              </w:rPr>
              <w:t>区域环境渲染及装饰部分结算以实际发生的工程量进行结算，</w:t>
            </w:r>
            <w:r>
              <w:rPr>
                <w:rFonts w:hint="eastAsia" w:ascii="宋体" w:hAnsi="宋体" w:cs="宋体"/>
                <w:color w:val="auto"/>
                <w:kern w:val="2"/>
                <w:sz w:val="24"/>
                <w:szCs w:val="24"/>
                <w:highlight w:val="none"/>
                <w:lang w:val="en-US" w:eastAsia="zh-CN"/>
              </w:rPr>
              <w:t>最终结算总价</w:t>
            </w:r>
            <w:r>
              <w:rPr>
                <w:rFonts w:hint="eastAsia" w:ascii="宋体" w:hAnsi="宋体" w:cs="宋体"/>
                <w:color w:val="auto"/>
                <w:kern w:val="2"/>
                <w:sz w:val="24"/>
                <w:szCs w:val="24"/>
                <w:highlight w:val="none"/>
              </w:rPr>
              <w:t>不得超过该项标的中标价。</w:t>
            </w:r>
          </w:p>
        </w:tc>
      </w:tr>
    </w:tbl>
    <w:p w14:paraId="3FDE95F7">
      <w:pPr>
        <w:widowControl/>
        <w:spacing w:line="240" w:lineRule="auto"/>
        <w:ind w:firstLine="0" w:firstLineChars="0"/>
        <w:outlineLvl w:val="9"/>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br w:type="page"/>
      </w:r>
    </w:p>
    <w:p w14:paraId="7535220A">
      <w:pPr>
        <w:widowControl/>
        <w:spacing w:line="400" w:lineRule="exact"/>
        <w:ind w:firstLine="241" w:firstLineChars="100"/>
        <w:outlineLvl w:val="1"/>
        <w:rPr>
          <w:rFonts w:hint="default"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附件一</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施工及设备设施需求清单</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361"/>
        <w:gridCol w:w="5246"/>
        <w:gridCol w:w="741"/>
        <w:gridCol w:w="768"/>
      </w:tblGrid>
      <w:tr w14:paraId="4C5B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9" w:type="pct"/>
            <w:noWrap w:val="0"/>
            <w:vAlign w:val="center"/>
          </w:tcPr>
          <w:p w14:paraId="67833A5F">
            <w:pPr>
              <w:widowControl/>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序号</w:t>
            </w:r>
          </w:p>
        </w:tc>
        <w:tc>
          <w:tcPr>
            <w:tcW w:w="751" w:type="pct"/>
            <w:noWrap w:val="0"/>
            <w:vAlign w:val="center"/>
          </w:tcPr>
          <w:p w14:paraId="618F5CC1">
            <w:pPr>
              <w:widowControl/>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名称</w:t>
            </w:r>
          </w:p>
        </w:tc>
        <w:tc>
          <w:tcPr>
            <w:tcW w:w="2896" w:type="pct"/>
            <w:noWrap w:val="0"/>
            <w:vAlign w:val="center"/>
          </w:tcPr>
          <w:p w14:paraId="392D19B1">
            <w:pPr>
              <w:widowControl/>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参数及要求</w:t>
            </w:r>
          </w:p>
        </w:tc>
        <w:tc>
          <w:tcPr>
            <w:tcW w:w="409" w:type="pct"/>
            <w:noWrap w:val="0"/>
            <w:vAlign w:val="center"/>
          </w:tcPr>
          <w:p w14:paraId="679189FC">
            <w:pPr>
              <w:widowControl/>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数量</w:t>
            </w:r>
          </w:p>
        </w:tc>
        <w:tc>
          <w:tcPr>
            <w:tcW w:w="422" w:type="pct"/>
            <w:noWrap w:val="0"/>
            <w:vAlign w:val="center"/>
          </w:tcPr>
          <w:p w14:paraId="48B7993A">
            <w:pPr>
              <w:widowControl/>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单位</w:t>
            </w:r>
          </w:p>
        </w:tc>
      </w:tr>
      <w:tr w14:paraId="2EAC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9" w:type="pct"/>
            <w:shd w:val="clear" w:color="auto" w:fill="FFFF00"/>
            <w:noWrap w:val="0"/>
            <w:vAlign w:val="center"/>
          </w:tcPr>
          <w:p w14:paraId="1CAFA74C">
            <w:pPr>
              <w:widowControl/>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（一）</w:t>
            </w:r>
          </w:p>
        </w:tc>
        <w:tc>
          <w:tcPr>
            <w:tcW w:w="4480" w:type="pct"/>
            <w:gridSpan w:val="4"/>
            <w:shd w:val="clear" w:color="auto" w:fill="FFFF00"/>
            <w:noWrap w:val="0"/>
            <w:vAlign w:val="center"/>
          </w:tcPr>
          <w:p w14:paraId="77743A8F">
            <w:pPr>
              <w:widowControl/>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区域环境渲染及装饰</w:t>
            </w:r>
          </w:p>
        </w:tc>
      </w:tr>
      <w:tr w14:paraId="387F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28335D2">
            <w:pPr>
              <w:widowControl/>
              <w:ind w:firstLine="0" w:firstLineChars="0"/>
              <w:rPr>
                <w:rFonts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1.1</w:t>
            </w:r>
          </w:p>
        </w:tc>
        <w:tc>
          <w:tcPr>
            <w:tcW w:w="4480" w:type="pct"/>
            <w:gridSpan w:val="4"/>
            <w:noWrap w:val="0"/>
            <w:vAlign w:val="center"/>
          </w:tcPr>
          <w:p w14:paraId="6E5978CB">
            <w:pPr>
              <w:widowControl/>
              <w:ind w:firstLine="482" w:firstLineChars="200"/>
              <w:rPr>
                <w:rFonts w:ascii="宋体" w:hAnsi="宋体" w:cs="宋体"/>
                <w:b w:val="0"/>
                <w:bCs w:val="0"/>
                <w:color w:val="auto"/>
                <w:kern w:val="0"/>
                <w:sz w:val="24"/>
                <w:szCs w:val="24"/>
                <w:highlight w:val="none"/>
              </w:rPr>
            </w:pPr>
            <w:r>
              <w:rPr>
                <w:rFonts w:hint="eastAsia" w:ascii="宋体" w:hAnsi="宋体" w:cs="宋体"/>
                <w:b/>
                <w:bCs/>
                <w:color w:val="auto"/>
                <w:kern w:val="0"/>
                <w:sz w:val="24"/>
                <w:szCs w:val="24"/>
                <w:highlight w:val="none"/>
              </w:rPr>
              <w:t>“自然之门”区域环境渲染及装饰：</w:t>
            </w:r>
          </w:p>
        </w:tc>
      </w:tr>
      <w:tr w14:paraId="68FC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0FD9CB0">
            <w:pPr>
              <w:widowControl/>
              <w:jc w:val="center"/>
              <w:rPr>
                <w:rFonts w:ascii="宋体" w:hAnsi="宋体" w:cs="宋体"/>
                <w:b/>
                <w:bCs/>
                <w:color w:val="auto"/>
                <w:kern w:val="0"/>
                <w:sz w:val="24"/>
                <w:szCs w:val="24"/>
                <w:highlight w:val="none"/>
              </w:rPr>
            </w:pPr>
            <w:r>
              <w:rPr>
                <w:rFonts w:hint="eastAsia" w:ascii="宋体" w:hAnsi="宋体"/>
                <w:color w:val="auto"/>
                <w:sz w:val="24"/>
                <w:szCs w:val="24"/>
                <w:highlight w:val="none"/>
              </w:rPr>
              <w:t>1.1.1</w:t>
            </w:r>
          </w:p>
        </w:tc>
        <w:tc>
          <w:tcPr>
            <w:tcW w:w="751" w:type="pct"/>
            <w:noWrap w:val="0"/>
            <w:vAlign w:val="center"/>
          </w:tcPr>
          <w:p w14:paraId="40B63889">
            <w:pPr>
              <w:widowControl/>
              <w:jc w:val="center"/>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简介屏</w:t>
            </w:r>
          </w:p>
          <w:p w14:paraId="3B80C251">
            <w:pPr>
              <w:widowControl/>
              <w:jc w:val="center"/>
              <w:rPr>
                <w:rFonts w:ascii="宋体" w:hAnsi="宋体" w:cs="宋体"/>
                <w:color w:val="auto"/>
                <w:kern w:val="0"/>
                <w:sz w:val="24"/>
                <w:szCs w:val="24"/>
                <w:highlight w:val="none"/>
              </w:rPr>
            </w:pPr>
            <w:r>
              <w:rPr>
                <w:rFonts w:hint="eastAsia" w:ascii="宋体" w:hAnsi="宋体" w:cs="宋体"/>
                <w:b w:val="0"/>
                <w:bCs w:val="0"/>
                <w:color w:val="auto"/>
                <w:kern w:val="0"/>
                <w:sz w:val="24"/>
                <w:szCs w:val="24"/>
                <w:highlight w:val="none"/>
              </w:rPr>
              <w:t>隔墙</w:t>
            </w:r>
          </w:p>
        </w:tc>
        <w:tc>
          <w:tcPr>
            <w:tcW w:w="2896" w:type="pct"/>
            <w:noWrap w:val="0"/>
            <w:vAlign w:val="center"/>
          </w:tcPr>
          <w:p w14:paraId="7CDA21B7">
            <w:pPr>
              <w:widowControl/>
              <w:jc w:val="left"/>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施工工艺：</w:t>
            </w:r>
          </w:p>
          <w:p w14:paraId="742EAF2B">
            <w:pPr>
              <w:widowControl/>
              <w:jc w:val="left"/>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1.安装沿地、沿顶龙骨切割龙骨：根据隔墙长度，用电锯切割沿地龙骨（U型）和沿顶龙骨（U型），长度需与隔墙长度一致，若有转角，需预留转角搭接长度。固定龙骨：将沿地龙骨对准地面边线，用冲击钻在龙骨上打孔，然后用膨胀螺栓（规格通常为M6或M8）将其固定在地面（混凝土基层）或楼板上。固定时需用水平仪校准龙骨水平度，确保沿地、沿顶龙骨平行且垂直于墙面。</w:t>
            </w:r>
          </w:p>
          <w:p w14:paraId="5B419197">
            <w:pPr>
              <w:widowControl/>
              <w:jc w:val="left"/>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2.安装竖龙骨切割竖龙骨：根据隔墙高度（沿地龙骨至沿顶龙骨的距离），切割C型竖龙骨，长度需比实际高度短5-10mm。</w:t>
            </w:r>
          </w:p>
          <w:p w14:paraId="5553586D">
            <w:pPr>
              <w:widowControl/>
              <w:jc w:val="left"/>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布置竖龙骨：竖龙骨需垂直插入沿地、沿顶龙骨的U型槽内，间距按设计要求（通常为400mm或600mm，需与石膏板宽度匹配，确保石膏板边缘能落在龙骨上）。</w:t>
            </w:r>
          </w:p>
          <w:p w14:paraId="2FE86EB2">
            <w:pPr>
              <w:widowControl/>
              <w:jc w:val="left"/>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转角处竖龙骨需错缝搭接，增强整体性。固定竖龙骨：用自攻螺丝将竖龙骨与沿地、沿顶龙骨固定，螺丝需拧入龙骨翼缘，避免松动。</w:t>
            </w:r>
          </w:p>
          <w:p w14:paraId="1AF29FDC">
            <w:pPr>
              <w:widowControl/>
              <w:jc w:val="left"/>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3.安装横撑龙骨（增强稳定性）当隔墙高度超过3m时，需在竖龙骨之间加装横撑龙骨（C型或U型），间距1.2-1.5m，与竖龙骨垂直连接，用龙骨连接件固定。横撑龙骨需与竖龙骨对齐，确保石膏板安装时受力均匀。</w:t>
            </w:r>
          </w:p>
          <w:p w14:paraId="55F8523E">
            <w:pPr>
              <w:widowControl/>
              <w:jc w:val="left"/>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4.安装石膏板固定石膏板：从隔墙一端开始安装，石膏板应竖向铺设（长边垂直于竖龙骨），板边需对准竖龙骨中心线，确保每块板至少固定在2根竖龙骨上。</w:t>
            </w:r>
          </w:p>
          <w:p w14:paraId="018B3E7B">
            <w:pPr>
              <w:widowControl/>
              <w:jc w:val="left"/>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用自攻螺丝固定石膏板，螺丝间距：板边为150-200mm，板中间为200-300mm；螺丝需与石膏板表面平齐。相邻石膏板之间需留5-8mm缝隙（用于嵌缝处理，防止开裂），接缝处需错开（即两块板的接缝不能在同一根龙骨上，避免薄弱点）。</w:t>
            </w:r>
          </w:p>
          <w:p w14:paraId="397267E3">
            <w:pPr>
              <w:widowControl/>
              <w:jc w:val="left"/>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5.贴铺碳晶板时用压辊从板中心向四周匀速碾压，排出气泡，确保胶层完全贴合（压力均匀，避免局部空鼓）；边角处需用木槌轻敲压实。接缝处密封胶是否平整，有无缺胶、气泡，及时修补。</w:t>
            </w:r>
          </w:p>
          <w:p w14:paraId="4553F28B">
            <w:pPr>
              <w:widowControl/>
              <w:jc w:val="left"/>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尺寸：3m*9m</w:t>
            </w:r>
          </w:p>
          <w:p w14:paraId="1F974187">
            <w:pPr>
              <w:widowControl/>
              <w:jc w:val="left"/>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用料：轻钢龙骨、埃特板、碳晶板</w:t>
            </w:r>
          </w:p>
        </w:tc>
        <w:tc>
          <w:tcPr>
            <w:tcW w:w="409" w:type="pct"/>
            <w:noWrap w:val="0"/>
            <w:vAlign w:val="center"/>
          </w:tcPr>
          <w:p w14:paraId="21228F7E">
            <w:pPr>
              <w:keepNext w:val="0"/>
              <w:keepLines w:val="0"/>
              <w:widowControl/>
              <w:suppressLineNumbers w:val="0"/>
              <w:jc w:val="center"/>
              <w:textAlignment w:val="auto"/>
              <w:rPr>
                <w:rFonts w:hint="eastAsia" w:ascii="宋体" w:hAnsi="宋体" w:eastAsia="宋体" w:cs="Times New Roman"/>
                <w:b w:val="0"/>
                <w:bCs w:val="0"/>
                <w:color w:val="auto"/>
                <w:kern w:val="2"/>
                <w:sz w:val="24"/>
                <w:szCs w:val="24"/>
                <w:highlight w:val="none"/>
              </w:rPr>
            </w:pPr>
            <w:r>
              <w:rPr>
                <w:rFonts w:hint="eastAsia" w:ascii="宋体" w:hAnsi="宋体" w:eastAsia="宋体" w:cs="Times New Roman"/>
                <w:i w:val="0"/>
                <w:iCs w:val="0"/>
                <w:color w:val="auto"/>
                <w:kern w:val="2"/>
                <w:sz w:val="24"/>
                <w:szCs w:val="24"/>
                <w:highlight w:val="none"/>
                <w:u w:val="none"/>
                <w:lang w:val="en-US" w:eastAsia="zh-CN" w:bidi="ar"/>
              </w:rPr>
              <w:t>27</w:t>
            </w:r>
          </w:p>
        </w:tc>
        <w:tc>
          <w:tcPr>
            <w:tcW w:w="422" w:type="pct"/>
            <w:noWrap w:val="0"/>
            <w:vAlign w:val="center"/>
          </w:tcPr>
          <w:p w14:paraId="0E8288D4">
            <w:pPr>
              <w:widowControl/>
              <w:jc w:val="center"/>
              <w:rPr>
                <w:rFonts w:ascii="宋体" w:hAnsi="宋体" w:cs="宋体"/>
                <w:color w:val="auto"/>
                <w:kern w:val="0"/>
                <w:sz w:val="24"/>
                <w:szCs w:val="24"/>
                <w:highlight w:val="none"/>
              </w:rPr>
            </w:pPr>
            <w:r>
              <w:rPr>
                <w:rFonts w:hint="eastAsia" w:ascii="宋体" w:hAnsi="宋体" w:eastAsia="宋体" w:cs="Times New Roman"/>
                <w:i w:val="0"/>
                <w:iCs w:val="0"/>
                <w:color w:val="auto"/>
                <w:kern w:val="2"/>
                <w:sz w:val="24"/>
                <w:szCs w:val="24"/>
                <w:highlight w:val="none"/>
                <w:u w:val="none"/>
                <w:lang w:val="en-US" w:eastAsia="zh-CN" w:bidi="ar"/>
              </w:rPr>
              <w:t>㎡</w:t>
            </w:r>
          </w:p>
        </w:tc>
      </w:tr>
      <w:tr w14:paraId="5A39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311DB6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1.1.2</w:t>
            </w:r>
          </w:p>
        </w:tc>
        <w:tc>
          <w:tcPr>
            <w:tcW w:w="751" w:type="pct"/>
            <w:noWrap w:val="0"/>
            <w:vAlign w:val="center"/>
          </w:tcPr>
          <w:p w14:paraId="658BCBBB">
            <w:pPr>
              <w:keepNext w:val="0"/>
              <w:keepLines w:val="0"/>
              <w:widowControl/>
              <w:suppressLineNumbers w:val="0"/>
              <w:jc w:val="center"/>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全息屏玻璃基底</w:t>
            </w:r>
          </w:p>
        </w:tc>
        <w:tc>
          <w:tcPr>
            <w:tcW w:w="2896" w:type="pct"/>
            <w:noWrap w:val="0"/>
            <w:vAlign w:val="center"/>
          </w:tcPr>
          <w:p w14:paraId="7A852BD7">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全息透明屏幕的玻璃基底墙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1.玻璃裁切与运输：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玻璃需按实际测量尺寸定制（预留2-3mm安装缝隙），必须是钢化玻璃（安全性能高，破碎后呈颗粒状），并带有3C认证标志。运输玻璃时用玻璃吸盘或专用支架，避免碰撞；搬运时保持垂直，禁止平抬（防止弯曲断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2.玻璃固定：嵌入框架：将玻璃缓慢放入框架内，底部垫3-5mm厚的橡胶垫片（避免玻璃与金属直接接触，减少摩擦异响），玻璃与框架的缝隙均匀（约2-3mm）。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3.密封处理：缝隙内先填入泡沫条（防止玻璃胶塌陷），再用胶枪注入中性硅酮密封胶（避免酸性胶腐蚀金属框架），胶面需平整连续，无气泡（打胶后用刮板轻压塑形）。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4.特殊节点处理玻璃与地面接触处：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若为固定隔断，底部可预留5-10mm缝隙，打胶后覆盖金属踢脚线；若为活动门，需安装地弹簧，玻璃底部与地面留10-15mm间隙（防碰撞）。</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玻璃与顶部、墙面的缝隙：用密封胶填充后，贴美纹纸压边，干燥后撕去，保证美观。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尺寸：3.13m*3m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用料：透明钢化10厘玻</w:t>
            </w:r>
          </w:p>
        </w:tc>
        <w:tc>
          <w:tcPr>
            <w:tcW w:w="409" w:type="pct"/>
            <w:noWrap w:val="0"/>
            <w:vAlign w:val="center"/>
          </w:tcPr>
          <w:p w14:paraId="0DA605E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w:t>
            </w:r>
          </w:p>
        </w:tc>
        <w:tc>
          <w:tcPr>
            <w:tcW w:w="422" w:type="pct"/>
            <w:noWrap w:val="0"/>
            <w:vAlign w:val="center"/>
          </w:tcPr>
          <w:p w14:paraId="78F1FA31">
            <w:pPr>
              <w:widowControl/>
              <w:jc w:val="center"/>
              <w:textAlignment w:val="center"/>
              <w:rPr>
                <w:rFonts w:hint="eastAsia" w:ascii="宋体" w:hAnsi="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5835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F96489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1.1.3</w:t>
            </w:r>
          </w:p>
        </w:tc>
        <w:tc>
          <w:tcPr>
            <w:tcW w:w="751" w:type="pct"/>
            <w:noWrap w:val="0"/>
            <w:vAlign w:val="center"/>
          </w:tcPr>
          <w:p w14:paraId="0A9CB1C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全息屏后隔墙</w:t>
            </w:r>
          </w:p>
        </w:tc>
        <w:tc>
          <w:tcPr>
            <w:tcW w:w="2896" w:type="pct"/>
            <w:noWrap w:val="0"/>
            <w:vAlign w:val="center"/>
          </w:tcPr>
          <w:p w14:paraId="7CDED18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玻璃基底后的隔墙，墙面贴图，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安装沿地、沿顶龙骨切割龙骨：根据隔墙长度，用电锯切割沿地龙骨（U型）和沿顶龙骨（U型），长度需与隔墙长度一致，若有转角，需预留转角搭接长度。固定龙骨：将沿地龙骨对准地面边线，用冲击钻在龙骨上打孔，然后用膨胀螺栓（规格通常为M6或M8）将其固定在地面（混凝土基层）或楼板上。固定时需用水平仪校准龙骨水平度，确保沿地、沿顶龙骨平行且垂直于墙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2.安装竖龙骨切割竖龙骨：根据隔墙高度（沿地龙骨至沿顶龙骨的距离），切割C型竖龙骨，长度需比实际高度短5-10mm。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布置竖龙骨：竖龙骨需垂直插入沿地、沿顶龙骨的U型槽内，间距按设计要求（通常为400mm或600mm，需与石膏板宽度匹配，确保石膏板边缘能落在龙骨上）。转角处竖龙骨需错缝搭接，增强整体性。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固定竖龙骨：用自攻螺丝将竖龙骨与沿地、沿顶龙骨固定，螺丝需拧入龙骨翼缘，避免松动。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3.安装横撑龙骨（增强稳定性）当隔墙高度超过3m时，需在竖龙骨之间加装横撑龙骨（C型或U型），间距1.2-1.5m，与竖龙骨垂直连接，用龙骨连接件固定。横撑龙骨需与竖龙骨对齐，确保石膏板安装时受力均匀。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4.安装石膏板固定石膏板：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从隔墙一端开始安装，石膏板应竖向铺设（长边垂直于竖龙骨），板边需对准竖龙骨中心线，确保每块板至少固定在2根竖龙骨上。用自攻螺丝固定石膏板，螺丝间距：板边为150-200mm，板中间为200-300mm；螺丝需与石膏板表面平齐。相邻石膏板之间需留5-8mm缝隙（用于嵌缝处理，防止开裂），接缝处需错开（即两块板的接缝不能在同一根龙骨上，避免薄弱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贴背胶时注意预留拼接位（设计时每幅画面重叠5-10mm，避免贴歪后出现缝隙）。先固定第一幅，对齐边界；第二幅重叠部分对齐图案，用刮板从中间向两侧刮压，确保拼接处平整无凸起，贴完后检查四边是否贴合，松动处可补涂少量透明玻璃胶（隐藏在边缘，不影响美观），尤其户外或潮湿环境，需确保边缘密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尺寸：5.4m*3m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用料：轻钢龙骨、埃特板、背胶</w:t>
            </w:r>
          </w:p>
        </w:tc>
        <w:tc>
          <w:tcPr>
            <w:tcW w:w="409" w:type="pct"/>
            <w:noWrap w:val="0"/>
            <w:vAlign w:val="center"/>
          </w:tcPr>
          <w:p w14:paraId="76B2145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w:t>
            </w:r>
          </w:p>
        </w:tc>
        <w:tc>
          <w:tcPr>
            <w:tcW w:w="422" w:type="pct"/>
            <w:noWrap w:val="0"/>
            <w:vAlign w:val="center"/>
          </w:tcPr>
          <w:p w14:paraId="6ED3955E">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55AD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3EE4AE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1.1.4</w:t>
            </w:r>
          </w:p>
        </w:tc>
        <w:tc>
          <w:tcPr>
            <w:tcW w:w="751" w:type="pct"/>
            <w:noWrap w:val="0"/>
            <w:vAlign w:val="center"/>
          </w:tcPr>
          <w:p w14:paraId="77681CE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拆窗改墙</w:t>
            </w:r>
          </w:p>
        </w:tc>
        <w:tc>
          <w:tcPr>
            <w:tcW w:w="2896" w:type="pct"/>
            <w:noWrap w:val="0"/>
            <w:vAlign w:val="center"/>
          </w:tcPr>
          <w:p w14:paraId="1209D12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展厅进门原玻璃窗全拆卸，改全封闭墙面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安装沿地、沿顶龙骨切割龙骨：根据隔墙长度，用电锯切割沿地龙骨（U型）和沿顶龙骨（U型），长度需与隔墙长度一致，若有转角，需预留转角搭接长度。固定龙骨：将沿地龙骨对准地面边线，用冲击钻在龙骨上打孔，然后用膨胀螺栓（规格通常为M6或M8）将其固定在地面（混凝土基层）或楼板上。固定时需用水平仪校准龙骨水平度，确保沿地、沿顶龙骨平行且垂直于墙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2.安装竖龙骨切割竖龙骨：根据隔墙高度（沿地龙骨至沿顶龙骨的距离），切割C型竖龙骨，长度需比实际高度短5-10mm。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布置竖龙骨：竖龙骨需垂直插入沿地、沿顶龙骨的U型槽内，间距按设计要求（通常为400mm或600mm，需与石膏板宽度匹配，确保石膏板边缘能落在龙骨上）。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转角处竖龙骨需错缝搭接，增强整体性。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固定竖龙骨：用自攻螺丝将竖龙骨与沿地、沿顶龙骨固定，螺丝需拧入龙骨翼缘，避免松动。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3.安装横撑龙骨（增强稳定性）当隔墙高度超过3m时，需在竖龙骨之间加装横撑龙骨（C型或U型），间距1.2-1.5m，与竖龙骨垂直连接，用龙骨连接件固定。横撑龙骨需与竖龙骨对齐，确保石膏板安装时受力均匀。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4.安装石膏板固定石膏板：从隔墙一端开始安装，石膏板应竖向铺设（长边垂直于竖龙骨），板边需对准竖龙骨中心线，确保每块板至少固定在2根竖龙骨上。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自攻螺丝固定石膏板，螺丝间距：板边为150-200mm，板中间为200-300mm；螺丝需与石膏板表面平齐。相邻石膏板之间需留5-8mm缝隙（用于嵌缝处理，防止开裂），接缝处需错开（即两块板的接缝不能在同一根龙骨上，避免薄弱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尺寸：3.1X0.2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用料：轻钢龙骨、埃特板</w:t>
            </w:r>
          </w:p>
        </w:tc>
        <w:tc>
          <w:tcPr>
            <w:tcW w:w="409" w:type="pct"/>
            <w:noWrap w:val="0"/>
            <w:vAlign w:val="center"/>
          </w:tcPr>
          <w:p w14:paraId="4A9ABA6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22</w:t>
            </w:r>
          </w:p>
        </w:tc>
        <w:tc>
          <w:tcPr>
            <w:tcW w:w="422" w:type="pct"/>
            <w:noWrap w:val="0"/>
            <w:vAlign w:val="center"/>
          </w:tcPr>
          <w:p w14:paraId="7A2622CE">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6A97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0A2309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1.1.5</w:t>
            </w:r>
          </w:p>
        </w:tc>
        <w:tc>
          <w:tcPr>
            <w:tcW w:w="751" w:type="pct"/>
            <w:noWrap w:val="0"/>
            <w:vAlign w:val="center"/>
          </w:tcPr>
          <w:p w14:paraId="571600D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装大门</w:t>
            </w:r>
          </w:p>
        </w:tc>
        <w:tc>
          <w:tcPr>
            <w:tcW w:w="2896" w:type="pct"/>
            <w:noWrap w:val="0"/>
            <w:vAlign w:val="center"/>
          </w:tcPr>
          <w:p w14:paraId="0A95A27C">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展区入口，双开不锈钢烤漆钢化玻地弹门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1.固定门框（若为有框门，无框门可跳过此步）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放线定位：在门洞内侧弹出门框的安装控制线（左右、上下边界），确保门框中心线与门洞中心线对齐，用水平仪校准水平和垂直（误差≤1mm/m）。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门框固定：调整门框垂直度：用水平仪检查，若有倾斜，通过加减木楔或垫片调整，确认无误后，在门框与墙体缝隙处填充玻璃胶（或发泡胶，固化后切平），密封防潮。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2.安装地弹簧（地弹簧门核心部件）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定位放线：根据门扇尺寸，在地弹簧安装位置（门轴对应地面）弹出中心线，确保地弹簧的旋转轴与门框中心线对齐（偏差≤2mm，否则门会跑偏）。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开凿地槽：根据地弹簧的尺寸（参考产品说明书），用切割机在地面切割凹槽（深度略大于地弹簧厚度，通常5-8cm），清理槽内碎屑。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3.组装不锈钢玻璃门扇：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在不锈钢框架的凹槽内均匀涂抹玻璃胶（深度约1/2凹槽），将玻璃缓慢放入凹槽（用玻璃吸盘辅助，避免手直接接触玻璃导致污染），确保玻璃与框架四边贴合，缝隙均匀，放入玻璃垫片固定位置，待玻璃胶固化（24小时以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4.安装门扇与调试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连接门扇与地弹簧：两人配合，用玻璃吸盘抬起门扇，将门扇底部的不锈钢连接件与地弹簧的旋转轴对齐，插入连接孔，用螺栓固定。若为上悬或合页门，需在门扇顶部安装不锈钢合页，与门框上框的合页座对齐固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5.安装门吸与收尾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固定门吸：根据门扇打开的最大角度，在地面或墙面上安装门吸（金属底座用膨胀螺栓固定），确保门吸与门扇上的吸板对齐，关门时能牢固吸附。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打胶密封：在不锈钢框架与玻璃的接缝处、门框与墙体的缝隙处，均匀打玻璃胶（胶线要平直、连续，避免气泡），用美工刀刮平多余胶料，24小时内避免触碰。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尺寸：1.6米X2.6米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用料：不锈钢烤漆、8厘钢化白玻、地弹</w:t>
            </w:r>
          </w:p>
        </w:tc>
        <w:tc>
          <w:tcPr>
            <w:tcW w:w="409" w:type="pct"/>
            <w:noWrap w:val="0"/>
            <w:vAlign w:val="center"/>
          </w:tcPr>
          <w:p w14:paraId="466B85A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w:t>
            </w:r>
          </w:p>
        </w:tc>
        <w:tc>
          <w:tcPr>
            <w:tcW w:w="422" w:type="pct"/>
            <w:noWrap w:val="0"/>
            <w:vAlign w:val="center"/>
          </w:tcPr>
          <w:p w14:paraId="4A667C8D">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7F9A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218EB9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1.1.6</w:t>
            </w:r>
          </w:p>
        </w:tc>
        <w:tc>
          <w:tcPr>
            <w:tcW w:w="751" w:type="pct"/>
            <w:noWrap w:val="0"/>
            <w:vAlign w:val="center"/>
          </w:tcPr>
          <w:p w14:paraId="5D026E8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吊顶</w:t>
            </w:r>
          </w:p>
        </w:tc>
        <w:tc>
          <w:tcPr>
            <w:tcW w:w="2896" w:type="pct"/>
            <w:noWrap w:val="0"/>
            <w:vAlign w:val="center"/>
          </w:tcPr>
          <w:p w14:paraId="242AA0B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顶面喷亚光黑，吊挂植物花型发光装饰，及装饰灯条。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施工工艺：喷漆施工步骤：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1.遮蔽保护用美纹纸粘贴吊顶边缘（与墙面、灯具、龙骨等交界处），再覆盖遮蔽膜保护地面、家具、门窗，确保遮蔽严密。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2.面漆调配  按比例稀释面漆（乳胶漆通常加水5%-15%，油性漆需加专用稀释剂，具体看产品说明），搅拌均匀后用滤网过滤（去除杂质，避免喷漆时出现颗粒）。同一批次涂料需一次性调配充足（避免分次调配产生色差）。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3.喷漆操作喷枪调试：调整喷枪压力，薄涂多次，避免流挂。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第一遍面漆：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持枪距离吊顶30-50cm，匀速移动（速度约30-50cm/s），走枪方向一致（横向或纵向），相邻喷涂带重叠1/3（避免漏喷）。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阴阳角处：喷枪稍倾斜，确保角落覆盖到位；造型吊顶（如格栅、弧形）需多角度喷涂，避免阴影处漏涂。干燥与打磨：第一遍面漆干燥后（约6-8小时），用240目砂纸轻磨（去除刷毛或颗粒），清理粉尘。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第二遍面漆：与第一遍走枪方向垂直（如第一遍横向，第二遍纵向），确保涂层均匀，厚度适中（总厚度约50-80μm）。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检查是否有流挂、针孔、气泡：若有，待干燥后用砂纸打磨，局部补漆。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吊挂植物花型发光装饰，及装饰灯条：(1)高空作业注意安全；(2)尼龙丝吊装植物花型发光装饰;(3)烤漆铝皮弯制植物花型内藏LED灯及灯带。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尺寸：4.42miX4.9米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用料：乳胶漆、尼龙丝吊装植物花型发光装饰</w:t>
            </w:r>
          </w:p>
        </w:tc>
        <w:tc>
          <w:tcPr>
            <w:tcW w:w="409" w:type="pct"/>
            <w:noWrap w:val="0"/>
            <w:vAlign w:val="center"/>
          </w:tcPr>
          <w:p w14:paraId="1D12826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w:t>
            </w:r>
          </w:p>
        </w:tc>
        <w:tc>
          <w:tcPr>
            <w:tcW w:w="422" w:type="pct"/>
            <w:noWrap w:val="0"/>
            <w:vAlign w:val="center"/>
          </w:tcPr>
          <w:p w14:paraId="2B435AC9">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41E7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AEA345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1.1.7</w:t>
            </w:r>
          </w:p>
        </w:tc>
        <w:tc>
          <w:tcPr>
            <w:tcW w:w="751" w:type="pct"/>
            <w:noWrap w:val="0"/>
            <w:vAlign w:val="center"/>
          </w:tcPr>
          <w:p w14:paraId="22454D2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常规照明和应急灯</w:t>
            </w:r>
          </w:p>
        </w:tc>
        <w:tc>
          <w:tcPr>
            <w:tcW w:w="2896" w:type="pct"/>
            <w:noWrap w:val="0"/>
            <w:vAlign w:val="center"/>
          </w:tcPr>
          <w:p w14:paraId="70CD4E3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单股漆包电线及套装套管、应急灯、插座、辅助光源、LED灯带</w:t>
            </w:r>
          </w:p>
        </w:tc>
        <w:tc>
          <w:tcPr>
            <w:tcW w:w="409" w:type="pct"/>
            <w:noWrap w:val="0"/>
            <w:vAlign w:val="center"/>
          </w:tcPr>
          <w:p w14:paraId="10C2B86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w:t>
            </w:r>
          </w:p>
        </w:tc>
        <w:tc>
          <w:tcPr>
            <w:tcW w:w="422" w:type="pct"/>
            <w:noWrap w:val="0"/>
            <w:vAlign w:val="center"/>
          </w:tcPr>
          <w:p w14:paraId="7309AB53">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4242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AEE4D2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1.1.8</w:t>
            </w:r>
          </w:p>
        </w:tc>
        <w:tc>
          <w:tcPr>
            <w:tcW w:w="751" w:type="pct"/>
            <w:noWrap w:val="0"/>
            <w:vAlign w:val="center"/>
          </w:tcPr>
          <w:p w14:paraId="2D4EF0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新风制冷设备</w:t>
            </w:r>
          </w:p>
        </w:tc>
        <w:tc>
          <w:tcPr>
            <w:tcW w:w="2896" w:type="pct"/>
            <w:noWrap w:val="0"/>
            <w:vAlign w:val="center"/>
          </w:tcPr>
          <w:p w14:paraId="49AB91B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环绕型出风天井式室内机：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制冷量：7.1KW,制热量：8.0KW，功率：39W,220V，风量：1000m3/h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多联式室外机组（匹配）：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制冷量：106.0KW,制热量：119.0KW，制冷功率：30.51KW，制热功率：29.58KW,380V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新风处理机组（匹配）：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风量：2160m3/h,制冷量：28.0KW,制热量：25.0KW，功率：400W，0~300Pa,220V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配件：四面出风面板、线控器、铜管(含保温）、U-PVC水管(含保温）</w:t>
            </w:r>
          </w:p>
        </w:tc>
        <w:tc>
          <w:tcPr>
            <w:tcW w:w="409" w:type="pct"/>
            <w:noWrap w:val="0"/>
            <w:vAlign w:val="center"/>
          </w:tcPr>
          <w:p w14:paraId="2DFE903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6ED02739">
            <w:pPr>
              <w:widowControl/>
              <w:jc w:val="center"/>
              <w:textAlignment w:val="center"/>
              <w:rPr>
                <w:rFonts w:hint="eastAsia" w:ascii="宋体" w:hAnsi="宋体" w:eastAsia="宋体" w:cs="宋体"/>
                <w:color w:val="auto"/>
                <w:kern w:val="0"/>
                <w:sz w:val="24"/>
                <w:szCs w:val="24"/>
                <w:highlight w:val="none"/>
                <w:lang w:eastAsia="zh-CN"/>
              </w:rPr>
            </w:pPr>
            <w:r>
              <w:rPr>
                <w:rFonts w:hint="eastAsia" w:ascii="宋体" w:hAnsi="宋体" w:eastAsia="宋体" w:cs="宋体"/>
                <w:i w:val="0"/>
                <w:iCs w:val="0"/>
                <w:color w:val="auto"/>
                <w:kern w:val="0"/>
                <w:sz w:val="24"/>
                <w:szCs w:val="24"/>
                <w:highlight w:val="none"/>
                <w:u w:val="none"/>
                <w:lang w:val="en-US" w:eastAsia="zh-CN" w:bidi="ar"/>
              </w:rPr>
              <w:t>套</w:t>
            </w:r>
          </w:p>
        </w:tc>
      </w:tr>
      <w:tr w14:paraId="6EB3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642F7D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w:t>
            </w:r>
          </w:p>
        </w:tc>
        <w:tc>
          <w:tcPr>
            <w:tcW w:w="4480" w:type="pct"/>
            <w:gridSpan w:val="4"/>
            <w:noWrap w:val="0"/>
            <w:vAlign w:val="center"/>
          </w:tcPr>
          <w:p w14:paraId="6EB0E75C">
            <w:pPr>
              <w:keepNext w:val="0"/>
              <w:keepLines w:val="0"/>
              <w:widowControl/>
              <w:suppressLineNumbers w:val="0"/>
              <w:jc w:val="both"/>
              <w:textAlignment w:val="center"/>
              <w:rPr>
                <w:rFonts w:hint="eastAsia" w:ascii="宋体" w:hAnsi="宋体" w:eastAsia="宋体" w:cs="宋体"/>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“记忆共生”区域环境渲染及装饰：</w:t>
            </w:r>
          </w:p>
        </w:tc>
      </w:tr>
      <w:tr w14:paraId="7840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6A95FA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1.2.1</w:t>
            </w:r>
          </w:p>
        </w:tc>
        <w:tc>
          <w:tcPr>
            <w:tcW w:w="751" w:type="pct"/>
            <w:noWrap w:val="0"/>
            <w:vAlign w:val="center"/>
          </w:tcPr>
          <w:p w14:paraId="3FF0CF5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隧道走廊入口造型门</w:t>
            </w:r>
          </w:p>
        </w:tc>
        <w:tc>
          <w:tcPr>
            <w:tcW w:w="2896" w:type="pct"/>
            <w:noWrap w:val="0"/>
            <w:vAlign w:val="center"/>
          </w:tcPr>
          <w:p w14:paraId="5AFCF2B6">
            <w:pPr>
              <w:keepNext w:val="0"/>
              <w:keepLines w:val="0"/>
              <w:widowControl/>
              <w:suppressLineNumbers w:val="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隧道入口造型门，门周围灯光装饰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1.大芯板裁切与拼接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裁切加工：根据造型尺寸切割大芯板，边缘需平直（用台锯切割，避免毛边）；弧形造型需用曲线锯沿轮廓线切割，切割后用砂纸（120目）打磨边缘至光滑。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留设伸缩缝：大芯板拼接时，板与板之间留2-3mm缝隙（避免热胀冷缩导致起拱），缝隙后期用腻子填补。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2.固定方式（确保与骨架贴合）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铺设方向：大芯板长边与次龙骨方向垂直（受力更合理），板面与骨架完全贴合（避免悬空导致后期变形）。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螺丝固定：从大芯板表面向龙骨拧入自攻螺丝（螺丝帽需沉入板面1-2mm，避免突出），间距：边缘150-200mm/颗，中间200-300mm/颗（确保牢固，防止翘边）。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异形部位处理：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弧形表面：若弧度较小，可直接用大芯板弯曲（大芯板含胶层，有一定柔韧性），每50-100mm用螺丝固定；弧度较大时，需将大芯板裁成5-10cm宽的条，逐条沿弧度固定（减少开裂风险）。</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凹凸造型：在骨架的凹凸节点处，大芯板需精准裁切缺口，与骨架贴合后，用螺丝从侧面固定（避免表面螺丝密集影响美观）。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3.基层修补（为饰面做准备）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填补缺陷：用木工腻子（或原子灰）填补螺丝帽沉孔、板缝、边角磕碰处，干燥后用120目砂纸打磨至平整（用手触摸无凸起）。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封闭处理：刷1遍清漆或底漆（防止大芯板内的木纤维受潮膨胀，同时避免后期饰面材料（如乳胶漆、木皮）被污染）。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尺寸：1米X8.4米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用料：木龙骨、防水大芯板、乳胶漆</w:t>
            </w:r>
          </w:p>
        </w:tc>
        <w:tc>
          <w:tcPr>
            <w:tcW w:w="409" w:type="pct"/>
            <w:noWrap w:val="0"/>
            <w:vAlign w:val="center"/>
          </w:tcPr>
          <w:p w14:paraId="70E1324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8.4</w:t>
            </w:r>
          </w:p>
        </w:tc>
        <w:tc>
          <w:tcPr>
            <w:tcW w:w="422" w:type="pct"/>
            <w:noWrap w:val="0"/>
            <w:vAlign w:val="center"/>
          </w:tcPr>
          <w:p w14:paraId="30EFC7F1">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47FA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A2979E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1.2.2</w:t>
            </w:r>
          </w:p>
        </w:tc>
        <w:tc>
          <w:tcPr>
            <w:tcW w:w="751" w:type="pct"/>
            <w:noWrap w:val="0"/>
            <w:vAlign w:val="center"/>
          </w:tcPr>
          <w:p w14:paraId="638DC93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隧道走廊基体搭建</w:t>
            </w:r>
          </w:p>
        </w:tc>
        <w:tc>
          <w:tcPr>
            <w:tcW w:w="2896" w:type="pct"/>
            <w:noWrap w:val="0"/>
            <w:vAlign w:val="center"/>
          </w:tcPr>
          <w:p w14:paraId="4E23F95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基层搭建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采用轻钢龙骨（优选）或阻燃木龙骨，主龙骨间距 30-40cm，确保结构牢固平整。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预留光源主机、空调、音响等设备孔洞，透光板基材拼接。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可控全彩LED灯带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按星云图在面板背面布置可控全彩LED灯带，根据图案星云亮度布置灯带位置和疏密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流星效果主机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主机安装在吊顶隐蔽处或设备间，预留维护空间，保证通风散热。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主机接220V电源，输出端连接光纤束，高端主机支持遥控、APP或DMX控制，可实现闪烁、流星等特效。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面层处理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平贴彩画，确保平整无气泡，接缝严密。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调试与收边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接通电源，检查每个星点通光情况，调整灯光模式、亮度、闪烁频率等参数。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安装阴角线、封边条，处理细节，多层吊顶可加暗藏灯带提升氛围。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尺寸：3米X20.5米+37平方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用料：轻钢龙骨、透光板</w:t>
            </w:r>
          </w:p>
        </w:tc>
        <w:tc>
          <w:tcPr>
            <w:tcW w:w="409" w:type="pct"/>
            <w:noWrap w:val="0"/>
            <w:vAlign w:val="center"/>
          </w:tcPr>
          <w:p w14:paraId="01C3FDF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100</w:t>
            </w:r>
          </w:p>
        </w:tc>
        <w:tc>
          <w:tcPr>
            <w:tcW w:w="422" w:type="pct"/>
            <w:noWrap w:val="0"/>
            <w:vAlign w:val="center"/>
          </w:tcPr>
          <w:p w14:paraId="149C238B">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7193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5EB28C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1.2.3</w:t>
            </w:r>
          </w:p>
        </w:tc>
        <w:tc>
          <w:tcPr>
            <w:tcW w:w="751" w:type="pct"/>
            <w:noWrap w:val="0"/>
            <w:vAlign w:val="center"/>
          </w:tcPr>
          <w:p w14:paraId="0F86646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隧道封窗</w:t>
            </w:r>
          </w:p>
        </w:tc>
        <w:tc>
          <w:tcPr>
            <w:tcW w:w="2896" w:type="pct"/>
            <w:noWrap w:val="0"/>
            <w:vAlign w:val="center"/>
          </w:tcPr>
          <w:p w14:paraId="2860BCC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隧道屏幕后的窗户遮光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工艺：遮光布自功钉压条结构胶粘贴封窗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尺寸：1.8米X1.6米X2幅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用料：遮光布、自功钉、压条、结构胶</w:t>
            </w:r>
          </w:p>
        </w:tc>
        <w:tc>
          <w:tcPr>
            <w:tcW w:w="409" w:type="pct"/>
            <w:noWrap w:val="0"/>
            <w:vAlign w:val="center"/>
          </w:tcPr>
          <w:p w14:paraId="1B6CB1A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37</w:t>
            </w:r>
          </w:p>
        </w:tc>
        <w:tc>
          <w:tcPr>
            <w:tcW w:w="422" w:type="pct"/>
            <w:noWrap w:val="0"/>
            <w:vAlign w:val="center"/>
          </w:tcPr>
          <w:p w14:paraId="056EF65D">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1D7A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CA0367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1.2.4</w:t>
            </w:r>
          </w:p>
        </w:tc>
        <w:tc>
          <w:tcPr>
            <w:tcW w:w="751" w:type="pct"/>
            <w:noWrap w:val="0"/>
            <w:vAlign w:val="center"/>
          </w:tcPr>
          <w:p w14:paraId="73B69D0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常规照明和应急灯</w:t>
            </w:r>
          </w:p>
        </w:tc>
        <w:tc>
          <w:tcPr>
            <w:tcW w:w="2896" w:type="pct"/>
            <w:noWrap w:val="0"/>
            <w:vAlign w:val="center"/>
          </w:tcPr>
          <w:p w14:paraId="30261AB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单股漆包电线及套装套管、应急灯、插座、辅助光源、LED灯带</w:t>
            </w:r>
          </w:p>
        </w:tc>
        <w:tc>
          <w:tcPr>
            <w:tcW w:w="409" w:type="pct"/>
            <w:noWrap w:val="0"/>
            <w:vAlign w:val="center"/>
          </w:tcPr>
          <w:p w14:paraId="702E4D7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37</w:t>
            </w:r>
          </w:p>
        </w:tc>
        <w:tc>
          <w:tcPr>
            <w:tcW w:w="422" w:type="pct"/>
            <w:noWrap w:val="0"/>
            <w:vAlign w:val="center"/>
          </w:tcPr>
          <w:p w14:paraId="3C8D35C1">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5D0C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7A188C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1.2.5</w:t>
            </w:r>
          </w:p>
        </w:tc>
        <w:tc>
          <w:tcPr>
            <w:tcW w:w="751" w:type="pct"/>
            <w:noWrap w:val="0"/>
            <w:vAlign w:val="center"/>
          </w:tcPr>
          <w:p w14:paraId="5F2FF0C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新风制冷设备</w:t>
            </w:r>
          </w:p>
        </w:tc>
        <w:tc>
          <w:tcPr>
            <w:tcW w:w="2896" w:type="pct"/>
            <w:noWrap w:val="0"/>
            <w:vAlign w:val="center"/>
          </w:tcPr>
          <w:p w14:paraId="6C3401B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环绕型出风天井式室内机：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制冷量：16.0KW,制热量：18.0KW，功率：110W,220V，风量：2100m3/h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多联式室外机组（匹配）：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制冷量：106.0KW,制热量：119.0KW，制冷功率：30.51KW，制热功率：29.58KW,380V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新风处理机组（匹配）：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风量：2160m3/h,制冷量：28.0KW,制热量：25.0KW，功率：400W，0~300Pa,220V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配件：四面出风面板、线控器、铜管(含保温）、U-PVC水管(含保温）</w:t>
            </w:r>
          </w:p>
        </w:tc>
        <w:tc>
          <w:tcPr>
            <w:tcW w:w="409" w:type="pct"/>
            <w:noWrap w:val="0"/>
            <w:vAlign w:val="center"/>
          </w:tcPr>
          <w:p w14:paraId="2298A87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528FEBB3">
            <w:pPr>
              <w:widowControl/>
              <w:jc w:val="center"/>
              <w:textAlignment w:val="center"/>
              <w:rPr>
                <w:rFonts w:hint="eastAsia" w:ascii="宋体" w:hAnsi="宋体" w:eastAsia="宋体" w:cs="宋体"/>
                <w:color w:val="auto"/>
                <w:kern w:val="0"/>
                <w:sz w:val="24"/>
                <w:szCs w:val="24"/>
                <w:highlight w:val="none"/>
                <w:lang w:eastAsia="zh-CN"/>
              </w:rPr>
            </w:pPr>
            <w:r>
              <w:rPr>
                <w:rFonts w:hint="eastAsia" w:ascii="宋体" w:hAnsi="宋体" w:eastAsia="宋体" w:cs="宋体"/>
                <w:i w:val="0"/>
                <w:iCs w:val="0"/>
                <w:color w:val="auto"/>
                <w:kern w:val="0"/>
                <w:sz w:val="24"/>
                <w:szCs w:val="24"/>
                <w:highlight w:val="none"/>
                <w:u w:val="none"/>
                <w:lang w:val="en-US" w:eastAsia="zh-CN" w:bidi="ar"/>
              </w:rPr>
              <w:t>套</w:t>
            </w:r>
          </w:p>
        </w:tc>
      </w:tr>
      <w:tr w14:paraId="20EB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40655A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w:t>
            </w:r>
          </w:p>
        </w:tc>
        <w:tc>
          <w:tcPr>
            <w:tcW w:w="4480" w:type="pct"/>
            <w:gridSpan w:val="4"/>
            <w:noWrap w:val="0"/>
            <w:vAlign w:val="center"/>
          </w:tcPr>
          <w:p w14:paraId="4284FD0A">
            <w:pPr>
              <w:keepNext w:val="0"/>
              <w:keepLines w:val="0"/>
              <w:widowControl/>
              <w:suppressLineNumbers w:val="0"/>
              <w:jc w:val="both"/>
              <w:textAlignment w:val="center"/>
              <w:rPr>
                <w:rFonts w:hint="eastAsia" w:ascii="宋体" w:hAnsi="宋体" w:eastAsia="宋体" w:cs="宋体"/>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“自然故事夜”区域环境渲染及装饰：</w:t>
            </w:r>
          </w:p>
        </w:tc>
      </w:tr>
      <w:tr w14:paraId="23C4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A21D00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1.3.1</w:t>
            </w:r>
          </w:p>
        </w:tc>
        <w:tc>
          <w:tcPr>
            <w:tcW w:w="751" w:type="pct"/>
            <w:noWrap w:val="0"/>
            <w:vAlign w:val="center"/>
          </w:tcPr>
          <w:p w14:paraId="391DFEA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区域衔接封墙</w:t>
            </w:r>
          </w:p>
        </w:tc>
        <w:tc>
          <w:tcPr>
            <w:tcW w:w="2896" w:type="pct"/>
            <w:noWrap w:val="0"/>
            <w:vAlign w:val="center"/>
          </w:tcPr>
          <w:p w14:paraId="205B60F4">
            <w:pPr>
              <w:keepNext w:val="0"/>
              <w:keepLines w:val="0"/>
              <w:widowControl/>
              <w:suppressLineNumbers w:val="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隧道与圆形区域的过道一侧封墙。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1.安装沿地、沿顶龙骨切割龙骨：根据隔墙长度，用电锯切割沿地龙骨（U型）和沿顶龙骨（U型），长度需与隔墙长度一致，若有转角，需预留转角搭接长度。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固定龙骨：将沿地龙骨对准地面边线，用冲击钻在龙骨上打孔，然后用膨胀螺栓（规格通常为M6或M8）将其固定在地面（混凝土基层）或楼板上。固定时需用水平仪校准龙骨水平度，确保沿地、沿顶龙骨平行且垂直于墙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2.安装竖龙骨切割竖龙骨：根据隔墙高度（沿地龙骨至沿顶龙骨的距离），切割C型竖龙骨，长度需比实际高度短5-10mm。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布置竖龙骨：竖龙骨需垂直插入沿地、沿顶龙骨的U型槽内，间距按设计要求（通常为400mm或600mm，需与石膏板宽度匹配，确保石膏板边缘能落在龙骨上）。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转角处竖龙骨需错缝搭接，增强整体性。固定竖龙骨：用自攻螺丝将竖龙骨与沿地、沿顶龙骨固定，螺丝需拧入龙骨翼缘，避免松动。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3.安装横撑龙骨（增强稳定性）当隔墙高度超过3m时，需在竖龙骨之间加装横撑龙骨（C型或U型），间距1.2-1.5m，与竖龙骨垂直连接，用龙骨连接件固定。横撑龙骨需与竖龙骨对齐，确保石膏板安装时受力均匀。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4.安装石膏板固定石膏板：从隔墙一端开始安装，石膏板应竖向铺设（长边垂直于竖龙骨），板边需对准竖龙骨中心线，确保每块板至少固定在2根竖龙骨上。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自攻螺丝固定石膏板，螺丝间距：板边为150-200mm，板中间为200-300mm；螺丝需与石膏板表面平齐。相邻石膏板之间需留5-8mm缝隙（用于嵌缝处理，防止开裂），接缝处需错开（即两块板的接缝不能在同一根龙骨上，避免薄弱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5.贴铺碳晶板时用压辊从板中心向四周匀速碾压，排出气泡，确保胶层完全贴合（压力均匀，避免局部空鼓）；边角处需用木槌轻敲压实。接缝处密封胶是否平整，有无缺胶、气泡，及时修补。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尺寸：3m*8.2m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用料：轻钢龙骨、埃特板、碳晶板</w:t>
            </w:r>
          </w:p>
        </w:tc>
        <w:tc>
          <w:tcPr>
            <w:tcW w:w="409" w:type="pct"/>
            <w:noWrap w:val="0"/>
            <w:vAlign w:val="center"/>
          </w:tcPr>
          <w:p w14:paraId="15A29E5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81</w:t>
            </w:r>
          </w:p>
        </w:tc>
        <w:tc>
          <w:tcPr>
            <w:tcW w:w="422" w:type="pct"/>
            <w:noWrap w:val="0"/>
            <w:vAlign w:val="center"/>
          </w:tcPr>
          <w:p w14:paraId="6E8AD171">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5B5C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8E6AA9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1.3.2</w:t>
            </w:r>
          </w:p>
        </w:tc>
        <w:tc>
          <w:tcPr>
            <w:tcW w:w="751" w:type="pct"/>
            <w:noWrap w:val="0"/>
            <w:vAlign w:val="center"/>
          </w:tcPr>
          <w:p w14:paraId="7301FB7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遮光封窗</w:t>
            </w:r>
          </w:p>
        </w:tc>
        <w:tc>
          <w:tcPr>
            <w:tcW w:w="2896" w:type="pct"/>
            <w:noWrap w:val="0"/>
            <w:vAlign w:val="center"/>
          </w:tcPr>
          <w:p w14:paraId="44FAD12E">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圆形区域幕后的窗户遮光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工艺：遮光布自功钉压条结构胶粘贴封窗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尺寸：1.8米X1.6米X2幅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用料：遮光布、自功钉、压条、结构胶</w:t>
            </w:r>
          </w:p>
        </w:tc>
        <w:tc>
          <w:tcPr>
            <w:tcW w:w="409" w:type="pct"/>
            <w:noWrap w:val="0"/>
            <w:vAlign w:val="center"/>
          </w:tcPr>
          <w:p w14:paraId="2BC22E4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108</w:t>
            </w:r>
          </w:p>
        </w:tc>
        <w:tc>
          <w:tcPr>
            <w:tcW w:w="422" w:type="pct"/>
            <w:noWrap w:val="0"/>
            <w:vAlign w:val="center"/>
          </w:tcPr>
          <w:p w14:paraId="16F8D034">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01F2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46129D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1.3.3</w:t>
            </w:r>
          </w:p>
        </w:tc>
        <w:tc>
          <w:tcPr>
            <w:tcW w:w="751" w:type="pct"/>
            <w:noWrap w:val="0"/>
            <w:vAlign w:val="center"/>
          </w:tcPr>
          <w:p w14:paraId="328FCA5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圆弧形吊顶</w:t>
            </w:r>
          </w:p>
        </w:tc>
        <w:tc>
          <w:tcPr>
            <w:tcW w:w="2896" w:type="pct"/>
            <w:noWrap w:val="0"/>
            <w:vAlign w:val="center"/>
          </w:tcPr>
          <w:p w14:paraId="0EE8CA6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a、用30mm*40mm木方或C75轻钢竖龙骨做骨架，埃特板封面；</w:t>
            </w:r>
          </w:p>
          <w:p w14:paraId="74326DD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b、规格:尺寸在250mm*180mm以内，按延米计算；</w:t>
            </w:r>
          </w:p>
          <w:p w14:paraId="37F4119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c、辅材及人工；</w:t>
            </w:r>
          </w:p>
        </w:tc>
        <w:tc>
          <w:tcPr>
            <w:tcW w:w="409" w:type="pct"/>
            <w:noWrap w:val="0"/>
            <w:vAlign w:val="center"/>
          </w:tcPr>
          <w:p w14:paraId="4D025EB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w:t>
            </w:r>
          </w:p>
        </w:tc>
        <w:tc>
          <w:tcPr>
            <w:tcW w:w="422" w:type="pct"/>
            <w:noWrap w:val="0"/>
            <w:vAlign w:val="center"/>
          </w:tcPr>
          <w:p w14:paraId="4C7719B4">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53AB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D9D6F2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1.3.4</w:t>
            </w:r>
          </w:p>
        </w:tc>
        <w:tc>
          <w:tcPr>
            <w:tcW w:w="751" w:type="pct"/>
            <w:noWrap w:val="0"/>
            <w:vAlign w:val="center"/>
          </w:tcPr>
          <w:p w14:paraId="132521A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中心吊架</w:t>
            </w:r>
          </w:p>
        </w:tc>
        <w:tc>
          <w:tcPr>
            <w:tcW w:w="2896" w:type="pct"/>
            <w:noWrap w:val="0"/>
            <w:vAlign w:val="center"/>
          </w:tcPr>
          <w:p w14:paraId="7CB7EE8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顶面喷亚光黑，安装专业灯光支架。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施工工艺：喷漆施工步骤：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1.遮蔽保护用美纹纸粘贴吊顶边缘（与墙面、灯具、龙骨等交界处），再覆盖遮蔽膜保护地面、家具、门窗，确保遮蔽严密。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2.面漆调配  按比例稀释面漆（乳胶漆通常加水5%-15%，油性漆需加专用稀释剂，具体看产品说明），搅拌均匀后用滤网过滤（去除杂质，避免喷漆时出现颗粒）。同一批次涂料需一次性调配充足（避免分次调配产生色差）。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3.喷漆操作喷枪调试：调整喷枪压力，薄涂多次，避免流挂。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第一遍面漆：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持枪距离吊顶30-50cm，匀速移动（速度约30-50cm/s），走枪方向一致（横向或纵向），相邻喷涂带重叠 1/3（避免漏喷）。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阴阳角处：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喷枪稍倾斜，确保角落覆盖到位；造型吊顶（如格栅、弧形）需多角度喷涂，避免阴影处漏涂。干燥与打磨：第一遍面漆干燥后（约6-8小时），用240目砂纸轻磨（去除刷毛或颗粒），清理粉尘。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第二遍面漆：与第一遍走枪方向垂直（如第一遍横向，第二遍纵向），确保涂层均匀，厚度适中（总厚度约50-80μm）。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检查是否有流挂、针孔、气泡：若有，待干燥后用砂纸打磨，局部补漆。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尺寸：22.45</w:t>
            </w:r>
            <w:r>
              <w:rPr>
                <w:rFonts w:hint="eastAsia" w:ascii="宋体" w:hAnsi="宋体" w:cs="宋体"/>
                <w:i w:val="0"/>
                <w:iCs w:val="0"/>
                <w:color w:val="auto"/>
                <w:kern w:val="0"/>
                <w:sz w:val="24"/>
                <w:szCs w:val="24"/>
                <w:highlight w:val="none"/>
                <w:u w:val="none"/>
                <w:lang w:val="en-US" w:eastAsia="zh-CN" w:bidi="ar"/>
              </w:rPr>
              <w:t>m</w:t>
            </w:r>
            <w:r>
              <w:rPr>
                <w:rFonts w:hint="eastAsia" w:ascii="宋体" w:hAnsi="宋体" w:eastAsia="宋体" w:cs="宋体"/>
                <w:i w:val="0"/>
                <w:iCs w:val="0"/>
                <w:color w:val="auto"/>
                <w:kern w:val="0"/>
                <w:sz w:val="24"/>
                <w:szCs w:val="24"/>
                <w:highlight w:val="none"/>
                <w:u w:val="none"/>
                <w:lang w:val="en-US" w:eastAsia="zh-CN" w:bidi="ar"/>
              </w:rPr>
              <w:t>X3</w:t>
            </w:r>
            <w:r>
              <w:rPr>
                <w:rFonts w:hint="eastAsia" w:ascii="宋体" w:hAnsi="宋体" w:cs="宋体"/>
                <w:i w:val="0"/>
                <w:iCs w:val="0"/>
                <w:color w:val="auto"/>
                <w:kern w:val="0"/>
                <w:sz w:val="24"/>
                <w:szCs w:val="24"/>
                <w:highlight w:val="none"/>
                <w:u w:val="none"/>
                <w:lang w:val="en-US" w:eastAsia="zh-CN" w:bidi="ar"/>
              </w:rPr>
              <w:t>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用料：乳胶漆、专业灯光支架</w:t>
            </w:r>
          </w:p>
        </w:tc>
        <w:tc>
          <w:tcPr>
            <w:tcW w:w="409" w:type="pct"/>
            <w:noWrap w:val="0"/>
            <w:vAlign w:val="center"/>
          </w:tcPr>
          <w:p w14:paraId="7FA9EBD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40</w:t>
            </w:r>
          </w:p>
        </w:tc>
        <w:tc>
          <w:tcPr>
            <w:tcW w:w="422" w:type="pct"/>
            <w:noWrap w:val="0"/>
            <w:vAlign w:val="center"/>
          </w:tcPr>
          <w:p w14:paraId="1701C5DF">
            <w:pPr>
              <w:keepNext w:val="0"/>
              <w:keepLines w:val="0"/>
              <w:widowControl/>
              <w:suppressLineNumbers w:val="0"/>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3E39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B98F33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1.3.5</w:t>
            </w:r>
          </w:p>
        </w:tc>
        <w:tc>
          <w:tcPr>
            <w:tcW w:w="751" w:type="pct"/>
            <w:noWrap w:val="0"/>
            <w:vAlign w:val="center"/>
          </w:tcPr>
          <w:p w14:paraId="7F5046E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常规照明和应急灯</w:t>
            </w:r>
          </w:p>
        </w:tc>
        <w:tc>
          <w:tcPr>
            <w:tcW w:w="2896" w:type="pct"/>
            <w:noWrap w:val="0"/>
            <w:vAlign w:val="center"/>
          </w:tcPr>
          <w:p w14:paraId="0A5F9BF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单股漆包电线及套装套管、应急灯、插座、辅助光源、LED灯带</w:t>
            </w:r>
          </w:p>
        </w:tc>
        <w:tc>
          <w:tcPr>
            <w:tcW w:w="409" w:type="pct"/>
            <w:noWrap w:val="0"/>
            <w:vAlign w:val="center"/>
          </w:tcPr>
          <w:p w14:paraId="2A662B1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63.6</w:t>
            </w:r>
          </w:p>
        </w:tc>
        <w:tc>
          <w:tcPr>
            <w:tcW w:w="422" w:type="pct"/>
            <w:noWrap w:val="0"/>
            <w:vAlign w:val="center"/>
          </w:tcPr>
          <w:p w14:paraId="3E265DA2">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5516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23BB99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1.3.6</w:t>
            </w:r>
          </w:p>
        </w:tc>
        <w:tc>
          <w:tcPr>
            <w:tcW w:w="751" w:type="pct"/>
            <w:noWrap w:val="0"/>
            <w:vAlign w:val="center"/>
          </w:tcPr>
          <w:p w14:paraId="5DC289F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制冷新风设备</w:t>
            </w:r>
          </w:p>
        </w:tc>
        <w:tc>
          <w:tcPr>
            <w:tcW w:w="2896" w:type="pct"/>
            <w:noWrap w:val="0"/>
            <w:vAlign w:val="center"/>
          </w:tcPr>
          <w:p w14:paraId="2B8CFC5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环绕型出风天井式室内机：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制冷量：16.0KW,制热量：18.0KW，功率：110W,220V，风量：2100m3/h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多联式室外机组（匹配）：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制冷量：106.0KW,制热量：119.0KW，制冷功率：30.51KW，制热功率：29.58KW,380V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新风处理机组（匹配）：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风量：2160m3/h,制冷量：28.0KW,制热量：25.0KW，功率：400W，0~300Pa,220V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配件：四面出风面板、线控器、铜管(含保温）、U-PVC水管(含保温）</w:t>
            </w:r>
          </w:p>
        </w:tc>
        <w:tc>
          <w:tcPr>
            <w:tcW w:w="409" w:type="pct"/>
            <w:noWrap w:val="0"/>
            <w:vAlign w:val="center"/>
          </w:tcPr>
          <w:p w14:paraId="267C8A7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422" w:type="pct"/>
            <w:noWrap w:val="0"/>
            <w:vAlign w:val="center"/>
          </w:tcPr>
          <w:p w14:paraId="6D661DA9">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r>
      <w:tr w14:paraId="1AA9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FE0742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1.4</w:t>
            </w:r>
          </w:p>
        </w:tc>
        <w:tc>
          <w:tcPr>
            <w:tcW w:w="4480" w:type="pct"/>
            <w:gridSpan w:val="4"/>
            <w:noWrap w:val="0"/>
            <w:vAlign w:val="center"/>
          </w:tcPr>
          <w:p w14:paraId="561456C5">
            <w:pPr>
              <w:keepNext w:val="0"/>
              <w:keepLines w:val="0"/>
              <w:widowControl/>
              <w:suppressLineNumbers w:val="0"/>
              <w:jc w:val="both"/>
              <w:textAlignment w:val="center"/>
              <w:rPr>
                <w:rFonts w:hint="eastAsia" w:ascii="宋体" w:hAnsi="宋体" w:eastAsia="宋体" w:cs="宋体"/>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“自然同行”区域环境渲染及装饰：</w:t>
            </w:r>
          </w:p>
        </w:tc>
      </w:tr>
      <w:tr w14:paraId="5645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3695FB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1.4.1</w:t>
            </w:r>
          </w:p>
        </w:tc>
        <w:tc>
          <w:tcPr>
            <w:tcW w:w="751" w:type="pct"/>
            <w:noWrap w:val="0"/>
            <w:vAlign w:val="center"/>
          </w:tcPr>
          <w:p w14:paraId="3C03451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半弧形隔墙</w:t>
            </w:r>
          </w:p>
        </w:tc>
        <w:tc>
          <w:tcPr>
            <w:tcW w:w="2896" w:type="pct"/>
            <w:noWrap w:val="0"/>
            <w:vAlign w:val="center"/>
          </w:tcPr>
          <w:p w14:paraId="0E724AD5">
            <w:pPr>
              <w:keepNext w:val="0"/>
              <w:keepLines w:val="0"/>
              <w:widowControl/>
              <w:suppressLineNumbers w:val="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弧形隔墙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安装沿地、沿顶龙骨切割龙骨：根据隔墙长度，用电锯切割沿地龙骨（U型）和沿顶龙骨（U型），长度需与隔墙长度一致，若有转角，需预留转角搭接长度。固定龙骨：将沿地龙骨对准地面边线，用冲击钻在龙骨上打孔，然后用膨胀螺栓（规格通常为M6或M8）将其固定在地面（混凝土基层）或楼板上。固定时需用水平仪校准龙骨水平度，确保沿地、沿顶龙骨平行且垂直于墙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2.安装竖龙骨切割竖龙骨：根据隔墙高度（沿地龙骨至沿顶龙骨的距离），切割C型竖龙骨，长度需比实际高度短5-10mm。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布置竖龙骨：竖龙骨需垂直插入沿地、沿顶龙骨的U型槽内，间距按设计要求（通常为400mm或600mm，需与石膏板宽度匹配，确保石膏板边缘能落在龙骨上）。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转角处竖龙骨需错缝搭接，增强整体性。固定竖龙骨：用自攻螺丝将竖龙骨与沿地、沿顶龙骨固定，螺丝需拧入龙骨翼缘，避免松动。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3.安装横撑龙骨（增强稳定性）当隔墙高度超过3m时，需在竖龙骨之间加装横撑龙骨（C型或U型），间距1.2-1.5m，与竖龙骨垂直连接，用龙骨连接件固定。横撑龙骨需与竖龙骨对齐，确保石膏板安装时受力均匀。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安装石膏板固定石膏板：从隔墙一端开始安装，石膏板应竖向铺设（长边垂直于竖龙骨），板边需对准竖龙骨中心线，确保每块板至少固定在2根竖龙骨上。用自攻螺丝固定石膏板，螺丝间距：板边为150-200mm，板中间为200-300mm；螺丝需与石膏板表面平齐。相邻石膏板之间需留5-8mm缝隙（用于嵌缝处理，防止开裂），接缝处需错开（即两块板的接缝不能在同一根龙骨上，避免薄弱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自攻螺丝固定石膏板，螺丝间距：板边为150-200mm，板中间为200-300mm；螺丝需与石膏板表面平齐。相邻石膏板之间需留5-8mm缝隙（用于嵌缝处理，防止开裂），接缝处需错开（即两块板的接缝不能在同一根龙骨上，避免薄弱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5.贴铺碳晶板时用压辊从板中心向四周匀速碾压，排出气泡，确保胶层完全贴合（压力均匀，避免局部空鼓）；边角处需用木槌轻敲压实。接缝处密封胶是否平整，有无缺胶、气泡，及时修补。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尺寸：3m*10m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用料：轻钢龙骨、埃特板、碳晶板</w:t>
            </w:r>
          </w:p>
        </w:tc>
        <w:tc>
          <w:tcPr>
            <w:tcW w:w="409" w:type="pct"/>
            <w:noWrap w:val="0"/>
            <w:vAlign w:val="center"/>
          </w:tcPr>
          <w:p w14:paraId="6BB59A0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422" w:type="pct"/>
            <w:noWrap w:val="0"/>
            <w:vAlign w:val="center"/>
          </w:tcPr>
          <w:p w14:paraId="13BAD4A8">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2ECD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70C5C1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1.4.2</w:t>
            </w:r>
          </w:p>
        </w:tc>
        <w:tc>
          <w:tcPr>
            <w:tcW w:w="751" w:type="pct"/>
            <w:noWrap w:val="0"/>
            <w:vAlign w:val="center"/>
          </w:tcPr>
          <w:p w14:paraId="4B8CD2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平面隔墙</w:t>
            </w:r>
          </w:p>
        </w:tc>
        <w:tc>
          <w:tcPr>
            <w:tcW w:w="2896" w:type="pct"/>
            <w:noWrap w:val="0"/>
            <w:vAlign w:val="center"/>
          </w:tcPr>
          <w:p w14:paraId="418A809E">
            <w:pPr>
              <w:keepNext w:val="0"/>
              <w:keepLines w:val="0"/>
              <w:widowControl/>
              <w:suppressLineNumbers w:val="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平隔墙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安装沿地、沿顶龙骨切割龙骨：根据隔墙长度，用电锯切割沿地龙骨（U型）和沿顶龙骨（U型），长度需与隔墙长度一致，若有转角，需预留转角搭接长度。固定龙骨：将沿地龙骨对准地面边线，用冲击钻在龙骨上打孔，然后用膨胀螺栓（规格通常为M6或M8）将其固定在地面（混凝土基层）或楼板上。固定时需用水平仪校准龙骨水平度，确保沿地、沿顶龙骨平行且垂直于墙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2.安装竖龙骨切割竖龙骨：根据隔墙高度（沿地龙骨至沿顶龙骨的距离），切割C型竖龙骨，长度需比实际高度短5-10mm。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布置竖龙骨：竖龙骨需垂直插入沿地、沿顶龙骨的U型槽内，间距按设计要求（通常为400mm或600mm，需与石膏板宽度匹配，确保石膏板边缘能落在龙骨上）。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转角处竖龙骨需错缝搭接，增强整体性。固定竖龙骨：用自攻螺丝将竖龙骨与沿地、沿顶龙骨固定，螺丝需拧入龙骨翼缘，避免松动。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3.安装横撑龙骨（增强稳定性）当隔墙高度超过3m时，需在竖龙骨之间加装横撑龙骨（C型或U型），间距1.2-1.5m，与竖龙骨垂直连接，用龙骨连接件固定。横撑龙骨需与竖龙骨对齐，确保石膏板安装时受力均匀。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安装石膏板固定石膏板：从隔墙一端开始安装，石膏板应竖向铺设（长边垂直于竖龙骨），板边需对准竖龙骨中心线，确保每块板至少固定在2根竖龙骨上。用自攻螺丝固定石膏板，螺丝间距：板边为150-200mm，板中间为200-300mm；螺丝需与石膏板表面平齐。相邻石膏板之间需留5-8mm缝隙（用于嵌缝处理，防止开裂），接缝处需错开（即两块板的接缝不能在同一根龙骨上，避免薄弱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自攻螺丝固定石膏板，螺丝间距：板边为150-200mm，板中间为200-300mm；螺丝需与石膏板表面平齐。相邻石膏板之间需留5-8mm缝隙（用于嵌缝处理，防止开裂），接缝处需错开（即两块板的接缝不能在同一根龙骨上，避免薄弱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5.贴铺碳晶板时用压辊从板中心向四周匀速碾压，排出气泡，确保胶层完全贴合（压力均匀，避免局部空鼓）；边角处需用木槌轻敲压实。接缝处密封胶是否平整，有无缺胶、气泡，及时修补。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尺寸：3m*10m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用料：轻钢龙骨、埃特板、碳晶板</w:t>
            </w:r>
          </w:p>
        </w:tc>
        <w:tc>
          <w:tcPr>
            <w:tcW w:w="409" w:type="pct"/>
            <w:noWrap w:val="0"/>
            <w:vAlign w:val="center"/>
          </w:tcPr>
          <w:p w14:paraId="5CEA082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34</w:t>
            </w:r>
          </w:p>
        </w:tc>
        <w:tc>
          <w:tcPr>
            <w:tcW w:w="422" w:type="pct"/>
            <w:noWrap w:val="0"/>
            <w:vAlign w:val="center"/>
          </w:tcPr>
          <w:p w14:paraId="25032651">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1791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FB42E5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1.4.3</w:t>
            </w:r>
          </w:p>
        </w:tc>
        <w:tc>
          <w:tcPr>
            <w:tcW w:w="751" w:type="pct"/>
            <w:noWrap w:val="0"/>
            <w:vAlign w:val="center"/>
          </w:tcPr>
          <w:p w14:paraId="1108200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吊顶</w:t>
            </w:r>
          </w:p>
        </w:tc>
        <w:tc>
          <w:tcPr>
            <w:tcW w:w="2896" w:type="pct"/>
            <w:noWrap w:val="0"/>
            <w:vAlign w:val="center"/>
          </w:tcPr>
          <w:p w14:paraId="6B640221">
            <w:pPr>
              <w:keepNext w:val="0"/>
              <w:keepLines w:val="0"/>
              <w:widowControl/>
              <w:suppressLineNumbers w:val="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顶面喷亚光黑，吊挂装饰物，及装饰灯条。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施工工艺：喷漆施工步骤：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1.遮蔽保护用美纹纸粘贴吊顶边缘（与墙面、灯具、龙骨等交界处），再覆盖遮蔽膜保护地面、家具、门窗，确保遮蔽严密。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2.面漆调配  按比例稀释面漆（乳胶漆通常加水 5%-15%，油性漆需加专用稀释剂，具体看产品说明），搅拌均匀后用滤网过滤（去除杂质，避免喷漆时出现颗粒）。同一批次涂料需一次性调配充足（避免分次调配产生色差）。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3.喷漆操作喷枪调试：调整喷枪压力，薄涂多次，避免流挂。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第一遍面漆：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持枪距离吊顶30-50cm，匀速移动（速度约30-50cm/s），走枪方向一致（横向或纵向），相邻喷涂带重叠1/3（避免漏喷）。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阴阳角处：喷枪稍倾斜，确保角落覆盖到位；造型吊顶（如格栅、弧形）需多角度喷涂，避免阴影处漏涂。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干燥与打磨：第一遍面漆干燥后（约6-8小时），用240目砂纸轻磨（去除刷毛或颗粒），清理粉尘。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第二遍面漆：与第一遍走枪方向垂直（如第一遍横向，第二遍纵向），确保涂层均匀，厚度适中（总厚度约50-80μm）。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检查是否有流挂、针孔、气泡：若有，待干燥后用砂纸打磨，局部补漆。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吊挂植物花型发光装饰，及装饰灯条：（1）高空作业注意安全；（2）尼龙丝吊装植物花型发光装饰;（3)烤漆铝皮弯制植物花型内藏LED灯及灯带。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尺寸：4.42</w:t>
            </w:r>
            <w:r>
              <w:rPr>
                <w:rFonts w:hint="eastAsia" w:ascii="宋体" w:hAnsi="宋体" w:cs="宋体"/>
                <w:i w:val="0"/>
                <w:iCs w:val="0"/>
                <w:color w:val="auto"/>
                <w:kern w:val="0"/>
                <w:sz w:val="24"/>
                <w:szCs w:val="24"/>
                <w:highlight w:val="none"/>
                <w:u w:val="none"/>
                <w:lang w:val="en-US" w:eastAsia="zh-CN" w:bidi="ar"/>
              </w:rPr>
              <w:t>m</w:t>
            </w:r>
            <w:r>
              <w:rPr>
                <w:rFonts w:hint="eastAsia" w:ascii="宋体" w:hAnsi="宋体" w:eastAsia="宋体" w:cs="宋体"/>
                <w:i w:val="0"/>
                <w:iCs w:val="0"/>
                <w:color w:val="auto"/>
                <w:kern w:val="0"/>
                <w:sz w:val="24"/>
                <w:szCs w:val="24"/>
                <w:highlight w:val="none"/>
                <w:u w:val="none"/>
                <w:lang w:val="en-US" w:eastAsia="zh-CN" w:bidi="ar"/>
              </w:rPr>
              <w:t>X4.9</w:t>
            </w:r>
            <w:r>
              <w:rPr>
                <w:rFonts w:hint="eastAsia" w:ascii="宋体" w:hAnsi="宋体" w:cs="宋体"/>
                <w:i w:val="0"/>
                <w:iCs w:val="0"/>
                <w:color w:val="auto"/>
                <w:kern w:val="0"/>
                <w:sz w:val="24"/>
                <w:szCs w:val="24"/>
                <w:highlight w:val="none"/>
                <w:u w:val="none"/>
                <w:lang w:val="en-US" w:eastAsia="zh-CN" w:bidi="ar"/>
              </w:rPr>
              <w:t>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用料：乳胶漆、尼龙丝吊装植物花型发光装饰</w:t>
            </w:r>
          </w:p>
        </w:tc>
        <w:tc>
          <w:tcPr>
            <w:tcW w:w="409" w:type="pct"/>
            <w:noWrap w:val="0"/>
            <w:vAlign w:val="center"/>
          </w:tcPr>
          <w:p w14:paraId="2A4CA9A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76</w:t>
            </w:r>
          </w:p>
        </w:tc>
        <w:tc>
          <w:tcPr>
            <w:tcW w:w="422" w:type="pct"/>
            <w:noWrap w:val="0"/>
            <w:vAlign w:val="center"/>
          </w:tcPr>
          <w:p w14:paraId="79716DDA">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4557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9F7EE8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1.4.4</w:t>
            </w:r>
          </w:p>
        </w:tc>
        <w:tc>
          <w:tcPr>
            <w:tcW w:w="751" w:type="pct"/>
            <w:noWrap w:val="0"/>
            <w:vAlign w:val="center"/>
          </w:tcPr>
          <w:p w14:paraId="18AFDF5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常规照明和应急灯</w:t>
            </w:r>
          </w:p>
        </w:tc>
        <w:tc>
          <w:tcPr>
            <w:tcW w:w="2896" w:type="pct"/>
            <w:noWrap w:val="0"/>
            <w:vAlign w:val="center"/>
          </w:tcPr>
          <w:p w14:paraId="4A2EF46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单股漆包电线及套装套管、应急灯、插座、辅助光源、LED灯带</w:t>
            </w:r>
          </w:p>
        </w:tc>
        <w:tc>
          <w:tcPr>
            <w:tcW w:w="409" w:type="pct"/>
            <w:noWrap w:val="0"/>
            <w:vAlign w:val="center"/>
          </w:tcPr>
          <w:p w14:paraId="3D2C945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40</w:t>
            </w:r>
          </w:p>
        </w:tc>
        <w:tc>
          <w:tcPr>
            <w:tcW w:w="422" w:type="pct"/>
            <w:noWrap w:val="0"/>
            <w:vAlign w:val="center"/>
          </w:tcPr>
          <w:p w14:paraId="4168997D">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2F8B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49B142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1.4.5</w:t>
            </w:r>
          </w:p>
        </w:tc>
        <w:tc>
          <w:tcPr>
            <w:tcW w:w="751" w:type="pct"/>
            <w:noWrap w:val="0"/>
            <w:vAlign w:val="center"/>
          </w:tcPr>
          <w:p w14:paraId="0EF8401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新风制冷设备</w:t>
            </w:r>
          </w:p>
        </w:tc>
        <w:tc>
          <w:tcPr>
            <w:tcW w:w="2896" w:type="pct"/>
            <w:noWrap w:val="0"/>
            <w:vAlign w:val="center"/>
          </w:tcPr>
          <w:p w14:paraId="33D6905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环绕型出风天井式室内机：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制冷量：16.0KW,制热量：18.0KW，功率：110W,220V，风量：2100m3/h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多联式室外机组（匹配）：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制冷量：106.0KW,制热量：119.0KW，制冷功率：30.51KW，制热功率：29.58KW,380V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新风处理机组（匹配）：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风量：2160m3/h,制冷量：28.0KW,制热量：25.0KW，功率：400W，0~300Pa,220V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配件：四面出风面板、线控器、铜管(含保温）、U-PVC水管(含保温）</w:t>
            </w:r>
          </w:p>
        </w:tc>
        <w:tc>
          <w:tcPr>
            <w:tcW w:w="409" w:type="pct"/>
            <w:noWrap w:val="0"/>
            <w:vAlign w:val="center"/>
          </w:tcPr>
          <w:p w14:paraId="554FFC9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36355CB3">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r>
      <w:tr w14:paraId="7FDF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F45AB0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4480" w:type="pct"/>
            <w:gridSpan w:val="4"/>
            <w:noWrap w:val="0"/>
            <w:vAlign w:val="center"/>
          </w:tcPr>
          <w:p w14:paraId="48898500">
            <w:pPr>
              <w:keepNext w:val="0"/>
              <w:keepLines w:val="0"/>
              <w:widowControl/>
              <w:suppressLineNumbers w:val="0"/>
              <w:jc w:val="both"/>
              <w:textAlignment w:val="center"/>
              <w:rPr>
                <w:rFonts w:hint="eastAsia" w:ascii="宋体" w:hAnsi="宋体" w:eastAsia="宋体" w:cs="宋体"/>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“生境舞台”区域环境渲染及装饰：</w:t>
            </w:r>
          </w:p>
        </w:tc>
      </w:tr>
      <w:tr w14:paraId="32B1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D0874C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1.5.1</w:t>
            </w:r>
          </w:p>
        </w:tc>
        <w:tc>
          <w:tcPr>
            <w:tcW w:w="751" w:type="pct"/>
            <w:noWrap w:val="0"/>
            <w:vAlign w:val="center"/>
          </w:tcPr>
          <w:p w14:paraId="788AF56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台面搭建</w:t>
            </w:r>
          </w:p>
        </w:tc>
        <w:tc>
          <w:tcPr>
            <w:tcW w:w="2896" w:type="pct"/>
            <w:noWrap w:val="0"/>
            <w:vAlign w:val="center"/>
          </w:tcPr>
          <w:p w14:paraId="599EFA7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舞台台面搭建。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现场勘测与方案设计勘测内容：测量建筑层高、跨度、墙体材质（混凝土承重墙/砖承重墙）、墙体承载力，确认阁楼使用功能（储物/居住/办公），明确荷载需求。设计输出：出具正式施工图纸，标注主/次龙骨规格、间距、节点连接方式、锚栓位置，同时明确楼承板类型、防腐工艺，图纸需符合《钢结构设计标准》（GB 50017）。</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料采购与工厂加工按图纸采购钢材、紧固件、楼承板等材料，关键构件（主龙骨、次龙骨）在工厂预制切割、打孔，标注编号，减少现场焊接作业。对预制钢材进行预处理：除油、除锈（喷砂/抛丸），喷涂一遍防锈底漆，便于现场安装后统一补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基础与支座施工墙体支座：在混凝土承重墙上按图纸定位，采用化学锚栓固定钢支座（严禁用普通膨胀螺栓，砖墙体需做混凝土圈梁加固后再装支座），锚栓植入深度≥10d（d为锚栓直径），植筋后需做拉拔试验。地面/梁支座：若阁楼需落地支撑，在地面浇筑混凝土支墩，或与建筑原有梁体通过连接板焊接/栓接，保证支座水平、牢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主龙骨安装主龙骨为阁楼主要承重构件，常用H型钢、工字钢，按图纸间距（一般800-1200mm）吊装到位，与墙体支座/落地支墩先临时固定，再精准调平（水平度误差≤3mm/米）。节点连接：主龙骨与支座采用栓接+焊接（或全栓接，优先选用），焊接处需满焊，焊脚高度≥6mm，全熔透焊缝需符合二级焊缝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次龙骨铺设次龙骨常用槽钢、方钢，垂直于主龙骨铺设，间距400-600mm（根据楼承板规格调整），与主龙骨通过连接板栓接（避免直接焊接损伤主龙骨）。调平验收：次龙骨安装完成后，整体复测水平度，误差超标的用垫片调整，确保所有龙骨形成统一承重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楼承板/面板安装承重层：铺设压型钢板（楼承板），搭接长度≥50mm，用自攻螺钉固定在次龙骨上，螺钉间距200-300mm，楼承板端部需与龙骨满焊加固。若为轻型阁楼（仅储物），可采用花纹钢板，直接栓接在龙骨上。装饰层：楼承板上可浇筑50-80mm细石混凝土（内铺钢筋网，提升整体性），或铺设多层板、实木地板，混凝土浇筑后需养护7天以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防锈防腐处理现场补漆：对焊接处、螺栓连接处、运输安装中刮擦的部位，先打磨除锈，再依次喷涂防锈底漆→环氧中漆→面漆（户外阁楼需用氟碳面漆，室内可用醇酸面漆），漆膜总厚度≥120μm。特殊处理：龙骨与墙体接触的部位，加垫橡胶垫隔离，防止电化学腐蚀；地面支墩与钢材接触处，做防腐涂层+水泥砂浆包裹。</w:t>
            </w:r>
          </w:p>
        </w:tc>
        <w:tc>
          <w:tcPr>
            <w:tcW w:w="409" w:type="pct"/>
            <w:noWrap w:val="0"/>
            <w:vAlign w:val="center"/>
          </w:tcPr>
          <w:p w14:paraId="2603FC7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422" w:type="pct"/>
            <w:noWrap w:val="0"/>
            <w:vAlign w:val="center"/>
          </w:tcPr>
          <w:p w14:paraId="6FC45F62">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7CDE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E863D4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1.5.2</w:t>
            </w:r>
          </w:p>
        </w:tc>
        <w:tc>
          <w:tcPr>
            <w:tcW w:w="751" w:type="pct"/>
            <w:noWrap w:val="0"/>
            <w:vAlign w:val="center"/>
          </w:tcPr>
          <w:p w14:paraId="55DED38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拆卸原玻璃</w:t>
            </w:r>
          </w:p>
        </w:tc>
        <w:tc>
          <w:tcPr>
            <w:tcW w:w="2896" w:type="pct"/>
            <w:noWrap w:val="0"/>
            <w:vAlign w:val="center"/>
          </w:tcPr>
          <w:p w14:paraId="4D36385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门型架高空搭建，拆除采光井原有四面玻璃及玻璃钢架。</w:t>
            </w:r>
          </w:p>
        </w:tc>
        <w:tc>
          <w:tcPr>
            <w:tcW w:w="409" w:type="pct"/>
            <w:noWrap w:val="0"/>
            <w:vAlign w:val="center"/>
          </w:tcPr>
          <w:p w14:paraId="401F17C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72</w:t>
            </w:r>
          </w:p>
        </w:tc>
        <w:tc>
          <w:tcPr>
            <w:tcW w:w="422" w:type="pct"/>
            <w:noWrap w:val="0"/>
            <w:vAlign w:val="center"/>
          </w:tcPr>
          <w:p w14:paraId="25F4BA6B">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790A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9E7026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1.5.3</w:t>
            </w:r>
          </w:p>
        </w:tc>
        <w:tc>
          <w:tcPr>
            <w:tcW w:w="751" w:type="pct"/>
            <w:noWrap w:val="0"/>
            <w:vAlign w:val="center"/>
          </w:tcPr>
          <w:p w14:paraId="2A9338E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三面封墙</w:t>
            </w:r>
          </w:p>
        </w:tc>
        <w:tc>
          <w:tcPr>
            <w:tcW w:w="2896" w:type="pct"/>
            <w:noWrap w:val="0"/>
            <w:vAlign w:val="center"/>
          </w:tcPr>
          <w:p w14:paraId="60A9DA8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采光井内侧三面封墙，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安装沿地、沿顶龙骨切割龙骨：根据隔墙长度，用电锯切割沿地龙骨（U型）和沿顶龙骨（U型），长度需与隔墙长度一致，若有转角，需预留转角搭接长度。固定龙骨：将沿地龙骨对准地面边线，用冲击钻在龙骨上打孔，然后用膨胀螺栓（规格通常为M6或M8）将其固定在地面（混凝土基层）或楼板上。固定时需用水平仪校准龙骨水平度，确保沿地、沿顶龙骨平行且垂直于墙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竖龙骨切割竖龙骨：根据隔墙高度（沿地龙骨至沿顶龙骨的距离），切割C型竖龙骨，长度需比实际高度短5-10mm。布置竖龙骨：竖龙骨需垂直插入沿地、沿顶龙骨的U型槽内，间距按设计要求（通常为400mm或600mm，需与石膏板宽度匹配，确保石膏板边缘能落在龙骨上）。转角处竖龙骨需错缝搭接，增强整体性。固定竖龙骨：用自攻螺丝将竖龙骨与沿地、沿顶龙骨固定，螺丝需拧入龙骨翼缘，避免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3.安装横撑龙骨（增强稳定性）当隔墙高度超过3m时，需在竖龙骨之间加装横撑龙骨（C型或U型），间距1.2-1.5m，与竖龙骨垂直连接，用龙骨连接件固定。横撑龙骨需与竖龙骨对齐，确保石膏板安装时受力均匀。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安装石膏板固定石膏板：从隔墙一端开始安装，石膏板应竖向铺设（长边垂直于竖龙骨），板边需对准竖龙骨中心线，确保每块板至少固定在2根竖龙骨上。用自攻螺丝固定石膏板，螺丝间距：板边为150-200mm，板中间为200-300mm；螺丝需与石膏板表面平齐。相邻石膏板之间需留5-8mm缝隙（用于嵌缝处理，防止开裂），接缝处需错开（即两块板的接缝不能在同一根龙骨上，避免薄弱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5.贴铺碳晶板时用压辊从板中心向四周匀速碾压，排出气泡，确保胶层完全贴合（压力均匀，避免局部空鼓）；边角处需用木槌轻敲压实。接缝处密封胶是否平整，有无缺胶、气泡，及时修补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尺寸：17.3米X3米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用料：轻钢龙骨、埃特板、碳晶板</w:t>
            </w:r>
          </w:p>
        </w:tc>
        <w:tc>
          <w:tcPr>
            <w:tcW w:w="409" w:type="pct"/>
            <w:noWrap w:val="0"/>
            <w:vAlign w:val="center"/>
          </w:tcPr>
          <w:p w14:paraId="7C75A36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50</w:t>
            </w:r>
          </w:p>
        </w:tc>
        <w:tc>
          <w:tcPr>
            <w:tcW w:w="422" w:type="pct"/>
            <w:noWrap w:val="0"/>
            <w:vAlign w:val="center"/>
          </w:tcPr>
          <w:p w14:paraId="1DA285E7">
            <w:pPr>
              <w:widowControl/>
              <w:jc w:val="center"/>
              <w:rPr>
                <w:rFonts w:hint="eastAsia" w:ascii="宋体" w:hAnsi="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796E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E03927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1.5.4</w:t>
            </w:r>
          </w:p>
        </w:tc>
        <w:tc>
          <w:tcPr>
            <w:tcW w:w="751" w:type="pct"/>
            <w:noWrap w:val="0"/>
            <w:vAlign w:val="center"/>
          </w:tcPr>
          <w:p w14:paraId="2ADC8C3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舞台灯光吊架</w:t>
            </w:r>
          </w:p>
        </w:tc>
        <w:tc>
          <w:tcPr>
            <w:tcW w:w="2896" w:type="pct"/>
            <w:noWrap w:val="0"/>
            <w:vAlign w:val="center"/>
          </w:tcPr>
          <w:p w14:paraId="254D864C">
            <w:pPr>
              <w:keepNext w:val="0"/>
              <w:keepLines w:val="0"/>
              <w:widowControl/>
              <w:suppressLineNumbers w:val="0"/>
              <w:jc w:val="left"/>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舞台上方搭建吊架，用以照明灯具吊挂，布景吊挂。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关键技术与质量要求：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（一）材料质量要求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1.轻钢龙骨：热镀锌层厚度≥80g/㎡，主龙骨壁厚≥1.2mm，副龙骨壁厚≥0.8mm，龙骨的挠度≤1/300跨度。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2.埃特板：符合《纤维水泥平板》GB/T 7019标准，含水率≤10%，板面无破损、翘曲，尺寸偏差≤2mm/2000mm。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3.辅材：自攻螺钉为热镀锌材质，嵌缝膏需为柔性嵌缝材料（适配埃特板变形），网格布为耐碱玻纤材质。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（二）安装精度要求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1.吊顶标高偏差：≤5mm/房间，同一平面内平整度偏差≤3mm/2000mm。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2.龙骨安装：主龙骨间距偏差≤10mm，副龙骨间距偏差≤5mm，龙骨连接牢固，无松动、异响。3.埃特板安装：板缝宽度偏差≤0.5mm，螺钉间距偏差≤10mm，板面无破损、翘曲，螺钉无外露。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（三）安全与结构要求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1.吊筋固定：膨胀螺栓需固定在楼板混凝土基层上，不得固定在轻质隔墙、吊顶内管线等非承重结构上；上人吊顶的吊筋承载力需经验算，每根吊筋承重≥100kg。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2.龙骨承重：不上人吊顶的龙骨框架，均布荷载≤50kg/㎡；上人吊顶需增设上人龙骨（如UC60主龙骨），均布荷载≤150kg/㎡，且需设置检修马道。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3.防火要求：轻钢龙骨埃特板本身为不燃材料，吊顶内管线、设备的防火包裹需符合消防规范，吊顶与墙体交接处需做防火封堵。（四）防开裂特殊要求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1.板缝留缝：严禁无缝安装，板缝过窄易导致热胀冷缩开裂，过宽则嵌缝膏易脱落。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2.嵌缝时机：埃特板安装完成后，需静置24小时再进行嵌缝，让板材充分适应环境温湿度，减少变形。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3.柔性处理：吊顶与墙面、柱子等结构交接处，需采用柔性嵌缝膏填充，不得硬接，防止结构沉降导致板面开裂。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尺寸：6.36</w:t>
            </w:r>
            <w:r>
              <w:rPr>
                <w:rFonts w:hint="eastAsia" w:ascii="宋体" w:hAnsi="宋体" w:cs="宋体"/>
                <w:i w:val="0"/>
                <w:iCs w:val="0"/>
                <w:color w:val="auto"/>
                <w:kern w:val="0"/>
                <w:sz w:val="24"/>
                <w:szCs w:val="24"/>
                <w:highlight w:val="none"/>
                <w:u w:val="none"/>
                <w:lang w:val="en-US" w:eastAsia="zh-CN" w:bidi="ar"/>
              </w:rPr>
              <w:t>m</w:t>
            </w:r>
            <w:r>
              <w:rPr>
                <w:rFonts w:hint="eastAsia" w:ascii="宋体" w:hAnsi="宋体" w:eastAsia="宋体" w:cs="宋体"/>
                <w:i w:val="0"/>
                <w:iCs w:val="0"/>
                <w:color w:val="auto"/>
                <w:kern w:val="0"/>
                <w:sz w:val="24"/>
                <w:szCs w:val="24"/>
                <w:highlight w:val="none"/>
                <w:u w:val="none"/>
                <w:lang w:val="en-US" w:eastAsia="zh-CN" w:bidi="ar"/>
              </w:rPr>
              <w:t>X3</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64</w:t>
            </w:r>
            <w:r>
              <w:rPr>
                <w:rFonts w:hint="eastAsia" w:ascii="宋体" w:hAnsi="宋体" w:cs="宋体"/>
                <w:i w:val="0"/>
                <w:iCs w:val="0"/>
                <w:color w:val="auto"/>
                <w:kern w:val="0"/>
                <w:sz w:val="24"/>
                <w:szCs w:val="24"/>
                <w:highlight w:val="none"/>
                <w:u w:val="none"/>
                <w:lang w:val="en-US" w:eastAsia="zh-CN" w:bidi="ar"/>
              </w:rPr>
              <w:t>m</w:t>
            </w:r>
          </w:p>
          <w:p w14:paraId="34A64EC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用料：轻钢龙骨、埃特板、背胶</w:t>
            </w:r>
          </w:p>
        </w:tc>
        <w:tc>
          <w:tcPr>
            <w:tcW w:w="409" w:type="pct"/>
            <w:noWrap w:val="0"/>
            <w:vAlign w:val="center"/>
          </w:tcPr>
          <w:p w14:paraId="1E090F0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422" w:type="pct"/>
            <w:noWrap w:val="0"/>
            <w:vAlign w:val="center"/>
          </w:tcPr>
          <w:p w14:paraId="5A2A8651">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5297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2B6CA3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1.5.5</w:t>
            </w:r>
          </w:p>
        </w:tc>
        <w:tc>
          <w:tcPr>
            <w:tcW w:w="751" w:type="pct"/>
            <w:noWrap w:val="0"/>
            <w:vAlign w:val="center"/>
          </w:tcPr>
          <w:p w14:paraId="444E2C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遮光棚</w:t>
            </w:r>
          </w:p>
        </w:tc>
        <w:tc>
          <w:tcPr>
            <w:tcW w:w="2896" w:type="pct"/>
            <w:noWrap w:val="0"/>
            <w:vAlign w:val="center"/>
          </w:tcPr>
          <w:p w14:paraId="47FF7D4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采光井楼顶加装遮光棚。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1.清理场地：移除杂物，平整地面（若为泥土，需夯实；若地面倾斜，可通过立柱高度调整棚顶水平）。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标记立柱位置：按图纸在地面/墙体标注立柱中心点，确保间距均匀（横梁跨度建议≤1.5米，增强承重）。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固定基础（关键步骤）：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混凝土/砖石地面：直接用电钻打膨胀螺丝孔（深度≥10cm），放入膨胀螺丝，将立柱底座与螺丝固定（底座需焊接在立柱底部，增加受力面积）；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泥土/松软地面：挖60×60×60cm基坑，放入立柱（底部埋深50cm），浇筑C20。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2.铁架框架焊接与安装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立柱固定：将立柱垂直立起（用水平仪校正垂直度，误差≤1mm/m），临时用斜撑固定（防止倾倒），然后焊接或螺栓紧固到底座/墙面。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横梁与纵梁安装：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顶部横梁：在立柱顶端焊接横向主横梁（与立柱垂直，确保水平），跨度较大时，在主横梁中间加“中柱”或“三角斜撑”（斜撑与立柱、横梁形成三角形结构，增强抗风性）；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次梁铺设：在主横梁下方焊接纵向次梁（间距50-80cm，根据遮光材料重量调整，如彩钢板需加密），确保与主横梁垂直，焊缝需饱满（长度≥5cm，高度≥3mm）。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框架加固：所有节点（立柱与横梁、横梁与次梁）焊接后，用角磨机打磨焊缝至光滑，避免尖锐处划伤材料或人员。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彩钢板/阳光板安装：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从一端开始铺设，板材搭接长度≥10cm（顺排水方向，避免倒坡漏水），用自攻螺丝（带防水垫）固定在次梁上（螺丝间距30-50cm）；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板材接缝处打中性硅酮密封胶（防水），阳光板需用专用铝压条扣紧（防止热胀冷缩导致变形）。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尺寸：4.8米X8米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用料：镀锌方通、彩钢板/阳光板</w:t>
            </w:r>
          </w:p>
        </w:tc>
        <w:tc>
          <w:tcPr>
            <w:tcW w:w="409" w:type="pct"/>
            <w:noWrap w:val="0"/>
            <w:vAlign w:val="center"/>
          </w:tcPr>
          <w:p w14:paraId="330B2D2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38.4</w:t>
            </w:r>
          </w:p>
        </w:tc>
        <w:tc>
          <w:tcPr>
            <w:tcW w:w="422" w:type="pct"/>
            <w:noWrap w:val="0"/>
            <w:vAlign w:val="center"/>
          </w:tcPr>
          <w:p w14:paraId="1F114905">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2D47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DA42BB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w:t>
            </w:r>
          </w:p>
        </w:tc>
        <w:tc>
          <w:tcPr>
            <w:tcW w:w="4480" w:type="pct"/>
            <w:gridSpan w:val="4"/>
            <w:noWrap w:val="0"/>
            <w:vAlign w:val="center"/>
          </w:tcPr>
          <w:p w14:paraId="48BFB414">
            <w:pPr>
              <w:keepNext w:val="0"/>
              <w:keepLines w:val="0"/>
              <w:widowControl/>
              <w:suppressLineNumbers w:val="0"/>
              <w:jc w:val="both"/>
              <w:textAlignment w:val="center"/>
              <w:rPr>
                <w:rFonts w:hint="eastAsia" w:ascii="宋体" w:hAnsi="宋体" w:eastAsia="宋体" w:cs="宋体"/>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“共鸣之声”区域环境渲染及装饰：</w:t>
            </w:r>
          </w:p>
        </w:tc>
      </w:tr>
      <w:tr w14:paraId="5A01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19B4C2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1.6.1</w:t>
            </w:r>
          </w:p>
        </w:tc>
        <w:tc>
          <w:tcPr>
            <w:tcW w:w="751" w:type="pct"/>
            <w:noWrap w:val="0"/>
            <w:vAlign w:val="center"/>
          </w:tcPr>
          <w:p w14:paraId="149F6C4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听音室</w:t>
            </w:r>
          </w:p>
          <w:p w14:paraId="5012B59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隔墙</w:t>
            </w:r>
          </w:p>
        </w:tc>
        <w:tc>
          <w:tcPr>
            <w:tcW w:w="2896" w:type="pct"/>
            <w:noWrap w:val="0"/>
            <w:vAlign w:val="center"/>
          </w:tcPr>
          <w:p w14:paraId="17051396">
            <w:pPr>
              <w:keepNext w:val="0"/>
              <w:keepLines w:val="0"/>
              <w:widowControl/>
              <w:suppressLineNumbers w:val="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听音室结构搭建，内饰敷设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安装沿地、沿顶龙骨切割龙骨：根据隔墙长度，用电锯切割沿地龙骨（U型）和沿顶龙骨（U型），长度需与隔墙长度一致，若有转角，需预留转角搭接长度。固定龙骨：将沿地龙骨对准地面边线，用冲击钻在龙骨上打孔，然后用膨胀螺栓（规格通常为M6或M8）将其固定在地面（混凝土基层）或楼板上。固定时需用水平仪校准龙骨水平度，确保沿地、沿顶龙骨平行且垂直于墙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2.安装竖龙骨切割竖龙骨：根据隔墙高度（沿地龙骨至沿顶龙骨的距离），切割C型竖龙骨，长度需比实际高度短5-10mm。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布置竖龙骨：竖龙骨需垂直插入沿地、沿顶龙骨的U型槽内，间距按设计要求（通常为400mm或600mm，需与石膏板宽度匹配，确保石膏板边缘能落在龙骨上）。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转角处竖龙骨需错缝搭接，增强整体性。固定竖龙骨：用自攻螺丝将竖龙骨与沿地、沿顶龙骨固定，螺丝需拧入龙骨翼缘，避免松动。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3.安装横撑龙骨（增强稳定性）当隔墙高度超过3m时，需在竖龙骨之间加装横撑龙骨（C型或U型），间距1.2-1.5m，与竖龙骨垂直连接，用龙骨连接件固定。横撑龙骨需与竖龙骨对齐，确保石膏板安装时受力均匀。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4.安装石膏板固定石膏板：从隔墙一端开始安装，石膏板应竖向铺设（长边垂直于竖龙骨），板边需对准竖龙骨中心线，确保每块板至少固定在2根竖龙骨上。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自攻螺丝固定石膏板，螺丝间距：板边为150-200mm，板中间为200-300mm；螺丝需与石膏板表面平齐。相邻石膏板之间需留5-8mm缝隙（用于嵌缝处理，防止开裂），接缝处需错开（即两块板的接缝不能在同一根龙骨上，避免薄弱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5.贴铺吸音板时用压辊从板中心向四周匀速碾压，排出气泡，确保胶层完全贴合（压力均匀，避免局部空鼓）；边角处需用木槌轻敲压实。接缝处密封胶是否平整，有无缺胶、气泡，及时修补。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尺寸：7.6m*5.6m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用料：轻钢龙骨、吸音板</w:t>
            </w:r>
          </w:p>
        </w:tc>
        <w:tc>
          <w:tcPr>
            <w:tcW w:w="409" w:type="pct"/>
            <w:noWrap w:val="0"/>
            <w:vAlign w:val="center"/>
          </w:tcPr>
          <w:p w14:paraId="79D30A1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60</w:t>
            </w:r>
          </w:p>
        </w:tc>
        <w:tc>
          <w:tcPr>
            <w:tcW w:w="422" w:type="pct"/>
            <w:noWrap w:val="0"/>
            <w:vAlign w:val="center"/>
          </w:tcPr>
          <w:p w14:paraId="1C53349C">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21EA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541F04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1.6.2</w:t>
            </w:r>
          </w:p>
        </w:tc>
        <w:tc>
          <w:tcPr>
            <w:tcW w:w="751" w:type="pct"/>
            <w:noWrap w:val="0"/>
            <w:vAlign w:val="center"/>
          </w:tcPr>
          <w:p w14:paraId="2E2A750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墙面吸音软包</w:t>
            </w:r>
          </w:p>
        </w:tc>
        <w:tc>
          <w:tcPr>
            <w:tcW w:w="2896" w:type="pct"/>
            <w:noWrap w:val="0"/>
            <w:vAlign w:val="center"/>
          </w:tcPr>
          <w:p w14:paraId="0536A08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彩色B1阻燃布吸音软包，符合国家标准GB 18587-2001，聚酯纤维环保芯材，NRC0.6-0.8。</w:t>
            </w:r>
          </w:p>
        </w:tc>
        <w:tc>
          <w:tcPr>
            <w:tcW w:w="409" w:type="pct"/>
            <w:noWrap w:val="0"/>
            <w:vAlign w:val="center"/>
          </w:tcPr>
          <w:p w14:paraId="1A15735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60</w:t>
            </w:r>
          </w:p>
        </w:tc>
        <w:tc>
          <w:tcPr>
            <w:tcW w:w="422" w:type="pct"/>
            <w:noWrap w:val="0"/>
            <w:vAlign w:val="center"/>
          </w:tcPr>
          <w:p w14:paraId="6897EC2B">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470C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CAAEAA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1.6.3</w:t>
            </w:r>
          </w:p>
        </w:tc>
        <w:tc>
          <w:tcPr>
            <w:tcW w:w="751" w:type="pct"/>
            <w:noWrap w:val="0"/>
            <w:vAlign w:val="center"/>
          </w:tcPr>
          <w:p w14:paraId="565D7B1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吊顶</w:t>
            </w:r>
          </w:p>
        </w:tc>
        <w:tc>
          <w:tcPr>
            <w:tcW w:w="2896" w:type="pct"/>
            <w:noWrap w:val="0"/>
            <w:vAlign w:val="center"/>
          </w:tcPr>
          <w:p w14:paraId="74684878">
            <w:pPr>
              <w:keepNext w:val="0"/>
              <w:keepLines w:val="0"/>
              <w:widowControl/>
              <w:suppressLineNumbers w:val="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顶面喷亚光黑，吊挂装饰物，及装饰灯条。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施工工艺：喷漆施工步骤：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1.遮蔽保护用美纹纸粘贴吊顶边缘（与墙面、灯具、龙骨等交界处），再覆盖遮蔽膜保护地面、家具、门窗，确保遮蔽严密。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2.面漆调配  按比例稀释面漆（乳胶漆通常加水5%-15%，油性漆需加专用稀释剂，具体看产品说明），搅拌均匀后用滤网过滤（去除杂质，避免喷漆时出现颗粒）。同一批次涂料需一次性调配充足（避免分次调配产生色差）。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3.喷漆操作喷枪调试：调整喷枪压力，薄涂多次，避免流挂。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第一遍面漆：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持枪距离吊顶30-50cm，匀速移动（速度约30-50cm/s），走枪方向一致（横向或纵向），相邻喷涂带重叠1/3（避免漏喷）。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阴阳角处：喷枪稍倾斜，确保角落覆盖到位；造型吊顶（如格栅、弧形）需多角度喷涂，避免阴影处漏涂。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干燥与打磨：第一遍面漆干燥后（约6-8小时），用240目砂纸轻磨（去除刷毛或颗粒），清理粉尘。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第二遍面漆：与第一遍走枪方向垂直（如第一遍横向，第二遍纵向），确保涂层均匀，厚度适中（总厚度约50-80μm）。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检查是否有流挂、针孔、气泡：若有，待干燥后用砂纸打磨，局部补漆。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吊挂植物花型发光装饰，及装饰灯条：（1）高空作业注意安全；（2）尼龙丝吊装植物花型发光装饰;（3)烤漆铝皮弯制植物花型内藏LED灯及灯带。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尺寸：4.42</w:t>
            </w:r>
            <w:r>
              <w:rPr>
                <w:rFonts w:hint="eastAsia"/>
                <w:color w:val="auto"/>
                <w:sz w:val="24"/>
                <w:highlight w:val="none"/>
                <w:lang w:val="en-US" w:eastAsia="zh-CN"/>
              </w:rPr>
              <w:t>m</w:t>
            </w:r>
            <w:r>
              <w:rPr>
                <w:rFonts w:hint="eastAsia" w:ascii="宋体" w:hAnsi="宋体" w:eastAsia="宋体" w:cs="宋体"/>
                <w:i w:val="0"/>
                <w:iCs w:val="0"/>
                <w:color w:val="auto"/>
                <w:kern w:val="0"/>
                <w:sz w:val="24"/>
                <w:szCs w:val="24"/>
                <w:highlight w:val="none"/>
                <w:u w:val="none"/>
                <w:lang w:val="en-US" w:eastAsia="zh-CN" w:bidi="ar"/>
              </w:rPr>
              <w:t>X4.9</w:t>
            </w:r>
            <w:r>
              <w:rPr>
                <w:rFonts w:hint="eastAsia" w:ascii="宋体" w:hAnsi="宋体" w:cs="宋体"/>
                <w:i w:val="0"/>
                <w:iCs w:val="0"/>
                <w:color w:val="auto"/>
                <w:kern w:val="0"/>
                <w:sz w:val="24"/>
                <w:szCs w:val="24"/>
                <w:highlight w:val="none"/>
                <w:u w:val="none"/>
                <w:lang w:val="en-US" w:eastAsia="zh-CN" w:bidi="ar"/>
              </w:rPr>
              <w:t>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用料：乳胶漆、尼龙丝吊装植物花型发光装饰</w:t>
            </w:r>
          </w:p>
        </w:tc>
        <w:tc>
          <w:tcPr>
            <w:tcW w:w="409" w:type="pct"/>
            <w:noWrap w:val="0"/>
            <w:vAlign w:val="center"/>
          </w:tcPr>
          <w:p w14:paraId="69B1657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42</w:t>
            </w:r>
          </w:p>
        </w:tc>
        <w:tc>
          <w:tcPr>
            <w:tcW w:w="422" w:type="pct"/>
            <w:noWrap w:val="0"/>
            <w:vAlign w:val="center"/>
          </w:tcPr>
          <w:p w14:paraId="7F684228">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28DD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3CAA94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1.6.4</w:t>
            </w:r>
          </w:p>
        </w:tc>
        <w:tc>
          <w:tcPr>
            <w:tcW w:w="751" w:type="pct"/>
            <w:noWrap w:val="0"/>
            <w:vAlign w:val="center"/>
          </w:tcPr>
          <w:p w14:paraId="5CEFD68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遮光封窗</w:t>
            </w:r>
          </w:p>
        </w:tc>
        <w:tc>
          <w:tcPr>
            <w:tcW w:w="2896" w:type="pct"/>
            <w:noWrap w:val="0"/>
            <w:vAlign w:val="center"/>
          </w:tcPr>
          <w:p w14:paraId="1F56F9D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隔墙后窗户遮光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工艺：遮光布自功钉压条结构胶粘贴封窗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尺寸：1.8米X1.6米X2幅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用料：遮光布、自功钉、压条、结构胶</w:t>
            </w:r>
          </w:p>
        </w:tc>
        <w:tc>
          <w:tcPr>
            <w:tcW w:w="409" w:type="pct"/>
            <w:noWrap w:val="0"/>
            <w:vAlign w:val="center"/>
          </w:tcPr>
          <w:p w14:paraId="7B8A5EA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w:t>
            </w:r>
          </w:p>
        </w:tc>
        <w:tc>
          <w:tcPr>
            <w:tcW w:w="422" w:type="pct"/>
            <w:noWrap w:val="0"/>
            <w:vAlign w:val="center"/>
          </w:tcPr>
          <w:p w14:paraId="4EDC3585">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7394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B98AB9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1.6.5</w:t>
            </w:r>
          </w:p>
        </w:tc>
        <w:tc>
          <w:tcPr>
            <w:tcW w:w="751" w:type="pct"/>
            <w:noWrap w:val="0"/>
            <w:vAlign w:val="center"/>
          </w:tcPr>
          <w:p w14:paraId="09092CA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常规照明和应急灯</w:t>
            </w:r>
          </w:p>
        </w:tc>
        <w:tc>
          <w:tcPr>
            <w:tcW w:w="2896" w:type="pct"/>
            <w:noWrap w:val="0"/>
            <w:vAlign w:val="center"/>
          </w:tcPr>
          <w:p w14:paraId="5D14FE5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单股漆包电线及套装套管、应急灯、插座、辅助光源、LED灯带</w:t>
            </w:r>
          </w:p>
        </w:tc>
        <w:tc>
          <w:tcPr>
            <w:tcW w:w="409" w:type="pct"/>
            <w:noWrap w:val="0"/>
            <w:vAlign w:val="center"/>
          </w:tcPr>
          <w:p w14:paraId="1D8B5B4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32</w:t>
            </w:r>
          </w:p>
        </w:tc>
        <w:tc>
          <w:tcPr>
            <w:tcW w:w="422" w:type="pct"/>
            <w:noWrap w:val="0"/>
            <w:vAlign w:val="center"/>
          </w:tcPr>
          <w:p w14:paraId="1D760CF8">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09A6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3DBD79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1.6.6</w:t>
            </w:r>
          </w:p>
        </w:tc>
        <w:tc>
          <w:tcPr>
            <w:tcW w:w="751" w:type="pct"/>
            <w:noWrap w:val="0"/>
            <w:vAlign w:val="center"/>
          </w:tcPr>
          <w:p w14:paraId="01391CD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新风制冷设备</w:t>
            </w:r>
          </w:p>
        </w:tc>
        <w:tc>
          <w:tcPr>
            <w:tcW w:w="2896" w:type="pct"/>
            <w:noWrap w:val="0"/>
            <w:vAlign w:val="center"/>
          </w:tcPr>
          <w:p w14:paraId="6847A34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环绕型出风天井式室内机：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制冷量：12.5KW,制热量：14.0KW，功率：79W,220V，风量：1730m3/h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多联式室外机组（匹配）：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制冷量：106.0KW,制热量：119.0KW，制冷功率：30.51KW，制热功率：29.58KW,380V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新风处理机组（匹配）：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风量：2160m3/h,制冷量：28.0KW,制热量：25.0KW，功率：400W，0~300Pa,220V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配件：四面出风面板、线控器、铜管(含保温）、U-PVC水管(含保温）</w:t>
            </w:r>
          </w:p>
        </w:tc>
        <w:tc>
          <w:tcPr>
            <w:tcW w:w="409" w:type="pct"/>
            <w:noWrap w:val="0"/>
            <w:vAlign w:val="center"/>
          </w:tcPr>
          <w:p w14:paraId="5AE781A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2373E428">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r>
      <w:tr w14:paraId="25CA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F91808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1.7</w:t>
            </w:r>
          </w:p>
        </w:tc>
        <w:tc>
          <w:tcPr>
            <w:tcW w:w="4480" w:type="pct"/>
            <w:gridSpan w:val="4"/>
            <w:noWrap w:val="0"/>
            <w:vAlign w:val="center"/>
          </w:tcPr>
          <w:p w14:paraId="6F97CB81">
            <w:pPr>
              <w:keepNext w:val="0"/>
              <w:keepLines w:val="0"/>
              <w:widowControl/>
              <w:suppressLineNumbers w:val="0"/>
              <w:jc w:val="both"/>
              <w:textAlignment w:val="center"/>
              <w:rPr>
                <w:rFonts w:hint="eastAsia" w:ascii="宋体" w:hAnsi="宋体" w:eastAsia="宋体" w:cs="宋体"/>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“研学芬芳”区域环境渲染及装饰：</w:t>
            </w:r>
          </w:p>
        </w:tc>
      </w:tr>
      <w:tr w14:paraId="5DD8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10D0B2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1.7.1</w:t>
            </w:r>
          </w:p>
        </w:tc>
        <w:tc>
          <w:tcPr>
            <w:tcW w:w="751" w:type="pct"/>
            <w:noWrap w:val="0"/>
            <w:vAlign w:val="center"/>
          </w:tcPr>
          <w:p w14:paraId="5849AB5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隔墙</w:t>
            </w:r>
          </w:p>
        </w:tc>
        <w:tc>
          <w:tcPr>
            <w:tcW w:w="2896" w:type="pct"/>
            <w:noWrap w:val="0"/>
            <w:vAlign w:val="center"/>
          </w:tcPr>
          <w:p w14:paraId="37F1B97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研学教室隔墙。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1.安装沿地、沿顶龙骨切割龙骨：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根据隔墙长度，用电锯切割沿地龙骨（U型）和沿顶龙骨（U型），长度需与隔墙长度一致，若有转角，需预留转角搭接长度。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固定龙骨：将沿地龙骨对准地面边线，用冲击钻在龙骨上打孔，然后用膨胀螺栓（规格通常为M6或M8）将其固定在地面（混凝土基层）或楼板上。固定时需用水平仪校准龙骨水平度，确保沿地、沿顶龙骨平行且垂直于墙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2.安装竖龙骨切割竖龙骨：根据隔墙高度（沿地龙骨至沿顶龙骨的距离），切割C型竖龙骨，长度需比实际高度短5-10mm。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布置竖龙骨：竖龙骨需垂直插入沿地、沿顶龙骨的U型槽内，间距按设计要求（通常为400mm或600mm，需与石膏板宽度匹配，确保石膏板边缘能落在龙骨上）。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转角处竖龙骨需错缝搭接，增强整体性。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固定竖龙骨：用自攻螺丝将竖龙骨与沿地、沿顶龙骨固定，螺丝需拧入龙骨翼缘，避免松动。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3.安装横撑龙骨（增强稳定性）当隔墙高度超过3m时，需在竖龙骨之间加装横撑龙骨（C型或U型），间距1.2-1.5m，与竖龙骨垂直连接，用龙骨连接件固定。横撑龙骨需与竖龙骨对齐，确保石膏板安装时受力均匀。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安装石膏板固定石膏板：从隔墙一端开始安装，石膏板应竖向铺设（长边垂直于竖龙骨），板边需对准竖龙骨中心线，确保每块板至少固定在2根竖龙骨上。用自攻螺丝固定石膏板，螺丝间距：板边为150-200mm，板中间为200-300mm；螺丝需与石膏板表面平齐。相邻石膏板之间需留5-8mm缝隙（用于嵌缝处理，防止开裂），接缝处需错开（即两块板的接缝不能在同一根龙骨上，避免薄弱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5.贴铺碳晶板时用压辊从板中心向四周匀速碾压，排出气泡，确保胶层完全贴合（压力均匀，避免局部空鼓）；边角处需用木槌轻敲压实。接缝处密封胶是否平整，有无缺胶、气泡，及时修补。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6.墙内填充隔音棉。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尺寸：23.1米X3米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用料：轻钢龙骨、埃特板、碳晶板、隔音棉</w:t>
            </w:r>
          </w:p>
        </w:tc>
        <w:tc>
          <w:tcPr>
            <w:tcW w:w="409" w:type="pct"/>
            <w:noWrap w:val="0"/>
            <w:vAlign w:val="center"/>
          </w:tcPr>
          <w:p w14:paraId="2F73098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79</w:t>
            </w:r>
          </w:p>
        </w:tc>
        <w:tc>
          <w:tcPr>
            <w:tcW w:w="422" w:type="pct"/>
            <w:noWrap w:val="0"/>
            <w:vAlign w:val="center"/>
          </w:tcPr>
          <w:p w14:paraId="298120A5">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44F2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E9EE0C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1.7.2</w:t>
            </w:r>
          </w:p>
        </w:tc>
        <w:tc>
          <w:tcPr>
            <w:tcW w:w="751" w:type="pct"/>
            <w:noWrap w:val="0"/>
            <w:vAlign w:val="center"/>
          </w:tcPr>
          <w:p w14:paraId="2C427EE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吊顶</w:t>
            </w:r>
          </w:p>
        </w:tc>
        <w:tc>
          <w:tcPr>
            <w:tcW w:w="2896" w:type="pct"/>
            <w:noWrap w:val="0"/>
            <w:vAlign w:val="center"/>
          </w:tcPr>
          <w:p w14:paraId="29678020">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顶面喷亚光黑，安装栅格吊顶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施工工艺：一，安装栅格吊顶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1.固定吊筋与主龙骨弹线定位：用墨斗在顶面弹出主龙骨的位置线（间距800-1200mm，需与铝方通方向垂直），并标记吊筋固定点（间距≤1000mm）。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安装吊筋：在标记点用电钻打孔，植入膨胀螺栓，连接丝杆（吊筋长度根据吊顶高度调整），确保吊筋垂直且牢固。安装主龙骨：将主龙骨（如C型钢龙骨）用吊件固定在吊筋上，通过水平仪调整主龙骨高度，保证整体水平（误差≤3mm），主龙骨端部距墙面预留50-100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副龙骨/格栅框架根据铝方通宽度，在主龙骨上固定副龙骨或卡式龙骨（间距与铝方通宽度一致，如50mm宽方通则间距50mm），副龙骨需与主龙骨垂直，通过连接件或螺丝固定。若为暗藏式安装（铝方通直接卡入龙骨），需确保副龙骨间距精准，避免方通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3.安装铝方通 切割方通：根据吊顶尺寸，用切割机将铝方通切割至所需长度（端部需平整，避免毛刺），若遇拐角或异形处，需提前量尺加工。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固定方式：将铝方通两端对准副龙骨的卡槽，轻轻按压卡紧（适用于带卡扣设计的龙骨系统）。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排列要求：铝方通之间保持平行，间距均匀（若设计有间距，需用垫块或定位条控制），端部与墙面缝隙用收边条遮盖，保证美观。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4.细节处理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收边处理：在吊顶边缘安装收边条（L型或U型铝型材），用螺丝固定在墙面或龙骨上，掩盖铝方通端部及缝隙。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灯具与风口：根据前期标记，在对应位置的铝方通上开孔（或切断部分方通），安装灯具、风口后，用配件固定周边方通，确保稳固。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检查调整：安装完成后，用水平仪检查整体平整度，调整松动的方通或龙骨，确保无下垂、歪斜现象。二，顶面喷亚光黑施工工艺同1.4.2。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尺寸：20米X7.19米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用料：吊筋、主副龙骨、铝方通、门型架搭架安装</w:t>
            </w:r>
          </w:p>
        </w:tc>
        <w:tc>
          <w:tcPr>
            <w:tcW w:w="409" w:type="pct"/>
            <w:noWrap w:val="0"/>
            <w:vAlign w:val="center"/>
          </w:tcPr>
          <w:p w14:paraId="5F6946A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144</w:t>
            </w:r>
          </w:p>
        </w:tc>
        <w:tc>
          <w:tcPr>
            <w:tcW w:w="422" w:type="pct"/>
            <w:noWrap w:val="0"/>
            <w:vAlign w:val="center"/>
          </w:tcPr>
          <w:p w14:paraId="0122AA2D">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13D6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8EA0BD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1.7.3</w:t>
            </w:r>
          </w:p>
        </w:tc>
        <w:tc>
          <w:tcPr>
            <w:tcW w:w="751" w:type="pct"/>
            <w:noWrap w:val="0"/>
            <w:vAlign w:val="center"/>
          </w:tcPr>
          <w:p w14:paraId="0C5FAE7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教室门</w:t>
            </w:r>
          </w:p>
        </w:tc>
        <w:tc>
          <w:tcPr>
            <w:tcW w:w="2896" w:type="pct"/>
            <w:noWrap w:val="0"/>
            <w:vAlign w:val="center"/>
          </w:tcPr>
          <w:p w14:paraId="68D42E4A">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研学教室碳晶门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1.抗污染和耐腐蚀：碳晶板具有优异的防水、防潮和耐腐蚀性能，不易受到污渍和腐蚀物的侵蚀，使木门能够长期保持清洁和光亮。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2.超强耐用性：碳晶板木门采用高密度纤维板作为基材，结构坚固稳定，不易变形和开裂，使用寿命较长。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3.优异的隔音隔热效果：碳晶板具有较好的隔音和隔热性能，能有效减少室内噪音，提供更加安静工作环境。</w:t>
            </w:r>
          </w:p>
        </w:tc>
        <w:tc>
          <w:tcPr>
            <w:tcW w:w="409" w:type="pct"/>
            <w:noWrap w:val="0"/>
            <w:vAlign w:val="center"/>
          </w:tcPr>
          <w:p w14:paraId="5E688A3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422" w:type="pct"/>
            <w:noWrap w:val="0"/>
            <w:vAlign w:val="center"/>
          </w:tcPr>
          <w:p w14:paraId="2E83D0A5">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樘</w:t>
            </w:r>
          </w:p>
        </w:tc>
      </w:tr>
      <w:tr w14:paraId="644B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4774EC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1.7.4</w:t>
            </w:r>
          </w:p>
        </w:tc>
        <w:tc>
          <w:tcPr>
            <w:tcW w:w="751" w:type="pct"/>
            <w:noWrap w:val="0"/>
            <w:vAlign w:val="center"/>
          </w:tcPr>
          <w:p w14:paraId="1E60BFD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常规照明和应急灯</w:t>
            </w:r>
          </w:p>
        </w:tc>
        <w:tc>
          <w:tcPr>
            <w:tcW w:w="2896" w:type="pct"/>
            <w:noWrap w:val="0"/>
            <w:vAlign w:val="center"/>
          </w:tcPr>
          <w:p w14:paraId="5BBEA74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单股漆包电线及套装套管、应急灯、插座、辅助光源、LED灯带。</w:t>
            </w:r>
          </w:p>
        </w:tc>
        <w:tc>
          <w:tcPr>
            <w:tcW w:w="409" w:type="pct"/>
            <w:noWrap w:val="0"/>
            <w:vAlign w:val="center"/>
          </w:tcPr>
          <w:p w14:paraId="1D842D6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144</w:t>
            </w:r>
          </w:p>
        </w:tc>
        <w:tc>
          <w:tcPr>
            <w:tcW w:w="422" w:type="pct"/>
            <w:noWrap w:val="0"/>
            <w:vAlign w:val="center"/>
          </w:tcPr>
          <w:p w14:paraId="5DD35C86">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75DF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867EDF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1.7.5</w:t>
            </w:r>
          </w:p>
        </w:tc>
        <w:tc>
          <w:tcPr>
            <w:tcW w:w="751" w:type="pct"/>
            <w:noWrap w:val="0"/>
            <w:vAlign w:val="center"/>
          </w:tcPr>
          <w:p w14:paraId="1B5CA0C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窗帘</w:t>
            </w:r>
          </w:p>
        </w:tc>
        <w:tc>
          <w:tcPr>
            <w:tcW w:w="2896" w:type="pct"/>
            <w:noWrap w:val="0"/>
            <w:vAlign w:val="center"/>
          </w:tcPr>
          <w:p w14:paraId="02C6EE3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教室窗户安装窗帘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施工工艺：反射紫外线、棉麻/绒布，吸热性好。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尺寸：12.9米X3米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用料：涂银遮光布（反射紫外线）、厚重布艺帘（棉麻/绒布，吸热性好）</w:t>
            </w:r>
          </w:p>
        </w:tc>
        <w:tc>
          <w:tcPr>
            <w:tcW w:w="409" w:type="pct"/>
            <w:noWrap w:val="0"/>
            <w:vAlign w:val="center"/>
          </w:tcPr>
          <w:p w14:paraId="5FDE0AD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84</w:t>
            </w:r>
          </w:p>
        </w:tc>
        <w:tc>
          <w:tcPr>
            <w:tcW w:w="422" w:type="pct"/>
            <w:noWrap w:val="0"/>
            <w:vAlign w:val="center"/>
          </w:tcPr>
          <w:p w14:paraId="341C2CD1">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7EF9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C58422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1.8</w:t>
            </w:r>
          </w:p>
        </w:tc>
        <w:tc>
          <w:tcPr>
            <w:tcW w:w="4480" w:type="pct"/>
            <w:gridSpan w:val="4"/>
            <w:noWrap w:val="0"/>
            <w:vAlign w:val="center"/>
          </w:tcPr>
          <w:p w14:paraId="1E37EEDE">
            <w:pPr>
              <w:keepNext w:val="0"/>
              <w:keepLines w:val="0"/>
              <w:widowControl/>
              <w:suppressLineNumbers w:val="0"/>
              <w:jc w:val="both"/>
              <w:textAlignment w:val="center"/>
              <w:rPr>
                <w:rFonts w:hint="eastAsia" w:ascii="宋体" w:hAnsi="宋体" w:eastAsia="宋体" w:cs="宋体"/>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“敬畏自然”“自然数字语”区域环境渲染及装饰</w:t>
            </w:r>
            <w:r>
              <w:rPr>
                <w:rFonts w:hint="eastAsia" w:ascii="宋体" w:hAnsi="宋体" w:eastAsia="宋体" w:cs="宋体"/>
                <w:i w:val="0"/>
                <w:iCs w:val="0"/>
                <w:color w:val="auto"/>
                <w:kern w:val="0"/>
                <w:sz w:val="24"/>
                <w:szCs w:val="24"/>
                <w:highlight w:val="none"/>
                <w:u w:val="none"/>
                <w:lang w:val="en-US" w:eastAsia="zh-CN" w:bidi="ar"/>
              </w:rPr>
              <w:t>：</w:t>
            </w:r>
          </w:p>
        </w:tc>
      </w:tr>
      <w:tr w14:paraId="00B2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61CB7A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1.8.1</w:t>
            </w:r>
          </w:p>
        </w:tc>
        <w:tc>
          <w:tcPr>
            <w:tcW w:w="751" w:type="pct"/>
            <w:noWrap w:val="0"/>
            <w:vAlign w:val="center"/>
          </w:tcPr>
          <w:p w14:paraId="2D23938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遮光封窗</w:t>
            </w:r>
          </w:p>
        </w:tc>
        <w:tc>
          <w:tcPr>
            <w:tcW w:w="2896" w:type="pct"/>
            <w:noWrap w:val="0"/>
            <w:vAlign w:val="center"/>
          </w:tcPr>
          <w:p w14:paraId="3C28B67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走廊尽头的窗户遮光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工艺：遮光布自功钉压条结构胶粘贴封窗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尺寸：1.8米X1.6米X2幅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用料：遮光布、自功钉、压条、结构胶</w:t>
            </w:r>
          </w:p>
        </w:tc>
        <w:tc>
          <w:tcPr>
            <w:tcW w:w="409" w:type="pct"/>
            <w:noWrap w:val="0"/>
            <w:vAlign w:val="center"/>
          </w:tcPr>
          <w:p w14:paraId="798B04D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422" w:type="pct"/>
            <w:noWrap w:val="0"/>
            <w:vAlign w:val="center"/>
          </w:tcPr>
          <w:p w14:paraId="75AFD6BD">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46EB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EEA394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1.8.2</w:t>
            </w:r>
          </w:p>
        </w:tc>
        <w:tc>
          <w:tcPr>
            <w:tcW w:w="751" w:type="pct"/>
            <w:noWrap w:val="0"/>
            <w:vAlign w:val="center"/>
          </w:tcPr>
          <w:p w14:paraId="2F35305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吊顶</w:t>
            </w:r>
          </w:p>
        </w:tc>
        <w:tc>
          <w:tcPr>
            <w:tcW w:w="2896" w:type="pct"/>
            <w:noWrap w:val="0"/>
            <w:vAlign w:val="center"/>
          </w:tcPr>
          <w:p w14:paraId="2A33726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走廊顶面喷亚光黑，吊挂装饰物，及装饰灯条。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顶面喷亚光黑，吊挂装饰物，及装饰灯条。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施工工艺：喷漆施工步骤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1.遮蔽保护用美纹纸粘贴吊顶边缘（与墙面、灯具、龙骨等交界处），再覆盖遮蔽膜保护地面、家具、门窗，确保遮蔽严密。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面漆调配按比例稀释面漆（乳胶漆通常加水5%-15%，油性漆需加专用稀释剂，具体看产品说明），搅拌均匀后用滤网过滤（去除杂质，避免喷漆时出现颗粒）。同一批次涂料需一次性调配充足（避免分次调配产生色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3.喷漆操作喷枪调试：调整喷枪压力，薄涂多次，避免流挂。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第一遍面漆：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持枪距离吊顶30-50cm，匀速移动（速度约30-50cm/s），走枪方向一致（横向或纵向），相邻喷涂带重叠1/3（避免漏喷）。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阴阳角处：喷枪稍倾斜，确保角落覆盖到位；造型吊顶（如格栅、弧形）需多角度喷涂，避免阴影处漏涂。干燥与打磨：第一遍面漆干燥后（约6-8小时），用240目砂纸轻磨（去除刷毛或颗粒），清理粉尘。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第二遍面漆：与第一遍走枪方向垂直（如第一遍横向，第二遍纵向），确保涂层均匀，厚度适中（总厚度约50-80μm）。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检查是否有流挂、针孔、气泡：若有，待干燥后用砂纸打磨，局部补漆。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吊挂植物花型发光装饰，及装饰灯条：（1）高空作业注意安全；（2）尼龙丝吊装植物花型发光装饰；（3）烤漆铝皮弯制植物花型内藏LED灯及灯带。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尺寸：2.9米X20米、5.67米X3.86米</w:t>
            </w:r>
          </w:p>
        </w:tc>
        <w:tc>
          <w:tcPr>
            <w:tcW w:w="409" w:type="pct"/>
            <w:noWrap w:val="0"/>
            <w:vAlign w:val="center"/>
          </w:tcPr>
          <w:p w14:paraId="599D5EB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80</w:t>
            </w:r>
          </w:p>
        </w:tc>
        <w:tc>
          <w:tcPr>
            <w:tcW w:w="422" w:type="pct"/>
            <w:noWrap w:val="0"/>
            <w:vAlign w:val="center"/>
          </w:tcPr>
          <w:p w14:paraId="49A728D2">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51E7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3B70AF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1.8.3</w:t>
            </w:r>
          </w:p>
        </w:tc>
        <w:tc>
          <w:tcPr>
            <w:tcW w:w="751" w:type="pct"/>
            <w:noWrap w:val="0"/>
            <w:vAlign w:val="center"/>
          </w:tcPr>
          <w:p w14:paraId="2DE6E3A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装大门</w:t>
            </w:r>
          </w:p>
        </w:tc>
        <w:tc>
          <w:tcPr>
            <w:tcW w:w="2896" w:type="pct"/>
            <w:noWrap w:val="0"/>
            <w:vAlign w:val="center"/>
          </w:tcPr>
          <w:p w14:paraId="5AD4100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展区出口，双开不锈钢烤漆钢化玻地弹门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1.固定门框（若为有框门，无框门可跳过此步）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放线定位：在门洞内侧弹出门框的安装控制线（左右、上下边界），确保门框中心线与门洞中心线对齐，用水平仪校准水平和垂直（误差≤1mm/m）。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门框固定：调整门框垂直度：用水平仪检查，若有倾斜，通过加减木楔或垫片调整，确认无误后，在门框与墙体缝隙处填充玻璃胶（或发泡胶，固化后切平），密封防潮。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2.安装地弹簧（地弹簧门核心部件）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定位放线：根据门扇尺寸，在地弹簧安装位置（门轴对应地面）弹出中心线，确保地弹簧的旋转轴与门框中心线对齐（偏差≤2mm，否则门会跑偏）。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开凿地槽：根据地弹簧的尺寸（参考产品说明书），用切割机在地面切割凹槽（深度略大于地弹簧厚度，通常5-8cm），清理槽内碎屑。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3.组装不锈钢玻璃门扇：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在不锈钢框架的凹槽内均匀涂抹玻璃胶（深度约1/2凹槽），将玻璃缓慢放入凹槽（用玻璃吸盘辅助，避免手直接接触玻璃导致污染），确保玻璃与框架四边贴合，缝隙均匀，放入玻璃垫片固定位置，待玻璃胶固化（24小时以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4.安装门扇与调试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连接门扇与地弹簧：两人配合，用玻璃吸盘抬起门扇，将门扇底部的不锈钢连接件与地弹簧的旋转轴对齐，插入连接孔，用螺栓固定。若为上悬或合页门，需在门扇顶部安装不锈钢合页，与门框上框的合页座对齐固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5.安装门吸与收尾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固定门吸：根据门扇打开的最大角度，在地面或墙面上安装门吸（金属底座用膨胀螺栓固定），确保门吸与门扇上的吸板对齐，关门时能牢固吸附。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打胶密封：在不锈钢框架与玻璃的接缝处、门框与墙体的缝隙处，均匀打玻璃胶（胶线要平直、连续，避免气泡），用美工刀刮平多余胶料，24小时内避免触碰。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尺寸：1.6米X2.6米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用料：不锈钢烤漆、8厘钢化白玻、地弹</w:t>
            </w:r>
          </w:p>
        </w:tc>
        <w:tc>
          <w:tcPr>
            <w:tcW w:w="409" w:type="pct"/>
            <w:noWrap w:val="0"/>
            <w:vAlign w:val="center"/>
          </w:tcPr>
          <w:p w14:paraId="33F406C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8.3</w:t>
            </w:r>
          </w:p>
        </w:tc>
        <w:tc>
          <w:tcPr>
            <w:tcW w:w="422" w:type="pct"/>
            <w:noWrap w:val="0"/>
            <w:vAlign w:val="center"/>
          </w:tcPr>
          <w:p w14:paraId="1E2FE341">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11C6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FF2B90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1.8.4</w:t>
            </w:r>
          </w:p>
        </w:tc>
        <w:tc>
          <w:tcPr>
            <w:tcW w:w="751" w:type="pct"/>
            <w:noWrap w:val="0"/>
            <w:vAlign w:val="center"/>
          </w:tcPr>
          <w:p w14:paraId="4A23C77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墙面装饰</w:t>
            </w:r>
          </w:p>
        </w:tc>
        <w:tc>
          <w:tcPr>
            <w:tcW w:w="2896" w:type="pct"/>
            <w:noWrap w:val="0"/>
            <w:vAlign w:val="center"/>
          </w:tcPr>
          <w:p w14:paraId="7CFA177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教室外的走廊墙面装饰或找平。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1.大芯板裁切与拼接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裁切加工：根据造型尺寸切割大芯板，边缘需平直（用台锯切割，避免毛边）；弧形造型需用曲线锯沿轮廓线切割，切割后用砂纸（120目）打磨边缘至光滑。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留设伸缩缝：大芯板拼接时，板与板之间留2-3mm缝隙（避免热胀冷缩导致起拱），缝隙后期用腻子填补。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2.固定方式（确保与骨架贴合）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铺设方向：大芯板长边与次龙骨方向垂直（受力更合理），板面与骨架完全贴合（避免悬空导致后期变形）。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螺丝固定：从大芯板表面向龙骨拧入自攻螺丝（螺丝帽需沉入板面1-2mm，避免突出），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间距：边缘150-200mm/颗，中间200-300mm/颗（确保牢固，防止翘边）。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异形部位处理：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弧形表面：若弧度较小，可直接用大芯板弯曲（大芯板含胶层，有一定柔韧性），每50-100mm用螺丝固定；弧度较大时，需将大芯板裁成5-10cm宽的条，逐条沿弧度固定（减少开裂风险）。</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凹凸造型：在骨架的凹凸节点处，大芯板需精准裁切缺口，与骨架贴合后，用螺丝从侧面固定（避免表面螺丝密集影响美观）。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3.基层修补（为饰面做准备）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填补缺陷：用木工腻子（或原子灰）填补螺丝帽沉孔、板缝、边角磕碰处，干燥后用120目砂纸打磨至平整（用手触摸无凸起）。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封闭处理：刷1遍清漆或底漆（防止大芯板内的木纤维受潮膨胀，同时避免后期饰面材料（如乳胶漆、木皮）被污染）。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尺寸：1.8米X1.2米X5个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用料：木龙骨、防水大芯板、乳胶漆</w:t>
            </w:r>
          </w:p>
        </w:tc>
        <w:tc>
          <w:tcPr>
            <w:tcW w:w="409" w:type="pct"/>
            <w:noWrap w:val="0"/>
            <w:vAlign w:val="center"/>
          </w:tcPr>
          <w:p w14:paraId="619A6D7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w:t>
            </w:r>
          </w:p>
        </w:tc>
        <w:tc>
          <w:tcPr>
            <w:tcW w:w="422" w:type="pct"/>
            <w:noWrap w:val="0"/>
            <w:vAlign w:val="center"/>
          </w:tcPr>
          <w:p w14:paraId="5D2350EB">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3861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7F73C4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1.8.5</w:t>
            </w:r>
          </w:p>
        </w:tc>
        <w:tc>
          <w:tcPr>
            <w:tcW w:w="751" w:type="pct"/>
            <w:noWrap w:val="0"/>
            <w:vAlign w:val="center"/>
          </w:tcPr>
          <w:p w14:paraId="2D7926B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常规照明和应急灯</w:t>
            </w:r>
          </w:p>
        </w:tc>
        <w:tc>
          <w:tcPr>
            <w:tcW w:w="2896" w:type="pct"/>
            <w:noWrap w:val="0"/>
            <w:vAlign w:val="center"/>
          </w:tcPr>
          <w:p w14:paraId="1EC5971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单股漆包电线及套装套管、应急灯、插座、辅助光源、LED灯带</w:t>
            </w:r>
          </w:p>
        </w:tc>
        <w:tc>
          <w:tcPr>
            <w:tcW w:w="409" w:type="pct"/>
            <w:noWrap w:val="0"/>
            <w:vAlign w:val="center"/>
          </w:tcPr>
          <w:p w14:paraId="5093C9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w:t>
            </w:r>
          </w:p>
        </w:tc>
        <w:tc>
          <w:tcPr>
            <w:tcW w:w="422" w:type="pct"/>
            <w:noWrap w:val="0"/>
            <w:vAlign w:val="center"/>
          </w:tcPr>
          <w:p w14:paraId="126EFC28">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4BA4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C24C4E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1.8.6</w:t>
            </w:r>
          </w:p>
        </w:tc>
        <w:tc>
          <w:tcPr>
            <w:tcW w:w="751" w:type="pct"/>
            <w:noWrap w:val="0"/>
            <w:vAlign w:val="center"/>
          </w:tcPr>
          <w:p w14:paraId="4166D7B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新风制冷设备</w:t>
            </w:r>
          </w:p>
        </w:tc>
        <w:tc>
          <w:tcPr>
            <w:tcW w:w="2896" w:type="pct"/>
            <w:noWrap w:val="0"/>
            <w:vAlign w:val="center"/>
          </w:tcPr>
          <w:p w14:paraId="6142DE5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环绕型出风天井式室内机：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制冷量：12.5KW,制热量：14.0KW，功率：79W,220V，风量：1730m3/h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多联式室外机组（匹配）：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制冷量：106.0KW,制热量：119.0KW，制冷功率：30.51KW，制热功率：29.58KW,380V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新风处理机组（匹配）：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风量：2160m3/h,制冷量：28.0KW,制热量：25.0KW，功率：400W，0~300Pa,220V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配件：四面出风面板、线控器、铜管(含保温）、U-PVC水管(含保温）</w:t>
            </w:r>
          </w:p>
        </w:tc>
        <w:tc>
          <w:tcPr>
            <w:tcW w:w="409" w:type="pct"/>
            <w:noWrap w:val="0"/>
            <w:vAlign w:val="center"/>
          </w:tcPr>
          <w:p w14:paraId="07056C5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422" w:type="pct"/>
            <w:noWrap w:val="0"/>
            <w:vAlign w:val="center"/>
          </w:tcPr>
          <w:p w14:paraId="154B0B66">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r>
      <w:tr w14:paraId="7345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7BE647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1.9</w:t>
            </w:r>
          </w:p>
        </w:tc>
        <w:tc>
          <w:tcPr>
            <w:tcW w:w="4480" w:type="pct"/>
            <w:gridSpan w:val="4"/>
            <w:noWrap w:val="0"/>
            <w:vAlign w:val="center"/>
          </w:tcPr>
          <w:p w14:paraId="22782D3E">
            <w:pPr>
              <w:keepNext w:val="0"/>
              <w:keepLines w:val="0"/>
              <w:widowControl/>
              <w:suppressLineNumbers w:val="0"/>
              <w:jc w:val="both"/>
              <w:textAlignment w:val="center"/>
              <w:rPr>
                <w:rFonts w:hint="eastAsia" w:ascii="宋体" w:hAnsi="宋体" w:eastAsia="宋体" w:cs="宋体"/>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休憩区域、总机房区域环境渲染及装饰：</w:t>
            </w:r>
          </w:p>
        </w:tc>
      </w:tr>
      <w:tr w14:paraId="3B5D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2DA941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1.9.1</w:t>
            </w:r>
          </w:p>
        </w:tc>
        <w:tc>
          <w:tcPr>
            <w:tcW w:w="751" w:type="pct"/>
            <w:noWrap w:val="0"/>
            <w:vAlign w:val="center"/>
          </w:tcPr>
          <w:p w14:paraId="08C44C1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机房隔墙及隔断</w:t>
            </w:r>
          </w:p>
        </w:tc>
        <w:tc>
          <w:tcPr>
            <w:tcW w:w="2896" w:type="pct"/>
            <w:noWrap w:val="0"/>
            <w:vAlign w:val="center"/>
          </w:tcPr>
          <w:p w14:paraId="1B9AECB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总控机房隔墙，机房外隔断墙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1.安装沿地、沿顶龙骨切割龙骨：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根据隔墙长度，用电锯切割沿地龙骨（U型）和沿顶龙骨（U型），长度需与隔墙长度一致，若有转角，需预留转角搭接长度。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固定龙骨：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将沿地龙骨对准地面边线，用冲击钻在龙骨上打孔，然后用膨胀螺栓（规格通常为M6或M8）将其固定在地面（混凝土基层）或楼板上。固定时需用水平仪校准龙骨水平度，确保沿地、沿顶龙骨平行且垂直于墙面。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2.安装竖龙骨切割竖龙骨：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根据隔墙高度（沿地龙骨至沿顶龙骨的距离），切割C型竖龙骨，长度需比实际高度短5-10mm。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布置竖龙骨：竖龙骨需垂直插入沿地、沿顶龙骨的U型槽内，间距按设计要求（通常为400mm或600mm，需与石膏板宽度匹配，确保石膏板边缘能落在龙骨上）。转角处竖龙骨需错缝搭接，增强整体性。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固定竖龙骨：用自攻螺丝将竖龙骨与沿地、沿顶龙骨固定，螺丝需拧入龙骨翼缘，避免松动。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3.安装横撑龙骨（增强稳定性）当隔墙高度超过3m时，需在竖龙骨之间加装横撑龙骨（C型或U型），间距1.2-1.5m，与竖龙骨垂直连接，用龙骨连接件固定。横撑龙骨需与竖龙骨对齐，确保石膏板安装时受力均匀。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4.安装石膏板固定石膏板：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从隔墙一端开始安装，石膏板应竖向铺设（长边垂直于竖龙骨），板边需对准竖龙骨中心线，确保每块板至少固定在2根竖龙骨上。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自攻螺丝固定石膏板，螺丝间距：板边为150-200mm，板中间为200-300mm；螺丝需与石膏板表面平齐。相邻石膏板之间需留5-8mm缝隙（用于嵌缝处理，防止开裂），接缝处需错开（即两块板的接缝不能在同一根龙骨上，避免薄弱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尺寸：9.5米X3米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用料：轻钢龙骨、埃特板</w:t>
            </w:r>
          </w:p>
        </w:tc>
        <w:tc>
          <w:tcPr>
            <w:tcW w:w="409" w:type="pct"/>
            <w:noWrap w:val="0"/>
            <w:vAlign w:val="center"/>
          </w:tcPr>
          <w:p w14:paraId="5F28C0F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28</w:t>
            </w:r>
          </w:p>
        </w:tc>
        <w:tc>
          <w:tcPr>
            <w:tcW w:w="422" w:type="pct"/>
            <w:noWrap w:val="0"/>
            <w:vAlign w:val="center"/>
          </w:tcPr>
          <w:p w14:paraId="0F3AB1B2">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30EA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72DB88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1.9.2</w:t>
            </w:r>
          </w:p>
        </w:tc>
        <w:tc>
          <w:tcPr>
            <w:tcW w:w="751" w:type="pct"/>
            <w:noWrap w:val="0"/>
            <w:vAlign w:val="center"/>
          </w:tcPr>
          <w:p w14:paraId="49FE8ED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机房墙面防水</w:t>
            </w:r>
          </w:p>
        </w:tc>
        <w:tc>
          <w:tcPr>
            <w:tcW w:w="2896" w:type="pct"/>
            <w:noWrap w:val="0"/>
            <w:vAlign w:val="center"/>
          </w:tcPr>
          <w:p w14:paraId="0F9C364E">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总机房临厕所面做防水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施工工艺：涂刷/抹压防水层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材料调配：按产品说明比例混合防水涂料，避免过稀或过稠。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分层施工：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第一遍：薄涂或薄抹，确保覆盖基层所有角落，重点涂刷裂缝、管道周边等部位，待初凝（不粘手）后进行下一遍。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第二遍及以上：与第一遍呈垂直方向涂刷/抹压，增加防水层厚度（通常总厚度3-5mm），确保无漏涂、无气泡、无起皮。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阴阳角、管道根部等部位，可加铺无纺布或网格布增强，防止开裂。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尺寸：2.38米X0.8米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用料：背水涂防水材料</w:t>
            </w:r>
          </w:p>
        </w:tc>
        <w:tc>
          <w:tcPr>
            <w:tcW w:w="409" w:type="pct"/>
            <w:noWrap w:val="0"/>
            <w:vAlign w:val="center"/>
          </w:tcPr>
          <w:p w14:paraId="274D14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422" w:type="pct"/>
            <w:noWrap w:val="0"/>
            <w:vAlign w:val="center"/>
          </w:tcPr>
          <w:p w14:paraId="3EE0DA44">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1D96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23F97C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1.9.3</w:t>
            </w:r>
          </w:p>
        </w:tc>
        <w:tc>
          <w:tcPr>
            <w:tcW w:w="751" w:type="pct"/>
            <w:noWrap w:val="0"/>
            <w:vAlign w:val="center"/>
          </w:tcPr>
          <w:p w14:paraId="3B89167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楼道贴装饰</w:t>
            </w:r>
          </w:p>
        </w:tc>
        <w:tc>
          <w:tcPr>
            <w:tcW w:w="2896" w:type="pct"/>
            <w:noWrap w:val="0"/>
            <w:vAlign w:val="center"/>
          </w:tcPr>
          <w:p w14:paraId="4D98EE7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一楼到二楼楼梯通道走廊过道墙面文化氛围建设，内容设计及上墙或墙贴背胶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施工工艺：墙贴定位与粘贴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定位：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先将墙贴平铺于墙面大致位置，用铅笔轻描边缘做标记，避免粘贴后偏移。</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分步粘贴：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先揭开一角背胶，固定后逐步撕开剩余保护层，同步用刮板横向/纵向刮压，确保胶面与墙面完全贴合（尤其注意边角部位）。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气泡与翘边处理: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若出现小气泡，可用针尖扎破，再用刮板压平排出空气；</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边角翘边：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若因基层不平整，可在翘边处补涂少量同类型胶水（如水性压敏胶），压实后用重物（如书本）压合24小时。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用料：墙贴背胶</w:t>
            </w:r>
          </w:p>
        </w:tc>
        <w:tc>
          <w:tcPr>
            <w:tcW w:w="409" w:type="pct"/>
            <w:noWrap w:val="0"/>
            <w:vAlign w:val="center"/>
          </w:tcPr>
          <w:p w14:paraId="2E8DC53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10A997F7">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787F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36BA75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1.9.4</w:t>
            </w:r>
          </w:p>
        </w:tc>
        <w:tc>
          <w:tcPr>
            <w:tcW w:w="751" w:type="pct"/>
            <w:noWrap w:val="0"/>
            <w:vAlign w:val="center"/>
          </w:tcPr>
          <w:p w14:paraId="430821C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梯门更换</w:t>
            </w:r>
          </w:p>
        </w:tc>
        <w:tc>
          <w:tcPr>
            <w:tcW w:w="2896" w:type="pct"/>
            <w:noWrap w:val="0"/>
            <w:vAlign w:val="center"/>
          </w:tcPr>
          <w:p w14:paraId="4B78B66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一楼到二楼楼梯双开门更换碳晶门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1.抗污染和耐腐蚀：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碳晶板具有优异的防水、防潮和耐腐蚀性能，不易受到污渍和腐蚀物的侵蚀，使木门能够长期保持清洁和光亮。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2.超强耐用性：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碳晶板木门采用高密度纤维板作为基材，结构坚固稳定，不易变形和开裂，使用寿命较长。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3.优异的隔音隔热效果：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碳晶板具有较好的隔音和隔热性能，能有效减少室内噪音，提供更加安静工作环境。</w:t>
            </w:r>
          </w:p>
        </w:tc>
        <w:tc>
          <w:tcPr>
            <w:tcW w:w="409" w:type="pct"/>
            <w:noWrap w:val="0"/>
            <w:vAlign w:val="center"/>
          </w:tcPr>
          <w:p w14:paraId="4AEB642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422" w:type="pct"/>
            <w:noWrap w:val="0"/>
            <w:vAlign w:val="center"/>
          </w:tcPr>
          <w:p w14:paraId="589DEB9C">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樘</w:t>
            </w:r>
          </w:p>
        </w:tc>
      </w:tr>
      <w:tr w14:paraId="1BF0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EF7C3F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1.9.5</w:t>
            </w:r>
          </w:p>
        </w:tc>
        <w:tc>
          <w:tcPr>
            <w:tcW w:w="751" w:type="pct"/>
            <w:noWrap w:val="0"/>
            <w:vAlign w:val="center"/>
          </w:tcPr>
          <w:p w14:paraId="7A1E2CB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机房门</w:t>
            </w:r>
          </w:p>
        </w:tc>
        <w:tc>
          <w:tcPr>
            <w:tcW w:w="2896" w:type="pct"/>
            <w:noWrap w:val="0"/>
            <w:vAlign w:val="center"/>
          </w:tcPr>
          <w:p w14:paraId="0E79BC2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机房碳晶门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工艺：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1.抗污染和耐腐蚀：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碳晶板具有优异的防水、防潮和耐腐蚀性能，不易受到污渍和腐蚀物的侵蚀，使木门能够长期保持清洁和光亮。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2.超强耐用性：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碳晶板木门采用高密度纤维板作为基材，结构坚固稳定，不易变形和开裂，使用寿命较长。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3.优异的隔音隔热效果：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碳晶板具有较好的隔音和隔热性能，能有效减少室内噪音，提供更加安静工作环境。</w:t>
            </w:r>
          </w:p>
        </w:tc>
        <w:tc>
          <w:tcPr>
            <w:tcW w:w="409" w:type="pct"/>
            <w:noWrap w:val="0"/>
            <w:vAlign w:val="center"/>
          </w:tcPr>
          <w:p w14:paraId="749CBFE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3753F1F3">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樘</w:t>
            </w:r>
          </w:p>
        </w:tc>
      </w:tr>
      <w:tr w14:paraId="2EA7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1C86B9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1.9.6</w:t>
            </w:r>
          </w:p>
        </w:tc>
        <w:tc>
          <w:tcPr>
            <w:tcW w:w="751" w:type="pct"/>
            <w:noWrap w:val="0"/>
            <w:vAlign w:val="center"/>
          </w:tcPr>
          <w:p w14:paraId="6CE8D66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常规照明和应急灯</w:t>
            </w:r>
          </w:p>
        </w:tc>
        <w:tc>
          <w:tcPr>
            <w:tcW w:w="2896" w:type="pct"/>
            <w:noWrap w:val="0"/>
            <w:vAlign w:val="center"/>
          </w:tcPr>
          <w:p w14:paraId="2C4C851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单股漆包电线及套装套管、应急灯、插座、辅助光源、LED灯带。</w:t>
            </w:r>
          </w:p>
        </w:tc>
        <w:tc>
          <w:tcPr>
            <w:tcW w:w="409" w:type="pct"/>
            <w:noWrap w:val="0"/>
            <w:vAlign w:val="center"/>
          </w:tcPr>
          <w:p w14:paraId="32C0202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98</w:t>
            </w:r>
          </w:p>
        </w:tc>
        <w:tc>
          <w:tcPr>
            <w:tcW w:w="422" w:type="pct"/>
            <w:noWrap w:val="0"/>
            <w:vAlign w:val="center"/>
          </w:tcPr>
          <w:p w14:paraId="0ADAFFA3">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2D8F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AF40E9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1.9.7</w:t>
            </w:r>
          </w:p>
        </w:tc>
        <w:tc>
          <w:tcPr>
            <w:tcW w:w="751" w:type="pct"/>
            <w:noWrap w:val="0"/>
            <w:vAlign w:val="center"/>
          </w:tcPr>
          <w:p w14:paraId="3D8975E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新风制冷设备</w:t>
            </w:r>
          </w:p>
        </w:tc>
        <w:tc>
          <w:tcPr>
            <w:tcW w:w="2896" w:type="pct"/>
            <w:noWrap w:val="0"/>
            <w:vAlign w:val="center"/>
          </w:tcPr>
          <w:p w14:paraId="5E3E9BE1">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环绕型出风天井式室内机：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制冷量：2.8KW,制热量：3.2KW，功率：17W,220V，风量：790m3/h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多联式室外机组（匹配）：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制冷量：106.0KW,制热量：119.0KW，制冷功率：30.51KW，制热功率：29.58KW,380V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新风处理机组（匹配）：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风量：2160m3/h,制冷量：28.0KW,制热量：25.0KW，功率：400W，0~300Pa,220V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配件：四面出风面板、线控器、铜管(含保温）、U-PVC水管(含保温）</w:t>
            </w:r>
          </w:p>
        </w:tc>
        <w:tc>
          <w:tcPr>
            <w:tcW w:w="409" w:type="pct"/>
            <w:noWrap w:val="0"/>
            <w:vAlign w:val="center"/>
          </w:tcPr>
          <w:p w14:paraId="1E31176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177D3EAC">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r>
      <w:tr w14:paraId="6FAF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FE5796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1.10</w:t>
            </w:r>
          </w:p>
        </w:tc>
        <w:tc>
          <w:tcPr>
            <w:tcW w:w="4480" w:type="pct"/>
            <w:gridSpan w:val="4"/>
            <w:noWrap w:val="0"/>
            <w:vAlign w:val="center"/>
          </w:tcPr>
          <w:p w14:paraId="64D5A170">
            <w:pPr>
              <w:keepNext w:val="0"/>
              <w:keepLines w:val="0"/>
              <w:widowControl/>
              <w:suppressLineNumbers w:val="0"/>
              <w:jc w:val="both"/>
              <w:textAlignment w:val="center"/>
              <w:rPr>
                <w:rFonts w:hint="eastAsia" w:ascii="宋体" w:hAnsi="宋体" w:eastAsia="宋体" w:cs="宋体"/>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其他区域环境渲染及装饰：</w:t>
            </w:r>
          </w:p>
        </w:tc>
      </w:tr>
      <w:tr w14:paraId="3FD4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B82064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1.10.1</w:t>
            </w:r>
          </w:p>
        </w:tc>
        <w:tc>
          <w:tcPr>
            <w:tcW w:w="751" w:type="pct"/>
            <w:noWrap w:val="0"/>
            <w:vAlign w:val="center"/>
          </w:tcPr>
          <w:p w14:paraId="47AB902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强弱电改造及总容量增设</w:t>
            </w:r>
          </w:p>
        </w:tc>
        <w:tc>
          <w:tcPr>
            <w:tcW w:w="2896" w:type="pct"/>
            <w:noWrap w:val="0"/>
            <w:vAlign w:val="center"/>
          </w:tcPr>
          <w:p w14:paraId="27488F8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对二楼宣教区域整体强弱电进行改造，采用金属桥架将强电和弱电线路分开铺设，同时在交叉处设置屏蔽层，有效避免了信号干扰，为办公环境提供了安全、稳定的电力和信号保障。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1.强电改造：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主电缆敷设：</w:t>
            </w:r>
            <w:r>
              <w:rPr>
                <w:rFonts w:hint="eastAsia" w:ascii="宋体" w:hAnsi="宋体" w:cs="宋体"/>
                <w:i w:val="0"/>
                <w:iCs w:val="0"/>
                <w:color w:val="auto"/>
                <w:kern w:val="0"/>
                <w:sz w:val="24"/>
                <w:szCs w:val="24"/>
                <w:highlight w:val="none"/>
                <w:u w:val="none"/>
                <w:lang w:val="en-US" w:eastAsia="zh-CN" w:bidi="ar"/>
              </w:rPr>
              <w:t>中标人应根据二楼布展区域的用电总功率，优先从一楼配电房拉设专用电缆，根据用电总功率计算所需电缆线径大小并预留合理余量，保证后期增加配套电气设备的用电需求。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控制室电气配电箱：配置控制室电气配电箱，对二楼展区设备进行电力分配。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设备供电线路敷设：照明线缆用2.5㎡单股铜芯BV线，大功率设备用4㎡BV线，并套管敷设。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开关插座：选带3C认证的品牌（如西蒙、施耐德），暗盒用86型标准盒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2.弱电改造：二楼设备局域网：六类网线、对接头、互联网关、无线WIFI</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3.总容量增设。对项目所需总电容量进行增设施工，楼外变电箱到管理中心大楼二楼电井的总电缆布设。</w:t>
            </w:r>
          </w:p>
        </w:tc>
        <w:tc>
          <w:tcPr>
            <w:tcW w:w="409" w:type="pct"/>
            <w:noWrap w:val="0"/>
            <w:vAlign w:val="center"/>
          </w:tcPr>
          <w:p w14:paraId="18A110F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710</w:t>
            </w:r>
          </w:p>
        </w:tc>
        <w:tc>
          <w:tcPr>
            <w:tcW w:w="422" w:type="pct"/>
            <w:noWrap w:val="0"/>
            <w:vAlign w:val="center"/>
          </w:tcPr>
          <w:p w14:paraId="37651CF4">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0559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F20464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1.10.2</w:t>
            </w:r>
          </w:p>
        </w:tc>
        <w:tc>
          <w:tcPr>
            <w:tcW w:w="751" w:type="pct"/>
            <w:noWrap w:val="0"/>
            <w:vAlign w:val="center"/>
          </w:tcPr>
          <w:p w14:paraId="48E58E9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空调主机围挡墙</w:t>
            </w:r>
          </w:p>
        </w:tc>
        <w:tc>
          <w:tcPr>
            <w:tcW w:w="2896" w:type="pct"/>
            <w:noWrap w:val="0"/>
            <w:vAlign w:val="center"/>
          </w:tcPr>
          <w:p w14:paraId="4F21E3F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在展区天顶上砌围挡墙为空调外机做围挡，围挡墙体为"L"型，长度3米*5米，高度1.5米。90X180X240红标砖交叉砌制，双面批灰双面批外墙腻子刷外墙乳胶漆。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要求：在展区天顶上砌围挡墙为空调外机做围挡，围挡墙体为"L"型，包含全部的设计、材料、施工、安装、调试等内容。</w:t>
            </w:r>
          </w:p>
        </w:tc>
        <w:tc>
          <w:tcPr>
            <w:tcW w:w="409" w:type="pct"/>
            <w:noWrap w:val="0"/>
            <w:vAlign w:val="center"/>
          </w:tcPr>
          <w:p w14:paraId="7F71ABB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22.5</w:t>
            </w:r>
          </w:p>
        </w:tc>
        <w:tc>
          <w:tcPr>
            <w:tcW w:w="422" w:type="pct"/>
            <w:noWrap w:val="0"/>
            <w:vAlign w:val="center"/>
          </w:tcPr>
          <w:p w14:paraId="10821A3B">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0F3E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4DF5E5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1.10.3</w:t>
            </w:r>
          </w:p>
        </w:tc>
        <w:tc>
          <w:tcPr>
            <w:tcW w:w="751" w:type="pct"/>
            <w:noWrap w:val="0"/>
            <w:vAlign w:val="center"/>
          </w:tcPr>
          <w:p w14:paraId="3AA8D3E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消防改造</w:t>
            </w:r>
          </w:p>
        </w:tc>
        <w:tc>
          <w:tcPr>
            <w:tcW w:w="2896" w:type="pct"/>
            <w:noWrap w:val="0"/>
            <w:vAlign w:val="center"/>
          </w:tcPr>
          <w:p w14:paraId="6C886994">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对二楼宣教区域整体消防系统进行改造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1.自动喷水灭火系统:标准下垂型喷头54个、镀锌钢管管道、末端试水装置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2.火灾自动报警系统：感烟探测器18个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3.室内消火栓系统：镀锌钢管管道、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4.灭火器：5kgABC干粉灭火器25套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5.应急照明和疏散指示系统：自带电源集中控制型疏散照明25套、安全出口、疏散方向指示（灯光型）疏散指示标志30套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6.消火栓4个、自动喷水、感烟探测器、感温探测器数量按消防规范要求。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核心规范清单（2024年现行），基础国标：《建筑设计防火规范》（GB50016）——所有建筑必须遵守的“底线标准”，明确了不同建筑的火灾危险性分类及消防系统配置要求。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专项标准：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《火灾自动报警系统设计规范》（GB50116）——规定了报警系统的设计参数、联动逻辑。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《自动喷水灭火系统设计规范》（GB50084）——不同危险等级场所的喷头类型、布置间距等细节。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《消防给水及消火栓系统技术规范》（GB50974）——消火栓的水压、水量、管网布置要求。</w:t>
            </w:r>
          </w:p>
        </w:tc>
        <w:tc>
          <w:tcPr>
            <w:tcW w:w="409" w:type="pct"/>
            <w:noWrap w:val="0"/>
            <w:vAlign w:val="center"/>
          </w:tcPr>
          <w:p w14:paraId="5EBD8DE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710</w:t>
            </w:r>
          </w:p>
        </w:tc>
        <w:tc>
          <w:tcPr>
            <w:tcW w:w="422" w:type="pct"/>
            <w:noWrap w:val="0"/>
            <w:vAlign w:val="center"/>
          </w:tcPr>
          <w:p w14:paraId="594E2E78">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2861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4D6F51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1.10.4</w:t>
            </w:r>
          </w:p>
        </w:tc>
        <w:tc>
          <w:tcPr>
            <w:tcW w:w="751" w:type="pct"/>
            <w:noWrap w:val="0"/>
            <w:vAlign w:val="center"/>
          </w:tcPr>
          <w:p w14:paraId="119E9A3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监控系统</w:t>
            </w:r>
          </w:p>
        </w:tc>
        <w:tc>
          <w:tcPr>
            <w:tcW w:w="2896" w:type="pct"/>
            <w:noWrap w:val="0"/>
            <w:vAlign w:val="center"/>
          </w:tcPr>
          <w:p w14:paraId="29654FC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二楼宣教区域监控系统：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1.变焦摄像头2台，参数：400万23变倍支持区域入侵侦测，越界侦测，进入区域侦测和离开区域侦等智能侦测并联动跟踪传感器类型：1/2.8"progressive scan CMOS最低照度：彩色：0.005Lux @(F1.6,AGC ON);黑白：0.001 Lux@(F1.6, AGC ON);0 Lux with IR宽动态：120 dB超宽动态。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2.定焦摄像头15台，400万1/3"CMOS红外筒 型网络摄像机，智能侦测：支持越界侦测， 区域入侵侦测最低照度：彩色：0.005 Lux @(F1.2,AGC ON),0  Lux with IR宽动态：120 dB补光距离：最远可达30m。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3.硬盘录像1台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4.设备箱及综合布线等。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5.二楼宣教区域设置监控系统，监控系统保证无死角覆盖，监控像素不低于400万，监控录像不低于30天，内容包括全部的布置、材料、施工、安装、调试等内容。</w:t>
            </w:r>
          </w:p>
        </w:tc>
        <w:tc>
          <w:tcPr>
            <w:tcW w:w="409" w:type="pct"/>
            <w:noWrap w:val="0"/>
            <w:vAlign w:val="center"/>
          </w:tcPr>
          <w:p w14:paraId="77FD53F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3E0A06FB">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项</w:t>
            </w:r>
          </w:p>
        </w:tc>
      </w:tr>
      <w:tr w14:paraId="74C9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6A5627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1.10.5</w:t>
            </w:r>
          </w:p>
        </w:tc>
        <w:tc>
          <w:tcPr>
            <w:tcW w:w="751" w:type="pct"/>
            <w:noWrap w:val="0"/>
            <w:vAlign w:val="center"/>
          </w:tcPr>
          <w:p w14:paraId="2ADE186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宽带网络</w:t>
            </w:r>
          </w:p>
        </w:tc>
        <w:tc>
          <w:tcPr>
            <w:tcW w:w="2896" w:type="pct"/>
            <w:noWrap w:val="0"/>
            <w:vAlign w:val="center"/>
          </w:tcPr>
          <w:p w14:paraId="6ABB6671">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安装500M宽带网络，含5年服务。</w:t>
            </w:r>
          </w:p>
        </w:tc>
        <w:tc>
          <w:tcPr>
            <w:tcW w:w="409" w:type="pct"/>
            <w:noWrap w:val="0"/>
            <w:vAlign w:val="center"/>
          </w:tcPr>
          <w:p w14:paraId="1E93866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68172B75">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2279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shd w:val="clear" w:color="auto" w:fill="FFFF00"/>
            <w:noWrap w:val="0"/>
            <w:vAlign w:val="center"/>
          </w:tcPr>
          <w:p w14:paraId="617FBE1A">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（二）</w:t>
            </w:r>
          </w:p>
        </w:tc>
        <w:tc>
          <w:tcPr>
            <w:tcW w:w="4480" w:type="pct"/>
            <w:gridSpan w:val="4"/>
            <w:shd w:val="clear" w:color="auto" w:fill="FFFF00"/>
            <w:noWrap w:val="0"/>
            <w:vAlign w:val="center"/>
          </w:tcPr>
          <w:p w14:paraId="762A72B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区域展示布展</w:t>
            </w:r>
          </w:p>
        </w:tc>
      </w:tr>
      <w:tr w14:paraId="42BD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976136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w:t>
            </w:r>
          </w:p>
        </w:tc>
        <w:tc>
          <w:tcPr>
            <w:tcW w:w="4480" w:type="pct"/>
            <w:gridSpan w:val="4"/>
            <w:noWrap w:val="0"/>
            <w:vAlign w:val="center"/>
          </w:tcPr>
          <w:p w14:paraId="6AEC08F0">
            <w:pPr>
              <w:widowControl/>
              <w:jc w:val="left"/>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rPr>
              <w:t>“自然之门”区域展示布展</w:t>
            </w:r>
          </w:p>
        </w:tc>
      </w:tr>
      <w:tr w14:paraId="2DD1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BB9C02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2.1.1</w:t>
            </w:r>
          </w:p>
        </w:tc>
        <w:tc>
          <w:tcPr>
            <w:tcW w:w="751" w:type="pct"/>
            <w:noWrap w:val="0"/>
            <w:vAlign w:val="center"/>
          </w:tcPr>
          <w:p w14:paraId="1EC882C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科普AI数字人</w:t>
            </w:r>
          </w:p>
        </w:tc>
        <w:tc>
          <w:tcPr>
            <w:tcW w:w="2896" w:type="pct"/>
            <w:noWrap w:val="0"/>
            <w:vAlign w:val="center"/>
          </w:tcPr>
          <w:p w14:paraId="50F228A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定制“金花茶科普AI数字人”，用于支持展厅布展介绍、科普讲解等，承担展厅总体布展介绍、参观路线介绍等。可选择卡通人物、少儿人物或成人人物形象，具有可根据访客属性形态灵活切换能。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要求：数字人具有智能语音唤醒机制，TTS语音智能播报，并配合全息图文展示。含录入展厅相关布展知识库，助力提升展馆科技感与互动沉浸感。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含：五年使用权限。</w:t>
            </w:r>
          </w:p>
        </w:tc>
        <w:tc>
          <w:tcPr>
            <w:tcW w:w="409" w:type="pct"/>
            <w:noWrap w:val="0"/>
            <w:vAlign w:val="center"/>
          </w:tcPr>
          <w:p w14:paraId="069DCA7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422" w:type="pct"/>
            <w:noWrap w:val="0"/>
            <w:vAlign w:val="center"/>
          </w:tcPr>
          <w:p w14:paraId="3E1BBB54">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r>
      <w:tr w14:paraId="3092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D70F23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2.1.2</w:t>
            </w:r>
          </w:p>
        </w:tc>
        <w:tc>
          <w:tcPr>
            <w:tcW w:w="751" w:type="pct"/>
            <w:noWrap w:val="0"/>
            <w:vAlign w:val="center"/>
          </w:tcPr>
          <w:p w14:paraId="1CD9540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数字人展示辅助设备</w:t>
            </w:r>
          </w:p>
        </w:tc>
        <w:tc>
          <w:tcPr>
            <w:tcW w:w="2896" w:type="pct"/>
            <w:noWrap w:val="0"/>
            <w:vAlign w:val="center"/>
          </w:tcPr>
          <w:p w14:paraId="7BEC217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辅助展示设备——全息主题墙。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用途：用于显示“金花茶科普形象代言人”画面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规格及要求：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全息投影膜：透光率≥70%，可视角度≥±30°，3m*3m,含贴膜。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短焦投影机：流明≥4000，焦距≤1m,投影尺寸≥2.3m*1.7m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工作站：CPU：Intel Core i5-13400内存：16GB DDR4 3200MHz硬盘：512GB NVMe SSD</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语言拾音扩音系统:配套语音拾音、播报扩音系统，信噪比≥65dB，超心型指向性。</w:t>
            </w:r>
          </w:p>
        </w:tc>
        <w:tc>
          <w:tcPr>
            <w:tcW w:w="409" w:type="pct"/>
            <w:noWrap w:val="0"/>
            <w:vAlign w:val="center"/>
          </w:tcPr>
          <w:p w14:paraId="221113C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397F421A">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C9E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77C85C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2.1.3</w:t>
            </w:r>
          </w:p>
        </w:tc>
        <w:tc>
          <w:tcPr>
            <w:tcW w:w="751" w:type="pct"/>
            <w:noWrap w:val="0"/>
            <w:vAlign w:val="center"/>
          </w:tcPr>
          <w:p w14:paraId="694CF94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布展电子简介墙</w:t>
            </w:r>
          </w:p>
        </w:tc>
        <w:tc>
          <w:tcPr>
            <w:tcW w:w="2896" w:type="pct"/>
            <w:noWrap w:val="0"/>
            <w:vAlign w:val="center"/>
          </w:tcPr>
          <w:p w14:paraId="7CA4AD8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便于对展馆访客第一信息展示，能快捷传递布展信息，引导参观，直观呈现展厅定位。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要求：可通过后台快速替换文字图片、视频等，便于内容迭代，降低更新成本。</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内嵌式墙面安装，可通过网络更换播放素材。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规格参数：86寸工业级显示屏，分辨率3840*2160，带播控盒。</w:t>
            </w:r>
          </w:p>
        </w:tc>
        <w:tc>
          <w:tcPr>
            <w:tcW w:w="409" w:type="pct"/>
            <w:noWrap w:val="0"/>
            <w:vAlign w:val="center"/>
          </w:tcPr>
          <w:p w14:paraId="1736E74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2AB6FCBD">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338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4AA582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2.1.4</w:t>
            </w:r>
          </w:p>
        </w:tc>
        <w:tc>
          <w:tcPr>
            <w:tcW w:w="751" w:type="pct"/>
            <w:noWrap w:val="0"/>
            <w:vAlign w:val="center"/>
          </w:tcPr>
          <w:p w14:paraId="251CD20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内容编撰及制作</w:t>
            </w:r>
          </w:p>
        </w:tc>
        <w:tc>
          <w:tcPr>
            <w:tcW w:w="2896" w:type="pct"/>
            <w:noWrap w:val="0"/>
            <w:vAlign w:val="center"/>
          </w:tcPr>
          <w:p w14:paraId="0AE524D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展示布展的内容定制及制作服务：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1.AI数字人播报内容编撰，资料搭建，制作适配AI数字人形象的多音频内容。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2.金花茶相关知识库整理搭建 涵盖金花茶生物学特征、生长环境、文化价值、保护现状等内容的资料搭建。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3.设计定制布展美化装饰，包括设计制作装饰画、悬挂装饰物，配合布展主题。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4.设计定制全息数字人形象，语音，肢体动作，背景场景。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5.设计定制3套简介墙3分钟内视频或图文播放内容。</w:t>
            </w:r>
          </w:p>
        </w:tc>
        <w:tc>
          <w:tcPr>
            <w:tcW w:w="409" w:type="pct"/>
            <w:noWrap w:val="0"/>
            <w:vAlign w:val="center"/>
          </w:tcPr>
          <w:p w14:paraId="6DF089C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1FB08F68">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6B91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96532C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2.2</w:t>
            </w:r>
          </w:p>
        </w:tc>
        <w:tc>
          <w:tcPr>
            <w:tcW w:w="4480" w:type="pct"/>
            <w:gridSpan w:val="4"/>
            <w:noWrap w:val="0"/>
            <w:vAlign w:val="center"/>
          </w:tcPr>
          <w:p w14:paraId="3E5E4B4D">
            <w:pPr>
              <w:widowControl/>
              <w:jc w:val="both"/>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“记忆共生”区域展示布展</w:t>
            </w:r>
          </w:p>
        </w:tc>
      </w:tr>
      <w:tr w14:paraId="6542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D3C395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2.2.1</w:t>
            </w:r>
          </w:p>
        </w:tc>
        <w:tc>
          <w:tcPr>
            <w:tcW w:w="751" w:type="pct"/>
            <w:noWrap w:val="0"/>
            <w:vAlign w:val="center"/>
          </w:tcPr>
          <w:p w14:paraId="795337B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布展时空走廊</w:t>
            </w:r>
          </w:p>
        </w:tc>
        <w:tc>
          <w:tcPr>
            <w:tcW w:w="2896" w:type="pct"/>
            <w:noWrap w:val="0"/>
            <w:vAlign w:val="center"/>
          </w:tcPr>
          <w:p w14:paraId="73E2094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对时空走廊环境氛围进行设计定制，并布置出星云效果及时空效果。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用途：展示一条穿越亿万年的时光长廊的效果。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服务内容：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1.星云质感贴画：全区域透光星云写真贴画，面积90㎡。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2.星云图案地贴：走廊地面星云写真贴画，面积28.8㎡。</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3.智能LED背光：可控LED背光灯组+智能控制模组，通过合理的明暗设计，突出光晕及色彩动态变化，模拟星辰划过效果。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4.背景音效系统：模拟时空变换背景音效。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5.墙面观察窗圆形直径10厘米开孔、封边处理、安装观察窗透镜。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6.出口遮光门帘帘2.7米宽*2.4米高； 一套门帘1.8米宽*2.4米高。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7.隧道中地面图文内容投射及投影灯。</w:t>
            </w:r>
          </w:p>
        </w:tc>
        <w:tc>
          <w:tcPr>
            <w:tcW w:w="409" w:type="pct"/>
            <w:noWrap w:val="0"/>
            <w:vAlign w:val="center"/>
          </w:tcPr>
          <w:p w14:paraId="21D1313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31CD5269">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663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4B785B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2.2.2</w:t>
            </w:r>
          </w:p>
        </w:tc>
        <w:tc>
          <w:tcPr>
            <w:tcW w:w="751" w:type="pct"/>
            <w:noWrap w:val="0"/>
            <w:vAlign w:val="center"/>
          </w:tcPr>
          <w:p w14:paraId="27D45DB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旋转灯箱制作</w:t>
            </w:r>
          </w:p>
        </w:tc>
        <w:tc>
          <w:tcPr>
            <w:tcW w:w="2896" w:type="pct"/>
            <w:noWrap w:val="0"/>
            <w:vAlign w:val="center"/>
          </w:tcPr>
          <w:p w14:paraId="4D73FF7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定制可旋转双面灯箱，不锈钢材质支架，灯箱框架尺寸：600mm*300mm，旋转卡扣，正面图案，背面镜面效果。</w:t>
            </w:r>
          </w:p>
        </w:tc>
        <w:tc>
          <w:tcPr>
            <w:tcW w:w="409" w:type="pct"/>
            <w:noWrap w:val="0"/>
            <w:vAlign w:val="center"/>
          </w:tcPr>
          <w:p w14:paraId="11F9D4C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w:t>
            </w:r>
          </w:p>
        </w:tc>
        <w:tc>
          <w:tcPr>
            <w:tcW w:w="422" w:type="pct"/>
            <w:noWrap w:val="0"/>
            <w:vAlign w:val="center"/>
          </w:tcPr>
          <w:p w14:paraId="4EDA90A2">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757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7E06F7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2.2.3</w:t>
            </w:r>
          </w:p>
        </w:tc>
        <w:tc>
          <w:tcPr>
            <w:tcW w:w="751" w:type="pct"/>
            <w:noWrap w:val="0"/>
            <w:vAlign w:val="center"/>
          </w:tcPr>
          <w:p w14:paraId="620BCD1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布展展示观察窗</w:t>
            </w:r>
          </w:p>
        </w:tc>
        <w:tc>
          <w:tcPr>
            <w:tcW w:w="2896" w:type="pct"/>
            <w:noWrap w:val="0"/>
            <w:vAlign w:val="center"/>
          </w:tcPr>
          <w:p w14:paraId="35596EA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布展开凿8个圆形观察窗口，嵌入墙面科技感金属边框，通过观察窗可直观立体的看到展示内容。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用途：通过8套透镜画面系统观看，用于展示金花茶从地质演化到人类文明的共生历史。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规格参数：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光学观察透镜：嵌入在时空走廊壁的光学观察透镜，φ150mm，f=500mm。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生物演化轨迹显示屏：32寸显示屏，配套立架，播控盒。</w:t>
            </w:r>
          </w:p>
        </w:tc>
        <w:tc>
          <w:tcPr>
            <w:tcW w:w="409" w:type="pct"/>
            <w:noWrap w:val="0"/>
            <w:vAlign w:val="center"/>
          </w:tcPr>
          <w:p w14:paraId="5A15B4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w:t>
            </w:r>
          </w:p>
        </w:tc>
        <w:tc>
          <w:tcPr>
            <w:tcW w:w="422" w:type="pct"/>
            <w:noWrap w:val="0"/>
            <w:vAlign w:val="center"/>
          </w:tcPr>
          <w:p w14:paraId="2A8A2CC7">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D98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9" w:hRule="atLeast"/>
          <w:jc w:val="center"/>
        </w:trPr>
        <w:tc>
          <w:tcPr>
            <w:tcW w:w="519" w:type="pct"/>
            <w:noWrap w:val="0"/>
            <w:vAlign w:val="center"/>
          </w:tcPr>
          <w:p w14:paraId="6D4AF1F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2.2.4</w:t>
            </w:r>
          </w:p>
        </w:tc>
        <w:tc>
          <w:tcPr>
            <w:tcW w:w="751" w:type="pct"/>
            <w:noWrap w:val="0"/>
            <w:vAlign w:val="center"/>
          </w:tcPr>
          <w:p w14:paraId="029DC08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内容编撰及制作</w:t>
            </w:r>
          </w:p>
        </w:tc>
        <w:tc>
          <w:tcPr>
            <w:tcW w:w="2896" w:type="pct"/>
            <w:noWrap w:val="0"/>
            <w:vAlign w:val="center"/>
          </w:tcPr>
          <w:p w14:paraId="66A6CDB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展示布展的内容定制及制作服务：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1.每个观察窗口的内容编撰设计，将内容生成制作对应的8套展示图文或3分钟内短视频。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2.时空星云、流星效果设计编撰。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3.旋转灯箱展示内容设计编撰。</w:t>
            </w:r>
          </w:p>
        </w:tc>
        <w:tc>
          <w:tcPr>
            <w:tcW w:w="409" w:type="pct"/>
            <w:noWrap w:val="0"/>
            <w:vAlign w:val="center"/>
          </w:tcPr>
          <w:p w14:paraId="19A1BAA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3277FB3B">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73F4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DE264D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2.3</w:t>
            </w:r>
          </w:p>
        </w:tc>
        <w:tc>
          <w:tcPr>
            <w:tcW w:w="4480" w:type="pct"/>
            <w:gridSpan w:val="4"/>
            <w:noWrap w:val="0"/>
            <w:vAlign w:val="center"/>
          </w:tcPr>
          <w:p w14:paraId="1BD0D8C4">
            <w:pPr>
              <w:widowControl/>
              <w:jc w:val="both"/>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“自然故事夜”区域展示布展</w:t>
            </w:r>
          </w:p>
        </w:tc>
      </w:tr>
      <w:tr w14:paraId="46F2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D47F1D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2.3.1</w:t>
            </w:r>
          </w:p>
        </w:tc>
        <w:tc>
          <w:tcPr>
            <w:tcW w:w="751" w:type="pct"/>
            <w:noWrap w:val="0"/>
            <w:vAlign w:val="center"/>
          </w:tcPr>
          <w:p w14:paraId="48F295F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互动AI数字动物</w:t>
            </w:r>
          </w:p>
        </w:tc>
        <w:tc>
          <w:tcPr>
            <w:tcW w:w="2896" w:type="pct"/>
            <w:noWrap w:val="0"/>
            <w:vAlign w:val="center"/>
          </w:tcPr>
          <w:p w14:paraId="43A2EAF4">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定制生态链不同层级对应的动物AI数字形象，用于金花茶趣味故事演绎，互联网互动数字动物合成，支持实时语音唤醒、问答交互等功能，可对应不同参观群体，多种类语音播报功能。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含：五年使用权限。</w:t>
            </w:r>
          </w:p>
        </w:tc>
        <w:tc>
          <w:tcPr>
            <w:tcW w:w="409" w:type="pct"/>
            <w:noWrap w:val="0"/>
            <w:vAlign w:val="center"/>
          </w:tcPr>
          <w:p w14:paraId="2BC4A60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w:t>
            </w:r>
          </w:p>
        </w:tc>
        <w:tc>
          <w:tcPr>
            <w:tcW w:w="422" w:type="pct"/>
            <w:noWrap w:val="0"/>
            <w:vAlign w:val="center"/>
          </w:tcPr>
          <w:p w14:paraId="0177132F">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r>
      <w:tr w14:paraId="2B9D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CAC2CD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2.3.2</w:t>
            </w:r>
          </w:p>
        </w:tc>
        <w:tc>
          <w:tcPr>
            <w:tcW w:w="751" w:type="pct"/>
            <w:noWrap w:val="0"/>
            <w:vAlign w:val="center"/>
          </w:tcPr>
          <w:p w14:paraId="3BDF2D3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AI数字动物展示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辅助设备</w:t>
            </w:r>
          </w:p>
        </w:tc>
        <w:tc>
          <w:tcPr>
            <w:tcW w:w="2896" w:type="pct"/>
            <w:noWrap w:val="0"/>
            <w:vAlign w:val="center"/>
          </w:tcPr>
          <w:p w14:paraId="648790C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1.辅助设备为圆形全息设备，采用旋转发光 5D全息成像技术，在圆形空间中形成定制的AI数字全息画面，互动显示动物全息动态图像，不遮挡生境背景，画面形象逼真。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显示尺寸：60CM*60CM,亮度2000cd/㎡</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2.互动控制主机：定制语音唤醒所对应动物的名称。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3.唤醒指示投影灯：投射对应地面，引导站在语音唤醒指定位置。</w:t>
            </w:r>
          </w:p>
        </w:tc>
        <w:tc>
          <w:tcPr>
            <w:tcW w:w="409" w:type="pct"/>
            <w:noWrap w:val="0"/>
            <w:vAlign w:val="center"/>
          </w:tcPr>
          <w:p w14:paraId="174F649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w:t>
            </w:r>
          </w:p>
        </w:tc>
        <w:tc>
          <w:tcPr>
            <w:tcW w:w="422" w:type="pct"/>
            <w:noWrap w:val="0"/>
            <w:vAlign w:val="center"/>
          </w:tcPr>
          <w:p w14:paraId="0D543D12">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453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9766A4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2.3.3</w:t>
            </w:r>
          </w:p>
        </w:tc>
        <w:tc>
          <w:tcPr>
            <w:tcW w:w="751" w:type="pct"/>
            <w:noWrap w:val="0"/>
            <w:vAlign w:val="center"/>
          </w:tcPr>
          <w:p w14:paraId="48D7A1D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布展自然晨雾光影</w:t>
            </w:r>
          </w:p>
        </w:tc>
        <w:tc>
          <w:tcPr>
            <w:tcW w:w="2896" w:type="pct"/>
            <w:noWrap w:val="0"/>
            <w:vAlign w:val="center"/>
          </w:tcPr>
          <w:p w14:paraId="3C23F35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定制自然晨雾光影效果，形成悬浮的光束通道，模拟自然晨雾光影，营造月光或清晨光线透过树林的光束特效。并通过高显指LED光源，实现仿生环境光影染色，营造逼真夜景环境。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包含辅助灯光设备：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4台全彩激光灯：RGB 10种自走模式，20W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4台LED电脑效果灯：19颗40W RGBW 4IN1 LEDs,50000H 750W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1台薄雾造雾机：专用无味薄雾造雾机1台 </w:t>
            </w:r>
          </w:p>
        </w:tc>
        <w:tc>
          <w:tcPr>
            <w:tcW w:w="409" w:type="pct"/>
            <w:noWrap w:val="0"/>
            <w:vAlign w:val="center"/>
          </w:tcPr>
          <w:p w14:paraId="03EB906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43C51714">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5C97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093057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2.3.4</w:t>
            </w:r>
          </w:p>
        </w:tc>
        <w:tc>
          <w:tcPr>
            <w:tcW w:w="751" w:type="pct"/>
            <w:noWrap w:val="0"/>
            <w:vAlign w:val="center"/>
          </w:tcPr>
          <w:p w14:paraId="2C4B829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布展全景还音</w:t>
            </w:r>
          </w:p>
        </w:tc>
        <w:tc>
          <w:tcPr>
            <w:tcW w:w="2896" w:type="pct"/>
            <w:noWrap w:val="0"/>
            <w:vAlign w:val="center"/>
          </w:tcPr>
          <w:p w14:paraId="149E3120">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体验360°原生态声场，精确定位小动物声像及环境立体音效。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含分布式矩阵扬声器10只。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矩阵音源控制系统。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含互动唤醒点收音系统。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含原生态音频素材。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含定制互动语音内容。</w:t>
            </w:r>
          </w:p>
        </w:tc>
        <w:tc>
          <w:tcPr>
            <w:tcW w:w="409" w:type="pct"/>
            <w:noWrap w:val="0"/>
            <w:vAlign w:val="center"/>
          </w:tcPr>
          <w:p w14:paraId="552B350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0061D7E1">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F8A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96869D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2.3.5</w:t>
            </w:r>
          </w:p>
        </w:tc>
        <w:tc>
          <w:tcPr>
            <w:tcW w:w="751" w:type="pct"/>
            <w:noWrap w:val="0"/>
            <w:vAlign w:val="center"/>
          </w:tcPr>
          <w:p w14:paraId="0F80593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布展仿生森林</w:t>
            </w:r>
          </w:p>
        </w:tc>
        <w:tc>
          <w:tcPr>
            <w:tcW w:w="2896" w:type="pct"/>
            <w:noWrap w:val="0"/>
            <w:vAlign w:val="center"/>
          </w:tcPr>
          <w:p w14:paraId="04B76184">
            <w:pPr>
              <w:keepNext w:val="0"/>
              <w:keepLines w:val="0"/>
              <w:widowControl/>
              <w:suppressLineNumbers w:val="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定制仿真森林：为弧形半径4.5米，角度270°区域面积21.5平方米，≥3个品种的仿生金花茶、数量≥3棵，仿生植物品种≥5种、数量≥10棵；仿生动物品种≥6种、数量≥6只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定制中央主树：采用导光流光效果，高3米。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定制环形森林远景：与仿真森林融合，模拟展示森林真实场景。10厘米厚高清彩色写真贴纸灯箱，可控颜色、色温、亮度，尺寸85㎡。</w:t>
            </w:r>
          </w:p>
        </w:tc>
        <w:tc>
          <w:tcPr>
            <w:tcW w:w="409" w:type="pct"/>
            <w:noWrap w:val="0"/>
            <w:vAlign w:val="center"/>
          </w:tcPr>
          <w:p w14:paraId="220ACE1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384447C9">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项</w:t>
            </w:r>
          </w:p>
        </w:tc>
      </w:tr>
      <w:tr w14:paraId="0EE5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A6598C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2.3.6</w:t>
            </w:r>
          </w:p>
        </w:tc>
        <w:tc>
          <w:tcPr>
            <w:tcW w:w="751" w:type="pct"/>
            <w:noWrap w:val="0"/>
            <w:vAlign w:val="center"/>
          </w:tcPr>
          <w:p w14:paraId="3B21AF5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内容编撰及制作</w:t>
            </w:r>
          </w:p>
        </w:tc>
        <w:tc>
          <w:tcPr>
            <w:tcW w:w="2896" w:type="pct"/>
            <w:noWrap w:val="0"/>
            <w:vAlign w:val="center"/>
          </w:tcPr>
          <w:p w14:paraId="5E86DD4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展示布展的内容定制及制作服务：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1.定制5套互动AI数字小动物对应故事内容编撰。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2.金花茶相关知识库整理搭建 涵盖金花茶生物学特征、生长环境、文化价值、保护现状等内容的资料搭建。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3.根据故事内容制作对应形象的多段播报音频，环境音效制作。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4.仿真森林场景展示设计定制。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5.森林夜景氛围光效设计定制。</w:t>
            </w:r>
          </w:p>
        </w:tc>
        <w:tc>
          <w:tcPr>
            <w:tcW w:w="409" w:type="pct"/>
            <w:noWrap w:val="0"/>
            <w:vAlign w:val="center"/>
          </w:tcPr>
          <w:p w14:paraId="4E65E35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11DD5F97">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6C17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D949A2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2.4</w:t>
            </w:r>
          </w:p>
        </w:tc>
        <w:tc>
          <w:tcPr>
            <w:tcW w:w="4480" w:type="pct"/>
            <w:gridSpan w:val="4"/>
            <w:noWrap w:val="0"/>
            <w:vAlign w:val="center"/>
          </w:tcPr>
          <w:p w14:paraId="6BB2579B">
            <w:pPr>
              <w:widowControl/>
              <w:jc w:val="left"/>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“自然同行”区域展示布展</w:t>
            </w:r>
          </w:p>
        </w:tc>
      </w:tr>
      <w:tr w14:paraId="52C8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827BBE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2.4.1</w:t>
            </w:r>
          </w:p>
        </w:tc>
        <w:tc>
          <w:tcPr>
            <w:tcW w:w="751" w:type="pct"/>
            <w:noWrap w:val="0"/>
            <w:vAlign w:val="center"/>
          </w:tcPr>
          <w:p w14:paraId="5D86B1B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布展磁吸七巧板互动墙</w:t>
            </w:r>
          </w:p>
        </w:tc>
        <w:tc>
          <w:tcPr>
            <w:tcW w:w="2896" w:type="pct"/>
            <w:noWrap w:val="0"/>
            <w:vAlign w:val="center"/>
          </w:tcPr>
          <w:p w14:paraId="648CD31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展示布展说明：</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背景墙面尺寸2m×5m，上半部分为金花茶生态的主要介绍，下半部分（孩子能够触碰高度范围内），分三个区域进行磁吸七巧板拼图，拼成宣教知识完整图像。（如：落叶的作用、播撒种子的方式、垃圾对生态的影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展示辅助设备：3套七巧板磁性套件。</w:t>
            </w:r>
          </w:p>
        </w:tc>
        <w:tc>
          <w:tcPr>
            <w:tcW w:w="409" w:type="pct"/>
            <w:noWrap w:val="0"/>
            <w:vAlign w:val="center"/>
          </w:tcPr>
          <w:p w14:paraId="0A4E28C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3DC2AE0B">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项</w:t>
            </w:r>
          </w:p>
        </w:tc>
      </w:tr>
      <w:tr w14:paraId="4E2D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E08541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2.4.2</w:t>
            </w:r>
          </w:p>
        </w:tc>
        <w:tc>
          <w:tcPr>
            <w:tcW w:w="751" w:type="pct"/>
            <w:noWrap w:val="0"/>
            <w:vAlign w:val="center"/>
          </w:tcPr>
          <w:p w14:paraId="7F1D925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布展弧形感应互动墙</w:t>
            </w:r>
          </w:p>
        </w:tc>
        <w:tc>
          <w:tcPr>
            <w:tcW w:w="2896" w:type="pct"/>
            <w:noWrap w:val="0"/>
            <w:vAlign w:val="center"/>
          </w:tcPr>
          <w:p w14:paraId="0C823E0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展示布展说明：</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在印有空白的金花茶生态系统图上嵌入落叶、种子、溪流等元素挂件，参观者对生态系统关键节点的进行填补，补充完成后生态图的整条链路灯将亮起，如有一个位置不对，将不会被点亮。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墙面尺寸：（长*高）7.7m*3m 共23.1㎡</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展示辅助设备：3套互动磁性套件,磁感应LED柔光灯带，元素挂件造型。</w:t>
            </w:r>
          </w:p>
        </w:tc>
        <w:tc>
          <w:tcPr>
            <w:tcW w:w="409" w:type="pct"/>
            <w:noWrap w:val="0"/>
            <w:vAlign w:val="center"/>
          </w:tcPr>
          <w:p w14:paraId="409E10B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0A54DC1B">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项</w:t>
            </w:r>
          </w:p>
        </w:tc>
      </w:tr>
      <w:tr w14:paraId="0261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D8D488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2.4.3</w:t>
            </w:r>
          </w:p>
        </w:tc>
        <w:tc>
          <w:tcPr>
            <w:tcW w:w="751" w:type="pct"/>
            <w:noWrap w:val="0"/>
            <w:vAlign w:val="center"/>
          </w:tcPr>
          <w:p w14:paraId="5453410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内容编撰及制作</w:t>
            </w:r>
          </w:p>
        </w:tc>
        <w:tc>
          <w:tcPr>
            <w:tcW w:w="2896" w:type="pct"/>
            <w:noWrap w:val="0"/>
            <w:vAlign w:val="center"/>
          </w:tcPr>
          <w:p w14:paraId="3A4FCD80">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展示布展的内容定制及制作服务：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1.磁吸七巧板墙、弧形感应墙的互动内容设计定制。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2.展陈内容设计定制。</w:t>
            </w:r>
          </w:p>
        </w:tc>
        <w:tc>
          <w:tcPr>
            <w:tcW w:w="409" w:type="pct"/>
            <w:noWrap w:val="0"/>
            <w:vAlign w:val="center"/>
          </w:tcPr>
          <w:p w14:paraId="21ABC04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4BD3B6D7">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647D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07974D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2.5</w:t>
            </w:r>
          </w:p>
        </w:tc>
        <w:tc>
          <w:tcPr>
            <w:tcW w:w="4480" w:type="pct"/>
            <w:gridSpan w:val="4"/>
            <w:noWrap w:val="0"/>
            <w:vAlign w:val="center"/>
          </w:tcPr>
          <w:p w14:paraId="5806796C">
            <w:pPr>
              <w:widowControl/>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“生境舞台”区域展示布展</w:t>
            </w:r>
          </w:p>
        </w:tc>
      </w:tr>
      <w:tr w14:paraId="5A9A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8F770A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2.5.1</w:t>
            </w:r>
          </w:p>
        </w:tc>
        <w:tc>
          <w:tcPr>
            <w:tcW w:w="751" w:type="pct"/>
            <w:noWrap w:val="0"/>
            <w:vAlign w:val="center"/>
          </w:tcPr>
          <w:p w14:paraId="62B0DCB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布展生境舞台</w:t>
            </w:r>
          </w:p>
        </w:tc>
        <w:tc>
          <w:tcPr>
            <w:tcW w:w="2896" w:type="pct"/>
            <w:noWrap w:val="0"/>
            <w:vAlign w:val="center"/>
          </w:tcPr>
          <w:p w14:paraId="7EA0C52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主题说明：地球演化全景（黄褐色为主，标注关键地质年代）”“金花茶原生生态（湿润森林+溪流+伴生植物）”“共生与保护全景（金花茶林+保护区设施+人类活动）”。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舞台尺寸：30㎡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定制舞台布景：舞台上用仿真灌木做装饰，背景用高清喷绘背景板打造立体场景效果。</w:t>
            </w:r>
          </w:p>
        </w:tc>
        <w:tc>
          <w:tcPr>
            <w:tcW w:w="409" w:type="pct"/>
            <w:noWrap w:val="0"/>
            <w:vAlign w:val="center"/>
          </w:tcPr>
          <w:p w14:paraId="5B25094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3461BEF6">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项</w:t>
            </w:r>
          </w:p>
        </w:tc>
      </w:tr>
      <w:tr w14:paraId="5F1F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2CCE6A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2.5.2</w:t>
            </w:r>
          </w:p>
        </w:tc>
        <w:tc>
          <w:tcPr>
            <w:tcW w:w="751" w:type="pct"/>
            <w:noWrap w:val="0"/>
            <w:vAlign w:val="center"/>
          </w:tcPr>
          <w:p w14:paraId="5455F20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舞台效果展示</w:t>
            </w:r>
          </w:p>
        </w:tc>
        <w:tc>
          <w:tcPr>
            <w:tcW w:w="2896" w:type="pct"/>
            <w:noWrap w:val="0"/>
            <w:vAlign w:val="center"/>
          </w:tcPr>
          <w:p w14:paraId="67296AE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效果灯光：LED光源染色灯；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3D纱布：7m*3m半透背投白色纱布；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背投影机：4000流明投影机配播放主机；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音效设备：隐藏式立体声音效设备；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观众座椅。</w:t>
            </w:r>
          </w:p>
        </w:tc>
        <w:tc>
          <w:tcPr>
            <w:tcW w:w="409" w:type="pct"/>
            <w:noWrap w:val="0"/>
            <w:vAlign w:val="center"/>
          </w:tcPr>
          <w:p w14:paraId="5E78065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28C79176">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8C0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68D1BE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2.5.3</w:t>
            </w:r>
          </w:p>
        </w:tc>
        <w:tc>
          <w:tcPr>
            <w:tcW w:w="751" w:type="pct"/>
            <w:noWrap w:val="0"/>
            <w:vAlign w:val="center"/>
          </w:tcPr>
          <w:p w14:paraId="64E78B9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采光井1层光锥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补光</w:t>
            </w:r>
          </w:p>
        </w:tc>
        <w:tc>
          <w:tcPr>
            <w:tcW w:w="2896" w:type="pct"/>
            <w:noWrap w:val="0"/>
            <w:vAlign w:val="center"/>
          </w:tcPr>
          <w:p w14:paraId="4B98631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1楼光锥补光效果灯，水纹灯LED200W。</w:t>
            </w:r>
          </w:p>
        </w:tc>
        <w:tc>
          <w:tcPr>
            <w:tcW w:w="409" w:type="pct"/>
            <w:noWrap w:val="0"/>
            <w:vAlign w:val="center"/>
          </w:tcPr>
          <w:p w14:paraId="61BD944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422" w:type="pct"/>
            <w:noWrap w:val="0"/>
            <w:vAlign w:val="center"/>
          </w:tcPr>
          <w:p w14:paraId="6B011785">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BAB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02507C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2.5.4</w:t>
            </w:r>
          </w:p>
        </w:tc>
        <w:tc>
          <w:tcPr>
            <w:tcW w:w="751" w:type="pct"/>
            <w:noWrap w:val="0"/>
            <w:vAlign w:val="center"/>
          </w:tcPr>
          <w:p w14:paraId="78DC001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内容编撰及制作</w:t>
            </w:r>
          </w:p>
        </w:tc>
        <w:tc>
          <w:tcPr>
            <w:tcW w:w="2896" w:type="pct"/>
            <w:noWrap w:val="0"/>
            <w:vAlign w:val="center"/>
          </w:tcPr>
          <w:p w14:paraId="4A42B05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展示布展的内容定制及制作服务：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定制5分钟左右舞台展示故事内容编撰，撰写具有感染力的旁白配合音效，内容强调“沉浸叙事”，不追求互动，追求情感传递和意识升华，用戏剧化的手法总结全馆核心，强化“人与自然和谐共生”的最终价值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2.根据故事内容制作成播放的3D图文画面，以及配制多种类的故事音频。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3.生境舞台仿真布景内容设计定制。</w:t>
            </w:r>
          </w:p>
        </w:tc>
        <w:tc>
          <w:tcPr>
            <w:tcW w:w="409" w:type="pct"/>
            <w:noWrap w:val="0"/>
            <w:vAlign w:val="center"/>
          </w:tcPr>
          <w:p w14:paraId="7BA79D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35E824E1">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1604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519" w:type="pct"/>
            <w:noWrap w:val="0"/>
            <w:vAlign w:val="center"/>
          </w:tcPr>
          <w:p w14:paraId="4D23270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2.6</w:t>
            </w:r>
          </w:p>
        </w:tc>
        <w:tc>
          <w:tcPr>
            <w:tcW w:w="4480" w:type="pct"/>
            <w:gridSpan w:val="4"/>
            <w:noWrap w:val="0"/>
            <w:vAlign w:val="center"/>
          </w:tcPr>
          <w:p w14:paraId="2644BD34">
            <w:pPr>
              <w:widowControl/>
              <w:jc w:val="both"/>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“共鸣之声”区域展示布展</w:t>
            </w:r>
          </w:p>
        </w:tc>
      </w:tr>
      <w:tr w14:paraId="157E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D65DD5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2.6.1</w:t>
            </w:r>
          </w:p>
        </w:tc>
        <w:tc>
          <w:tcPr>
            <w:tcW w:w="751" w:type="pct"/>
            <w:noWrap w:val="0"/>
            <w:vAlign w:val="center"/>
          </w:tcPr>
          <w:p w14:paraId="7DF0BF7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布展听音位</w:t>
            </w:r>
          </w:p>
        </w:tc>
        <w:tc>
          <w:tcPr>
            <w:tcW w:w="2896" w:type="pct"/>
            <w:noWrap w:val="0"/>
            <w:vAlign w:val="center"/>
          </w:tcPr>
          <w:p w14:paraId="2817C78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每个听音位置进行生境元素的布展装饰，打造一个隔绝外界噪音的“声音博物馆”，营造独立体验的沉浸感。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配套设备：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墙面嵌入式32寸触摸屏一体机，HD高清屏，多点触控人机交互，≥128G存储；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配套封闭式专业监听双耳耳机，有效隔音，沉浸无干扰。</w:t>
            </w:r>
          </w:p>
        </w:tc>
        <w:tc>
          <w:tcPr>
            <w:tcW w:w="409" w:type="pct"/>
            <w:noWrap w:val="0"/>
            <w:vAlign w:val="center"/>
          </w:tcPr>
          <w:p w14:paraId="32BD5D1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w:t>
            </w:r>
          </w:p>
        </w:tc>
        <w:tc>
          <w:tcPr>
            <w:tcW w:w="422" w:type="pct"/>
            <w:noWrap w:val="0"/>
            <w:vAlign w:val="center"/>
          </w:tcPr>
          <w:p w14:paraId="2E482B13">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8DA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448A59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2.6.2</w:t>
            </w:r>
          </w:p>
        </w:tc>
        <w:tc>
          <w:tcPr>
            <w:tcW w:w="751" w:type="pct"/>
            <w:noWrap w:val="0"/>
            <w:vAlign w:val="center"/>
          </w:tcPr>
          <w:p w14:paraId="0CFF0D3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定制互动桌</w:t>
            </w:r>
          </w:p>
        </w:tc>
        <w:tc>
          <w:tcPr>
            <w:tcW w:w="2896" w:type="pct"/>
            <w:noWrap w:val="0"/>
            <w:vAlign w:val="center"/>
          </w:tcPr>
          <w:p w14:paraId="5BB61DAC">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定制特殊造型互动桌，嵌入3块互动屏幕，配套封闭式专业监听双耳耳机，可实现单人互动或多人互动。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规格要求：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墙面嵌入式19寸触摸屏一体机，HD高清屏，多点触控人机交互，≥128G存储；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配套封闭式专业监听双耳耳机，有效隔音，沉浸无干扰。</w:t>
            </w:r>
          </w:p>
        </w:tc>
        <w:tc>
          <w:tcPr>
            <w:tcW w:w="409" w:type="pct"/>
            <w:noWrap w:val="0"/>
            <w:vAlign w:val="center"/>
          </w:tcPr>
          <w:p w14:paraId="2DC0ED7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571FB8E3">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2EF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871AF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2.6.3</w:t>
            </w:r>
          </w:p>
        </w:tc>
        <w:tc>
          <w:tcPr>
            <w:tcW w:w="751" w:type="pct"/>
            <w:noWrap w:val="0"/>
            <w:vAlign w:val="center"/>
          </w:tcPr>
          <w:p w14:paraId="32A674D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内容编撰及制作</w:t>
            </w:r>
          </w:p>
        </w:tc>
        <w:tc>
          <w:tcPr>
            <w:tcW w:w="2896" w:type="pct"/>
            <w:noWrap w:val="0"/>
            <w:vAlign w:val="center"/>
          </w:tcPr>
          <w:p w14:paraId="55C331E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展示布展的内容定制及制作服务：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1.设计编辑声音展示的音频源，定制搭建每个听音位不同的音频库。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2.设计定制每种声音对应的动植物图像或视频。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3.中央互动桌关于音频互动的内容设计定制。</w:t>
            </w:r>
          </w:p>
        </w:tc>
        <w:tc>
          <w:tcPr>
            <w:tcW w:w="409" w:type="pct"/>
            <w:noWrap w:val="0"/>
            <w:vAlign w:val="center"/>
          </w:tcPr>
          <w:p w14:paraId="320B997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7DB4484C">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12DA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FECAF9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w:t>
            </w:r>
          </w:p>
        </w:tc>
        <w:tc>
          <w:tcPr>
            <w:tcW w:w="4480" w:type="pct"/>
            <w:gridSpan w:val="4"/>
            <w:noWrap w:val="0"/>
            <w:vAlign w:val="center"/>
          </w:tcPr>
          <w:p w14:paraId="7562208A">
            <w:pPr>
              <w:widowControl/>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“研学芬芳”区域展示布展</w:t>
            </w:r>
          </w:p>
        </w:tc>
      </w:tr>
      <w:tr w14:paraId="1567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77D38F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2.7.1</w:t>
            </w:r>
          </w:p>
        </w:tc>
        <w:tc>
          <w:tcPr>
            <w:tcW w:w="751" w:type="pct"/>
            <w:noWrap w:val="0"/>
            <w:vAlign w:val="center"/>
          </w:tcPr>
          <w:p w14:paraId="4D78BFF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研学互动大屏</w:t>
            </w:r>
          </w:p>
        </w:tc>
        <w:tc>
          <w:tcPr>
            <w:tcW w:w="2896" w:type="pct"/>
            <w:noWrap w:val="0"/>
            <w:vAlign w:val="center"/>
          </w:tcPr>
          <w:p w14:paraId="526D2E1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P2LED护眼大屏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尺寸：（长*高）4m*2m=8㎡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1.聚合编码器：1路3G-SDI+1路1080 P60HDMI输入，支持3张内置SIM卡槽，wifi和千兆网络传输，支持NDI、RTMP、SRT、RTSP、HLS等主流协议。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2.高清视频解码器：1个3G-SDI输出，2个HDMI输出，最高支持1080P60，SDI和HDMI3选2输出，支持同时解码4路高清。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3.含背架及服务器，远程视屏推流器。</w:t>
            </w:r>
          </w:p>
        </w:tc>
        <w:tc>
          <w:tcPr>
            <w:tcW w:w="409" w:type="pct"/>
            <w:noWrap w:val="0"/>
            <w:vAlign w:val="center"/>
          </w:tcPr>
          <w:p w14:paraId="67D3672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34BFBB10">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0AE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39D4B4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2.7.2</w:t>
            </w:r>
          </w:p>
        </w:tc>
        <w:tc>
          <w:tcPr>
            <w:tcW w:w="751" w:type="pct"/>
            <w:noWrap w:val="0"/>
            <w:vAlign w:val="center"/>
          </w:tcPr>
          <w:p w14:paraId="23BAA24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研学互动扩声</w:t>
            </w:r>
          </w:p>
        </w:tc>
        <w:tc>
          <w:tcPr>
            <w:tcW w:w="2896" w:type="pct"/>
            <w:noWrap w:val="0"/>
            <w:vAlign w:val="center"/>
          </w:tcPr>
          <w:p w14:paraId="777162D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1.室内壁挂300W音箱4只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2.多功能数字功放1台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3.手持会议话筒2只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4.音响反馈抑制器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5.音响机柜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6.电源时序器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7.音响线材及配件</w:t>
            </w:r>
          </w:p>
        </w:tc>
        <w:tc>
          <w:tcPr>
            <w:tcW w:w="409" w:type="pct"/>
            <w:noWrap w:val="0"/>
            <w:vAlign w:val="center"/>
          </w:tcPr>
          <w:p w14:paraId="42C9FB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5E35EAE7">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4B8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D801E6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2.7.3</w:t>
            </w:r>
          </w:p>
        </w:tc>
        <w:tc>
          <w:tcPr>
            <w:tcW w:w="751" w:type="pct"/>
            <w:noWrap w:val="0"/>
            <w:vAlign w:val="center"/>
          </w:tcPr>
          <w:p w14:paraId="29EAD78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研学展示设备</w:t>
            </w:r>
          </w:p>
        </w:tc>
        <w:tc>
          <w:tcPr>
            <w:tcW w:w="2896" w:type="pct"/>
            <w:noWrap w:val="0"/>
            <w:vAlign w:val="center"/>
          </w:tcPr>
          <w:p w14:paraId="6218922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配备嵌入式研学展示设备1套，含：</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研学主要展示设备1台：I5-10400F：微星：8G ：固态240G  NVIDIA Quadro T1000  4GB 23寸；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辅助研学展示设备1台：Huawei  MateBoo k X PrO 内存： 32GB 1TB。</w:t>
            </w:r>
          </w:p>
        </w:tc>
        <w:tc>
          <w:tcPr>
            <w:tcW w:w="409" w:type="pct"/>
            <w:noWrap w:val="0"/>
            <w:vAlign w:val="center"/>
          </w:tcPr>
          <w:p w14:paraId="7644988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1D6BD644">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54C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8CEBC9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2.7.4</w:t>
            </w:r>
          </w:p>
        </w:tc>
        <w:tc>
          <w:tcPr>
            <w:tcW w:w="751" w:type="pct"/>
            <w:noWrap w:val="0"/>
            <w:vAlign w:val="center"/>
          </w:tcPr>
          <w:p w14:paraId="0462A95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置物架</w:t>
            </w:r>
          </w:p>
        </w:tc>
        <w:tc>
          <w:tcPr>
            <w:tcW w:w="2896" w:type="pct"/>
            <w:noWrap w:val="0"/>
            <w:vAlign w:val="center"/>
          </w:tcPr>
          <w:p w14:paraId="09D062B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现场制作“L”型木质置物架，架子下部分镂空，可放入移动嵌入式休息凳。架子长度3.8米和2.8米、高2.5米、深0.4米。材料由18厘大芯板基底双面免漆板，厂家定制。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定制可移动嵌入式休息凳。材料由18厘大芯板基底双面免漆板，凳面人造革海面软包，厂家定制。</w:t>
            </w:r>
          </w:p>
        </w:tc>
        <w:tc>
          <w:tcPr>
            <w:tcW w:w="409" w:type="pct"/>
            <w:noWrap w:val="0"/>
            <w:vAlign w:val="center"/>
          </w:tcPr>
          <w:p w14:paraId="65861A5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18</w:t>
            </w:r>
          </w:p>
        </w:tc>
        <w:tc>
          <w:tcPr>
            <w:tcW w:w="422" w:type="pct"/>
            <w:noWrap w:val="0"/>
            <w:vAlign w:val="center"/>
          </w:tcPr>
          <w:p w14:paraId="57EAD298">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1CCE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2D663F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2.7.5</w:t>
            </w:r>
          </w:p>
        </w:tc>
        <w:tc>
          <w:tcPr>
            <w:tcW w:w="751" w:type="pct"/>
            <w:noWrap w:val="0"/>
            <w:vAlign w:val="center"/>
          </w:tcPr>
          <w:p w14:paraId="3D94308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多媒体讲台</w:t>
            </w:r>
          </w:p>
        </w:tc>
        <w:tc>
          <w:tcPr>
            <w:tcW w:w="2896" w:type="pct"/>
            <w:noWrap w:val="0"/>
            <w:vAlign w:val="center"/>
          </w:tcPr>
          <w:p w14:paraId="151F87D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定制木质讲台，讲台长1.2米*宽0.7米*高1.2米，材料由18厘大芯板基底双面免漆板。</w:t>
            </w:r>
          </w:p>
        </w:tc>
        <w:tc>
          <w:tcPr>
            <w:tcW w:w="409" w:type="pct"/>
            <w:noWrap w:val="0"/>
            <w:vAlign w:val="center"/>
          </w:tcPr>
          <w:p w14:paraId="3F64CE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763C3E57">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0891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80E0BD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2.7.6</w:t>
            </w:r>
          </w:p>
        </w:tc>
        <w:tc>
          <w:tcPr>
            <w:tcW w:w="751" w:type="pct"/>
            <w:noWrap w:val="0"/>
            <w:vAlign w:val="center"/>
          </w:tcPr>
          <w:p w14:paraId="3C0566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金花茶生态宣教视窗</w:t>
            </w:r>
          </w:p>
        </w:tc>
        <w:tc>
          <w:tcPr>
            <w:tcW w:w="2896" w:type="pct"/>
            <w:noWrap w:val="0"/>
            <w:vAlign w:val="center"/>
          </w:tcPr>
          <w:p w14:paraId="6D28029F">
            <w:pPr>
              <w:keepNext w:val="0"/>
              <w:keepLines w:val="0"/>
              <w:widowControl/>
              <w:suppressLineNumbers w:val="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金花茶生态宣教视窗，用于发布保护区可乐瓶宣传日常内容，展现保护区工作成效，增强公众对金花茶保护工作的认知和支持。尺寸规格材质：户外P10单色字幕屏，模组：320*160mm，显示尺寸15040mm*320mm，显示分辨率1504*32=48128，包边45mm，含包边尺寸：15130mm*410mm，面积约为6.2平方，含控制系统、电源、支架及边框、屏体内所有辅材。</w:t>
            </w:r>
          </w:p>
        </w:tc>
        <w:tc>
          <w:tcPr>
            <w:tcW w:w="409" w:type="pct"/>
            <w:noWrap w:val="0"/>
            <w:vAlign w:val="center"/>
          </w:tcPr>
          <w:p w14:paraId="6E25139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3000</w:t>
            </w:r>
          </w:p>
        </w:tc>
        <w:tc>
          <w:tcPr>
            <w:tcW w:w="422" w:type="pct"/>
            <w:noWrap w:val="0"/>
            <w:vAlign w:val="center"/>
          </w:tcPr>
          <w:p w14:paraId="5A8DD500">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2938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4B32D5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2.7.7</w:t>
            </w:r>
          </w:p>
        </w:tc>
        <w:tc>
          <w:tcPr>
            <w:tcW w:w="751" w:type="pct"/>
            <w:noWrap w:val="0"/>
            <w:vAlign w:val="center"/>
          </w:tcPr>
          <w:p w14:paraId="71E1179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课程展示终端</w:t>
            </w:r>
          </w:p>
        </w:tc>
        <w:tc>
          <w:tcPr>
            <w:tcW w:w="2896" w:type="pct"/>
            <w:noWrap w:val="0"/>
            <w:vAlign w:val="center"/>
          </w:tcPr>
          <w:p w14:paraId="158BA8A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用于开展系列科普课程，在课程活动中可视化呈现科普内容，提升宣教专业度。规格参数：Huawei  MateBoo k X PrO 内存： 32GB 1TB。</w:t>
            </w:r>
          </w:p>
        </w:tc>
        <w:tc>
          <w:tcPr>
            <w:tcW w:w="409" w:type="pct"/>
            <w:noWrap w:val="0"/>
            <w:vAlign w:val="center"/>
          </w:tcPr>
          <w:p w14:paraId="6662DB7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6406ADA7">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9D8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1D5BF5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2.7.8</w:t>
            </w:r>
          </w:p>
        </w:tc>
        <w:tc>
          <w:tcPr>
            <w:tcW w:w="751" w:type="pct"/>
            <w:noWrap w:val="0"/>
            <w:vAlign w:val="center"/>
          </w:tcPr>
          <w:p w14:paraId="3F1513B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课桌座椅</w:t>
            </w:r>
          </w:p>
        </w:tc>
        <w:tc>
          <w:tcPr>
            <w:tcW w:w="2896" w:type="pct"/>
            <w:noWrap w:val="0"/>
            <w:vAlign w:val="center"/>
          </w:tcPr>
          <w:p w14:paraId="3769A001">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原木色实木双人课桌椅，每套含一张桌子并配套两把单人椅；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课桌尺寸：1200*400*740mm；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靠背座椅尺寸：400*400*420mm；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圆角设计，边角打磨光滑，安全圆润，牢靠椅背，线条流畅，用料厚实。</w:t>
            </w:r>
          </w:p>
        </w:tc>
        <w:tc>
          <w:tcPr>
            <w:tcW w:w="409" w:type="pct"/>
            <w:noWrap w:val="0"/>
            <w:vAlign w:val="center"/>
          </w:tcPr>
          <w:p w14:paraId="2B9B303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422" w:type="pct"/>
            <w:noWrap w:val="0"/>
            <w:vAlign w:val="center"/>
          </w:tcPr>
          <w:p w14:paraId="1D872A85">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5F6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3C7082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2.8</w:t>
            </w:r>
          </w:p>
        </w:tc>
        <w:tc>
          <w:tcPr>
            <w:tcW w:w="4480" w:type="pct"/>
            <w:gridSpan w:val="4"/>
            <w:noWrap w:val="0"/>
            <w:vAlign w:val="center"/>
          </w:tcPr>
          <w:p w14:paraId="502CD3E2">
            <w:pPr>
              <w:widowControl/>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“敬畏自然”区域展示布展</w:t>
            </w:r>
          </w:p>
        </w:tc>
      </w:tr>
      <w:tr w14:paraId="15B5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281BC4C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2.8.1</w:t>
            </w:r>
          </w:p>
        </w:tc>
        <w:tc>
          <w:tcPr>
            <w:tcW w:w="751" w:type="pct"/>
            <w:noWrap w:val="0"/>
            <w:vAlign w:val="center"/>
          </w:tcPr>
          <w:p w14:paraId="43FC571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布展生态保护展示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互动墙</w:t>
            </w:r>
          </w:p>
        </w:tc>
        <w:tc>
          <w:tcPr>
            <w:tcW w:w="2896" w:type="pct"/>
            <w:noWrap w:val="0"/>
            <w:vAlign w:val="center"/>
          </w:tcPr>
          <w:p w14:paraId="7D89122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触摸“非法砍伐、纵火”等图标，投影即时呈现连锁反应：砍伐导致金花茶栖息地退化，同步展示科普图文+语音解读。</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尺寸：（长*高）6m*2m  面积12㎡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1.投影系统激光光源6000流明</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光源规格：激光；亮度:6000流明；显示技术：3 LCD；比例：16:10；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分辨率：1920*1200 DPI；投影比：0.44：1；光源使用寿命:20000小时。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2.互动感应捕捉探测系统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最大可互动面积：15*8m；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外观：看不到电机转动，TOF检测技术；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扫描半径：10米；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接口：网口直连，不通过转接板；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角分辨率（物体辨识角度）：0.36°；</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防护等级：防水等级IP65；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帧速：25 fps；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识别角度：270°。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3.墙面内容定制24㎡；</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墙面自定义画纸，基膜，胶水；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4.程序服务器及程序定制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融合服务器：I5-12400F；8G内存；固态512G；NVIDIA Quadro T1000  4GB；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互动雷达系统：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支持各项参数细化设置；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可将投影区域内不需要参与互动的区域进行屏蔽；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可直接框选互动区域；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多个雷达可以级联。能自动检测串口号,无需手动输入,防止重插之后无法识别。</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转雷达识别角度，调节最大最小检测距离。</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待机视频：支持效果时间自定义，还可插播待机视频，无人互动时可播放待机视频。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5.墙面内容定制。</w:t>
            </w:r>
          </w:p>
        </w:tc>
        <w:tc>
          <w:tcPr>
            <w:tcW w:w="409" w:type="pct"/>
            <w:noWrap w:val="0"/>
            <w:vAlign w:val="center"/>
          </w:tcPr>
          <w:p w14:paraId="03834EE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1940048C">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r>
      <w:tr w14:paraId="7F85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95C14D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2.8.2</w:t>
            </w:r>
          </w:p>
        </w:tc>
        <w:tc>
          <w:tcPr>
            <w:tcW w:w="751" w:type="pct"/>
            <w:noWrap w:val="0"/>
            <w:vAlign w:val="center"/>
          </w:tcPr>
          <w:p w14:paraId="70D3126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研学作品展示柜</w:t>
            </w:r>
          </w:p>
        </w:tc>
        <w:tc>
          <w:tcPr>
            <w:tcW w:w="2896" w:type="pct"/>
            <w:noWrap w:val="0"/>
            <w:vAlign w:val="center"/>
          </w:tcPr>
          <w:p w14:paraId="5AB231E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定制木质嵌入式相片置物架，宽4.5米*高2.5米*深0.4米，材料由18厘大芯板基底双面免漆板，厂家定制。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定制安装嵌入式射灯及展示氛围灯。</w:t>
            </w:r>
          </w:p>
        </w:tc>
        <w:tc>
          <w:tcPr>
            <w:tcW w:w="409" w:type="pct"/>
            <w:noWrap w:val="0"/>
            <w:vAlign w:val="center"/>
          </w:tcPr>
          <w:p w14:paraId="5034694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w:t>
            </w:r>
          </w:p>
        </w:tc>
        <w:tc>
          <w:tcPr>
            <w:tcW w:w="422" w:type="pct"/>
            <w:noWrap w:val="0"/>
            <w:vAlign w:val="center"/>
          </w:tcPr>
          <w:p w14:paraId="72318B01">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29C4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1DD9B5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2.8.3</w:t>
            </w:r>
          </w:p>
        </w:tc>
        <w:tc>
          <w:tcPr>
            <w:tcW w:w="751" w:type="pct"/>
            <w:noWrap w:val="0"/>
            <w:vAlign w:val="center"/>
          </w:tcPr>
          <w:p w14:paraId="1FEF6D0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内容编撰及制作</w:t>
            </w:r>
          </w:p>
        </w:tc>
        <w:tc>
          <w:tcPr>
            <w:tcW w:w="2896" w:type="pct"/>
            <w:noWrap w:val="0"/>
            <w:vAlign w:val="center"/>
          </w:tcPr>
          <w:p w14:paraId="0530DED1">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展示布展的内容定制及制作服务：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1.生态保护互动墙内容编撰设计定制。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2.走廊展示墙内容设计定制。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3.展示置物架外观定制。</w:t>
            </w:r>
          </w:p>
        </w:tc>
        <w:tc>
          <w:tcPr>
            <w:tcW w:w="409" w:type="pct"/>
            <w:noWrap w:val="0"/>
            <w:vAlign w:val="center"/>
          </w:tcPr>
          <w:p w14:paraId="2C0A7F7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458CD250">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4C8E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D173AF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2.9</w:t>
            </w:r>
          </w:p>
        </w:tc>
        <w:tc>
          <w:tcPr>
            <w:tcW w:w="4480" w:type="pct"/>
            <w:gridSpan w:val="4"/>
            <w:noWrap w:val="0"/>
            <w:vAlign w:val="center"/>
          </w:tcPr>
          <w:p w14:paraId="6BACC288">
            <w:pPr>
              <w:widowControl/>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“自然数字语”区域展示布展</w:t>
            </w:r>
          </w:p>
        </w:tc>
      </w:tr>
      <w:tr w14:paraId="0ECD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60BC77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2.9.1</w:t>
            </w:r>
          </w:p>
        </w:tc>
        <w:tc>
          <w:tcPr>
            <w:tcW w:w="751" w:type="pct"/>
            <w:noWrap w:val="0"/>
            <w:vAlign w:val="center"/>
          </w:tcPr>
          <w:p w14:paraId="2D7A55C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AI合影留念</w:t>
            </w:r>
          </w:p>
        </w:tc>
        <w:tc>
          <w:tcPr>
            <w:tcW w:w="2896" w:type="pct"/>
            <w:noWrap w:val="0"/>
            <w:vAlign w:val="center"/>
          </w:tcPr>
          <w:p w14:paraId="5738579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AI合影系统一体机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定制43寸立式触摸一体机，支持AI数字动物合影互动，实时同步摄像头或相机画面，支持开机自启动加载，带热升华打印照片，隐藏界面的全部或部分按钮，用遥控器操作。</w:t>
            </w:r>
          </w:p>
        </w:tc>
        <w:tc>
          <w:tcPr>
            <w:tcW w:w="409" w:type="pct"/>
            <w:noWrap w:val="0"/>
            <w:vAlign w:val="center"/>
          </w:tcPr>
          <w:p w14:paraId="7CE660C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6D2B012C">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F76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31888D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2.9.2</w:t>
            </w:r>
          </w:p>
        </w:tc>
        <w:tc>
          <w:tcPr>
            <w:tcW w:w="751" w:type="pct"/>
            <w:noWrap w:val="0"/>
            <w:vAlign w:val="center"/>
          </w:tcPr>
          <w:p w14:paraId="2003E37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布展主题拍照区</w:t>
            </w:r>
          </w:p>
        </w:tc>
        <w:tc>
          <w:tcPr>
            <w:tcW w:w="2896" w:type="pct"/>
            <w:noWrap w:val="0"/>
            <w:vAlign w:val="center"/>
          </w:tcPr>
          <w:p w14:paraId="695AA5C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打造实体合影背景板或造型角，配备3-5个“保护主题拍照框”道具，可让参观者手持拍照框在背景板前合影，以简单直观的拍照形式，让参观者主动参与保护主题传播，扩大科普影响力。</w:t>
            </w:r>
          </w:p>
        </w:tc>
        <w:tc>
          <w:tcPr>
            <w:tcW w:w="409" w:type="pct"/>
            <w:noWrap w:val="0"/>
            <w:vAlign w:val="center"/>
          </w:tcPr>
          <w:p w14:paraId="758B015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1BAD10AE">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6265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604CC0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2.9.3</w:t>
            </w:r>
          </w:p>
        </w:tc>
        <w:tc>
          <w:tcPr>
            <w:tcW w:w="751" w:type="pct"/>
            <w:noWrap w:val="0"/>
            <w:vAlign w:val="center"/>
          </w:tcPr>
          <w:p w14:paraId="3CDFAED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布展宣教研学留言墙</w:t>
            </w:r>
          </w:p>
        </w:tc>
        <w:tc>
          <w:tcPr>
            <w:tcW w:w="2896" w:type="pct"/>
            <w:noWrap w:val="0"/>
            <w:vAlign w:val="center"/>
          </w:tcPr>
          <w:p w14:paraId="4AE9625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尺寸：（长*高）2m*1m造型定制多彩留言墙。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1.高质量PMMA光学级导光亚克力10mm厚度，透光率达95%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2.多彩可调节LED背光光源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3.定制自然主题装饰轮廓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含内容定制。</w:t>
            </w:r>
          </w:p>
        </w:tc>
        <w:tc>
          <w:tcPr>
            <w:tcW w:w="409" w:type="pct"/>
            <w:noWrap w:val="0"/>
            <w:vAlign w:val="center"/>
          </w:tcPr>
          <w:p w14:paraId="237CF25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0D7EA79C">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3B2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76B20BB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2.10</w:t>
            </w:r>
          </w:p>
        </w:tc>
        <w:tc>
          <w:tcPr>
            <w:tcW w:w="4480" w:type="pct"/>
            <w:gridSpan w:val="4"/>
            <w:noWrap w:val="0"/>
            <w:vAlign w:val="center"/>
          </w:tcPr>
          <w:p w14:paraId="7117C015">
            <w:pPr>
              <w:widowControl/>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休憩区展示布展</w:t>
            </w:r>
          </w:p>
        </w:tc>
      </w:tr>
      <w:tr w14:paraId="7F93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420C87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2.10.1</w:t>
            </w:r>
          </w:p>
        </w:tc>
        <w:tc>
          <w:tcPr>
            <w:tcW w:w="751" w:type="pct"/>
            <w:noWrap w:val="0"/>
            <w:vAlign w:val="center"/>
          </w:tcPr>
          <w:p w14:paraId="03DE77E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布展展厅主标题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装饰墙</w:t>
            </w:r>
          </w:p>
        </w:tc>
        <w:tc>
          <w:tcPr>
            <w:tcW w:w="2896" w:type="pct"/>
            <w:noWrap w:val="0"/>
            <w:vAlign w:val="center"/>
          </w:tcPr>
          <w:p w14:paraId="57EDE67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主标题“人与自然和谐共生”立体字定制安装，并加装品牌效果轨道灯增加氛围效果。隔墙补缝打磨后，贴背胶及固定上PVC立体字定制粘贴，墙面做图案贴画装饰以及立体字定制粘贴。</w:t>
            </w:r>
          </w:p>
        </w:tc>
        <w:tc>
          <w:tcPr>
            <w:tcW w:w="409" w:type="pct"/>
            <w:noWrap w:val="0"/>
            <w:vAlign w:val="center"/>
          </w:tcPr>
          <w:p w14:paraId="40A881F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w:t>
            </w:r>
          </w:p>
        </w:tc>
        <w:tc>
          <w:tcPr>
            <w:tcW w:w="422" w:type="pct"/>
            <w:noWrap w:val="0"/>
            <w:vAlign w:val="center"/>
          </w:tcPr>
          <w:p w14:paraId="7C5E3177">
            <w:pPr>
              <w:widowControl/>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62AB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CB7C3F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2.10.2</w:t>
            </w:r>
          </w:p>
        </w:tc>
        <w:tc>
          <w:tcPr>
            <w:tcW w:w="751" w:type="pct"/>
            <w:noWrap w:val="0"/>
            <w:vAlign w:val="center"/>
          </w:tcPr>
          <w:p w14:paraId="2614131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茶水台</w:t>
            </w:r>
          </w:p>
        </w:tc>
        <w:tc>
          <w:tcPr>
            <w:tcW w:w="2896" w:type="pct"/>
            <w:noWrap w:val="0"/>
            <w:vAlign w:val="center"/>
          </w:tcPr>
          <w:p w14:paraId="7276D1A0">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定制木质茶水台。茶台长2.5米*宽0.8米*高1.2米，由18厘大芯板基底双面免漆板，厂家定制。台面为爵士白人造大理石台面。配备抽屉及电脑机柜。</w:t>
            </w:r>
          </w:p>
        </w:tc>
        <w:tc>
          <w:tcPr>
            <w:tcW w:w="409" w:type="pct"/>
            <w:noWrap w:val="0"/>
            <w:vAlign w:val="center"/>
          </w:tcPr>
          <w:p w14:paraId="222374C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754FBE2E">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334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D58CB1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2.10.3</w:t>
            </w:r>
          </w:p>
        </w:tc>
        <w:tc>
          <w:tcPr>
            <w:tcW w:w="751" w:type="pct"/>
            <w:noWrap w:val="0"/>
            <w:vAlign w:val="center"/>
          </w:tcPr>
          <w:p w14:paraId="78673ED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储物柜</w:t>
            </w:r>
          </w:p>
        </w:tc>
        <w:tc>
          <w:tcPr>
            <w:tcW w:w="2896" w:type="pct"/>
            <w:noWrap w:val="0"/>
            <w:vAlign w:val="center"/>
          </w:tcPr>
          <w:p w14:paraId="374F5131">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定制木质储物柜，磁吸式柜门，储物柜长3.5米*高2.5米*深0.5米，由18厘大芯板基底双面免漆板，厂家定制。</w:t>
            </w:r>
          </w:p>
        </w:tc>
        <w:tc>
          <w:tcPr>
            <w:tcW w:w="409" w:type="pct"/>
            <w:noWrap w:val="0"/>
            <w:vAlign w:val="center"/>
          </w:tcPr>
          <w:p w14:paraId="484FD2B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w:t>
            </w:r>
          </w:p>
        </w:tc>
        <w:tc>
          <w:tcPr>
            <w:tcW w:w="422" w:type="pct"/>
            <w:noWrap w:val="0"/>
            <w:vAlign w:val="center"/>
          </w:tcPr>
          <w:p w14:paraId="6F3D7FA9">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5478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4878EE1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2.10.4</w:t>
            </w:r>
          </w:p>
        </w:tc>
        <w:tc>
          <w:tcPr>
            <w:tcW w:w="751" w:type="pct"/>
            <w:noWrap w:val="0"/>
            <w:vAlign w:val="center"/>
          </w:tcPr>
          <w:p w14:paraId="34A65C8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休息椅</w:t>
            </w:r>
          </w:p>
        </w:tc>
        <w:tc>
          <w:tcPr>
            <w:tcW w:w="2896" w:type="pct"/>
            <w:noWrap w:val="0"/>
            <w:vAlign w:val="center"/>
          </w:tcPr>
          <w:p w14:paraId="678335D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玻璃钢椭圆形休息凳，其材质比普通塑料更耐撞击，不易开裂或变形，密度仅为钢材的1/4，方便搬运随时调整位置，一体成型的流线型曲面，没有尖锐菱角，安全舒适，且表面光滑，容易清理，马卡龙配色，提升休息区视觉吸引力。</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尺寸：（长*宽*高）2418mm*680mm*830mm</w:t>
            </w:r>
          </w:p>
        </w:tc>
        <w:tc>
          <w:tcPr>
            <w:tcW w:w="409" w:type="pct"/>
            <w:noWrap w:val="0"/>
            <w:vAlign w:val="center"/>
          </w:tcPr>
          <w:p w14:paraId="2189AF9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422" w:type="pct"/>
            <w:noWrap w:val="0"/>
            <w:vAlign w:val="center"/>
          </w:tcPr>
          <w:p w14:paraId="3C7F36B2">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67A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5BA4E3B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2.11</w:t>
            </w:r>
          </w:p>
        </w:tc>
        <w:tc>
          <w:tcPr>
            <w:tcW w:w="4480" w:type="pct"/>
            <w:gridSpan w:val="4"/>
            <w:noWrap w:val="0"/>
            <w:vAlign w:val="center"/>
          </w:tcPr>
          <w:p w14:paraId="2B363E7A">
            <w:pPr>
              <w:widowControl/>
              <w:jc w:val="left"/>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中控系统设备</w:t>
            </w:r>
          </w:p>
        </w:tc>
      </w:tr>
      <w:tr w14:paraId="3DE7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00797E1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2.11.1</w:t>
            </w:r>
          </w:p>
        </w:tc>
        <w:tc>
          <w:tcPr>
            <w:tcW w:w="751" w:type="pct"/>
            <w:noWrap w:val="0"/>
            <w:vAlign w:val="center"/>
          </w:tcPr>
          <w:p w14:paraId="152ABF6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展区互动设备中控</w:t>
            </w:r>
          </w:p>
        </w:tc>
        <w:tc>
          <w:tcPr>
            <w:tcW w:w="2896" w:type="pct"/>
            <w:noWrap w:val="0"/>
            <w:vAlign w:val="center"/>
          </w:tcPr>
          <w:p w14:paraId="1049374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1.中控主机15.6寸电容触摸一体机，分辨率：1920*1080；配置：J1900四核，4G运行，32G固态，win10 64位系统，标配接口配桌面支架，含windows中控操作按钮及界面。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2.中控软件定制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3.服务器中控控制器，工作电压12V/24v,每路可负载10A,接口: RS232。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主控制芯片：8位高性能单片机加高速高稳定FPGA可编程阵列电路。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4.8路串口处理器</w:t>
            </w:r>
          </w:p>
        </w:tc>
        <w:tc>
          <w:tcPr>
            <w:tcW w:w="409" w:type="pct"/>
            <w:noWrap w:val="0"/>
            <w:vAlign w:val="center"/>
          </w:tcPr>
          <w:p w14:paraId="0C9A036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252C51F1">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A7F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15DEB1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2.11.2</w:t>
            </w:r>
          </w:p>
        </w:tc>
        <w:tc>
          <w:tcPr>
            <w:tcW w:w="751" w:type="pct"/>
            <w:noWrap w:val="0"/>
            <w:vAlign w:val="center"/>
          </w:tcPr>
          <w:p w14:paraId="69CB15B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系统集成</w:t>
            </w:r>
          </w:p>
        </w:tc>
        <w:tc>
          <w:tcPr>
            <w:tcW w:w="2896" w:type="pct"/>
            <w:noWrap w:val="0"/>
            <w:vAlign w:val="center"/>
          </w:tcPr>
          <w:p w14:paraId="4E6AAB1E">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1.集成辅材，包括：项目中可能涉及的视音频线缆、网线、光纤、模块、视音频插接件，线槽、扎带、标准化线标等。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2.搭建费用：专业工程师上门完成软硬件设备搭建安装，包括设备现场安装环境预置、硬件设备上架归置、系统软件及应用软件安装等。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3.系统测试：包括硬件加电测试、系统稳定性测试、软件功能符合性测试，系统压力测试、系统故障恢复测试等内容，具体根据项目软硬件设备情况进行。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培训：由专业的培训讲师，对系统的各软件的使用、操作进行系统讲解决，由专业工程师对采购人指定人员进行系统化培训，培训内容包括：开关机培训、软硬件应用培训、常见故障处理、网络管理培训、应急流程培训等，具体根据项目设备情况制定培训计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5.运行维护服务：质保期内设备维修、维护服务，工程师上门服务，系统试运行期间保障服务。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6.技术服务：系统方案设计服务、网络架构设计服务、施工设计服务、现场施工指导服务、施工图纸及部署技术服务、技术测试服务。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7.其他：设备运输、保险及杂费等。</w:t>
            </w:r>
          </w:p>
        </w:tc>
        <w:tc>
          <w:tcPr>
            <w:tcW w:w="409" w:type="pct"/>
            <w:noWrap w:val="0"/>
            <w:vAlign w:val="center"/>
          </w:tcPr>
          <w:p w14:paraId="6DB59BB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422" w:type="pct"/>
            <w:noWrap w:val="0"/>
            <w:vAlign w:val="center"/>
          </w:tcPr>
          <w:p w14:paraId="196A8550">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58FC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shd w:val="clear" w:color="auto" w:fill="FFFF00"/>
            <w:noWrap w:val="0"/>
            <w:vAlign w:val="center"/>
          </w:tcPr>
          <w:p w14:paraId="7C0A053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w:t>
            </w:r>
          </w:p>
        </w:tc>
        <w:tc>
          <w:tcPr>
            <w:tcW w:w="4480" w:type="pct"/>
            <w:gridSpan w:val="4"/>
            <w:shd w:val="clear" w:color="auto" w:fill="FFFF00"/>
            <w:noWrap w:val="0"/>
            <w:vAlign w:val="center"/>
          </w:tcPr>
          <w:p w14:paraId="35FDB61C">
            <w:pPr>
              <w:keepNext w:val="0"/>
              <w:keepLines w:val="0"/>
              <w:widowControl/>
              <w:suppressLineNumbers w:val="0"/>
              <w:jc w:val="left"/>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布展上岳保护站森林体验实践基地</w:t>
            </w:r>
          </w:p>
        </w:tc>
      </w:tr>
      <w:tr w14:paraId="79B8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1A8D2B6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3.1</w:t>
            </w:r>
          </w:p>
        </w:tc>
        <w:tc>
          <w:tcPr>
            <w:tcW w:w="751" w:type="pct"/>
            <w:noWrap w:val="0"/>
            <w:vAlign w:val="center"/>
          </w:tcPr>
          <w:p w14:paraId="3F4A232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野外科普长廊布展</w:t>
            </w:r>
          </w:p>
        </w:tc>
        <w:tc>
          <w:tcPr>
            <w:tcW w:w="2896" w:type="pct"/>
            <w:noWrap w:val="0"/>
            <w:vAlign w:val="center"/>
          </w:tcPr>
          <w:p w14:paraId="44F3F17B">
            <w:pPr>
              <w:keepNext w:val="0"/>
              <w:keepLines w:val="0"/>
              <w:widowControl/>
              <w:suppressLineNumbers w:val="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利用上岳保护站野外科普展示用房一层走廊，打造一条科普与金花茶文化结合的科普长廊。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材质：轻钢龙骨+阻燃板+埃特板+外墙腻子外墙漆。</w:t>
            </w:r>
            <w:r>
              <w:rPr>
                <w:rFonts w:hint="eastAsia" w:ascii="宋体" w:hAnsi="宋体" w:cs="宋体"/>
                <w:i w:val="0"/>
                <w:iCs w:val="0"/>
                <w:color w:val="auto"/>
                <w:kern w:val="0"/>
                <w:sz w:val="24"/>
                <w:szCs w:val="24"/>
                <w:highlight w:val="none"/>
                <w:u w:val="none"/>
                <w:lang w:val="en-US" w:eastAsia="zh-CN" w:bidi="ar"/>
              </w:rPr>
              <w:t xml:space="preserve"> </w:t>
            </w:r>
          </w:p>
        </w:tc>
        <w:tc>
          <w:tcPr>
            <w:tcW w:w="409" w:type="pct"/>
            <w:noWrap w:val="0"/>
            <w:vAlign w:val="center"/>
          </w:tcPr>
          <w:p w14:paraId="2F59755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 xml:space="preserve">100 </w:t>
            </w:r>
          </w:p>
        </w:tc>
        <w:tc>
          <w:tcPr>
            <w:tcW w:w="422" w:type="pct"/>
            <w:noWrap w:val="0"/>
            <w:vAlign w:val="center"/>
          </w:tcPr>
          <w:p w14:paraId="11C7AA4D">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r>
      <w:tr w14:paraId="0CA1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69F50A2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3.2</w:t>
            </w:r>
          </w:p>
        </w:tc>
        <w:tc>
          <w:tcPr>
            <w:tcW w:w="751" w:type="pct"/>
            <w:noWrap w:val="0"/>
            <w:vAlign w:val="center"/>
          </w:tcPr>
          <w:p w14:paraId="1030F21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野外科普研学区布展</w:t>
            </w:r>
          </w:p>
        </w:tc>
        <w:tc>
          <w:tcPr>
            <w:tcW w:w="2896" w:type="pct"/>
            <w:noWrap w:val="0"/>
            <w:vAlign w:val="center"/>
          </w:tcPr>
          <w:p w14:paraId="6D749DE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沿着上岳保护站进站道路以及野外科普展示用房后侧，采用方通骨架+不锈钢造型+烤漆+UV图案/文字+防腐木等材料，设置科普研学设备，如昆虫观察站、鸟类观察站等。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材质：方通骨架+不锈钢造型+烤漆+UV图案/文字+防腐木。</w:t>
            </w:r>
          </w:p>
        </w:tc>
        <w:tc>
          <w:tcPr>
            <w:tcW w:w="409" w:type="pct"/>
            <w:noWrap w:val="0"/>
            <w:vAlign w:val="center"/>
          </w:tcPr>
          <w:p w14:paraId="1DAD167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 xml:space="preserve">300 </w:t>
            </w:r>
          </w:p>
        </w:tc>
        <w:tc>
          <w:tcPr>
            <w:tcW w:w="422" w:type="pct"/>
            <w:noWrap w:val="0"/>
            <w:vAlign w:val="center"/>
          </w:tcPr>
          <w:p w14:paraId="03FC1A0D">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4B76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2061A0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3.3</w:t>
            </w:r>
          </w:p>
        </w:tc>
        <w:tc>
          <w:tcPr>
            <w:tcW w:w="751" w:type="pct"/>
            <w:noWrap w:val="0"/>
            <w:vAlign w:val="center"/>
          </w:tcPr>
          <w:p w14:paraId="7B020A4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野外观鸟平台布展</w:t>
            </w:r>
          </w:p>
        </w:tc>
        <w:tc>
          <w:tcPr>
            <w:tcW w:w="2896" w:type="pct"/>
            <w:noWrap w:val="0"/>
            <w:vAlign w:val="center"/>
          </w:tcPr>
          <w:p w14:paraId="6838778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建设于上岳保护站值班房后，利用原有仓库屋面平顶，采用钢结构+防腐木，设置钢结构平台，作为观鸟平台，增加科普趣味性。材质：钢制骨架+防腐木。</w:t>
            </w:r>
          </w:p>
        </w:tc>
        <w:tc>
          <w:tcPr>
            <w:tcW w:w="409" w:type="pct"/>
            <w:noWrap w:val="0"/>
            <w:vAlign w:val="center"/>
          </w:tcPr>
          <w:p w14:paraId="5BC4453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 xml:space="preserve">50 </w:t>
            </w:r>
          </w:p>
        </w:tc>
        <w:tc>
          <w:tcPr>
            <w:tcW w:w="422" w:type="pct"/>
            <w:noWrap w:val="0"/>
            <w:vAlign w:val="center"/>
          </w:tcPr>
          <w:p w14:paraId="1DA0A03A">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w:t>
            </w:r>
          </w:p>
        </w:tc>
      </w:tr>
      <w:tr w14:paraId="1880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noWrap w:val="0"/>
            <w:vAlign w:val="center"/>
          </w:tcPr>
          <w:p w14:paraId="388A89A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3.4</w:t>
            </w:r>
          </w:p>
        </w:tc>
        <w:tc>
          <w:tcPr>
            <w:tcW w:w="751" w:type="pct"/>
            <w:noWrap w:val="0"/>
            <w:vAlign w:val="center"/>
          </w:tcPr>
          <w:p w14:paraId="2242C5B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手持电子显微镜</w:t>
            </w:r>
          </w:p>
        </w:tc>
        <w:tc>
          <w:tcPr>
            <w:tcW w:w="2896" w:type="pct"/>
            <w:noWrap w:val="0"/>
            <w:vAlign w:val="center"/>
          </w:tcPr>
          <w:p w14:paraId="1740962C">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便携式手持电子显微镜，用于开展金花茶病虫害观察等自然教育。参数规格为：4.3大屏+32G内存+可连手机+挎包。</w:t>
            </w:r>
          </w:p>
        </w:tc>
        <w:tc>
          <w:tcPr>
            <w:tcW w:w="409" w:type="pct"/>
            <w:noWrap w:val="0"/>
            <w:vAlign w:val="center"/>
          </w:tcPr>
          <w:p w14:paraId="22EAA33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 xml:space="preserve">25 </w:t>
            </w:r>
          </w:p>
        </w:tc>
        <w:tc>
          <w:tcPr>
            <w:tcW w:w="422" w:type="pct"/>
            <w:noWrap w:val="0"/>
            <w:vAlign w:val="center"/>
          </w:tcPr>
          <w:p w14:paraId="6585904B">
            <w:pPr>
              <w:widowControl/>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r>
    </w:tbl>
    <w:p w14:paraId="2281DE2D">
      <w:pPr>
        <w:pStyle w:val="30"/>
        <w:rPr>
          <w:color w:val="auto"/>
          <w:highlight w:val="none"/>
        </w:rPr>
      </w:pPr>
    </w:p>
    <w:p w14:paraId="67286CE9">
      <w:pPr>
        <w:rPr>
          <w:color w:val="auto"/>
          <w:highlight w:val="none"/>
        </w:rPr>
      </w:pPr>
      <w:r>
        <w:rPr>
          <w:color w:val="auto"/>
          <w:highlight w:val="none"/>
        </w:rPr>
        <w:br w:type="page"/>
      </w:r>
    </w:p>
    <w:p w14:paraId="553EAA36">
      <w:pPr>
        <w:pStyle w:val="2"/>
        <w:keepNext w:val="0"/>
        <w:keepLines w:val="0"/>
        <w:tabs>
          <w:tab w:val="left" w:pos="0"/>
          <w:tab w:val="left" w:pos="3165"/>
          <w:tab w:val="center" w:pos="4153"/>
        </w:tabs>
        <w:autoSpaceDE w:val="0"/>
        <w:autoSpaceDN w:val="0"/>
        <w:adjustRightInd w:val="0"/>
        <w:spacing w:before="0" w:after="0" w:line="360" w:lineRule="auto"/>
        <w:ind w:firstLine="2209" w:firstLineChars="500"/>
        <w:jc w:val="both"/>
        <w:rPr>
          <w:rFonts w:hint="eastAsia"/>
          <w:color w:val="auto"/>
          <w:sz w:val="36"/>
          <w:szCs w:val="36"/>
          <w:highlight w:val="none"/>
        </w:rPr>
      </w:pPr>
      <w:bookmarkStart w:id="104" w:name="_GoBack"/>
      <w:bookmarkEnd w:id="104"/>
      <w:bookmarkStart w:id="39" w:name="_Toc25688"/>
      <w:r>
        <w:rPr>
          <w:rFonts w:hint="eastAsia"/>
          <w:color w:val="auto"/>
          <w:highlight w:val="none"/>
        </w:rPr>
        <w:t>第三章</w:t>
      </w:r>
      <w:r>
        <w:rPr>
          <w:rFonts w:hint="eastAsia"/>
          <w:color w:val="auto"/>
          <w:highlight w:val="none"/>
          <w:lang w:val="en-US" w:eastAsia="zh-CN"/>
        </w:rPr>
        <w:t xml:space="preserve">  </w:t>
      </w:r>
      <w:r>
        <w:rPr>
          <w:rFonts w:hint="eastAsia"/>
          <w:color w:val="auto"/>
          <w:highlight w:val="none"/>
        </w:rPr>
        <w:t>投标人须知</w:t>
      </w:r>
      <w:bookmarkEnd w:id="39"/>
    </w:p>
    <w:p w14:paraId="71EF8A27">
      <w:pPr>
        <w:jc w:val="center"/>
        <w:rPr>
          <w:rFonts w:hint="eastAsia" w:eastAsia="宋体"/>
          <w:b/>
          <w:bCs/>
          <w:color w:val="auto"/>
          <w:sz w:val="21"/>
          <w:szCs w:val="21"/>
          <w:highlight w:val="none"/>
          <w:lang w:eastAsia="zh-CN"/>
        </w:rPr>
      </w:pPr>
      <w:r>
        <w:rPr>
          <w:rFonts w:hint="eastAsia"/>
          <w:color w:val="auto"/>
          <w:sz w:val="36"/>
          <w:szCs w:val="36"/>
          <w:highlight w:val="none"/>
        </w:rPr>
        <w:t>投标人须知前附表</w:t>
      </w:r>
    </w:p>
    <w:tbl>
      <w:tblPr>
        <w:tblStyle w:val="24"/>
        <w:tblW w:w="932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344"/>
      </w:tblGrid>
      <w:tr w14:paraId="41CF1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E628C4D">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条款号</w:t>
            </w:r>
          </w:p>
        </w:tc>
        <w:tc>
          <w:tcPr>
            <w:tcW w:w="8344" w:type="dxa"/>
            <w:tcBorders>
              <w:top w:val="single" w:color="auto" w:sz="4" w:space="0"/>
              <w:left w:val="single" w:color="auto" w:sz="4" w:space="0"/>
              <w:bottom w:val="single" w:color="auto" w:sz="4" w:space="0"/>
              <w:right w:val="single" w:color="auto" w:sz="4" w:space="0"/>
            </w:tcBorders>
            <w:vAlign w:val="center"/>
          </w:tcPr>
          <w:p w14:paraId="383BF188">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5D1C24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6358E05">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8344" w:type="dxa"/>
            <w:tcBorders>
              <w:top w:val="single" w:color="auto" w:sz="4" w:space="0"/>
              <w:left w:val="single" w:color="auto" w:sz="4" w:space="0"/>
              <w:bottom w:val="single" w:color="auto" w:sz="4" w:space="0"/>
              <w:right w:val="single" w:color="auto" w:sz="4" w:space="0"/>
            </w:tcBorders>
            <w:vAlign w:val="center"/>
          </w:tcPr>
          <w:p w14:paraId="540B6D7A">
            <w:pPr>
              <w:snapToGrid w:val="0"/>
              <w:spacing w:line="360" w:lineRule="auto"/>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投标人的资格要求详见招标公告。</w:t>
            </w:r>
          </w:p>
          <w:p w14:paraId="2BBC52CB">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投标人出现下列情形之一的，不得参加政府采购活动：</w:t>
            </w:r>
          </w:p>
          <w:p w14:paraId="37A86344">
            <w:pPr>
              <w:snapToGrid w:val="0"/>
              <w:spacing w:line="360" w:lineRule="auto"/>
              <w:jc w:val="left"/>
              <w:rPr>
                <w:rFonts w:hint="eastAsia" w:ascii="宋体" w:hAns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1469C4C">
            <w:pPr>
              <w:snapToGrid w:val="0"/>
              <w:spacing w:line="360" w:lineRule="auto"/>
              <w:jc w:val="left"/>
              <w:rPr>
                <w:rFonts w:hint="eastAsia" w:ascii="宋体" w:hAns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68C7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79C4920">
            <w:pPr>
              <w:spacing w:line="360" w:lineRule="auto"/>
              <w:jc w:val="center"/>
              <w:rPr>
                <w:rFonts w:ascii="宋体" w:hAnsi="宋体"/>
                <w:color w:val="auto"/>
                <w:szCs w:val="21"/>
                <w:highlight w:val="none"/>
              </w:rPr>
            </w:pPr>
            <w:r>
              <w:rPr>
                <w:rFonts w:hint="eastAsia" w:ascii="宋体" w:hAnsi="宋体"/>
                <w:color w:val="auto"/>
                <w:szCs w:val="21"/>
                <w:highlight w:val="none"/>
              </w:rPr>
              <w:t>6.1</w:t>
            </w:r>
          </w:p>
        </w:tc>
        <w:tc>
          <w:tcPr>
            <w:tcW w:w="8344" w:type="dxa"/>
            <w:tcBorders>
              <w:top w:val="single" w:color="auto" w:sz="4" w:space="0"/>
              <w:left w:val="single" w:color="auto" w:sz="4" w:space="0"/>
              <w:bottom w:val="single" w:color="auto" w:sz="4" w:space="0"/>
              <w:right w:val="single" w:color="auto" w:sz="4" w:space="0"/>
            </w:tcBorders>
            <w:vAlign w:val="center"/>
          </w:tcPr>
          <w:p w14:paraId="7F5CF76C">
            <w:pPr>
              <w:pStyle w:val="10"/>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本项目是否接受联合体投标：详见招标公告。</w:t>
            </w:r>
          </w:p>
        </w:tc>
      </w:tr>
      <w:tr w14:paraId="227721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537E15A">
            <w:pPr>
              <w:spacing w:line="360" w:lineRule="auto"/>
              <w:jc w:val="center"/>
              <w:rPr>
                <w:rFonts w:ascii="宋体" w:hAnsi="宋体"/>
                <w:color w:val="auto"/>
                <w:szCs w:val="21"/>
                <w:highlight w:val="none"/>
              </w:rPr>
            </w:pPr>
            <w:r>
              <w:rPr>
                <w:rFonts w:hint="eastAsia" w:ascii="宋体" w:hAnsi="宋体"/>
                <w:color w:val="auto"/>
                <w:szCs w:val="21"/>
                <w:highlight w:val="none"/>
              </w:rPr>
              <w:t>7.2</w:t>
            </w:r>
          </w:p>
        </w:tc>
        <w:tc>
          <w:tcPr>
            <w:tcW w:w="8344" w:type="dxa"/>
            <w:tcBorders>
              <w:top w:val="single" w:color="auto" w:sz="4" w:space="0"/>
              <w:left w:val="single" w:color="auto" w:sz="4" w:space="0"/>
              <w:bottom w:val="single" w:color="auto" w:sz="4" w:space="0"/>
              <w:right w:val="single" w:color="auto" w:sz="4" w:space="0"/>
            </w:tcBorders>
            <w:vAlign w:val="center"/>
          </w:tcPr>
          <w:p w14:paraId="719AFAF5">
            <w:pPr>
              <w:pStyle w:val="10"/>
              <w:spacing w:line="360" w:lineRule="auto"/>
              <w:rPr>
                <w:rFonts w:hint="eastAsia" w:ascii="宋体" w:hAnsi="宋体"/>
                <w:color w:val="auto"/>
                <w:szCs w:val="21"/>
                <w:highlight w:val="none"/>
                <w:u w:val="single"/>
                <w:lang w:val="en-US" w:eastAsia="zh-CN"/>
              </w:rPr>
            </w:pPr>
            <w:r>
              <w:rPr>
                <w:rFonts w:hint="eastAsia" w:ascii="宋体" w:hAnsi="宋体"/>
                <w:color w:val="auto"/>
                <w:szCs w:val="21"/>
                <w:highlight w:val="none"/>
                <w:lang w:val="en-US" w:eastAsia="zh-CN"/>
              </w:rPr>
              <w:t>本项目不允许分包。</w:t>
            </w:r>
          </w:p>
        </w:tc>
      </w:tr>
      <w:tr w14:paraId="57C02B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978" w:type="dxa"/>
            <w:vMerge w:val="restart"/>
            <w:tcBorders>
              <w:top w:val="single" w:color="auto" w:sz="4" w:space="0"/>
              <w:left w:val="single" w:color="auto" w:sz="4" w:space="0"/>
              <w:right w:val="single" w:color="auto" w:sz="4" w:space="0"/>
            </w:tcBorders>
            <w:vAlign w:val="center"/>
          </w:tcPr>
          <w:p w14:paraId="1294DDB2">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8344" w:type="dxa"/>
            <w:tcBorders>
              <w:top w:val="single" w:color="auto" w:sz="4" w:space="0"/>
              <w:left w:val="single" w:color="auto" w:sz="4" w:space="0"/>
              <w:bottom w:val="single" w:color="auto" w:sz="4" w:space="0"/>
              <w:right w:val="single" w:color="auto" w:sz="4" w:space="0"/>
            </w:tcBorders>
            <w:vAlign w:val="center"/>
          </w:tcPr>
          <w:p w14:paraId="3F589895">
            <w:pPr>
              <w:snapToGrid w:val="0"/>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现场踏勘：</w:t>
            </w:r>
          </w:p>
          <w:p w14:paraId="0ABF88E4">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为了方便投标人进一步了解项目情况及编制投标文件，本项目采购人统一组织投标人进行现场踏勘，采购人不单独或者分别组织只有一个投标人参加的现场踏勘。现场踏勘为自愿原则，所发生的一切费用由投标人自行承担。具体规定如下：</w:t>
            </w:r>
          </w:p>
          <w:p w14:paraId="71348F91">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（1）现场踏勘统一集合时间：202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17</w:t>
            </w:r>
            <w:r>
              <w:rPr>
                <w:rFonts w:hint="eastAsia" w:ascii="宋体" w:hAnsi="宋体"/>
                <w:color w:val="auto"/>
                <w:szCs w:val="21"/>
                <w:highlight w:val="none"/>
              </w:rPr>
              <w:t>日的</w:t>
            </w:r>
            <w:r>
              <w:rPr>
                <w:rFonts w:hint="eastAsia" w:ascii="宋体" w:hAnsi="宋体"/>
                <w:color w:val="auto"/>
                <w:szCs w:val="21"/>
                <w:highlight w:val="none"/>
                <w:lang w:val="en-US" w:eastAsia="zh-CN"/>
              </w:rPr>
              <w:t>9</w:t>
            </w:r>
            <w:r>
              <w:rPr>
                <w:rFonts w:hint="eastAsia" w:ascii="宋体" w:hAnsi="宋体"/>
                <w:color w:val="auto"/>
                <w:szCs w:val="21"/>
                <w:highlight w:val="none"/>
              </w:rPr>
              <w:t>时</w:t>
            </w:r>
            <w:r>
              <w:rPr>
                <w:rFonts w:hint="eastAsia" w:ascii="宋体" w:hAnsi="宋体"/>
                <w:color w:val="auto"/>
                <w:szCs w:val="21"/>
                <w:highlight w:val="none"/>
                <w:lang w:val="en-US" w:eastAsia="zh-CN"/>
              </w:rPr>
              <w:t>0</w:t>
            </w:r>
            <w:r>
              <w:rPr>
                <w:rFonts w:hint="eastAsia" w:ascii="宋体" w:hAnsi="宋体"/>
                <w:color w:val="auto"/>
                <w:szCs w:val="21"/>
                <w:highlight w:val="none"/>
              </w:rPr>
              <w:t>0分</w:t>
            </w:r>
            <w:r>
              <w:rPr>
                <w:rFonts w:hint="eastAsia" w:ascii="宋体" w:hAnsi="宋体"/>
                <w:color w:val="auto"/>
                <w:szCs w:val="21"/>
                <w:highlight w:val="none"/>
                <w:lang w:val="en-US" w:eastAsia="zh-CN"/>
              </w:rPr>
              <w:t>-12时00分</w:t>
            </w:r>
            <w:r>
              <w:rPr>
                <w:rFonts w:hint="eastAsia" w:ascii="宋体" w:hAnsi="宋体"/>
                <w:color w:val="auto"/>
                <w:szCs w:val="21"/>
                <w:highlight w:val="none"/>
              </w:rPr>
              <w:t>（过时不候，由于投标人自身原因未能按时参加本项目现场踏勘的，一切后果由投标人自行承担）。</w:t>
            </w:r>
          </w:p>
          <w:p w14:paraId="396222D0">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（2）现场踏勘集中地点：防城港市防城区西湾环海大道墨鱼港金花茶保护区科研监测基地。</w:t>
            </w:r>
          </w:p>
          <w:p w14:paraId="28886AC6">
            <w:pPr>
              <w:snapToGrid w:val="0"/>
              <w:spacing w:line="360" w:lineRule="auto"/>
              <w:rPr>
                <w:rFonts w:hint="default" w:ascii="宋体" w:hAnsi="宋体" w:eastAsia="宋体"/>
                <w:color w:val="auto"/>
                <w:szCs w:val="21"/>
                <w:highlight w:val="none"/>
                <w:lang w:val="en-US" w:eastAsia="zh-CN"/>
              </w:rPr>
            </w:pPr>
            <w:r>
              <w:rPr>
                <w:rFonts w:hint="eastAsia" w:ascii="宋体" w:hAnsi="宋体"/>
                <w:color w:val="auto"/>
                <w:szCs w:val="21"/>
                <w:highlight w:val="none"/>
              </w:rPr>
              <w:t>（3）采购人联系人及联系电话：</w:t>
            </w:r>
            <w:r>
              <w:rPr>
                <w:rFonts w:hint="eastAsia" w:ascii="宋体" w:hAnsi="宋体"/>
                <w:color w:val="auto"/>
                <w:szCs w:val="21"/>
                <w:highlight w:val="none"/>
                <w:lang w:val="en-US" w:eastAsia="zh-CN"/>
              </w:rPr>
              <w:t>杨婷 0770-2070339</w:t>
            </w:r>
          </w:p>
        </w:tc>
      </w:tr>
      <w:tr w14:paraId="652B1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978" w:type="dxa"/>
            <w:vMerge w:val="continue"/>
            <w:tcBorders>
              <w:left w:val="single" w:color="auto" w:sz="4" w:space="0"/>
              <w:bottom w:val="single" w:color="auto" w:sz="4" w:space="0"/>
              <w:right w:val="single" w:color="auto" w:sz="4" w:space="0"/>
            </w:tcBorders>
            <w:vAlign w:val="center"/>
          </w:tcPr>
          <w:p w14:paraId="4ACEEFBD">
            <w:pPr>
              <w:spacing w:line="360" w:lineRule="auto"/>
              <w:jc w:val="center"/>
              <w:rPr>
                <w:rFonts w:hint="eastAsia" w:ascii="宋体" w:hAnsi="宋体"/>
                <w:color w:val="auto"/>
                <w:szCs w:val="21"/>
                <w:highlight w:val="none"/>
              </w:rPr>
            </w:pPr>
          </w:p>
        </w:tc>
        <w:tc>
          <w:tcPr>
            <w:tcW w:w="8344" w:type="dxa"/>
            <w:tcBorders>
              <w:top w:val="single" w:color="auto" w:sz="4" w:space="0"/>
              <w:left w:val="single" w:color="auto" w:sz="4" w:space="0"/>
              <w:bottom w:val="single" w:color="auto" w:sz="4" w:space="0"/>
              <w:right w:val="single" w:color="auto" w:sz="4" w:space="0"/>
            </w:tcBorders>
            <w:vAlign w:val="center"/>
          </w:tcPr>
          <w:p w14:paraId="5B163DD8">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本项目不组织召开开标前答疑会。</w:t>
            </w:r>
          </w:p>
        </w:tc>
      </w:tr>
      <w:tr w14:paraId="3A857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vAlign w:val="center"/>
          </w:tcPr>
          <w:p w14:paraId="6A45FF60">
            <w:pPr>
              <w:spacing w:line="360" w:lineRule="auto"/>
              <w:rPr>
                <w:rFonts w:hint="default" w:ascii="宋体" w:hAnsi="宋体" w:eastAsia="宋体"/>
                <w:color w:val="auto"/>
                <w:szCs w:val="21"/>
                <w:highlight w:val="none"/>
                <w:lang w:val="en-US" w:eastAsia="zh-CN"/>
              </w:rPr>
            </w:pPr>
            <w:r>
              <w:rPr>
                <w:rFonts w:hint="eastAsia" w:ascii="宋体" w:hAnsi="宋体"/>
                <w:color w:val="auto"/>
                <w:szCs w:val="21"/>
                <w:highlight w:val="none"/>
              </w:rPr>
              <w:t>13</w:t>
            </w:r>
            <w:r>
              <w:rPr>
                <w:rFonts w:hint="eastAsia" w:ascii="宋体" w:hAnsi="宋体"/>
                <w:color w:val="auto"/>
                <w:szCs w:val="21"/>
                <w:highlight w:val="none"/>
                <w:lang w:val="en-US" w:eastAsia="zh-CN"/>
              </w:rPr>
              <w:t>.1</w:t>
            </w:r>
          </w:p>
        </w:tc>
        <w:tc>
          <w:tcPr>
            <w:tcW w:w="8344" w:type="dxa"/>
            <w:tcBorders>
              <w:top w:val="single" w:color="auto" w:sz="4" w:space="0"/>
              <w:left w:val="single" w:color="auto" w:sz="4" w:space="0"/>
              <w:bottom w:val="single" w:color="auto" w:sz="4" w:space="0"/>
              <w:right w:val="single" w:color="auto" w:sz="4" w:space="0"/>
            </w:tcBorders>
            <w:vAlign w:val="center"/>
          </w:tcPr>
          <w:p w14:paraId="0476C8DA">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报价文件：</w:t>
            </w:r>
          </w:p>
          <w:p w14:paraId="33BA6F6E">
            <w:pPr>
              <w:tabs>
                <w:tab w:val="left" w:pos="459"/>
              </w:tabs>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p w14:paraId="487A8693">
            <w:pPr>
              <w:tabs>
                <w:tab w:val="left" w:pos="459"/>
              </w:tabs>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2.开标一览表（格式后附）；（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841907F">
            <w:pPr>
              <w:tabs>
                <w:tab w:val="left" w:pos="459"/>
              </w:tabs>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.投标人的《中小企业声明函》或《残疾人福利性单位声明函》或属于监狱企业的证明文件（格式</w:t>
            </w:r>
            <w:r>
              <w:rPr>
                <w:rFonts w:hint="eastAsia" w:ascii="宋体" w:hAnsi="宋体"/>
                <w:color w:val="auto"/>
                <w:szCs w:val="21"/>
                <w:highlight w:val="none"/>
                <w:lang w:val="en-US" w:eastAsia="zh-CN"/>
              </w:rPr>
              <w:t>后附</w:t>
            </w:r>
            <w:r>
              <w:rPr>
                <w:rFonts w:hint="eastAsia" w:ascii="宋体" w:hAnsi="宋体"/>
                <w:color w:val="auto"/>
                <w:szCs w:val="21"/>
                <w:highlight w:val="none"/>
              </w:rPr>
              <w:t>）；</w:t>
            </w:r>
          </w:p>
          <w:p w14:paraId="4225C5FF">
            <w:pPr>
              <w:tabs>
                <w:tab w:val="left" w:pos="459"/>
              </w:tabs>
              <w:snapToGrid w:val="0"/>
              <w:spacing w:line="360" w:lineRule="auto"/>
              <w:ind w:left="42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4.投标人关于符合本国产品标准的声明函、关于符合本国产品成本占比的声明函或财政部会同有关部门规定的有关证明文件等）和说明（格式自拟）；（根据投标人自身情况自行提供，部分格式详见招标文件）</w:t>
            </w:r>
          </w:p>
          <w:p w14:paraId="38577CA9">
            <w:pPr>
              <w:tabs>
                <w:tab w:val="left" w:pos="459"/>
              </w:tabs>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.投标人针对报价需要说明的其他文件和说明（格式自拟）。</w:t>
            </w:r>
          </w:p>
        </w:tc>
      </w:tr>
      <w:tr w14:paraId="0FE38F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1C088D2F">
            <w:pPr>
              <w:spacing w:line="360" w:lineRule="auto"/>
              <w:rPr>
                <w:rFonts w:hint="eastAsia" w:ascii="宋体" w:hAnsi="宋体"/>
                <w:color w:val="auto"/>
                <w:szCs w:val="21"/>
                <w:highlight w:val="none"/>
              </w:rPr>
            </w:pPr>
          </w:p>
        </w:tc>
        <w:tc>
          <w:tcPr>
            <w:tcW w:w="8344" w:type="dxa"/>
            <w:tcBorders>
              <w:top w:val="single" w:color="auto" w:sz="4" w:space="0"/>
              <w:left w:val="single" w:color="auto" w:sz="4" w:space="0"/>
              <w:bottom w:val="single" w:color="auto" w:sz="4" w:space="0"/>
              <w:right w:val="single" w:color="auto" w:sz="4" w:space="0"/>
            </w:tcBorders>
            <w:vAlign w:val="center"/>
          </w:tcPr>
          <w:p w14:paraId="2C1A0DCB">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资格证明文件</w:t>
            </w:r>
          </w:p>
          <w:p w14:paraId="525AC6E5">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Style w:val="31"/>
                <w:color w:val="auto"/>
                <w:sz w:val="21"/>
                <w:szCs w:val="21"/>
                <w:highlight w:val="none"/>
              </w:rPr>
              <w:t>执业许可证</w:t>
            </w:r>
            <w:r>
              <w:rPr>
                <w:rFonts w:hint="eastAsia" w:ascii="宋体" w:hAnsi="宋体" w:cs="宋体"/>
                <w:color w:val="auto"/>
                <w:szCs w:val="21"/>
                <w:highlight w:val="none"/>
              </w:rPr>
              <w:t>或者登记证书等）</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FDA51DE">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s="宋体"/>
                <w:color w:val="auto"/>
                <w:szCs w:val="21"/>
                <w:highlight w:val="none"/>
              </w:rPr>
              <w:t>2.《防城港市政府采购供应商信用承诺函》（格式附后）</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0B2F8F0">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.投标人直接控股信息表（格式后附）；（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1E6967C">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.投标人直接管理关系信息表（格式后附）；（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47C0280">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72B929C">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.除招标文件规定必须提供以外，投标人认为需要提供的其他证明材料。</w:t>
            </w:r>
          </w:p>
          <w:p w14:paraId="5AA2ECB2">
            <w:pPr>
              <w:snapToGrid w:val="0"/>
              <w:spacing w:line="360" w:lineRule="auto"/>
              <w:jc w:val="left"/>
              <w:rPr>
                <w:rFonts w:hint="eastAsia" w:ascii="宋体" w:hAnsi="宋体" w:cs="Courier New"/>
                <w:b/>
                <w:color w:val="auto"/>
                <w:szCs w:val="21"/>
                <w:highlight w:val="none"/>
              </w:rPr>
            </w:pPr>
            <w:r>
              <w:rPr>
                <w:rFonts w:hint="eastAsia" w:ascii="宋体" w:hAnsi="宋体"/>
                <w:b/>
                <w:bCs/>
                <w:color w:val="auto"/>
                <w:szCs w:val="21"/>
                <w:highlight w:val="none"/>
              </w:rPr>
              <w:t>注：1.以上标明“必须提供”的材料属于复印件的，必须加盖投标人电子签章，否则按无效投标</w:t>
            </w:r>
            <w:r>
              <w:rPr>
                <w:rFonts w:hint="eastAsia" w:ascii="宋体" w:hAnsi="宋体" w:cs="Courier New"/>
                <w:b/>
                <w:color w:val="auto"/>
                <w:szCs w:val="21"/>
                <w:highlight w:val="none"/>
              </w:rPr>
              <w:t>处理。</w:t>
            </w:r>
          </w:p>
          <w:p w14:paraId="22B7271D">
            <w:pPr>
              <w:snapToGrid w:val="0"/>
              <w:spacing w:line="360" w:lineRule="auto"/>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2.分公司参加投标的，应当取得总公司授权，</w:t>
            </w:r>
            <w:r>
              <w:rPr>
                <w:rFonts w:hint="eastAsia" w:ascii="宋体" w:hAnsi="宋体"/>
                <w:b/>
                <w:color w:val="auto"/>
                <w:szCs w:val="21"/>
                <w:highlight w:val="none"/>
              </w:rPr>
              <w:t>否则按无效投标处理</w:t>
            </w:r>
            <w:r>
              <w:rPr>
                <w:rFonts w:hint="eastAsia" w:ascii="宋体" w:hAnsi="宋体"/>
                <w:b/>
                <w:bCs/>
                <w:color w:val="auto"/>
                <w:szCs w:val="21"/>
                <w:highlight w:val="none"/>
              </w:rPr>
              <w:t>。</w:t>
            </w:r>
          </w:p>
        </w:tc>
      </w:tr>
      <w:tr w14:paraId="744697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31773C42">
            <w:pPr>
              <w:spacing w:line="360" w:lineRule="auto"/>
              <w:rPr>
                <w:rFonts w:hint="eastAsia" w:ascii="宋体" w:hAnsi="宋体"/>
                <w:color w:val="auto"/>
                <w:szCs w:val="21"/>
                <w:highlight w:val="none"/>
              </w:rPr>
            </w:pPr>
          </w:p>
        </w:tc>
        <w:tc>
          <w:tcPr>
            <w:tcW w:w="8344" w:type="dxa"/>
            <w:tcBorders>
              <w:top w:val="single" w:color="auto" w:sz="4" w:space="0"/>
              <w:left w:val="single" w:color="auto" w:sz="4" w:space="0"/>
              <w:bottom w:val="single" w:color="auto" w:sz="4" w:space="0"/>
              <w:right w:val="single" w:color="auto" w:sz="4" w:space="0"/>
            </w:tcBorders>
            <w:vAlign w:val="center"/>
          </w:tcPr>
          <w:p w14:paraId="35D0C0CB">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商务文件：</w:t>
            </w:r>
          </w:p>
          <w:p w14:paraId="13653018">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386352F">
            <w:pPr>
              <w:snapToGrid w:val="0"/>
              <w:spacing w:line="360" w:lineRule="auto"/>
              <w:ind w:firstLine="420" w:firstLineChars="200"/>
              <w:jc w:val="left"/>
              <w:rPr>
                <w:rFonts w:hint="eastAsia" w:ascii="宋体" w:hAnsi="宋体"/>
                <w:b/>
                <w:bCs/>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投标保证金交纳凭证；</w:t>
            </w:r>
            <w:r>
              <w:rPr>
                <w:rFonts w:hint="eastAsia" w:ascii="宋体" w:hAnsi="宋体"/>
                <w:b/>
                <w:bCs/>
                <w:color w:val="auto"/>
                <w:szCs w:val="21"/>
                <w:highlight w:val="none"/>
              </w:rPr>
              <w:t>（必须提供，否则作无效投标处理）</w:t>
            </w:r>
          </w:p>
          <w:p w14:paraId="3FE29B3B">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.法定代表人身份证明及法定代表人有效身份证正反面复印件（格式后附）；（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47E0144">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.授权委托书及委托代理人有效身份证正反面复印件（格式后附）；（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p w14:paraId="6F5E9D3B">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lang w:val="en-US" w:eastAsia="zh-CN"/>
              </w:rPr>
              <w:t>5</w:t>
            </w:r>
            <w:r>
              <w:rPr>
                <w:rFonts w:ascii="宋体" w:hAnsi="宋体"/>
                <w:color w:val="auto"/>
                <w:szCs w:val="21"/>
                <w:highlight w:val="none"/>
              </w:rPr>
              <w:t>.</w:t>
            </w:r>
            <w:r>
              <w:rPr>
                <w:rFonts w:hint="eastAsia" w:ascii="宋体" w:hAnsi="宋体"/>
                <w:color w:val="auto"/>
                <w:szCs w:val="21"/>
                <w:highlight w:val="none"/>
              </w:rPr>
              <w:t>商务要求偏离表（格式后附）；（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5BF87AB">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.除招标文件规定必须提供以外，投标人认为需要提供的其他证明材料（格式自拟）。（投标人根据“第二章采购需求”及“第四章评标方法及评标标准”提供有关证明材料）。</w:t>
            </w:r>
          </w:p>
          <w:p w14:paraId="02AD4FCD">
            <w:pPr>
              <w:snapToGrid w:val="0"/>
              <w:spacing w:line="360" w:lineRule="auto"/>
              <w:jc w:val="left"/>
              <w:rPr>
                <w:rFonts w:hint="eastAsia" w:ascii="宋体" w:hAnsi="宋体" w:cs="Courier New"/>
                <w:b/>
                <w:color w:val="auto"/>
                <w:szCs w:val="21"/>
                <w:highlight w:val="none"/>
              </w:rPr>
            </w:pPr>
            <w:r>
              <w:rPr>
                <w:rFonts w:hint="eastAsia" w:ascii="宋体" w:hAnsi="宋体"/>
                <w:b/>
                <w:bCs/>
                <w:color w:val="auto"/>
                <w:szCs w:val="21"/>
                <w:highlight w:val="none"/>
              </w:rPr>
              <w:t>注：以上标明“必须提供”的材料属于复印件的，必须加盖投标人电子签章，否则按无效投标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3A2FB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bottom w:val="single" w:color="auto" w:sz="4" w:space="0"/>
              <w:right w:val="single" w:color="auto" w:sz="4" w:space="0"/>
            </w:tcBorders>
            <w:vAlign w:val="center"/>
          </w:tcPr>
          <w:p w14:paraId="225A8426">
            <w:pPr>
              <w:spacing w:line="360" w:lineRule="auto"/>
              <w:rPr>
                <w:rFonts w:hint="eastAsia" w:ascii="宋体" w:hAnsi="宋体"/>
                <w:color w:val="auto"/>
                <w:szCs w:val="21"/>
                <w:highlight w:val="none"/>
              </w:rPr>
            </w:pPr>
          </w:p>
        </w:tc>
        <w:tc>
          <w:tcPr>
            <w:tcW w:w="8344" w:type="dxa"/>
            <w:tcBorders>
              <w:top w:val="single" w:color="auto" w:sz="4" w:space="0"/>
              <w:left w:val="single" w:color="auto" w:sz="4" w:space="0"/>
              <w:bottom w:val="single" w:color="auto" w:sz="4" w:space="0"/>
              <w:right w:val="single" w:color="auto" w:sz="4" w:space="0"/>
            </w:tcBorders>
            <w:vAlign w:val="center"/>
          </w:tcPr>
          <w:p w14:paraId="6493F291">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技术文件：</w:t>
            </w:r>
          </w:p>
          <w:p w14:paraId="6D6D4EC5">
            <w:pPr>
              <w:snapToGrid w:val="0"/>
              <w:spacing w:line="360" w:lineRule="auto"/>
              <w:ind w:left="42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.技术要求偏离表（格式后附）；（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55D23F7">
            <w:pPr>
              <w:snapToGrid w:val="0"/>
              <w:spacing w:line="360" w:lineRule="auto"/>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lang w:val="en-US" w:eastAsia="zh-CN"/>
              </w:rPr>
              <w:t>2</w:t>
            </w:r>
            <w:r>
              <w:rPr>
                <w:rFonts w:ascii="宋体" w:hAnsi="宋体" w:cs="宋体"/>
                <w:color w:val="auto"/>
                <w:kern w:val="0"/>
                <w:szCs w:val="21"/>
                <w:highlight w:val="none"/>
              </w:rPr>
              <w:t>.</w:t>
            </w:r>
            <w:r>
              <w:rPr>
                <w:rFonts w:hint="eastAsia" w:ascii="宋体" w:hAnsi="宋体" w:cs="宋体"/>
                <w:color w:val="auto"/>
                <w:kern w:val="0"/>
                <w:szCs w:val="21"/>
                <w:highlight w:val="none"/>
              </w:rPr>
              <w:t>技术方案</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44EF2C1">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3.项目实施人员一览表；</w:t>
            </w:r>
            <w:r>
              <w:rPr>
                <w:rFonts w:hint="eastAsia" w:ascii="宋体" w:hAnsi="宋体"/>
                <w:b/>
                <w:bCs/>
                <w:color w:val="auto"/>
                <w:szCs w:val="21"/>
                <w:highlight w:val="none"/>
                <w:lang w:val="en-US" w:eastAsia="zh-CN"/>
              </w:rPr>
              <w:t>（必须提供，否则按无效投标处理）</w:t>
            </w:r>
          </w:p>
          <w:p w14:paraId="64813C60">
            <w:pPr>
              <w:snapToGrid w:val="0"/>
              <w:spacing w:line="360" w:lineRule="auto"/>
              <w:ind w:left="420"/>
              <w:jc w:val="left"/>
              <w:rPr>
                <w:rFonts w:hint="eastAsia" w:ascii="宋体" w:hAnsi="宋体"/>
                <w:bCs/>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.除招标文件规定必须提供以外，投标人需要说明的其他文件和说明（格式自拟）。</w:t>
            </w:r>
          </w:p>
          <w:p w14:paraId="59749214">
            <w:pPr>
              <w:snapToGri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注：以上标明“必须提供”的材料属于复印件的，必须加盖投标人电子签章，否则按无效投标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4674A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FDB3BDF">
            <w:pPr>
              <w:spacing w:line="360" w:lineRule="auto"/>
              <w:rPr>
                <w:rFonts w:hint="eastAsia" w:ascii="宋体" w:hAnsi="宋体"/>
                <w:color w:val="auto"/>
                <w:szCs w:val="21"/>
                <w:highlight w:val="none"/>
              </w:rPr>
            </w:pPr>
            <w:r>
              <w:rPr>
                <w:rFonts w:hint="eastAsia" w:ascii="宋体" w:hAnsi="宋体"/>
                <w:color w:val="auto"/>
                <w:szCs w:val="21"/>
                <w:highlight w:val="none"/>
              </w:rPr>
              <w:t>16.2</w:t>
            </w:r>
          </w:p>
        </w:tc>
        <w:tc>
          <w:tcPr>
            <w:tcW w:w="8344" w:type="dxa"/>
            <w:tcBorders>
              <w:top w:val="single" w:color="auto" w:sz="4" w:space="0"/>
              <w:left w:val="single" w:color="auto" w:sz="4" w:space="0"/>
              <w:bottom w:val="single" w:color="auto" w:sz="4" w:space="0"/>
              <w:right w:val="single" w:color="auto" w:sz="4" w:space="0"/>
            </w:tcBorders>
            <w:vAlign w:val="center"/>
          </w:tcPr>
          <w:p w14:paraId="20D5DDF3">
            <w:pPr>
              <w:snapToGrid w:val="0"/>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1.报价要求：</w:t>
            </w:r>
          </w:p>
          <w:p w14:paraId="06FEFE0C">
            <w:pPr>
              <w:tabs>
                <w:tab w:val="left" w:pos="180"/>
                <w:tab w:val="left" w:pos="1620"/>
              </w:tabs>
              <w:spacing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eastAsia="zh-CN"/>
              </w:rPr>
              <w:t>（</w:t>
            </w:r>
            <w:r>
              <w:rPr>
                <w:rFonts w:hint="eastAsia" w:ascii="宋体" w:hAnsi="宋体" w:cs="宋体"/>
                <w:color w:val="auto"/>
                <w:spacing w:val="0"/>
                <w:sz w:val="21"/>
                <w:szCs w:val="21"/>
                <w:highlight w:val="none"/>
                <w:lang w:val="en-US" w:eastAsia="zh-CN"/>
              </w:rPr>
              <w:t>1</w:t>
            </w:r>
            <w:r>
              <w:rPr>
                <w:rFonts w:hint="eastAsia" w:ascii="宋体" w:hAnsi="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总报价不得高于预算价，投标人应充分考虑材料价格、工期定额、资金、拨付、政策性调整等未知风险因素。</w:t>
            </w:r>
          </w:p>
          <w:p w14:paraId="6BC46A48">
            <w:pPr>
              <w:tabs>
                <w:tab w:val="left" w:pos="180"/>
                <w:tab w:val="left" w:pos="1620"/>
              </w:tabs>
              <w:spacing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eastAsia="zh-CN"/>
              </w:rPr>
              <w:t>（</w:t>
            </w:r>
            <w:r>
              <w:rPr>
                <w:rFonts w:hint="eastAsia" w:ascii="宋体" w:hAnsi="宋体" w:cs="宋体"/>
                <w:color w:val="auto"/>
                <w:spacing w:val="0"/>
                <w:sz w:val="21"/>
                <w:szCs w:val="21"/>
                <w:highlight w:val="none"/>
                <w:lang w:val="en-US" w:eastAsia="zh-CN"/>
              </w:rPr>
              <w:t>2</w:t>
            </w:r>
            <w:r>
              <w:rPr>
                <w:rFonts w:hint="eastAsia" w:ascii="宋体" w:hAnsi="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本项目的中标价为</w:t>
            </w:r>
            <w:r>
              <w:rPr>
                <w:rFonts w:hint="eastAsia" w:ascii="宋体" w:hAnsi="宋体" w:cs="宋体"/>
                <w:color w:val="auto"/>
                <w:spacing w:val="0"/>
                <w:sz w:val="21"/>
                <w:szCs w:val="21"/>
                <w:highlight w:val="none"/>
                <w:lang w:val="en-US" w:eastAsia="zh-CN"/>
              </w:rPr>
              <w:t>暂定</w:t>
            </w:r>
            <w:r>
              <w:rPr>
                <w:rFonts w:hint="eastAsia" w:ascii="宋体" w:hAnsi="宋体" w:eastAsia="宋体" w:cs="宋体"/>
                <w:color w:val="auto"/>
                <w:spacing w:val="0"/>
                <w:sz w:val="21"/>
                <w:szCs w:val="21"/>
                <w:highlight w:val="none"/>
                <w:lang w:eastAsia="zh-CN"/>
              </w:rPr>
              <w:t>合同价，必须包含满足本次投标全部采购需求所应提供的服务，以及伴随的货物和工程（如有）的价格；包含投标服务、货物、</w:t>
            </w:r>
            <w:r>
              <w:rPr>
                <w:rFonts w:hint="eastAsia" w:ascii="宋体" w:hAnsi="宋体" w:cs="宋体"/>
                <w:color w:val="auto"/>
                <w:spacing w:val="0"/>
                <w:sz w:val="21"/>
                <w:szCs w:val="21"/>
                <w:highlight w:val="none"/>
                <w:lang w:val="en-US" w:eastAsia="zh-CN"/>
              </w:rPr>
              <w:t>布展策划和施工</w:t>
            </w:r>
            <w:r>
              <w:rPr>
                <w:rFonts w:hint="eastAsia" w:ascii="宋体" w:hAnsi="宋体" w:eastAsia="宋体" w:cs="宋体"/>
                <w:color w:val="auto"/>
                <w:spacing w:val="0"/>
                <w:sz w:val="21"/>
                <w:szCs w:val="21"/>
                <w:highlight w:val="none"/>
                <w:lang w:eastAsia="zh-CN"/>
              </w:rPr>
              <w:t>工程的成本、运输（含保险）、安装（如有）、调试、检验、技术服务、培训、税费等所有费用（采购需求另有约定的，从其约定）。</w:t>
            </w:r>
            <w:r>
              <w:rPr>
                <w:rFonts w:hint="eastAsia" w:ascii="宋体" w:hAnsi="宋体" w:cs="宋体"/>
                <w:color w:val="auto"/>
                <w:spacing w:val="0"/>
                <w:sz w:val="21"/>
                <w:szCs w:val="21"/>
                <w:highlight w:val="none"/>
                <w:lang w:eastAsia="zh-CN"/>
              </w:rPr>
              <w:t>（</w:t>
            </w:r>
            <w:r>
              <w:rPr>
                <w:rFonts w:hint="eastAsia" w:ascii="宋体" w:hAnsi="宋体" w:cs="宋体"/>
                <w:color w:val="auto"/>
                <w:spacing w:val="0"/>
                <w:sz w:val="21"/>
                <w:szCs w:val="21"/>
                <w:highlight w:val="none"/>
                <w:lang w:val="en-US" w:eastAsia="zh-CN"/>
              </w:rPr>
              <w:t>3</w:t>
            </w:r>
            <w:r>
              <w:rPr>
                <w:rFonts w:hint="eastAsia" w:ascii="宋体" w:hAnsi="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投标报价必须含以下部分，包括：</w:t>
            </w:r>
          </w:p>
          <w:p w14:paraId="526E574A">
            <w:pPr>
              <w:tabs>
                <w:tab w:val="left" w:pos="180"/>
                <w:tab w:val="left" w:pos="1620"/>
              </w:tabs>
              <w:spacing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lang w:eastAsia="zh-CN"/>
              </w:rPr>
              <w:t>按照本项目的专业设计、制作、运输、安装、设施软硬件设备、软硬件设备调试、各项管线辅材、劳务和机具机械、安全文明施工费</w:t>
            </w:r>
            <w:r>
              <w:rPr>
                <w:rFonts w:hint="eastAsia" w:ascii="宋体" w:hAnsi="宋体" w:cs="宋体"/>
                <w:color w:val="auto"/>
                <w:spacing w:val="0"/>
                <w:sz w:val="21"/>
                <w:szCs w:val="21"/>
                <w:highlight w:val="none"/>
                <w:lang w:eastAsia="zh-CN"/>
              </w:rPr>
              <w:t>（</w:t>
            </w:r>
            <w:r>
              <w:rPr>
                <w:rFonts w:hint="eastAsia" w:ascii="宋体" w:hAnsi="宋体" w:cs="宋体"/>
                <w:color w:val="auto"/>
                <w:spacing w:val="0"/>
                <w:sz w:val="21"/>
                <w:szCs w:val="21"/>
                <w:highlight w:val="none"/>
                <w:lang w:val="en-US" w:eastAsia="zh-CN"/>
              </w:rPr>
              <w:t>如有</w:t>
            </w:r>
            <w:r>
              <w:rPr>
                <w:rFonts w:hint="eastAsia" w:ascii="宋体" w:hAnsi="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、各项管理费用等费用；</w:t>
            </w:r>
          </w:p>
          <w:p w14:paraId="1D77374A">
            <w:pPr>
              <w:tabs>
                <w:tab w:val="left" w:pos="180"/>
                <w:tab w:val="left" w:pos="1620"/>
              </w:tabs>
              <w:spacing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lang w:eastAsia="zh-CN"/>
              </w:rPr>
              <w:t>素材收集、整理、撰写、策划、制作</w:t>
            </w:r>
            <w:r>
              <w:rPr>
                <w:rFonts w:hint="eastAsia" w:ascii="宋体" w:hAnsi="宋体" w:cs="宋体"/>
                <w:color w:val="auto"/>
                <w:spacing w:val="0"/>
                <w:sz w:val="21"/>
                <w:szCs w:val="21"/>
                <w:highlight w:val="none"/>
                <w:lang w:eastAsia="zh-CN"/>
              </w:rPr>
              <w:t>、</w:t>
            </w:r>
            <w:r>
              <w:rPr>
                <w:rFonts w:hint="eastAsia" w:ascii="宋体" w:hAnsi="宋体" w:cs="宋体"/>
                <w:color w:val="auto"/>
                <w:spacing w:val="0"/>
                <w:sz w:val="21"/>
                <w:szCs w:val="21"/>
                <w:highlight w:val="none"/>
                <w:lang w:val="en-US" w:eastAsia="zh-CN"/>
              </w:rPr>
              <w:t>展陈大纲审核等</w:t>
            </w:r>
            <w:r>
              <w:rPr>
                <w:rFonts w:hint="eastAsia" w:ascii="宋体" w:hAnsi="宋体" w:eastAsia="宋体" w:cs="宋体"/>
                <w:color w:val="auto"/>
                <w:spacing w:val="0"/>
                <w:sz w:val="21"/>
                <w:szCs w:val="21"/>
                <w:highlight w:val="none"/>
                <w:lang w:eastAsia="zh-CN"/>
              </w:rPr>
              <w:t>费用；</w:t>
            </w:r>
          </w:p>
          <w:p w14:paraId="31FC087D">
            <w:pPr>
              <w:tabs>
                <w:tab w:val="left" w:pos="180"/>
                <w:tab w:val="left" w:pos="1620"/>
              </w:tabs>
              <w:spacing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val="en-US" w:eastAsia="zh-CN"/>
              </w:rPr>
              <w:t>3）项目竣工验收并交付使用后</w:t>
            </w:r>
            <w:r>
              <w:rPr>
                <w:rFonts w:hint="eastAsia" w:ascii="宋体" w:hAnsi="宋体" w:eastAsia="宋体" w:cs="宋体"/>
                <w:color w:val="auto"/>
                <w:spacing w:val="0"/>
                <w:sz w:val="21"/>
                <w:szCs w:val="21"/>
                <w:highlight w:val="none"/>
                <w:lang w:eastAsia="zh-CN"/>
              </w:rPr>
              <w:t>3年内的免费维护、维修、保养；</w:t>
            </w:r>
          </w:p>
          <w:p w14:paraId="6119B572">
            <w:pPr>
              <w:tabs>
                <w:tab w:val="left" w:pos="180"/>
                <w:tab w:val="left" w:pos="1620"/>
              </w:tabs>
              <w:spacing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val="en-US" w:eastAsia="zh-CN"/>
              </w:rPr>
              <w:t>4）</w:t>
            </w:r>
            <w:r>
              <w:rPr>
                <w:rFonts w:hint="eastAsia" w:ascii="宋体" w:hAnsi="宋体" w:eastAsia="宋体" w:cs="宋体"/>
                <w:color w:val="auto"/>
                <w:spacing w:val="0"/>
                <w:sz w:val="21"/>
                <w:szCs w:val="21"/>
                <w:highlight w:val="none"/>
                <w:lang w:eastAsia="zh-CN"/>
              </w:rPr>
              <w:t>必要的保险费用和各项税金；</w:t>
            </w:r>
          </w:p>
          <w:p w14:paraId="11CA1B02">
            <w:pPr>
              <w:tabs>
                <w:tab w:val="left" w:pos="180"/>
                <w:tab w:val="left" w:pos="1620"/>
              </w:tabs>
              <w:spacing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lang w:eastAsia="zh-CN"/>
              </w:rPr>
              <w:t>合理的进场施工配合费（含</w:t>
            </w:r>
            <w:r>
              <w:rPr>
                <w:rFonts w:hint="eastAsia" w:ascii="宋体" w:hAnsi="宋体" w:cs="宋体"/>
                <w:color w:val="auto"/>
                <w:spacing w:val="0"/>
                <w:sz w:val="21"/>
                <w:szCs w:val="21"/>
                <w:highlight w:val="none"/>
                <w:lang w:val="en-US" w:eastAsia="zh-CN"/>
              </w:rPr>
              <w:t>施工电费</w:t>
            </w:r>
            <w:r>
              <w:rPr>
                <w:rFonts w:hint="eastAsia" w:ascii="宋体" w:hAnsi="宋体" w:eastAsia="宋体" w:cs="宋体"/>
                <w:color w:val="auto"/>
                <w:spacing w:val="0"/>
                <w:sz w:val="21"/>
                <w:szCs w:val="21"/>
                <w:highlight w:val="none"/>
                <w:lang w:eastAsia="zh-CN"/>
              </w:rPr>
              <w:t>）；</w:t>
            </w:r>
          </w:p>
          <w:p w14:paraId="7D899012">
            <w:pPr>
              <w:tabs>
                <w:tab w:val="left" w:pos="180"/>
                <w:tab w:val="left" w:pos="1620"/>
              </w:tabs>
              <w:spacing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val="en-US" w:eastAsia="zh-CN"/>
              </w:rPr>
              <w:t>6）</w:t>
            </w:r>
            <w:r>
              <w:rPr>
                <w:rFonts w:hint="eastAsia" w:ascii="宋体" w:hAnsi="宋体" w:eastAsia="宋体" w:cs="宋体"/>
                <w:color w:val="auto"/>
                <w:spacing w:val="0"/>
                <w:sz w:val="21"/>
                <w:szCs w:val="21"/>
                <w:highlight w:val="none"/>
                <w:lang w:eastAsia="zh-CN"/>
              </w:rPr>
              <w:t>为验收所需的检测费；</w:t>
            </w:r>
          </w:p>
          <w:p w14:paraId="4B6DA398">
            <w:pPr>
              <w:snapToGrid w:val="0"/>
              <w:spacing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val="en-US" w:eastAsia="zh-CN"/>
              </w:rPr>
              <w:t>7）</w:t>
            </w:r>
            <w:r>
              <w:rPr>
                <w:rFonts w:hint="eastAsia" w:ascii="宋体" w:hAnsi="宋体" w:eastAsia="宋体" w:cs="宋体"/>
                <w:color w:val="auto"/>
                <w:spacing w:val="0"/>
                <w:sz w:val="21"/>
                <w:szCs w:val="21"/>
                <w:highlight w:val="none"/>
                <w:lang w:eastAsia="zh-CN"/>
              </w:rPr>
              <w:t>其他完成项目所需的费用总和。</w:t>
            </w:r>
          </w:p>
          <w:p w14:paraId="5DDEB8FD">
            <w:pPr>
              <w:snapToGrid w:val="0"/>
              <w:spacing w:line="360" w:lineRule="auto"/>
              <w:ind w:firstLine="0" w:firstLineChars="0"/>
              <w:rPr>
                <w:rFonts w:hint="eastAsia" w:ascii="宋体" w:hAnsi="宋体"/>
                <w:color w:val="auto"/>
                <w:szCs w:val="21"/>
                <w:highlight w:val="none"/>
              </w:rPr>
            </w:pPr>
            <w:r>
              <w:rPr>
                <w:rFonts w:hint="eastAsia" w:ascii="Times New Roman" w:hAnsi="Times New Roman"/>
                <w:color w:val="auto"/>
                <w:sz w:val="21"/>
                <w:szCs w:val="21"/>
                <w:highlight w:val="none"/>
              </w:rPr>
              <w:t>2.为了确保采购质量和维护公平的竞争，根据《中华人民共和国政府采购法》第七十七条和《中华人民共和国反不正当竞争法》第十一条，经营者不得以排挤对手为目的，以低于成本的价格销售商品（服务）。采购人不能接受投标人的恶意低价的竞争。投标人的报价出现《财政部关于推动解决政府采购异常低价问题的通知》（财库〔2026〕2 号）规定的异常低价情形（具体详见招标文件第四章评标方法及评标标准二、评标程序 6.异常低价审查），有可能影响服务质量或者不能诚信履约的，其应当在评标现场合理时间内（不少于 30 分钟）对报价作出解释，提供项目具体成本测算等与报价合理性相关的书面说明及必要证明材料；投标人不能提供相关说明、证明材料，或提供的材料无法证明其报价合理性的，评标委员会将其作为无效投标处理。</w:t>
            </w:r>
          </w:p>
        </w:tc>
      </w:tr>
      <w:tr w14:paraId="73E0E2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7BD2C01">
            <w:pPr>
              <w:spacing w:line="360" w:lineRule="auto"/>
              <w:rPr>
                <w:rFonts w:hint="eastAsia" w:ascii="宋体" w:hAnsi="宋体"/>
                <w:color w:val="auto"/>
                <w:szCs w:val="21"/>
                <w:highlight w:val="none"/>
              </w:rPr>
            </w:pPr>
            <w:r>
              <w:rPr>
                <w:rFonts w:hint="eastAsia" w:ascii="宋体" w:hAnsi="宋体"/>
                <w:color w:val="auto"/>
                <w:szCs w:val="21"/>
                <w:highlight w:val="none"/>
              </w:rPr>
              <w:t>17.</w:t>
            </w:r>
            <w:r>
              <w:rPr>
                <w:rFonts w:ascii="宋体" w:hAnsi="宋体"/>
                <w:color w:val="auto"/>
                <w:szCs w:val="21"/>
                <w:highlight w:val="none"/>
              </w:rPr>
              <w:t>2</w:t>
            </w:r>
          </w:p>
        </w:tc>
        <w:tc>
          <w:tcPr>
            <w:tcW w:w="8344" w:type="dxa"/>
            <w:tcBorders>
              <w:top w:val="single" w:color="auto" w:sz="4" w:space="0"/>
              <w:left w:val="single" w:color="auto" w:sz="4" w:space="0"/>
              <w:bottom w:val="single" w:color="auto" w:sz="4" w:space="0"/>
              <w:right w:val="single" w:color="auto" w:sz="4" w:space="0"/>
            </w:tcBorders>
            <w:vAlign w:val="center"/>
          </w:tcPr>
          <w:p w14:paraId="48822295">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投标有效期：自投标截止之日起</w:t>
            </w:r>
            <w:r>
              <w:rPr>
                <w:rFonts w:hint="eastAsia" w:ascii="宋体" w:hAnsi="宋体"/>
                <w:color w:val="auto"/>
                <w:szCs w:val="21"/>
                <w:highlight w:val="none"/>
                <w:u w:val="single"/>
              </w:rPr>
              <w:t>90</w:t>
            </w:r>
            <w:r>
              <w:rPr>
                <w:rFonts w:hint="eastAsia" w:ascii="宋体" w:hAnsi="宋体"/>
                <w:color w:val="auto"/>
                <w:szCs w:val="21"/>
                <w:highlight w:val="none"/>
              </w:rPr>
              <w:t>日。</w:t>
            </w:r>
          </w:p>
        </w:tc>
      </w:tr>
      <w:tr w14:paraId="5FC944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6A29770">
            <w:pPr>
              <w:spacing w:line="360" w:lineRule="auto"/>
              <w:rPr>
                <w:rFonts w:hint="eastAsia" w:ascii="宋体" w:hAnsi="宋体"/>
                <w:color w:val="auto"/>
                <w:szCs w:val="21"/>
                <w:highlight w:val="none"/>
              </w:rPr>
            </w:pPr>
            <w:r>
              <w:rPr>
                <w:rFonts w:hint="eastAsia" w:ascii="宋体" w:hAnsi="宋体"/>
                <w:color w:val="auto"/>
                <w:szCs w:val="21"/>
                <w:highlight w:val="none"/>
              </w:rPr>
              <w:t>18</w:t>
            </w:r>
            <w:r>
              <w:rPr>
                <w:rFonts w:ascii="宋体" w:hAnsi="宋体"/>
                <w:color w:val="auto"/>
                <w:szCs w:val="21"/>
                <w:highlight w:val="none"/>
              </w:rPr>
              <w:t>.1</w:t>
            </w:r>
          </w:p>
        </w:tc>
        <w:tc>
          <w:tcPr>
            <w:tcW w:w="8344" w:type="dxa"/>
            <w:tcBorders>
              <w:top w:val="single" w:color="auto" w:sz="4" w:space="0"/>
              <w:left w:val="single" w:color="auto" w:sz="4" w:space="0"/>
              <w:bottom w:val="single" w:color="auto" w:sz="4" w:space="0"/>
              <w:right w:val="single" w:color="auto" w:sz="4" w:space="0"/>
            </w:tcBorders>
            <w:vAlign w:val="center"/>
          </w:tcPr>
          <w:p w14:paraId="04E58932">
            <w:pPr>
              <w:spacing w:line="360" w:lineRule="auto"/>
              <w:contextualSpacing/>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本项目不收取投标保证金。</w:t>
            </w:r>
          </w:p>
          <w:p w14:paraId="28E2610A">
            <w:pPr>
              <w:spacing w:line="360" w:lineRule="auto"/>
              <w:contextualSpacing/>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本项目收取投标保证金，具体规定如下：</w:t>
            </w:r>
          </w:p>
          <w:p w14:paraId="59220C2F">
            <w:pPr>
              <w:spacing w:line="360" w:lineRule="auto"/>
              <w:contextualSpacing/>
              <w:rPr>
                <w:rFonts w:hint="eastAsia" w:ascii="宋体" w:hAnsi="宋体"/>
                <w:color w:val="auto"/>
                <w:szCs w:val="21"/>
                <w:highlight w:val="none"/>
              </w:rPr>
            </w:pPr>
            <w:r>
              <w:rPr>
                <w:rFonts w:hint="eastAsia" w:ascii="宋体" w:hAnsi="宋体"/>
                <w:color w:val="auto"/>
                <w:szCs w:val="21"/>
                <w:highlight w:val="none"/>
              </w:rPr>
              <w:t>投标保证金人民币：肆万贰仟元整（42000.00元）。</w:t>
            </w:r>
          </w:p>
          <w:p w14:paraId="4EA40830">
            <w:pPr>
              <w:spacing w:line="360" w:lineRule="auto"/>
              <w:contextualSpacing/>
              <w:rPr>
                <w:rFonts w:hint="eastAsia" w:ascii="宋体" w:hAnsi="宋体"/>
                <w:color w:val="auto"/>
                <w:szCs w:val="21"/>
                <w:highlight w:val="none"/>
              </w:rPr>
            </w:pPr>
            <w:r>
              <w:rPr>
                <w:rFonts w:hint="eastAsia" w:ascii="宋体" w:hAnsi="宋体"/>
                <w:color w:val="auto"/>
                <w:szCs w:val="21"/>
                <w:highlight w:val="none"/>
              </w:rPr>
              <w:t>投标保证金的交纳方式：银行转账、支票、汇票、本票或者银行、保险机构出具的保函（包含电子保函），禁止采用现钞方式。采用银行转账方式的，在投标文件提交截止时间前从投标人账户交至指定账户并且到账（开户名称：</w:t>
            </w:r>
            <w:r>
              <w:rPr>
                <w:rFonts w:hint="eastAsia" w:ascii="宋体" w:hAnsi="宋体"/>
                <w:color w:val="auto"/>
                <w:szCs w:val="21"/>
                <w:highlight w:val="none"/>
                <w:lang w:eastAsia="zh-CN"/>
              </w:rPr>
              <w:t>广西国栋招标有限公司</w:t>
            </w:r>
            <w:r>
              <w:rPr>
                <w:rFonts w:hint="eastAsia" w:ascii="宋体" w:hAnsi="宋体"/>
                <w:color w:val="auto"/>
                <w:szCs w:val="21"/>
                <w:highlight w:val="none"/>
              </w:rPr>
              <w:t>，开户银行：</w:t>
            </w:r>
            <w:r>
              <w:rPr>
                <w:rFonts w:hint="eastAsia" w:ascii="宋体" w:hAnsi="宋体"/>
                <w:color w:val="auto"/>
                <w:szCs w:val="21"/>
                <w:highlight w:val="none"/>
                <w:lang w:eastAsia="zh-CN"/>
              </w:rPr>
              <w:t>平安银行南宁分行营业部</w:t>
            </w:r>
            <w:r>
              <w:rPr>
                <w:rFonts w:hint="eastAsia" w:ascii="宋体" w:hAnsi="宋体"/>
                <w:color w:val="auto"/>
                <w:szCs w:val="21"/>
                <w:highlight w:val="none"/>
              </w:rPr>
              <w:t>，银行账号：</w:t>
            </w:r>
            <w:r>
              <w:rPr>
                <w:rFonts w:hint="eastAsia" w:ascii="宋体" w:hAnsi="宋体"/>
                <w:color w:val="auto"/>
                <w:szCs w:val="21"/>
                <w:highlight w:val="none"/>
                <w:lang w:eastAsia="zh-CN"/>
              </w:rPr>
              <w:t>15333566666608</w:t>
            </w:r>
            <w:r>
              <w:rPr>
                <w:rFonts w:hint="eastAsia" w:ascii="宋体" w:hAnsi="宋体"/>
                <w:color w:val="auto"/>
                <w:szCs w:val="21"/>
                <w:highlight w:val="none"/>
              </w:rPr>
              <w:t>）；采用支票、汇票、本票或者保函等方式的，在投标文件提交截止时间前，投标人必须递交单独密封的支票、汇票、本票或者保函原件。</w:t>
            </w:r>
            <w:r>
              <w:rPr>
                <w:rFonts w:hint="eastAsia" w:ascii="宋体" w:hAnsi="宋体"/>
                <w:b/>
                <w:bCs/>
                <w:color w:val="auto"/>
                <w:szCs w:val="21"/>
                <w:highlight w:val="none"/>
              </w:rPr>
              <w:t>否则视为无效投标保证金</w:t>
            </w:r>
            <w:r>
              <w:rPr>
                <w:rFonts w:hint="eastAsia" w:ascii="宋体" w:hAnsi="宋体"/>
                <w:color w:val="auto"/>
                <w:szCs w:val="21"/>
                <w:highlight w:val="none"/>
              </w:rPr>
              <w:t>。</w:t>
            </w:r>
          </w:p>
          <w:p w14:paraId="7C53E6CD">
            <w:pPr>
              <w:spacing w:line="360" w:lineRule="auto"/>
              <w:contextualSpacing/>
              <w:rPr>
                <w:rFonts w:hint="eastAsia" w:ascii="宋体" w:hAnsi="宋体"/>
                <w:color w:val="auto"/>
                <w:szCs w:val="21"/>
                <w:highlight w:val="none"/>
              </w:rPr>
            </w:pPr>
            <w:r>
              <w:rPr>
                <w:rFonts w:hint="eastAsia" w:ascii="宋体" w:hAnsi="宋体"/>
                <w:color w:val="auto"/>
                <w:szCs w:val="21"/>
                <w:highlight w:val="none"/>
              </w:rPr>
              <w:t>相关要求：</w:t>
            </w:r>
          </w:p>
          <w:p w14:paraId="25902A0C">
            <w:pPr>
              <w:spacing w:line="360" w:lineRule="auto"/>
              <w:contextualSpacing/>
              <w:rPr>
                <w:rFonts w:hint="eastAsia" w:ascii="宋体" w:hAnsi="宋体"/>
                <w:color w:val="auto"/>
                <w:szCs w:val="21"/>
                <w:highlight w:val="none"/>
              </w:rPr>
            </w:pPr>
            <w:r>
              <w:rPr>
                <w:rFonts w:hint="eastAsia" w:ascii="宋体" w:hAnsi="宋体"/>
                <w:color w:val="auto"/>
                <w:szCs w:val="21"/>
                <w:highlight w:val="none"/>
              </w:rPr>
              <w:t>1.投标保证金采用银行转账交纳方式，在投标文件提交截止时间前交至指定账户并且到账，投标人应将银行转账底单的复印件作为投标保证金提交凭证，放置于商务文件中，</w:t>
            </w:r>
            <w:r>
              <w:rPr>
                <w:rFonts w:hint="eastAsia" w:ascii="宋体" w:hAnsi="宋体"/>
                <w:b/>
                <w:bCs/>
                <w:color w:val="auto"/>
                <w:szCs w:val="21"/>
                <w:highlight w:val="none"/>
              </w:rPr>
              <w:t>否则投标无效</w:t>
            </w:r>
            <w:r>
              <w:rPr>
                <w:rFonts w:hint="eastAsia" w:ascii="宋体" w:hAnsi="宋体"/>
                <w:color w:val="auto"/>
                <w:szCs w:val="21"/>
                <w:highlight w:val="none"/>
              </w:rPr>
              <w:t>。</w:t>
            </w:r>
          </w:p>
          <w:p w14:paraId="0A8B3AAE">
            <w:pPr>
              <w:spacing w:line="360" w:lineRule="auto"/>
              <w:contextualSpacing/>
              <w:rPr>
                <w:rFonts w:hint="eastAsia" w:ascii="宋体" w:hAnsi="宋体"/>
                <w:color w:val="auto"/>
                <w:szCs w:val="21"/>
                <w:highlight w:val="none"/>
              </w:rPr>
            </w:pPr>
            <w:r>
              <w:rPr>
                <w:rFonts w:hint="eastAsia" w:ascii="宋体" w:hAnsi="宋体"/>
                <w:color w:val="auto"/>
                <w:szCs w:val="21"/>
                <w:highlight w:val="none"/>
              </w:rPr>
              <w:t>2.投标保证金采用支票、汇票、本票或者银行、保险机构出具的保函（包含电子保函）交纳方式的，投标人应将支票、汇票、本票或者银行、保险机构出具的保函（包含电子保函）的复印件作为投标保证金提交凭证，放置于商务文件中，</w:t>
            </w:r>
            <w:r>
              <w:rPr>
                <w:rFonts w:hint="eastAsia" w:ascii="宋体" w:hAnsi="宋体"/>
                <w:b/>
                <w:bCs/>
                <w:color w:val="auto"/>
                <w:szCs w:val="21"/>
                <w:highlight w:val="none"/>
              </w:rPr>
              <w:t>否则投标无效</w:t>
            </w:r>
            <w:r>
              <w:rPr>
                <w:rFonts w:hint="eastAsia" w:ascii="宋体" w:hAnsi="宋体"/>
                <w:color w:val="auto"/>
                <w:szCs w:val="21"/>
                <w:highlight w:val="none"/>
              </w:rPr>
              <w:t>。</w:t>
            </w:r>
          </w:p>
          <w:p w14:paraId="2F7A1D61">
            <w:pPr>
              <w:spacing w:line="360" w:lineRule="auto"/>
              <w:contextualSpacing/>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.投标人为联合体的，可以由联合体中的一方或者多方共同交纳投标保证金，其交纳的保证金对联合体各方均具有约束力。</w:t>
            </w:r>
          </w:p>
          <w:p w14:paraId="5C930D41">
            <w:pPr>
              <w:spacing w:line="360" w:lineRule="auto"/>
              <w:contextualSpacing/>
              <w:rPr>
                <w:rFonts w:hint="eastAsia" w:ascii="宋体" w:hAnsi="宋体"/>
                <w:b/>
                <w:bCs/>
                <w:color w:val="auto"/>
                <w:szCs w:val="21"/>
                <w:highlight w:val="none"/>
              </w:rPr>
            </w:pPr>
            <w:r>
              <w:rPr>
                <w:rFonts w:hint="eastAsia" w:ascii="宋体" w:hAnsi="宋体"/>
                <w:b/>
                <w:bCs/>
                <w:color w:val="auto"/>
                <w:szCs w:val="21"/>
                <w:highlight w:val="none"/>
              </w:rPr>
              <w:t>备注：</w:t>
            </w:r>
          </w:p>
          <w:p w14:paraId="3C78E701">
            <w:pPr>
              <w:spacing w:line="360" w:lineRule="auto"/>
              <w:contextualSpacing/>
              <w:rPr>
                <w:rFonts w:hint="eastAsia" w:ascii="宋体" w:hAnsi="宋体"/>
                <w:b/>
                <w:bCs/>
                <w:color w:val="auto"/>
                <w:szCs w:val="21"/>
                <w:highlight w:val="none"/>
              </w:rPr>
            </w:pPr>
            <w:r>
              <w:rPr>
                <w:rFonts w:hint="eastAsia" w:ascii="宋体" w:hAnsi="宋体"/>
                <w:b/>
                <w:bCs/>
                <w:color w:val="auto"/>
                <w:szCs w:val="21"/>
                <w:highlight w:val="none"/>
              </w:rPr>
              <w:t>1.投标保证金在投标文件提交截止时间后提交的，或者不按规定交纳方式交纳的，或者未足额交纳的（包含保函额度不足的），视为无效投标保证金。</w:t>
            </w:r>
          </w:p>
          <w:p w14:paraId="5F6EE7C3">
            <w:pPr>
              <w:spacing w:line="360" w:lineRule="auto"/>
              <w:contextualSpacing/>
              <w:rPr>
                <w:rFonts w:hint="eastAsia" w:ascii="宋体" w:hAnsi="宋体"/>
                <w:b/>
                <w:bCs/>
                <w:color w:val="auto"/>
                <w:szCs w:val="21"/>
                <w:highlight w:val="none"/>
              </w:rPr>
            </w:pPr>
            <w:r>
              <w:rPr>
                <w:rFonts w:hint="eastAsia" w:ascii="宋体" w:hAnsi="宋体"/>
                <w:b/>
                <w:bCs/>
                <w:color w:val="auto"/>
                <w:szCs w:val="21"/>
                <w:highlight w:val="none"/>
              </w:rPr>
              <w:t>2.投标人采用现钞方式或者从个人账户（自然人投标除外）转出的投标保证金，视为无效竞标保证金。</w:t>
            </w:r>
          </w:p>
          <w:p w14:paraId="609BC6C6">
            <w:pPr>
              <w:spacing w:line="360" w:lineRule="auto"/>
              <w:contextualSpacing/>
              <w:rPr>
                <w:rFonts w:hint="eastAsia" w:ascii="宋体" w:hAnsi="宋体"/>
                <w:b/>
                <w:bCs/>
                <w:color w:val="auto"/>
                <w:szCs w:val="21"/>
                <w:highlight w:val="none"/>
              </w:rPr>
            </w:pPr>
            <w:r>
              <w:rPr>
                <w:rFonts w:hint="eastAsia" w:ascii="宋体" w:hAnsi="宋体"/>
                <w:b/>
                <w:bCs/>
                <w:color w:val="auto"/>
                <w:szCs w:val="21"/>
                <w:highlight w:val="none"/>
              </w:rPr>
              <w:t>3.支票、汇票或者本票出现无效或者背书情形的，视为无效投标保证金。</w:t>
            </w:r>
          </w:p>
          <w:p w14:paraId="6CE329E4">
            <w:pPr>
              <w:spacing w:line="360" w:lineRule="auto"/>
              <w:contextualSpacing/>
              <w:rPr>
                <w:rFonts w:hint="eastAsia" w:ascii="宋体" w:hAnsi="宋体"/>
                <w:b/>
                <w:bCs/>
                <w:color w:val="auto"/>
                <w:szCs w:val="21"/>
                <w:highlight w:val="none"/>
              </w:rPr>
            </w:pPr>
            <w:r>
              <w:rPr>
                <w:rFonts w:hint="eastAsia" w:ascii="宋体" w:hAnsi="宋体"/>
                <w:b/>
                <w:bCs/>
                <w:color w:val="auto"/>
                <w:szCs w:val="21"/>
                <w:highlight w:val="none"/>
              </w:rPr>
              <w:t>4.保函有效期低于投标有效期的，视为无效投标保证金。</w:t>
            </w:r>
          </w:p>
          <w:p w14:paraId="54C5863D">
            <w:pPr>
              <w:spacing w:line="360" w:lineRule="auto"/>
              <w:contextualSpacing/>
              <w:rPr>
                <w:rFonts w:hint="eastAsia" w:ascii="宋体" w:hAnsi="宋体"/>
                <w:b/>
                <w:color w:val="auto"/>
                <w:szCs w:val="21"/>
                <w:highlight w:val="none"/>
              </w:rPr>
            </w:pPr>
            <w:r>
              <w:rPr>
                <w:rFonts w:hint="eastAsia" w:ascii="宋体" w:hAnsi="宋体"/>
                <w:b/>
                <w:bCs/>
                <w:color w:val="auto"/>
                <w:szCs w:val="21"/>
                <w:highlight w:val="none"/>
                <w:lang w:eastAsia="en-US"/>
              </w:rPr>
              <w:t>5.采用银行、保险机构出具保函的，必须为无条件保函，否则视为无效投标保证金。</w:t>
            </w:r>
          </w:p>
        </w:tc>
      </w:tr>
      <w:tr w14:paraId="7D7C9C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vAlign w:val="center"/>
          </w:tcPr>
          <w:p w14:paraId="35E5925A">
            <w:pPr>
              <w:spacing w:line="360" w:lineRule="auto"/>
              <w:jc w:val="center"/>
              <w:rPr>
                <w:rFonts w:hint="eastAsia" w:ascii="宋体" w:hAnsi="宋体"/>
                <w:color w:val="auto"/>
                <w:szCs w:val="21"/>
                <w:highlight w:val="none"/>
              </w:rPr>
            </w:pPr>
            <w:r>
              <w:rPr>
                <w:rFonts w:hint="eastAsia" w:ascii="宋体" w:hAnsi="宋体"/>
                <w:color w:val="auto"/>
                <w:szCs w:val="21"/>
                <w:highlight w:val="none"/>
              </w:rPr>
              <w:t>20</w:t>
            </w:r>
          </w:p>
        </w:tc>
        <w:tc>
          <w:tcPr>
            <w:tcW w:w="8344" w:type="dxa"/>
            <w:tcBorders>
              <w:top w:val="single" w:color="auto" w:sz="4" w:space="0"/>
              <w:left w:val="single" w:color="auto" w:sz="4" w:space="0"/>
              <w:bottom w:val="single" w:color="auto" w:sz="4" w:space="0"/>
              <w:right w:val="single" w:color="auto" w:sz="4" w:space="0"/>
            </w:tcBorders>
            <w:vAlign w:val="center"/>
          </w:tcPr>
          <w:p w14:paraId="333FDD8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备份投标文件</w:t>
            </w:r>
          </w:p>
          <w:p w14:paraId="168C0815">
            <w:pPr>
              <w:spacing w:line="360" w:lineRule="auto"/>
              <w:rPr>
                <w:rFonts w:hint="eastAsia" w:ascii="宋体" w:hAnsi="宋体" w:eastAsia="宋体" w:cs="Times New Roman"/>
                <w:b/>
                <w:color w:val="auto"/>
                <w:szCs w:val="21"/>
                <w:highlight w:val="none"/>
                <w:u w:val="none"/>
              </w:rPr>
            </w:pPr>
            <w:r>
              <w:rPr>
                <w:rFonts w:hint="eastAsia" w:ascii="宋体" w:hAnsi="宋体" w:eastAsia="宋体" w:cs="Times New Roman"/>
                <w:b/>
                <w:color w:val="auto"/>
                <w:szCs w:val="21"/>
                <w:highlight w:val="none"/>
                <w:u w:val="none"/>
              </w:rPr>
              <w:t>特别说明：因项目存档需要，须按以下要求提供纸质</w:t>
            </w:r>
            <w:r>
              <w:rPr>
                <w:rFonts w:hint="eastAsia" w:ascii="宋体" w:hAnsi="宋体" w:eastAsia="宋体" w:cs="Times New Roman"/>
                <w:b/>
                <w:color w:val="auto"/>
                <w:szCs w:val="21"/>
                <w:highlight w:val="none"/>
                <w:u w:val="none"/>
                <w:lang w:eastAsia="zh-CN"/>
              </w:rPr>
              <w:t>投</w:t>
            </w:r>
            <w:r>
              <w:rPr>
                <w:rFonts w:hint="eastAsia" w:ascii="宋体" w:hAnsi="宋体" w:eastAsia="宋体" w:cs="Times New Roman"/>
                <w:b/>
                <w:color w:val="auto"/>
                <w:szCs w:val="21"/>
                <w:highlight w:val="none"/>
                <w:u w:val="none"/>
              </w:rPr>
              <w:t>标文件：（1）</w:t>
            </w:r>
            <w:r>
              <w:rPr>
                <w:rFonts w:hint="eastAsia" w:ascii="宋体" w:hAnsi="宋体" w:eastAsia="宋体" w:cs="Times New Roman"/>
                <w:b/>
                <w:color w:val="auto"/>
                <w:szCs w:val="21"/>
                <w:highlight w:val="none"/>
                <w:u w:val="none"/>
                <w:lang w:eastAsia="zh-CN"/>
              </w:rPr>
              <w:t>中标</w:t>
            </w:r>
            <w:r>
              <w:rPr>
                <w:rFonts w:hint="eastAsia" w:ascii="宋体" w:hAnsi="宋体" w:eastAsia="宋体" w:cs="Times New Roman"/>
                <w:b/>
                <w:color w:val="auto"/>
                <w:szCs w:val="21"/>
                <w:highlight w:val="none"/>
                <w:u w:val="none"/>
              </w:rPr>
              <w:t>供应商在</w:t>
            </w:r>
            <w:r>
              <w:rPr>
                <w:rFonts w:hint="eastAsia" w:ascii="宋体" w:hAnsi="宋体" w:eastAsia="宋体" w:cs="Times New Roman"/>
                <w:b/>
                <w:color w:val="auto"/>
                <w:szCs w:val="21"/>
                <w:highlight w:val="none"/>
                <w:u w:val="none"/>
                <w:lang w:val="en-US" w:eastAsia="zh-CN"/>
              </w:rPr>
              <w:t>领取</w:t>
            </w:r>
            <w:r>
              <w:rPr>
                <w:rFonts w:hint="eastAsia" w:ascii="宋体" w:hAnsi="宋体" w:eastAsia="宋体" w:cs="Times New Roman"/>
                <w:b/>
                <w:color w:val="auto"/>
                <w:szCs w:val="21"/>
                <w:highlight w:val="none"/>
                <w:u w:val="none"/>
                <w:lang w:eastAsia="zh-CN"/>
              </w:rPr>
              <w:t>中标</w:t>
            </w:r>
            <w:r>
              <w:rPr>
                <w:rFonts w:hint="eastAsia" w:ascii="宋体" w:hAnsi="宋体" w:eastAsia="宋体" w:cs="Times New Roman"/>
                <w:b/>
                <w:color w:val="auto"/>
                <w:szCs w:val="21"/>
                <w:highlight w:val="none"/>
                <w:u w:val="none"/>
              </w:rPr>
              <w:t>通知书</w:t>
            </w:r>
            <w:r>
              <w:rPr>
                <w:rFonts w:hint="eastAsia" w:ascii="宋体" w:hAnsi="宋体" w:eastAsia="宋体" w:cs="Times New Roman"/>
                <w:b/>
                <w:color w:val="auto"/>
                <w:szCs w:val="21"/>
                <w:highlight w:val="none"/>
                <w:u w:val="none"/>
                <w:lang w:val="en-US" w:eastAsia="zh-CN"/>
              </w:rPr>
              <w:t>前</w:t>
            </w:r>
            <w:r>
              <w:rPr>
                <w:rFonts w:hint="eastAsia" w:ascii="宋体" w:hAnsi="宋体" w:eastAsia="宋体" w:cs="Times New Roman"/>
                <w:b/>
                <w:color w:val="auto"/>
                <w:szCs w:val="21"/>
                <w:highlight w:val="none"/>
                <w:u w:val="none"/>
              </w:rPr>
              <w:t>须提交</w:t>
            </w:r>
            <w:r>
              <w:rPr>
                <w:rFonts w:hint="eastAsia" w:ascii="宋体" w:hAnsi="宋体" w:eastAsia="宋体" w:cs="Times New Roman"/>
                <w:b/>
                <w:color w:val="auto"/>
                <w:szCs w:val="21"/>
                <w:highlight w:val="none"/>
                <w:u w:val="none"/>
                <w:lang w:val="en-US" w:eastAsia="zh-CN"/>
              </w:rPr>
              <w:t>3</w:t>
            </w:r>
            <w:r>
              <w:rPr>
                <w:rFonts w:hint="eastAsia" w:ascii="宋体" w:hAnsi="宋体" w:eastAsia="宋体" w:cs="Times New Roman"/>
                <w:b/>
                <w:color w:val="auto"/>
                <w:szCs w:val="21"/>
                <w:highlight w:val="none"/>
                <w:u w:val="none"/>
              </w:rPr>
              <w:t>套纸质版</w:t>
            </w:r>
            <w:r>
              <w:rPr>
                <w:rFonts w:hint="eastAsia" w:ascii="宋体" w:hAnsi="宋体" w:eastAsia="宋体" w:cs="Times New Roman"/>
                <w:b/>
                <w:color w:val="auto"/>
                <w:szCs w:val="21"/>
                <w:highlight w:val="none"/>
                <w:u w:val="none"/>
                <w:lang w:eastAsia="zh-CN"/>
              </w:rPr>
              <w:t>投标</w:t>
            </w:r>
            <w:r>
              <w:rPr>
                <w:rFonts w:hint="eastAsia" w:ascii="宋体" w:hAnsi="宋体" w:eastAsia="宋体" w:cs="Times New Roman"/>
                <w:b/>
                <w:color w:val="auto"/>
                <w:szCs w:val="21"/>
                <w:highlight w:val="none"/>
                <w:u w:val="none"/>
              </w:rPr>
              <w:t>文件（含报价文件、资格证明文件、商务</w:t>
            </w:r>
            <w:r>
              <w:rPr>
                <w:rFonts w:hint="eastAsia" w:ascii="宋体" w:hAnsi="宋体" w:eastAsia="宋体" w:cs="Times New Roman"/>
                <w:b/>
                <w:color w:val="auto"/>
                <w:szCs w:val="21"/>
                <w:highlight w:val="none"/>
                <w:u w:val="none"/>
                <w:lang w:val="en-US" w:eastAsia="zh-CN"/>
              </w:rPr>
              <w:t>文件、</w:t>
            </w:r>
            <w:r>
              <w:rPr>
                <w:rFonts w:hint="eastAsia" w:ascii="宋体" w:hAnsi="宋体" w:eastAsia="宋体" w:cs="Times New Roman"/>
                <w:b/>
                <w:color w:val="auto"/>
                <w:szCs w:val="21"/>
                <w:highlight w:val="none"/>
                <w:u w:val="none"/>
              </w:rPr>
              <w:t>技术文件，合并装订成一本用各自的封面隔开。按要求加盖公章）给采购代理机构。</w:t>
            </w:r>
          </w:p>
          <w:p w14:paraId="4653BEF0">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eastAsia="宋体" w:cs="Times New Roman"/>
                <w:b/>
                <w:color w:val="auto"/>
                <w:szCs w:val="21"/>
                <w:highlight w:val="none"/>
                <w:u w:val="none"/>
              </w:rPr>
              <w:t>提交的纸质版</w:t>
            </w:r>
            <w:r>
              <w:rPr>
                <w:rFonts w:hint="eastAsia" w:ascii="宋体" w:hAnsi="宋体" w:eastAsia="宋体" w:cs="Times New Roman"/>
                <w:b/>
                <w:color w:val="auto"/>
                <w:szCs w:val="21"/>
                <w:highlight w:val="none"/>
                <w:u w:val="none"/>
                <w:lang w:eastAsia="zh-CN"/>
              </w:rPr>
              <w:t>投标</w:t>
            </w:r>
            <w:r>
              <w:rPr>
                <w:rFonts w:hint="eastAsia" w:ascii="宋体" w:hAnsi="宋体" w:eastAsia="宋体" w:cs="Times New Roman"/>
                <w:b/>
                <w:color w:val="auto"/>
                <w:szCs w:val="21"/>
                <w:highlight w:val="none"/>
                <w:u w:val="none"/>
              </w:rPr>
              <w:t>文件文本必须与其上传的电子</w:t>
            </w:r>
            <w:r>
              <w:rPr>
                <w:rFonts w:hint="eastAsia" w:ascii="宋体" w:hAnsi="宋体" w:eastAsia="宋体" w:cs="Times New Roman"/>
                <w:b/>
                <w:color w:val="auto"/>
                <w:szCs w:val="21"/>
                <w:highlight w:val="none"/>
                <w:u w:val="none"/>
                <w:lang w:eastAsia="zh-CN"/>
              </w:rPr>
              <w:t>投标</w:t>
            </w:r>
            <w:r>
              <w:rPr>
                <w:rFonts w:hint="eastAsia" w:ascii="宋体" w:hAnsi="宋体" w:eastAsia="宋体" w:cs="Times New Roman"/>
                <w:b/>
                <w:color w:val="auto"/>
                <w:szCs w:val="21"/>
                <w:highlight w:val="none"/>
                <w:u w:val="none"/>
              </w:rPr>
              <w:t>文件内容一致，不允许有篡改。如项目验收时因所提供的纸质</w:t>
            </w:r>
            <w:r>
              <w:rPr>
                <w:rFonts w:hint="eastAsia" w:ascii="宋体" w:hAnsi="宋体" w:eastAsia="宋体" w:cs="Times New Roman"/>
                <w:b/>
                <w:color w:val="auto"/>
                <w:szCs w:val="21"/>
                <w:highlight w:val="none"/>
                <w:u w:val="none"/>
                <w:lang w:eastAsia="zh-CN"/>
              </w:rPr>
              <w:t>投标</w:t>
            </w:r>
            <w:r>
              <w:rPr>
                <w:rFonts w:hint="eastAsia" w:ascii="宋体" w:hAnsi="宋体" w:eastAsia="宋体" w:cs="Times New Roman"/>
                <w:b/>
                <w:color w:val="auto"/>
                <w:szCs w:val="21"/>
                <w:highlight w:val="none"/>
                <w:u w:val="none"/>
              </w:rPr>
              <w:t>文件与评审的</w:t>
            </w:r>
            <w:r>
              <w:rPr>
                <w:rFonts w:hint="eastAsia" w:ascii="宋体" w:hAnsi="宋体" w:eastAsia="宋体" w:cs="Times New Roman"/>
                <w:b/>
                <w:color w:val="auto"/>
                <w:szCs w:val="21"/>
                <w:highlight w:val="none"/>
                <w:u w:val="none"/>
                <w:lang w:eastAsia="zh-CN"/>
              </w:rPr>
              <w:t>投标</w:t>
            </w:r>
            <w:r>
              <w:rPr>
                <w:rFonts w:hint="eastAsia" w:ascii="宋体" w:hAnsi="宋体" w:eastAsia="宋体" w:cs="Times New Roman"/>
                <w:b/>
                <w:color w:val="auto"/>
                <w:szCs w:val="21"/>
                <w:highlight w:val="none"/>
                <w:u w:val="none"/>
              </w:rPr>
              <w:t>文件不一致造成纠纷时，所有责任由</w:t>
            </w:r>
            <w:r>
              <w:rPr>
                <w:rFonts w:hint="eastAsia" w:ascii="宋体" w:hAnsi="宋体" w:eastAsia="宋体" w:cs="Times New Roman"/>
                <w:b/>
                <w:color w:val="auto"/>
                <w:szCs w:val="21"/>
                <w:highlight w:val="none"/>
                <w:u w:val="none"/>
                <w:lang w:eastAsia="zh-CN"/>
              </w:rPr>
              <w:t>中标</w:t>
            </w:r>
            <w:r>
              <w:rPr>
                <w:rFonts w:hint="eastAsia" w:ascii="宋体" w:hAnsi="宋体" w:eastAsia="宋体" w:cs="Times New Roman"/>
                <w:b/>
                <w:color w:val="auto"/>
                <w:szCs w:val="21"/>
                <w:highlight w:val="none"/>
                <w:u w:val="none"/>
              </w:rPr>
              <w:t>供应商承担。</w:t>
            </w:r>
          </w:p>
        </w:tc>
      </w:tr>
      <w:tr w14:paraId="652C7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vAlign w:val="center"/>
          </w:tcPr>
          <w:p w14:paraId="021443A5">
            <w:pPr>
              <w:spacing w:line="360" w:lineRule="auto"/>
              <w:jc w:val="center"/>
              <w:rPr>
                <w:rFonts w:hint="eastAsia" w:ascii="宋体" w:hAnsi="宋体"/>
                <w:color w:val="auto"/>
                <w:szCs w:val="21"/>
                <w:highlight w:val="none"/>
              </w:rPr>
            </w:pPr>
            <w:r>
              <w:rPr>
                <w:rFonts w:hint="eastAsia" w:ascii="宋体" w:hAnsi="宋体"/>
                <w:color w:val="auto"/>
                <w:szCs w:val="21"/>
                <w:highlight w:val="none"/>
              </w:rPr>
              <w:t>21.1</w:t>
            </w:r>
          </w:p>
        </w:tc>
        <w:tc>
          <w:tcPr>
            <w:tcW w:w="8344" w:type="dxa"/>
            <w:tcBorders>
              <w:top w:val="single" w:color="auto" w:sz="4" w:space="0"/>
              <w:left w:val="single" w:color="auto" w:sz="4" w:space="0"/>
              <w:bottom w:val="single" w:color="auto" w:sz="4" w:space="0"/>
              <w:right w:val="single" w:color="auto" w:sz="4" w:space="0"/>
            </w:tcBorders>
            <w:vAlign w:val="center"/>
          </w:tcPr>
          <w:p w14:paraId="5546FE30">
            <w:pPr>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1.投标文件提交截止时间：详见招标公告</w:t>
            </w:r>
          </w:p>
          <w:p w14:paraId="20EF95A1">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2.投标地点：详见招标公告</w:t>
            </w:r>
          </w:p>
        </w:tc>
      </w:tr>
      <w:tr w14:paraId="310B8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089ED1B">
            <w:pPr>
              <w:spacing w:line="360" w:lineRule="auto"/>
              <w:jc w:val="center"/>
              <w:rPr>
                <w:rFonts w:hint="eastAsia" w:ascii="宋体" w:hAnsi="宋体"/>
                <w:color w:val="auto"/>
                <w:szCs w:val="21"/>
                <w:highlight w:val="none"/>
              </w:rPr>
            </w:pPr>
            <w:r>
              <w:rPr>
                <w:rFonts w:hint="eastAsia" w:ascii="宋体" w:hAnsi="宋体"/>
                <w:color w:val="auto"/>
                <w:szCs w:val="21"/>
                <w:highlight w:val="none"/>
              </w:rPr>
              <w:t>23</w:t>
            </w:r>
          </w:p>
        </w:tc>
        <w:tc>
          <w:tcPr>
            <w:tcW w:w="8344" w:type="dxa"/>
            <w:tcBorders>
              <w:top w:val="single" w:color="auto" w:sz="4" w:space="0"/>
              <w:left w:val="single" w:color="auto" w:sz="4" w:space="0"/>
              <w:bottom w:val="single" w:color="auto" w:sz="4" w:space="0"/>
              <w:right w:val="single" w:color="auto" w:sz="4" w:space="0"/>
            </w:tcBorders>
            <w:vAlign w:val="center"/>
          </w:tcPr>
          <w:p w14:paraId="10AD1D6C">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1.开标时间：详见招标公告</w:t>
            </w:r>
          </w:p>
          <w:p w14:paraId="16F74079">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2.开标地点：详见招标公告</w:t>
            </w:r>
          </w:p>
        </w:tc>
      </w:tr>
      <w:tr w14:paraId="7F2E77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52481B8">
            <w:pPr>
              <w:spacing w:line="360" w:lineRule="auto"/>
              <w:jc w:val="center"/>
              <w:rPr>
                <w:rFonts w:hint="eastAsia" w:ascii="宋体" w:hAnsi="宋体"/>
                <w:color w:val="auto"/>
                <w:szCs w:val="21"/>
                <w:highlight w:val="none"/>
              </w:rPr>
            </w:pPr>
            <w:r>
              <w:rPr>
                <w:rFonts w:hint="eastAsia" w:ascii="宋体" w:hAnsi="宋体"/>
                <w:color w:val="auto"/>
                <w:szCs w:val="21"/>
                <w:highlight w:val="none"/>
              </w:rPr>
              <w:t>24.3（1）</w:t>
            </w:r>
          </w:p>
        </w:tc>
        <w:tc>
          <w:tcPr>
            <w:tcW w:w="8344" w:type="dxa"/>
            <w:tcBorders>
              <w:top w:val="single" w:color="auto" w:sz="4" w:space="0"/>
              <w:left w:val="single" w:color="auto" w:sz="4" w:space="0"/>
              <w:bottom w:val="single" w:color="auto" w:sz="4" w:space="0"/>
              <w:right w:val="single" w:color="auto" w:sz="4" w:space="0"/>
            </w:tcBorders>
            <w:vAlign w:val="center"/>
          </w:tcPr>
          <w:p w14:paraId="4D5C1FC6">
            <w:pPr>
              <w:snapToGrid w:val="0"/>
              <w:spacing w:line="360" w:lineRule="auto"/>
              <w:rPr>
                <w:rFonts w:hint="eastAsia" w:ascii="宋体" w:hAnsi="宋体"/>
                <w:color w:val="auto"/>
                <w:szCs w:val="21"/>
                <w:highlight w:val="none"/>
              </w:rPr>
            </w:pPr>
            <w:r>
              <w:rPr>
                <w:rFonts w:hint="eastAsia" w:hAnsi="宋体"/>
                <w:color w:val="auto"/>
                <w:highlight w:val="none"/>
              </w:rPr>
              <w:t>电子投标文件解密时间：</w:t>
            </w:r>
            <w:r>
              <w:rPr>
                <w:rFonts w:hint="eastAsia" w:hAnsi="宋体"/>
                <w:color w:val="auto"/>
                <w:highlight w:val="none"/>
                <w:u w:val="single"/>
              </w:rPr>
              <w:t>30</w:t>
            </w:r>
            <w:r>
              <w:rPr>
                <w:rFonts w:hint="eastAsia" w:hAnsi="宋体"/>
                <w:color w:val="auto"/>
                <w:highlight w:val="none"/>
              </w:rPr>
              <w:t>分钟</w:t>
            </w:r>
            <w:r>
              <w:rPr>
                <w:rFonts w:hint="eastAsia" w:hAnsi="宋体"/>
                <w:i/>
                <w:color w:val="auto"/>
                <w:highlight w:val="none"/>
              </w:rPr>
              <w:t>.</w:t>
            </w:r>
          </w:p>
        </w:tc>
      </w:tr>
      <w:tr w14:paraId="55BA6C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5CD84C6">
            <w:pPr>
              <w:spacing w:line="360" w:lineRule="auto"/>
              <w:jc w:val="center"/>
              <w:rPr>
                <w:rFonts w:hint="eastAsia" w:ascii="宋体" w:hAnsi="宋体"/>
                <w:color w:val="auto"/>
                <w:szCs w:val="21"/>
                <w:highlight w:val="none"/>
              </w:rPr>
            </w:pPr>
            <w:r>
              <w:rPr>
                <w:rFonts w:hint="eastAsia" w:ascii="宋体" w:hAnsi="宋体"/>
                <w:color w:val="auto"/>
                <w:szCs w:val="21"/>
                <w:highlight w:val="none"/>
              </w:rPr>
              <w:t>25.3（2）</w:t>
            </w:r>
          </w:p>
        </w:tc>
        <w:tc>
          <w:tcPr>
            <w:tcW w:w="8344" w:type="dxa"/>
            <w:tcBorders>
              <w:top w:val="single" w:color="auto" w:sz="4" w:space="0"/>
              <w:left w:val="single" w:color="auto" w:sz="4" w:space="0"/>
              <w:bottom w:val="single" w:color="auto" w:sz="4" w:space="0"/>
              <w:right w:val="single" w:color="auto" w:sz="4" w:space="0"/>
            </w:tcBorders>
            <w:vAlign w:val="center"/>
          </w:tcPr>
          <w:p w14:paraId="07EE759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1729195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查询渠道：“信用中国”网站（www.creditchina.gov.cn）、中国政府采购网（www.ccgp.gov.cn）。</w:t>
            </w:r>
          </w:p>
          <w:p w14:paraId="74AF4BF0">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信用查询截止时点：资格审查结束前</w:t>
            </w:r>
          </w:p>
          <w:p w14:paraId="182B53C5">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查询记录和证据留存方式：在查询网站中直接截图查询记录，截图作为在</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作为附件上传保存。</w:t>
            </w:r>
          </w:p>
          <w:p w14:paraId="19202A47">
            <w:pPr>
              <w:snapToGrid w:val="0"/>
              <w:spacing w:line="360" w:lineRule="auto"/>
              <w:rPr>
                <w:rFonts w:hint="eastAsia" w:ascii="宋体" w:hAnsi="宋体"/>
                <w:b/>
                <w:color w:val="auto"/>
                <w:szCs w:val="21"/>
                <w:highlight w:val="none"/>
              </w:rPr>
            </w:pPr>
            <w:r>
              <w:rPr>
                <w:rFonts w:hint="eastAsia" w:ascii="宋体" w:hAnsi="宋体"/>
                <w:color w:val="auto"/>
                <w:szCs w:val="21"/>
                <w:highlight w:val="none"/>
              </w:rPr>
              <w:t>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w:t>
            </w:r>
            <w:r>
              <w:rPr>
                <w:rFonts w:hint="eastAsia" w:ascii="宋体" w:hAnsi="宋体" w:eastAsia="宋体"/>
                <w:color w:val="auto"/>
                <w:szCs w:val="21"/>
                <w:highlight w:val="none"/>
              </w:rPr>
              <w:t>采购人或者采购代理机构</w:t>
            </w:r>
            <w:r>
              <w:rPr>
                <w:rFonts w:hint="eastAsia" w:ascii="宋体" w:hAnsi="宋体" w:eastAsia="宋体"/>
                <w:color w:val="auto"/>
                <w:sz w:val="21"/>
                <w:szCs w:val="21"/>
                <w:highlight w:val="none"/>
              </w:rPr>
              <w:t>应当拒绝其参与政府采购活动</w:t>
            </w:r>
            <w:r>
              <w:rPr>
                <w:rFonts w:hint="eastAsia" w:ascii="宋体" w:hAnsi="宋体" w:eastAsia="宋体"/>
                <w:color w:val="auto"/>
                <w:szCs w:val="21"/>
                <w:highlight w:val="none"/>
              </w:rPr>
              <w:t>。</w:t>
            </w:r>
          </w:p>
        </w:tc>
      </w:tr>
      <w:tr w14:paraId="2CC83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36ABCCC">
            <w:pPr>
              <w:spacing w:line="360" w:lineRule="auto"/>
              <w:jc w:val="center"/>
              <w:rPr>
                <w:rFonts w:ascii="宋体" w:hAnsi="宋体"/>
                <w:color w:val="auto"/>
                <w:szCs w:val="21"/>
                <w:highlight w:val="none"/>
              </w:rPr>
            </w:pPr>
            <w:r>
              <w:rPr>
                <w:rFonts w:hint="eastAsia" w:ascii="宋体" w:hAnsi="宋体"/>
                <w:color w:val="auto"/>
                <w:szCs w:val="21"/>
                <w:highlight w:val="none"/>
              </w:rPr>
              <w:t>26.1</w:t>
            </w:r>
          </w:p>
        </w:tc>
        <w:tc>
          <w:tcPr>
            <w:tcW w:w="8344" w:type="dxa"/>
            <w:tcBorders>
              <w:top w:val="single" w:color="auto" w:sz="4" w:space="0"/>
              <w:left w:val="single" w:color="auto" w:sz="4" w:space="0"/>
              <w:bottom w:val="single" w:color="auto" w:sz="4" w:space="0"/>
              <w:right w:val="single" w:color="auto" w:sz="4" w:space="0"/>
            </w:tcBorders>
            <w:vAlign w:val="center"/>
          </w:tcPr>
          <w:p w14:paraId="203081CB">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lang w:val="en-US" w:eastAsia="zh-CN"/>
              </w:rPr>
              <w:t>5</w:t>
            </w:r>
            <w:r>
              <w:rPr>
                <w:rFonts w:hint="eastAsia" w:ascii="宋体" w:hAnsi="宋体"/>
                <w:color w:val="auto"/>
                <w:szCs w:val="21"/>
                <w:highlight w:val="none"/>
              </w:rPr>
              <w:t>人</w:t>
            </w:r>
            <w:r>
              <w:rPr>
                <w:rFonts w:hint="eastAsia" w:ascii="宋体" w:hAnsi="宋体"/>
                <w:color w:val="auto"/>
                <w:szCs w:val="21"/>
                <w:highlight w:val="none"/>
                <w:lang w:val="en-US" w:eastAsia="zh-CN"/>
              </w:rPr>
              <w:t>。</w:t>
            </w:r>
          </w:p>
        </w:tc>
      </w:tr>
      <w:tr w14:paraId="4578E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4CEB26B">
            <w:pPr>
              <w:spacing w:line="360" w:lineRule="auto"/>
              <w:jc w:val="center"/>
              <w:rPr>
                <w:rFonts w:hint="eastAsia" w:ascii="宋体" w:hAnsi="宋体"/>
                <w:color w:val="auto"/>
                <w:szCs w:val="21"/>
                <w:highlight w:val="none"/>
              </w:rPr>
            </w:pPr>
            <w:r>
              <w:rPr>
                <w:rFonts w:ascii="宋体" w:hAnsi="宋体"/>
                <w:color w:val="auto"/>
                <w:szCs w:val="21"/>
                <w:highlight w:val="none"/>
              </w:rPr>
              <w:t>29.1</w:t>
            </w:r>
          </w:p>
        </w:tc>
        <w:tc>
          <w:tcPr>
            <w:tcW w:w="8344" w:type="dxa"/>
            <w:tcBorders>
              <w:top w:val="single" w:color="auto" w:sz="4" w:space="0"/>
              <w:left w:val="single" w:color="auto" w:sz="4" w:space="0"/>
              <w:bottom w:val="single" w:color="auto" w:sz="4" w:space="0"/>
              <w:right w:val="single" w:color="auto" w:sz="4" w:space="0"/>
            </w:tcBorders>
            <w:vAlign w:val="center"/>
          </w:tcPr>
          <w:p w14:paraId="022EAA48">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评标方法：综合评分法。</w:t>
            </w:r>
          </w:p>
        </w:tc>
      </w:tr>
      <w:tr w14:paraId="4ED7C6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vAlign w:val="center"/>
          </w:tcPr>
          <w:p w14:paraId="0D209A36">
            <w:pPr>
              <w:spacing w:line="360" w:lineRule="auto"/>
              <w:jc w:val="center"/>
              <w:rPr>
                <w:rFonts w:hint="eastAsia" w:ascii="宋体" w:hAnsi="宋体"/>
                <w:color w:val="auto"/>
                <w:szCs w:val="21"/>
                <w:highlight w:val="none"/>
              </w:rPr>
            </w:pPr>
            <w:r>
              <w:rPr>
                <w:rFonts w:hint="eastAsia" w:ascii="宋体" w:hAnsi="宋体"/>
                <w:color w:val="auto"/>
                <w:szCs w:val="21"/>
                <w:highlight w:val="none"/>
              </w:rPr>
              <w:t>29</w:t>
            </w:r>
            <w:r>
              <w:rPr>
                <w:rFonts w:ascii="宋体" w:hAnsi="宋体"/>
                <w:color w:val="auto"/>
                <w:szCs w:val="21"/>
                <w:highlight w:val="none"/>
              </w:rPr>
              <w:t>.2</w:t>
            </w:r>
          </w:p>
        </w:tc>
        <w:tc>
          <w:tcPr>
            <w:tcW w:w="8344" w:type="dxa"/>
            <w:tcBorders>
              <w:top w:val="single" w:color="auto" w:sz="4" w:space="0"/>
              <w:left w:val="single" w:color="auto" w:sz="4" w:space="0"/>
              <w:right w:val="single" w:color="auto" w:sz="4" w:space="0"/>
            </w:tcBorders>
            <w:vAlign w:val="center"/>
          </w:tcPr>
          <w:p w14:paraId="497AA81C">
            <w:pPr>
              <w:snapToGrid w:val="0"/>
              <w:spacing w:line="360" w:lineRule="auto"/>
              <w:rPr>
                <w:rFonts w:ascii="宋体" w:hAnsi="宋体"/>
                <w:color w:val="auto"/>
                <w:szCs w:val="21"/>
                <w:highlight w:val="none"/>
              </w:rPr>
            </w:pPr>
            <w:r>
              <w:rPr>
                <w:rFonts w:hint="eastAsia" w:ascii="宋体" w:hAnsi="宋体" w:cs="宋体"/>
                <w:color w:val="auto"/>
                <w:szCs w:val="21"/>
                <w:highlight w:val="none"/>
              </w:rPr>
              <w:t>商务要求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0</w:t>
            </w:r>
            <w:r>
              <w:rPr>
                <w:rFonts w:hint="eastAsia" w:ascii="宋体" w:hAnsi="宋体"/>
                <w:color w:val="auto"/>
                <w:szCs w:val="21"/>
                <w:highlight w:val="none"/>
              </w:rPr>
              <w:t>项。</w:t>
            </w:r>
          </w:p>
          <w:p w14:paraId="268279F0">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技术要求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0</w:t>
            </w:r>
            <w:r>
              <w:rPr>
                <w:rFonts w:hint="eastAsia" w:ascii="宋体" w:hAnsi="宋体"/>
                <w:color w:val="auto"/>
                <w:szCs w:val="21"/>
                <w:highlight w:val="none"/>
              </w:rPr>
              <w:t>项。</w:t>
            </w:r>
          </w:p>
        </w:tc>
      </w:tr>
      <w:tr w14:paraId="7BC7F2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vAlign w:val="center"/>
          </w:tcPr>
          <w:p w14:paraId="1C61A31E">
            <w:pPr>
              <w:spacing w:line="360" w:lineRule="auto"/>
              <w:jc w:val="center"/>
              <w:rPr>
                <w:rFonts w:ascii="宋体" w:hAnsi="宋体"/>
                <w:color w:val="auto"/>
                <w:szCs w:val="21"/>
                <w:highlight w:val="none"/>
              </w:rPr>
            </w:pPr>
            <w:r>
              <w:rPr>
                <w:rFonts w:hint="eastAsia" w:ascii="宋体" w:hAnsi="宋体"/>
                <w:color w:val="auto"/>
                <w:szCs w:val="21"/>
                <w:highlight w:val="none"/>
              </w:rPr>
              <w:t>29.3</w:t>
            </w:r>
          </w:p>
        </w:tc>
        <w:tc>
          <w:tcPr>
            <w:tcW w:w="8344" w:type="dxa"/>
            <w:tcBorders>
              <w:top w:val="single" w:color="auto" w:sz="4" w:space="0"/>
              <w:left w:val="single" w:color="auto" w:sz="4" w:space="0"/>
              <w:right w:val="single" w:color="auto" w:sz="4" w:space="0"/>
            </w:tcBorders>
            <w:vAlign w:val="center"/>
          </w:tcPr>
          <w:p w14:paraId="3D3E6FDE">
            <w:pPr>
              <w:snapToGrid w:val="0"/>
              <w:spacing w:line="360" w:lineRule="auto"/>
              <w:rPr>
                <w:rFonts w:hint="eastAsia" w:ascii="宋体" w:hAnsi="宋体" w:cs="宋体"/>
                <w:color w:val="auto"/>
                <w:szCs w:val="21"/>
                <w:highlight w:val="none"/>
              </w:rPr>
            </w:pPr>
            <w:r>
              <w:rPr>
                <w:rFonts w:hAnsi="宋体"/>
                <w:color w:val="auto"/>
                <w:highlight w:val="none"/>
              </w:rPr>
              <w:t>中标候选人推荐数量</w:t>
            </w:r>
            <w:r>
              <w:rPr>
                <w:rFonts w:hint="eastAsia" w:hAnsi="宋体"/>
                <w:color w:val="auto"/>
                <w:highlight w:val="none"/>
              </w:rPr>
              <w:t>：根据总得分由高到低排列次序并推荐前3名为中标候选人</w:t>
            </w:r>
          </w:p>
        </w:tc>
      </w:tr>
      <w:tr w14:paraId="7B51D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BA89999">
            <w:pPr>
              <w:spacing w:line="360" w:lineRule="auto"/>
              <w:jc w:val="center"/>
              <w:rPr>
                <w:rFonts w:hint="eastAsia"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344" w:type="dxa"/>
            <w:tcBorders>
              <w:top w:val="single" w:color="auto" w:sz="4" w:space="0"/>
              <w:left w:val="single" w:color="auto" w:sz="4" w:space="0"/>
              <w:bottom w:val="single" w:color="auto" w:sz="4" w:space="0"/>
              <w:right w:val="single" w:color="auto" w:sz="4" w:space="0"/>
            </w:tcBorders>
            <w:vAlign w:val="center"/>
          </w:tcPr>
          <w:p w14:paraId="57144744">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采用综合评分法的采购项目，采购人确定中标人时，出现中标候选人并列的情形，采购人按以下的方式确定中标人：依次按投标报价低的优先、技术评分高的优先、商务评分高的优先的顺序确定。</w:t>
            </w:r>
          </w:p>
        </w:tc>
      </w:tr>
      <w:tr w14:paraId="79C900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vAlign w:val="center"/>
          </w:tcPr>
          <w:p w14:paraId="2CDB3AAA">
            <w:pPr>
              <w:spacing w:line="360" w:lineRule="auto"/>
              <w:jc w:val="center"/>
              <w:rPr>
                <w:rFonts w:hint="eastAsia" w:ascii="宋体" w:hAnsi="宋体"/>
                <w:color w:val="auto"/>
                <w:szCs w:val="21"/>
                <w:highlight w:val="none"/>
              </w:rPr>
            </w:pPr>
            <w:r>
              <w:rPr>
                <w:rFonts w:hint="eastAsia" w:ascii="宋体" w:hAnsi="宋体"/>
                <w:color w:val="auto"/>
                <w:szCs w:val="21"/>
                <w:highlight w:val="none"/>
              </w:rPr>
              <w:t>35</w:t>
            </w:r>
            <w:r>
              <w:rPr>
                <w:rFonts w:ascii="宋体" w:hAnsi="宋体"/>
                <w:color w:val="auto"/>
                <w:szCs w:val="21"/>
                <w:highlight w:val="none"/>
              </w:rPr>
              <w:t>.1</w:t>
            </w:r>
          </w:p>
        </w:tc>
        <w:tc>
          <w:tcPr>
            <w:tcW w:w="8344" w:type="dxa"/>
            <w:tcBorders>
              <w:top w:val="single" w:color="auto" w:sz="4" w:space="0"/>
              <w:left w:val="single" w:color="auto" w:sz="4" w:space="0"/>
              <w:bottom w:val="single" w:color="auto" w:sz="4" w:space="0"/>
              <w:right w:val="single" w:color="auto" w:sz="4" w:space="0"/>
            </w:tcBorders>
            <w:vAlign w:val="center"/>
          </w:tcPr>
          <w:p w14:paraId="43B9B122">
            <w:pPr>
              <w:spacing w:line="360" w:lineRule="auto"/>
              <w:jc w:val="left"/>
              <w:rPr>
                <w:rFonts w:hint="eastAsia" w:ascii="宋体" w:hAnsi="宋体" w:eastAsia="宋体" w:cs="宋体"/>
                <w:color w:val="auto"/>
                <w:kern w:val="0"/>
                <w:szCs w:val="21"/>
                <w:highlight w:val="none"/>
                <w:lang w:eastAsia="zh-CN"/>
              </w:rPr>
            </w:pPr>
            <w:r>
              <w:rPr>
                <w:rFonts w:hint="eastAsia" w:ascii="宋体" w:hAnsi="宋体"/>
                <w:color w:val="auto"/>
                <w:szCs w:val="21"/>
                <w:highlight w:val="none"/>
              </w:rPr>
              <w:t>本项目履约保证金</w:t>
            </w:r>
            <w:r>
              <w:rPr>
                <w:rFonts w:hint="eastAsia" w:ascii="宋体" w:hAnsi="宋体"/>
                <w:color w:val="auto"/>
                <w:szCs w:val="21"/>
                <w:highlight w:val="none"/>
                <w:lang w:eastAsia="zh-CN"/>
              </w:rPr>
              <w:t>：</w:t>
            </w:r>
            <w:r>
              <w:rPr>
                <w:rFonts w:hint="eastAsia" w:ascii="宋体" w:hAnsi="宋体" w:cs="Times New Roman"/>
                <w:color w:val="auto"/>
                <w:sz w:val="21"/>
                <w:szCs w:val="21"/>
                <w:highlight w:val="none"/>
              </w:rPr>
              <w:t>在签订合同后，中标人支付中标金额的5%作为履约保证金（</w:t>
            </w:r>
            <w:r>
              <w:rPr>
                <w:rFonts w:hint="eastAsia" w:ascii="宋体" w:hAnsi="宋体" w:cs="Times New Roman"/>
                <w:bCs w:val="0"/>
                <w:iCs w:val="0"/>
                <w:color w:val="auto"/>
                <w:sz w:val="21"/>
                <w:szCs w:val="21"/>
                <w:highlight w:val="none"/>
              </w:rPr>
              <w:t>中标人</w:t>
            </w:r>
            <w:r>
              <w:rPr>
                <w:rFonts w:hint="eastAsia" w:ascii="宋体" w:hAnsi="宋体" w:cs="Times New Roman"/>
                <w:color w:val="auto"/>
                <w:sz w:val="21"/>
                <w:szCs w:val="21"/>
                <w:highlight w:val="none"/>
              </w:rPr>
              <w:t>如为中小企业的，按中标金额的2%）。</w:t>
            </w:r>
          </w:p>
        </w:tc>
      </w:tr>
      <w:tr w14:paraId="40BAF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90B1597">
            <w:pPr>
              <w:spacing w:line="360" w:lineRule="auto"/>
              <w:jc w:val="center"/>
              <w:rPr>
                <w:rFonts w:hint="eastAsia" w:ascii="宋体" w:hAnsi="宋体"/>
                <w:color w:val="auto"/>
                <w:szCs w:val="21"/>
                <w:highlight w:val="none"/>
              </w:rPr>
            </w:pPr>
            <w:r>
              <w:rPr>
                <w:rFonts w:hint="eastAsia" w:ascii="宋体" w:hAnsi="宋体"/>
                <w:color w:val="auto"/>
                <w:szCs w:val="21"/>
                <w:highlight w:val="none"/>
              </w:rPr>
              <w:t>36.1</w:t>
            </w:r>
          </w:p>
        </w:tc>
        <w:tc>
          <w:tcPr>
            <w:tcW w:w="8344" w:type="dxa"/>
            <w:tcBorders>
              <w:top w:val="single" w:color="auto" w:sz="4" w:space="0"/>
              <w:left w:val="single" w:color="auto" w:sz="4" w:space="0"/>
              <w:bottom w:val="single" w:color="auto" w:sz="4" w:space="0"/>
              <w:right w:val="single" w:color="auto" w:sz="4" w:space="0"/>
            </w:tcBorders>
            <w:vAlign w:val="center"/>
          </w:tcPr>
          <w:p w14:paraId="1CBE8756">
            <w:pPr>
              <w:autoSpaceDE w:val="0"/>
              <w:autoSpaceDN w:val="0"/>
              <w:snapToGrid w:val="0"/>
              <w:spacing w:line="360" w:lineRule="auto"/>
              <w:textAlignment w:val="bottom"/>
              <w:rPr>
                <w:rFonts w:hint="eastAsia" w:ascii="宋体" w:hAnsi="宋体" w:eastAsia="宋体"/>
                <w:color w:val="auto"/>
                <w:szCs w:val="21"/>
                <w:highlight w:val="none"/>
                <w:lang w:eastAsia="zh-CN"/>
              </w:rPr>
            </w:pPr>
            <w:r>
              <w:rPr>
                <w:rFonts w:hint="eastAsia" w:ascii="宋体" w:hAnsi="宋体"/>
                <w:color w:val="auto"/>
                <w:szCs w:val="21"/>
                <w:highlight w:val="none"/>
              </w:rPr>
              <w:t>签订合同携带的证明材料：</w:t>
            </w:r>
          </w:p>
          <w:p w14:paraId="70622D31">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72739196">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7A2937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2" w:hRule="atLeast"/>
        </w:trPr>
        <w:tc>
          <w:tcPr>
            <w:tcW w:w="978" w:type="dxa"/>
            <w:tcBorders>
              <w:top w:val="single" w:color="auto" w:sz="4" w:space="0"/>
              <w:left w:val="single" w:color="auto" w:sz="4" w:space="0"/>
              <w:right w:val="single" w:color="auto" w:sz="4" w:space="0"/>
            </w:tcBorders>
            <w:vAlign w:val="center"/>
          </w:tcPr>
          <w:p w14:paraId="7AE93338">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344" w:type="dxa"/>
            <w:tcBorders>
              <w:top w:val="single" w:color="auto" w:sz="4" w:space="0"/>
              <w:left w:val="single" w:color="auto" w:sz="4" w:space="0"/>
              <w:bottom w:val="single" w:color="auto" w:sz="4" w:space="0"/>
              <w:right w:val="single" w:color="auto" w:sz="4" w:space="0"/>
            </w:tcBorders>
            <w:vAlign w:val="center"/>
          </w:tcPr>
          <w:p w14:paraId="7A8658CD">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75A1DC6E">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质疑联系部门及联系方式：</w:t>
            </w:r>
            <w:r>
              <w:rPr>
                <w:rFonts w:hint="eastAsia" w:ascii="宋体" w:hAnsi="宋体"/>
                <w:color w:val="auto"/>
                <w:szCs w:val="21"/>
                <w:highlight w:val="none"/>
                <w:lang w:eastAsia="zh-CN"/>
              </w:rPr>
              <w:t>广西国栋招标有限公司</w:t>
            </w:r>
            <w:r>
              <w:rPr>
                <w:rFonts w:hint="eastAsia" w:ascii="宋体" w:hAnsi="宋体"/>
                <w:color w:val="auto"/>
                <w:szCs w:val="21"/>
                <w:highlight w:val="none"/>
              </w:rPr>
              <w:t>，联系电话：</w:t>
            </w:r>
            <w:r>
              <w:rPr>
                <w:rFonts w:hint="eastAsia" w:ascii="宋体" w:hAnsi="宋体"/>
                <w:color w:val="auto"/>
                <w:szCs w:val="21"/>
                <w:highlight w:val="none"/>
                <w:lang w:eastAsia="zh-CN"/>
              </w:rPr>
              <w:t>0771-5894688</w:t>
            </w:r>
            <w:r>
              <w:rPr>
                <w:rFonts w:hint="eastAsia" w:ascii="宋体" w:hAnsi="宋体"/>
                <w:color w:val="auto"/>
                <w:szCs w:val="21"/>
                <w:highlight w:val="none"/>
              </w:rPr>
              <w:t>，通讯地址：</w:t>
            </w:r>
            <w:r>
              <w:rPr>
                <w:rFonts w:hint="eastAsia" w:ascii="宋体" w:hAnsi="宋体"/>
                <w:color w:val="auto"/>
                <w:szCs w:val="21"/>
                <w:highlight w:val="none"/>
                <w:lang w:eastAsia="zh-CN"/>
              </w:rPr>
              <w:t>南宁市青秀区双拥路40-1号东方明珠花园1栋1单元9层</w:t>
            </w:r>
            <w:r>
              <w:rPr>
                <w:rFonts w:hint="eastAsia" w:ascii="宋体" w:hAnsi="宋体"/>
                <w:color w:val="auto"/>
                <w:szCs w:val="21"/>
                <w:highlight w:val="none"/>
              </w:rPr>
              <w:t>。</w:t>
            </w:r>
          </w:p>
          <w:p w14:paraId="757C420F">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业务时间：工作日每天上午8</w:t>
            </w:r>
            <w:r>
              <w:rPr>
                <w:rFonts w:hint="eastAsia" w:ascii="宋体" w:hAnsi="宋体"/>
                <w:color w:val="auto"/>
                <w:szCs w:val="21"/>
                <w:highlight w:val="none"/>
                <w:lang w:val="en-US" w:eastAsia="zh-CN"/>
              </w:rPr>
              <w:t>:</w:t>
            </w:r>
            <w:r>
              <w:rPr>
                <w:rFonts w:hint="eastAsia" w:ascii="宋体" w:hAnsi="宋体"/>
                <w:color w:val="auto"/>
                <w:szCs w:val="21"/>
                <w:highlight w:val="none"/>
              </w:rPr>
              <w:t>00到12</w:t>
            </w:r>
            <w:r>
              <w:rPr>
                <w:rFonts w:hint="eastAsia" w:ascii="宋体" w:hAnsi="宋体"/>
                <w:color w:val="auto"/>
                <w:szCs w:val="21"/>
                <w:highlight w:val="none"/>
                <w:lang w:val="en-US" w:eastAsia="zh-CN"/>
              </w:rPr>
              <w:t>:</w:t>
            </w:r>
            <w:r>
              <w:rPr>
                <w:rFonts w:hint="eastAsia" w:ascii="宋体" w:hAnsi="宋体"/>
                <w:color w:val="auto"/>
                <w:szCs w:val="21"/>
                <w:highlight w:val="none"/>
              </w:rPr>
              <w:t>00，下午</w:t>
            </w:r>
            <w:r>
              <w:rPr>
                <w:rFonts w:hint="eastAsia" w:ascii="宋体" w:hAnsi="宋体"/>
                <w:color w:val="auto"/>
                <w:szCs w:val="21"/>
                <w:highlight w:val="none"/>
                <w:lang w:val="en-US" w:eastAsia="zh-CN"/>
              </w:rPr>
              <w:t>15:</w:t>
            </w:r>
            <w:r>
              <w:rPr>
                <w:rFonts w:hint="eastAsia" w:ascii="宋体" w:hAnsi="宋体"/>
                <w:color w:val="auto"/>
                <w:szCs w:val="21"/>
                <w:highlight w:val="none"/>
              </w:rPr>
              <w:t>00到</w:t>
            </w:r>
            <w:r>
              <w:rPr>
                <w:rFonts w:hint="eastAsia" w:ascii="宋体" w:hAnsi="宋体"/>
                <w:color w:val="auto"/>
                <w:szCs w:val="21"/>
                <w:highlight w:val="none"/>
                <w:lang w:val="en-US" w:eastAsia="zh-CN"/>
              </w:rPr>
              <w:t>18:</w:t>
            </w:r>
            <w:r>
              <w:rPr>
                <w:rFonts w:hint="eastAsia" w:ascii="宋体" w:hAnsi="宋体"/>
                <w:color w:val="auto"/>
                <w:szCs w:val="21"/>
                <w:highlight w:val="none"/>
              </w:rPr>
              <w:t>00。</w:t>
            </w:r>
          </w:p>
        </w:tc>
      </w:tr>
      <w:tr w14:paraId="00362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06283C6">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9.1</w:t>
            </w:r>
          </w:p>
        </w:tc>
        <w:tc>
          <w:tcPr>
            <w:tcW w:w="8344" w:type="dxa"/>
            <w:tcBorders>
              <w:top w:val="single" w:color="auto" w:sz="4" w:space="0"/>
              <w:left w:val="single" w:color="auto" w:sz="4" w:space="0"/>
              <w:bottom w:val="single" w:color="auto" w:sz="4" w:space="0"/>
              <w:right w:val="single" w:color="auto" w:sz="4" w:space="0"/>
            </w:tcBorders>
            <w:vAlign w:val="center"/>
          </w:tcPr>
          <w:p w14:paraId="3F28935A">
            <w:pPr>
              <w:pStyle w:val="15"/>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1.采购代理费支付方式：本项目代理服务费由</w:t>
            </w:r>
            <w:r>
              <w:rPr>
                <w:rFonts w:hint="eastAsia" w:hAnsi="宋体" w:cs="宋体"/>
                <w:color w:val="auto"/>
                <w:sz w:val="21"/>
                <w:highlight w:val="none"/>
                <w:u w:val="single"/>
                <w:lang w:val="en-US" w:eastAsia="zh-CN"/>
              </w:rPr>
              <w:t>中标人</w:t>
            </w:r>
            <w:r>
              <w:rPr>
                <w:rFonts w:hint="eastAsia" w:hAnsi="宋体" w:cs="宋体"/>
                <w:color w:val="auto"/>
                <w:sz w:val="21"/>
                <w:highlight w:val="none"/>
                <w:lang w:val="en-US" w:eastAsia="zh-CN"/>
              </w:rPr>
              <w:t>在领取中标通知书前，一次性向采购代理机构支付。</w:t>
            </w:r>
          </w:p>
          <w:p w14:paraId="52B065CF">
            <w:pPr>
              <w:pStyle w:val="15"/>
              <w:snapToGrid w:val="0"/>
              <w:spacing w:line="360" w:lineRule="auto"/>
              <w:rPr>
                <w:rFonts w:hAnsi="宋体" w:cs="宋体"/>
                <w:color w:val="auto"/>
                <w:sz w:val="21"/>
                <w:highlight w:val="none"/>
                <w:u w:val="single"/>
                <w:lang w:val="en-US" w:eastAsia="zh-CN"/>
              </w:rPr>
            </w:pPr>
            <w:r>
              <w:rPr>
                <w:rFonts w:hint="eastAsia" w:hAnsi="宋体" w:cs="宋体"/>
                <w:color w:val="auto"/>
                <w:sz w:val="21"/>
                <w:highlight w:val="none"/>
                <w:lang w:val="en-US" w:eastAsia="zh-CN"/>
              </w:rPr>
              <w:t>2.采购代理费收取标准：以中标金额为计费额，按本须知正文第</w:t>
            </w:r>
            <w:r>
              <w:rPr>
                <w:rFonts w:hAnsi="宋体" w:cs="宋体"/>
                <w:color w:val="auto"/>
                <w:sz w:val="21"/>
                <w:highlight w:val="none"/>
                <w:lang w:val="en-US" w:eastAsia="zh-CN"/>
              </w:rPr>
              <w:t>39</w:t>
            </w:r>
            <w:r>
              <w:rPr>
                <w:rFonts w:hint="eastAsia" w:hAnsi="宋体" w:cs="宋体"/>
                <w:color w:val="auto"/>
                <w:sz w:val="21"/>
                <w:highlight w:val="none"/>
                <w:lang w:val="en-US" w:eastAsia="zh-CN"/>
              </w:rPr>
              <w:t>.</w:t>
            </w:r>
            <w:r>
              <w:rPr>
                <w:rFonts w:hAnsi="宋体" w:cs="宋体"/>
                <w:color w:val="auto"/>
                <w:sz w:val="21"/>
                <w:highlight w:val="none"/>
                <w:lang w:val="en-US" w:eastAsia="zh-CN"/>
              </w:rPr>
              <w:t>2</w:t>
            </w:r>
            <w:r>
              <w:rPr>
                <w:rFonts w:hint="eastAsia" w:hAnsi="宋体" w:cs="宋体"/>
                <w:color w:val="auto"/>
                <w:sz w:val="21"/>
                <w:highlight w:val="none"/>
                <w:lang w:val="en-US" w:eastAsia="zh-CN"/>
              </w:rPr>
              <w:t>条规定的收费计算标准服务招标采用差额定率累进法计算出收费基准价格，采购代理收费以收费基准价格收取。</w:t>
            </w:r>
          </w:p>
          <w:p w14:paraId="6F1E14EA">
            <w:pPr>
              <w:pStyle w:val="15"/>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3.采购代理费收取银行账户</w:t>
            </w:r>
          </w:p>
          <w:p w14:paraId="280512C8">
            <w:pPr>
              <w:pStyle w:val="15"/>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开户名称：广西国栋招标有限公司</w:t>
            </w:r>
          </w:p>
          <w:p w14:paraId="30A1FAEE">
            <w:pPr>
              <w:pStyle w:val="15"/>
              <w:snapToGrid w:val="0"/>
              <w:spacing w:line="360" w:lineRule="auto"/>
              <w:rPr>
                <w:rFonts w:hint="eastAsia"/>
                <w:color w:val="auto"/>
                <w:highlight w:val="none"/>
                <w:lang w:val="en-US" w:eastAsia="zh-CN"/>
              </w:rPr>
            </w:pPr>
            <w:r>
              <w:rPr>
                <w:rFonts w:hint="eastAsia" w:hAnsi="宋体" w:cs="宋体"/>
                <w:color w:val="auto"/>
                <w:sz w:val="21"/>
                <w:highlight w:val="none"/>
                <w:lang w:val="en-US" w:eastAsia="zh-CN"/>
              </w:rPr>
              <w:t>开户银行：平安银行南宁分行营业部</w:t>
            </w:r>
          </w:p>
          <w:p w14:paraId="1D469DAE">
            <w:pPr>
              <w:pStyle w:val="15"/>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银行账号：15333566666608</w:t>
            </w:r>
          </w:p>
        </w:tc>
      </w:tr>
      <w:tr w14:paraId="1061E6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36856C5">
            <w:pPr>
              <w:snapToGrid w:val="0"/>
              <w:spacing w:line="360" w:lineRule="auto"/>
              <w:jc w:val="center"/>
              <w:rPr>
                <w:rFonts w:hint="eastAsia" w:ascii="宋体" w:hAnsi="宋体"/>
                <w:color w:val="auto"/>
                <w:szCs w:val="21"/>
                <w:highlight w:val="none"/>
              </w:rPr>
            </w:pPr>
            <w:r>
              <w:rPr>
                <w:rFonts w:ascii="宋体" w:hAnsi="宋体"/>
                <w:color w:val="auto"/>
                <w:szCs w:val="21"/>
                <w:highlight w:val="none"/>
              </w:rPr>
              <w:t>40.1</w:t>
            </w:r>
          </w:p>
        </w:tc>
        <w:tc>
          <w:tcPr>
            <w:tcW w:w="8344" w:type="dxa"/>
            <w:tcBorders>
              <w:top w:val="single" w:color="auto" w:sz="4" w:space="0"/>
              <w:left w:val="single" w:color="auto" w:sz="4" w:space="0"/>
              <w:bottom w:val="single" w:color="auto" w:sz="4" w:space="0"/>
              <w:right w:val="single" w:color="auto" w:sz="4" w:space="0"/>
            </w:tcBorders>
            <w:vAlign w:val="center"/>
          </w:tcPr>
          <w:p w14:paraId="49007DF5">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5C47B6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771921F">
            <w:pPr>
              <w:snapToGrid w:val="0"/>
              <w:spacing w:line="360" w:lineRule="auto"/>
              <w:jc w:val="center"/>
              <w:rPr>
                <w:rFonts w:hint="eastAsia" w:ascii="宋体" w:hAnsi="宋体"/>
                <w:color w:val="auto"/>
                <w:szCs w:val="21"/>
                <w:highlight w:val="none"/>
              </w:rPr>
            </w:pPr>
            <w:r>
              <w:rPr>
                <w:rFonts w:ascii="宋体" w:hAnsi="宋体"/>
                <w:color w:val="auto"/>
                <w:szCs w:val="21"/>
                <w:highlight w:val="none"/>
              </w:rPr>
              <w:t>40.2</w:t>
            </w:r>
          </w:p>
        </w:tc>
        <w:tc>
          <w:tcPr>
            <w:tcW w:w="8344" w:type="dxa"/>
            <w:tcBorders>
              <w:top w:val="single" w:color="auto" w:sz="4" w:space="0"/>
              <w:left w:val="single" w:color="auto" w:sz="4" w:space="0"/>
              <w:bottom w:val="single" w:color="auto" w:sz="4" w:space="0"/>
              <w:right w:val="single" w:color="auto" w:sz="4" w:space="0"/>
            </w:tcBorders>
            <w:vAlign w:val="center"/>
          </w:tcPr>
          <w:p w14:paraId="1485F828">
            <w:pPr>
              <w:pStyle w:val="15"/>
              <w:snapToGrid w:val="0"/>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AC52388">
            <w:pPr>
              <w:pStyle w:val="15"/>
              <w:snapToGrid w:val="0"/>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2.本招标文件所称的“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，是指经广西政府采购云平台认可的CA认证的电子签名数据为表现形式的印章，可用于签署电子投标文件，电子印章与实物印章具有同等法律效力，不因其采用电子化表现形式而否定其法律效力。</w:t>
            </w:r>
          </w:p>
          <w:p w14:paraId="1A9CDE68">
            <w:pPr>
              <w:pStyle w:val="15"/>
              <w:snapToGrid w:val="0"/>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3.投标人为其他组织时，本招标文件规定的法定代表人指负责人。本招标文件所称负责人是指参加投标的其他组织营业执照或者执业许可证等证照上的负责人。</w:t>
            </w:r>
          </w:p>
          <w:p w14:paraId="09ECAE09">
            <w:pPr>
              <w:pStyle w:val="15"/>
              <w:snapToGrid w:val="0"/>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4.本招标文件中描述投标人的“签字”是指投标人的法定代表人或者委托代理人亲自在文件规定签字处亲笔写上个人的名字的行为，私章、签字章、印鉴、影印等其他形式均不能代替亲笔签字。</w:t>
            </w:r>
          </w:p>
          <w:p w14:paraId="6F2AD981">
            <w:pPr>
              <w:spacing w:line="360" w:lineRule="auto"/>
              <w:jc w:val="left"/>
              <w:rPr>
                <w:rFonts w:hint="eastAsia" w:ascii="宋体" w:hAnsi="宋体"/>
                <w:color w:val="auto"/>
                <w:szCs w:val="21"/>
                <w:highlight w:val="none"/>
              </w:rPr>
            </w:pPr>
            <w:r>
              <w:rPr>
                <w:rFonts w:hint="eastAsia" w:hAnsi="宋体" w:cs="宋体"/>
                <w:bCs/>
                <w:color w:val="auto"/>
                <w:highlight w:val="none"/>
              </w:rPr>
              <w:t>5.</w:t>
            </w:r>
            <w:r>
              <w:rPr>
                <w:rFonts w:hint="eastAsia" w:ascii="宋体" w:hAnsi="宋体" w:cs="宋体"/>
                <w:bCs/>
                <w:color w:val="auto"/>
                <w:kern w:val="0"/>
                <w:szCs w:val="21"/>
                <w:highlight w:val="none"/>
              </w:rPr>
              <w:t>本招标文件所称的“以上”“以下”“以内”“届满”，包括本数；所称的“不满”“超过”“以外”，不包括本数。</w:t>
            </w:r>
          </w:p>
        </w:tc>
      </w:tr>
    </w:tbl>
    <w:p w14:paraId="317566A4">
      <w:pPr>
        <w:pStyle w:val="23"/>
        <w:ind w:left="0" w:leftChars="0" w:firstLine="0" w:firstLineChars="0"/>
        <w:rPr>
          <w:rFonts w:hint="eastAsia"/>
          <w:color w:val="auto"/>
          <w:highlight w:val="none"/>
        </w:rPr>
      </w:pPr>
    </w:p>
    <w:p w14:paraId="4218F2A1">
      <w:pPr>
        <w:rPr>
          <w:rFonts w:hint="eastAsia"/>
          <w:color w:val="auto"/>
          <w:highlight w:val="none"/>
        </w:rPr>
      </w:pPr>
    </w:p>
    <w:p w14:paraId="26DBEF40">
      <w:pPr>
        <w:pStyle w:val="4"/>
        <w:keepNext w:val="0"/>
        <w:keepLines w:val="0"/>
        <w:jc w:val="center"/>
        <w:rPr>
          <w:rFonts w:hint="eastAsia"/>
          <w:color w:val="auto"/>
          <w:highlight w:val="none"/>
        </w:rPr>
      </w:pPr>
      <w:r>
        <w:rPr>
          <w:rFonts w:hint="eastAsia"/>
          <w:color w:val="auto"/>
          <w:highlight w:val="none"/>
        </w:rPr>
        <w:t>投标人须知正文</w:t>
      </w:r>
    </w:p>
    <w:p w14:paraId="52C96B44">
      <w:pPr>
        <w:pStyle w:val="4"/>
        <w:keepNext w:val="0"/>
        <w:keepLines w:val="0"/>
        <w:jc w:val="center"/>
        <w:rPr>
          <w:rFonts w:hint="eastAsia"/>
          <w:color w:val="auto"/>
          <w:highlight w:val="none"/>
        </w:rPr>
      </w:pPr>
      <w:r>
        <w:rPr>
          <w:rFonts w:hint="eastAsia"/>
          <w:color w:val="auto"/>
          <w:highlight w:val="none"/>
        </w:rPr>
        <w:t>一、总则</w:t>
      </w:r>
    </w:p>
    <w:p w14:paraId="278ED124">
      <w:pPr>
        <w:pStyle w:val="5"/>
        <w:keepNext w:val="0"/>
        <w:keepLines w:val="0"/>
        <w:spacing w:before="0" w:after="0" w:line="360" w:lineRule="auto"/>
        <w:ind w:left="420" w:leftChars="200"/>
        <w:rPr>
          <w:rFonts w:hint="eastAsia" w:ascii="黑体" w:hAnsi="黑体" w:eastAsia="黑体"/>
          <w:color w:val="auto"/>
          <w:sz w:val="24"/>
          <w:highlight w:val="none"/>
        </w:rPr>
      </w:pPr>
      <w:bookmarkStart w:id="40" w:name="_Toc254970527"/>
      <w:bookmarkStart w:id="41" w:name="_Toc254970668"/>
      <w:r>
        <w:rPr>
          <w:rFonts w:hint="eastAsia" w:ascii="黑体" w:hAnsi="黑体" w:eastAsia="黑体"/>
          <w:color w:val="auto"/>
          <w:sz w:val="24"/>
          <w:highlight w:val="none"/>
        </w:rPr>
        <w:t>1.适用范围</w:t>
      </w:r>
      <w:bookmarkEnd w:id="40"/>
      <w:bookmarkEnd w:id="41"/>
    </w:p>
    <w:p w14:paraId="1F5B0464">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51ABC90">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3A9FBAA1">
      <w:pPr>
        <w:pStyle w:val="5"/>
        <w:keepNext w:val="0"/>
        <w:keepLines w:val="0"/>
        <w:spacing w:before="0" w:after="0" w:line="360" w:lineRule="auto"/>
        <w:ind w:left="420" w:leftChars="200"/>
        <w:rPr>
          <w:rFonts w:hint="eastAsia" w:ascii="黑体" w:hAnsi="黑体" w:eastAsia="黑体"/>
          <w:color w:val="auto"/>
          <w:sz w:val="24"/>
          <w:highlight w:val="none"/>
        </w:rPr>
      </w:pPr>
      <w:bookmarkStart w:id="42" w:name="_Toc254970669"/>
      <w:bookmarkStart w:id="43" w:name="_Toc254970528"/>
      <w:r>
        <w:rPr>
          <w:rFonts w:hint="eastAsia" w:ascii="黑体" w:hAnsi="黑体" w:eastAsia="黑体"/>
          <w:color w:val="auto"/>
          <w:sz w:val="24"/>
          <w:highlight w:val="none"/>
        </w:rPr>
        <w:t>2.定义</w:t>
      </w:r>
      <w:bookmarkEnd w:id="42"/>
      <w:bookmarkEnd w:id="43"/>
    </w:p>
    <w:p w14:paraId="3D07F3ED">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6902F980">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451FC567">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2.3“供应商”是指向采购人提供货物、工程或者服务的法人或者其他组织。</w:t>
      </w:r>
    </w:p>
    <w:p w14:paraId="2B4A3FD2">
      <w:pPr>
        <w:pStyle w:val="6"/>
        <w:spacing w:line="360" w:lineRule="auto"/>
        <w:rPr>
          <w:rFonts w:hint="eastAsia" w:ascii="宋体" w:hAnsi="宋体"/>
          <w:color w:val="auto"/>
          <w:szCs w:val="21"/>
          <w:highlight w:val="none"/>
        </w:rPr>
      </w:pPr>
      <w:r>
        <w:rPr>
          <w:rFonts w:hint="eastAsia" w:ascii="宋体" w:hAnsi="宋体"/>
          <w:color w:val="auto"/>
          <w:szCs w:val="21"/>
          <w:highlight w:val="none"/>
        </w:rPr>
        <w:t>2.4“投标人”是指响应招标、参加投标竞争的法人</w:t>
      </w:r>
      <w:r>
        <w:rPr>
          <w:rFonts w:hint="eastAsia" w:ascii="宋体" w:hAnsi="宋体"/>
          <w:b/>
          <w:color w:val="auto"/>
          <w:szCs w:val="21"/>
          <w:highlight w:val="none"/>
        </w:rPr>
        <w:t>或者</w:t>
      </w:r>
      <w:r>
        <w:rPr>
          <w:rFonts w:hint="eastAsia" w:ascii="宋体" w:hAnsi="宋体"/>
          <w:color w:val="auto"/>
          <w:szCs w:val="21"/>
          <w:highlight w:val="none"/>
        </w:rPr>
        <w:t>其他组织。</w:t>
      </w:r>
    </w:p>
    <w:p w14:paraId="2131224A">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2.5“服务”是指除货物和工程以外的其他政府采购对象。</w:t>
      </w:r>
    </w:p>
    <w:p w14:paraId="698EFA98">
      <w:pPr>
        <w:pStyle w:val="5"/>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lang w:val="en-US" w:eastAsia="zh-CN"/>
        </w:rPr>
        <w:t xml:space="preserve">    </w:t>
      </w:r>
      <w:r>
        <w:rPr>
          <w:rFonts w:hint="eastAsia" w:ascii="宋体" w:hAnsi="宋体"/>
          <w:b w:val="0"/>
          <w:color w:val="auto"/>
          <w:sz w:val="21"/>
          <w:szCs w:val="21"/>
          <w:highlight w:val="none"/>
        </w:rPr>
        <w:t>2.</w:t>
      </w:r>
      <w:r>
        <w:rPr>
          <w:rFonts w:ascii="宋体" w:hAnsi="宋体"/>
          <w:b w:val="0"/>
          <w:color w:val="auto"/>
          <w:sz w:val="21"/>
          <w:szCs w:val="21"/>
          <w:highlight w:val="none"/>
        </w:rPr>
        <w:t>6</w:t>
      </w:r>
      <w:r>
        <w:rPr>
          <w:rFonts w:hint="eastAsia" w:ascii="宋体" w:hAnsi="宋体"/>
          <w:b w:val="0"/>
          <w:color w:val="auto"/>
          <w:sz w:val="21"/>
          <w:szCs w:val="21"/>
          <w:highlight w:val="none"/>
        </w:rPr>
        <w:t>“书面形式”是指合同书、信件和数据电文（包括电报、电传、传真、电子数据交换和电子邮件）等可以有形地表现所载内容的形式。</w:t>
      </w:r>
    </w:p>
    <w:p w14:paraId="274605F9">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w:t>
      </w:r>
      <w:r>
        <w:rPr>
          <w:rFonts w:ascii="宋体" w:hAnsi="宋体"/>
          <w:b w:val="0"/>
          <w:color w:val="auto"/>
          <w:sz w:val="21"/>
          <w:szCs w:val="21"/>
          <w:highlight w:val="none"/>
        </w:rPr>
        <w:t>7</w:t>
      </w:r>
      <w:r>
        <w:rPr>
          <w:rFonts w:hint="eastAsia" w:ascii="宋体" w:hAnsi="宋体"/>
          <w:b w:val="0"/>
          <w:color w:val="auto"/>
          <w:sz w:val="21"/>
          <w:szCs w:val="21"/>
          <w:highlight w:val="none"/>
        </w:rPr>
        <w:t>“实质性要求”是指招标文件中已经指明不满足则投标无效的条款，或者不能负偏离的条款，或者采购需求中带“▲”的条款。</w:t>
      </w:r>
    </w:p>
    <w:p w14:paraId="6010F0AA">
      <w:pPr>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8</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255E54DF">
      <w:pPr>
        <w:snapToGrid w:val="0"/>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70FB215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0</w:t>
      </w:r>
      <w:r>
        <w:rPr>
          <w:rFonts w:hint="eastAsia" w:ascii="宋体" w:hAnsi="宋体" w:cs="宋体"/>
          <w:color w:val="auto"/>
          <w:szCs w:val="21"/>
          <w:highlight w:val="none"/>
        </w:rPr>
        <w:t>“允许负偏离的条款”是指采购需求中的不属于“实质性要求”的条款。</w:t>
      </w:r>
      <w:bookmarkStart w:id="44" w:name="_Toc254970529"/>
      <w:bookmarkStart w:id="45" w:name="_Toc254970670"/>
    </w:p>
    <w:p w14:paraId="27190520">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w:t>
      </w:r>
      <w:bookmarkEnd w:id="44"/>
      <w:bookmarkEnd w:id="45"/>
      <w:r>
        <w:rPr>
          <w:rFonts w:hint="eastAsia" w:ascii="黑体" w:hAnsi="黑体" w:eastAsia="黑体"/>
          <w:color w:val="auto"/>
          <w:sz w:val="24"/>
          <w:highlight w:val="none"/>
        </w:rPr>
        <w:t>投标人的资格要求</w:t>
      </w:r>
    </w:p>
    <w:p w14:paraId="68936F35">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投标人的资格要求详见“投标人须知前附表”。</w:t>
      </w:r>
    </w:p>
    <w:p w14:paraId="0A648D1A">
      <w:pPr>
        <w:pStyle w:val="5"/>
        <w:keepNext w:val="0"/>
        <w:keepLines w:val="0"/>
        <w:spacing w:before="0" w:after="0" w:line="360" w:lineRule="auto"/>
        <w:ind w:left="420" w:leftChars="200"/>
        <w:rPr>
          <w:rFonts w:hint="eastAsia" w:ascii="黑体" w:hAnsi="黑体" w:eastAsia="黑体"/>
          <w:color w:val="auto"/>
          <w:sz w:val="24"/>
          <w:highlight w:val="none"/>
        </w:rPr>
      </w:pPr>
      <w:bookmarkStart w:id="46" w:name="_Toc254970530"/>
      <w:bookmarkStart w:id="47" w:name="_Toc254970671"/>
      <w:r>
        <w:rPr>
          <w:rFonts w:hint="eastAsia" w:ascii="黑体" w:hAnsi="黑体" w:eastAsia="黑体"/>
          <w:color w:val="auto"/>
          <w:sz w:val="24"/>
          <w:highlight w:val="none"/>
        </w:rPr>
        <w:t>4.投标委托</w:t>
      </w:r>
      <w:bookmarkEnd w:id="46"/>
      <w:bookmarkEnd w:id="47"/>
    </w:p>
    <w:p w14:paraId="6B66EB0C">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34AAAE17">
      <w:pPr>
        <w:pStyle w:val="5"/>
        <w:keepNext w:val="0"/>
        <w:keepLines w:val="0"/>
        <w:spacing w:before="0" w:after="0" w:line="360" w:lineRule="auto"/>
        <w:ind w:left="420" w:leftChars="200"/>
        <w:rPr>
          <w:rFonts w:hint="eastAsia" w:ascii="黑体" w:hAnsi="黑体" w:eastAsia="黑体"/>
          <w:color w:val="auto"/>
          <w:sz w:val="24"/>
          <w:highlight w:val="none"/>
        </w:rPr>
      </w:pPr>
      <w:bookmarkStart w:id="48" w:name="_5.投标费用"/>
      <w:bookmarkEnd w:id="48"/>
      <w:bookmarkStart w:id="49" w:name="_Toc254970531"/>
      <w:bookmarkStart w:id="50" w:name="_Toc254970672"/>
      <w:r>
        <w:rPr>
          <w:rFonts w:hint="eastAsia" w:ascii="黑体" w:hAnsi="黑体" w:eastAsia="黑体"/>
          <w:color w:val="auto"/>
          <w:sz w:val="24"/>
          <w:highlight w:val="none"/>
        </w:rPr>
        <w:t>5.投标费用</w:t>
      </w:r>
      <w:bookmarkEnd w:id="49"/>
      <w:bookmarkEnd w:id="50"/>
    </w:p>
    <w:p w14:paraId="11E338C4">
      <w:pPr>
        <w:snapToGrid w:val="0"/>
        <w:spacing w:line="360" w:lineRule="auto"/>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6E96D3F3">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786073F9">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6.1本项目不接受联合体投标，详见“投标人须知前附表”。</w:t>
      </w:r>
    </w:p>
    <w:p w14:paraId="5E8F661D">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7.转包与分包</w:t>
      </w:r>
    </w:p>
    <w:p w14:paraId="1470ED69">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51" w:name="_Toc254970673"/>
      <w:bookmarkStart w:id="52" w:name="_Toc254970532"/>
      <w:r>
        <w:rPr>
          <w:rFonts w:hint="eastAsia" w:ascii="宋体" w:hAnsi="宋体"/>
          <w:b w:val="0"/>
          <w:color w:val="auto"/>
          <w:sz w:val="21"/>
          <w:szCs w:val="21"/>
          <w:highlight w:val="none"/>
        </w:rPr>
        <w:t>7.1本项目不允许转包。</w:t>
      </w:r>
    </w:p>
    <w:p w14:paraId="626C405A">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7.2本项目不允许分包。</w:t>
      </w:r>
    </w:p>
    <w:p w14:paraId="60CE3E5B">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8.特别说明</w:t>
      </w:r>
      <w:bookmarkEnd w:id="51"/>
      <w:bookmarkEnd w:id="52"/>
    </w:p>
    <w:p w14:paraId="583DEA85">
      <w:pPr>
        <w:pStyle w:val="5"/>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8.1如果本招标文件要求提供投标人或制造商的资格、信誉、荣誉、业绩与企业认证等材料的，资格、信誉、荣誉、业绩与企业认证等必须为投标人或者制造商所拥有或自身获得。</w:t>
      </w:r>
    </w:p>
    <w:p w14:paraId="14EAAC7C">
      <w:pPr>
        <w:pStyle w:val="5"/>
        <w:keepNext w:val="0"/>
        <w:keepLines w:val="0"/>
        <w:spacing w:before="0" w:after="0" w:line="360" w:lineRule="auto"/>
        <w:ind w:firstLine="367" w:firstLineChars="175"/>
        <w:rPr>
          <w:rFonts w:hint="eastAsia" w:ascii="宋体" w:hAnsi="宋体"/>
          <w:b w:val="0"/>
          <w:color w:val="auto"/>
          <w:sz w:val="21"/>
          <w:szCs w:val="21"/>
          <w:highlight w:val="none"/>
        </w:rPr>
      </w:pPr>
      <w:r>
        <w:rPr>
          <w:rFonts w:hint="eastAsia" w:ascii="宋体" w:hAnsi="宋体"/>
          <w:b w:val="0"/>
          <w:color w:val="auto"/>
          <w:sz w:val="21"/>
          <w:szCs w:val="21"/>
          <w:highlight w:val="none"/>
        </w:rPr>
        <w:t>8.2投标人应仔细阅读招标文件的所有内容，按照招标文件的要求提交投标文件，并对所提供的全部资料的真实性承担法律责任。</w:t>
      </w:r>
    </w:p>
    <w:p w14:paraId="2221D46C">
      <w:pPr>
        <w:pStyle w:val="5"/>
        <w:keepNext w:val="0"/>
        <w:keepLines w:val="0"/>
        <w:spacing w:before="0" w:after="0" w:line="360" w:lineRule="auto"/>
        <w:ind w:firstLine="367" w:firstLineChars="175"/>
        <w:rPr>
          <w:rFonts w:hint="eastAsia" w:ascii="宋体" w:hAnsi="宋体"/>
          <w:b w:val="0"/>
          <w:color w:val="auto"/>
          <w:sz w:val="21"/>
          <w:szCs w:val="21"/>
          <w:highlight w:val="none"/>
        </w:rPr>
      </w:pPr>
      <w:r>
        <w:rPr>
          <w:rFonts w:hint="eastAsia" w:ascii="宋体" w:hAnsi="宋体"/>
          <w:b w:val="0"/>
          <w:color w:val="auto"/>
          <w:sz w:val="21"/>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79A10035">
      <w:pPr>
        <w:pStyle w:val="5"/>
        <w:keepNext w:val="0"/>
        <w:keepLines w:val="0"/>
        <w:spacing w:before="0" w:after="0" w:line="360" w:lineRule="auto"/>
        <w:ind w:left="420" w:leftChars="20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32AA116B">
      <w:pPr>
        <w:pStyle w:val="5"/>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65D58852">
      <w:pPr>
        <w:pStyle w:val="15"/>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1</w:t>
      </w:r>
      <w:r>
        <w:rPr>
          <w:rFonts w:hAnsi="宋体"/>
          <w:color w:val="auto"/>
          <w:kern w:val="2"/>
          <w:sz w:val="21"/>
          <w:highlight w:val="none"/>
        </w:rPr>
        <w:t>）参加采购活动前3年内与</w:t>
      </w:r>
      <w:r>
        <w:rPr>
          <w:rFonts w:hint="eastAsia" w:hAnsi="宋体"/>
          <w:color w:val="auto"/>
          <w:kern w:val="2"/>
          <w:sz w:val="21"/>
          <w:highlight w:val="none"/>
        </w:rPr>
        <w:t>供应商</w:t>
      </w:r>
      <w:r>
        <w:rPr>
          <w:rFonts w:hAnsi="宋体"/>
          <w:color w:val="auto"/>
          <w:kern w:val="2"/>
          <w:sz w:val="21"/>
          <w:highlight w:val="none"/>
        </w:rPr>
        <w:t>存在劳动关系；</w:t>
      </w:r>
    </w:p>
    <w:p w14:paraId="2DE2B44E">
      <w:pPr>
        <w:pStyle w:val="15"/>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2</w:t>
      </w:r>
      <w:r>
        <w:rPr>
          <w:rFonts w:hAnsi="宋体"/>
          <w:color w:val="auto"/>
          <w:kern w:val="2"/>
          <w:sz w:val="21"/>
          <w:highlight w:val="none"/>
        </w:rPr>
        <w:t>）参加采购活动前3年内担任</w:t>
      </w:r>
      <w:r>
        <w:rPr>
          <w:rFonts w:hint="eastAsia" w:hAnsi="宋体"/>
          <w:color w:val="auto"/>
          <w:kern w:val="2"/>
          <w:sz w:val="21"/>
          <w:highlight w:val="none"/>
        </w:rPr>
        <w:t>供应商</w:t>
      </w:r>
      <w:r>
        <w:rPr>
          <w:rFonts w:hAnsi="宋体"/>
          <w:color w:val="auto"/>
          <w:kern w:val="2"/>
          <w:sz w:val="21"/>
          <w:highlight w:val="none"/>
        </w:rPr>
        <w:t>的董事、监事；</w:t>
      </w:r>
    </w:p>
    <w:p w14:paraId="2EBE4328">
      <w:pPr>
        <w:pStyle w:val="15"/>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3</w:t>
      </w:r>
      <w:r>
        <w:rPr>
          <w:rFonts w:hAnsi="宋体"/>
          <w:color w:val="auto"/>
          <w:kern w:val="2"/>
          <w:sz w:val="21"/>
          <w:highlight w:val="none"/>
        </w:rPr>
        <w:t>）参加采购活动前3年内是</w:t>
      </w:r>
      <w:r>
        <w:rPr>
          <w:rFonts w:hint="eastAsia" w:hAnsi="宋体"/>
          <w:color w:val="auto"/>
          <w:kern w:val="2"/>
          <w:sz w:val="21"/>
          <w:highlight w:val="none"/>
        </w:rPr>
        <w:t>供应商</w:t>
      </w:r>
      <w:r>
        <w:rPr>
          <w:rFonts w:hAnsi="宋体"/>
          <w:color w:val="auto"/>
          <w:kern w:val="2"/>
          <w:sz w:val="21"/>
          <w:highlight w:val="none"/>
        </w:rPr>
        <w:t>的控股股东或者实际控制人；</w:t>
      </w:r>
    </w:p>
    <w:p w14:paraId="3A5D8524">
      <w:pPr>
        <w:pStyle w:val="15"/>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4</w:t>
      </w:r>
      <w:r>
        <w:rPr>
          <w:rFonts w:hAnsi="宋体"/>
          <w:color w:val="auto"/>
          <w:kern w:val="2"/>
          <w:sz w:val="21"/>
          <w:highlight w:val="none"/>
        </w:rPr>
        <w:t>）与</w:t>
      </w:r>
      <w:r>
        <w:rPr>
          <w:rFonts w:hint="eastAsia" w:hAnsi="宋体"/>
          <w:color w:val="auto"/>
          <w:kern w:val="2"/>
          <w:sz w:val="21"/>
          <w:highlight w:val="none"/>
        </w:rPr>
        <w:t>供应商</w:t>
      </w:r>
      <w:r>
        <w:rPr>
          <w:rFonts w:hAnsi="宋体"/>
          <w:color w:val="auto"/>
          <w:kern w:val="2"/>
          <w:sz w:val="21"/>
          <w:highlight w:val="none"/>
        </w:rPr>
        <w:t>的法定代表人或者负责人有夫妻、直系血亲、三代以内旁系血亲或者近姻亲关系；</w:t>
      </w:r>
    </w:p>
    <w:p w14:paraId="7BEFD7B0">
      <w:pPr>
        <w:pStyle w:val="15"/>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5</w:t>
      </w:r>
      <w:r>
        <w:rPr>
          <w:rFonts w:hAnsi="宋体"/>
          <w:color w:val="auto"/>
          <w:kern w:val="2"/>
          <w:sz w:val="21"/>
          <w:highlight w:val="none"/>
        </w:rPr>
        <w:t>）与</w:t>
      </w:r>
      <w:r>
        <w:rPr>
          <w:rFonts w:hint="eastAsia" w:hAnsi="宋体"/>
          <w:color w:val="auto"/>
          <w:kern w:val="2"/>
          <w:sz w:val="21"/>
          <w:highlight w:val="none"/>
        </w:rPr>
        <w:t>供应商</w:t>
      </w:r>
      <w:r>
        <w:rPr>
          <w:rFonts w:hAnsi="宋体"/>
          <w:color w:val="auto"/>
          <w:kern w:val="2"/>
          <w:sz w:val="21"/>
          <w:highlight w:val="none"/>
        </w:rPr>
        <w:t>有其他可能影响政府采购活动公平、公正进行的关系。</w:t>
      </w:r>
    </w:p>
    <w:p w14:paraId="32CBBF28">
      <w:pPr>
        <w:pStyle w:val="1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供应商</w:t>
      </w:r>
      <w:r>
        <w:rPr>
          <w:rFonts w:hAnsi="宋体"/>
          <w:color w:val="auto"/>
          <w:kern w:val="2"/>
          <w:sz w:val="21"/>
          <w:highlight w:val="none"/>
        </w:rPr>
        <w:t>认为采购人员及相关人员与其他</w:t>
      </w:r>
      <w:r>
        <w:rPr>
          <w:rFonts w:hint="eastAsia" w:hAnsi="宋体"/>
          <w:color w:val="auto"/>
          <w:kern w:val="2"/>
          <w:sz w:val="21"/>
          <w:highlight w:val="none"/>
        </w:rPr>
        <w:t>供应商</w:t>
      </w:r>
      <w:r>
        <w:rPr>
          <w:rFonts w:hAnsi="宋体"/>
          <w:color w:val="auto"/>
          <w:kern w:val="2"/>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5F0AC8B6">
      <w:pPr>
        <w:pStyle w:val="5"/>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135F6B6F">
      <w:pPr>
        <w:pStyle w:val="15"/>
        <w:snapToGrid w:val="0"/>
        <w:spacing w:line="360" w:lineRule="auto"/>
        <w:ind w:left="2" w:leftChars="1" w:firstLine="422" w:firstLineChars="200"/>
        <w:rPr>
          <w:rFonts w:hint="eastAsia" w:hAnsi="宋体" w:eastAsia="宋体"/>
          <w:b/>
          <w:color w:val="auto"/>
          <w:kern w:val="2"/>
          <w:sz w:val="21"/>
          <w:highlight w:val="none"/>
          <w:lang w:eastAsia="zh-CN"/>
        </w:rPr>
      </w:pPr>
      <w:r>
        <w:rPr>
          <w:rFonts w:hint="eastAsia" w:hAnsi="宋体"/>
          <w:b/>
          <w:color w:val="auto"/>
          <w:kern w:val="2"/>
          <w:sz w:val="21"/>
          <w:highlight w:val="none"/>
        </w:rPr>
        <w:t>（1）不同投标人的投标文件由同一单位或者个人编制；</w:t>
      </w:r>
    </w:p>
    <w:p w14:paraId="730D322E">
      <w:pPr>
        <w:pStyle w:val="15"/>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（2）不同投标人委托同一单位或者个人办理投标事宜；</w:t>
      </w:r>
    </w:p>
    <w:p w14:paraId="4AB33B7A">
      <w:pPr>
        <w:pStyle w:val="15"/>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（3）不同的投标人的投标文件载明的项目管理员为同一个人；</w:t>
      </w:r>
    </w:p>
    <w:p w14:paraId="3C1FF92A">
      <w:pPr>
        <w:pStyle w:val="15"/>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（4）不同投标人的投标文件异常一致或者投标报价呈规律性差异；</w:t>
      </w:r>
    </w:p>
    <w:p w14:paraId="08961E79">
      <w:pPr>
        <w:pStyle w:val="15"/>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（5）不同投标人的投标文件相互混装；</w:t>
      </w:r>
    </w:p>
    <w:p w14:paraId="5FBECE61">
      <w:pPr>
        <w:pStyle w:val="15"/>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（6）不同投标人的投标保证金从同一单位或者个人账户转出。</w:t>
      </w:r>
    </w:p>
    <w:p w14:paraId="22D6834F">
      <w:pPr>
        <w:pStyle w:val="5"/>
        <w:keepNext w:val="0"/>
        <w:keepLines w:val="0"/>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3D8F81D7">
      <w:pPr>
        <w:pStyle w:val="1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（1）供应商直接或者间接从采购人或者采购代理机构处获得其他供应商的相关信息并修改其投标文件或者响应文件；</w:t>
      </w:r>
    </w:p>
    <w:p w14:paraId="6BE50BB2">
      <w:pPr>
        <w:pStyle w:val="1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（2）供应商按照采购人或者采购代理机构的授意撤换、修改投标文件或者响应文件；</w:t>
      </w:r>
    </w:p>
    <w:p w14:paraId="15078278">
      <w:pPr>
        <w:pStyle w:val="1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（3）供应商之间协商报价、技术方案等投标文件或者响应文件的实质性内容；</w:t>
      </w:r>
    </w:p>
    <w:p w14:paraId="6D5EB3E2">
      <w:pPr>
        <w:pStyle w:val="1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（4）属于同一集团、协会、商会等组织成员的供应商按照该组织要求协同参加政府采购活动；</w:t>
      </w:r>
    </w:p>
    <w:p w14:paraId="0F9A6906">
      <w:pPr>
        <w:pStyle w:val="1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7EE994B4">
      <w:pPr>
        <w:pStyle w:val="1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（6）供应商之间商定部分供应商放弃参加政府采购活动或者放弃中标；</w:t>
      </w:r>
    </w:p>
    <w:p w14:paraId="16B27AC7">
      <w:pPr>
        <w:pStyle w:val="15"/>
        <w:snapToGrid w:val="0"/>
        <w:spacing w:line="360" w:lineRule="auto"/>
        <w:ind w:left="2" w:leftChars="1" w:firstLine="420" w:firstLineChars="200"/>
        <w:rPr>
          <w:rFonts w:hint="eastAsia" w:hAnsi="宋体"/>
          <w:b/>
          <w:color w:val="auto"/>
          <w:kern w:val="2"/>
          <w:sz w:val="21"/>
          <w:highlight w:val="none"/>
        </w:rPr>
      </w:pPr>
      <w:r>
        <w:rPr>
          <w:rFonts w:hint="eastAsia" w:hAnsi="宋体"/>
          <w:color w:val="auto"/>
          <w:kern w:val="2"/>
          <w:sz w:val="21"/>
          <w:highlight w:val="none"/>
        </w:rPr>
        <w:t>（7）供应商与采购人或者采购代理机构之间、供应商相互之间，为谋求特定供应商中标或者排斥其他供应商的其他串通行为。</w:t>
      </w:r>
    </w:p>
    <w:p w14:paraId="7386DDCE">
      <w:pPr>
        <w:pStyle w:val="4"/>
        <w:keepNext w:val="0"/>
        <w:keepLines w:val="0"/>
        <w:jc w:val="center"/>
        <w:rPr>
          <w:rFonts w:hint="eastAsia"/>
          <w:color w:val="auto"/>
          <w:highlight w:val="none"/>
        </w:rPr>
      </w:pPr>
      <w:bookmarkStart w:id="53" w:name="_Toc254970675"/>
      <w:bookmarkStart w:id="54" w:name="_Toc254970534"/>
      <w:r>
        <w:rPr>
          <w:rFonts w:hint="eastAsia"/>
          <w:color w:val="auto"/>
          <w:highlight w:val="none"/>
        </w:rPr>
        <w:t>二、招标文件</w:t>
      </w:r>
      <w:bookmarkEnd w:id="53"/>
      <w:bookmarkEnd w:id="54"/>
    </w:p>
    <w:p w14:paraId="37B87F9C">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10.招标文件的组成</w:t>
      </w:r>
    </w:p>
    <w:p w14:paraId="2CFC2188">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（1）招标公告；</w:t>
      </w:r>
    </w:p>
    <w:p w14:paraId="3606AC91">
      <w:pPr>
        <w:snapToGrid w:val="0"/>
        <w:spacing w:line="360" w:lineRule="auto"/>
        <w:ind w:firstLine="420"/>
        <w:jc w:val="left"/>
        <w:rPr>
          <w:rFonts w:hint="eastAsia" w:ascii="宋体" w:hAnsi="宋体" w:eastAsia="宋体"/>
          <w:color w:val="auto"/>
          <w:szCs w:val="21"/>
          <w:highlight w:val="none"/>
          <w:lang w:eastAsia="zh-CN"/>
        </w:rPr>
      </w:pPr>
      <w:r>
        <w:rPr>
          <w:rFonts w:hint="eastAsia" w:ascii="宋体" w:hAnsi="宋体"/>
          <w:color w:val="auto"/>
          <w:szCs w:val="21"/>
          <w:highlight w:val="none"/>
        </w:rPr>
        <w:t>（2）采购需求；</w:t>
      </w:r>
    </w:p>
    <w:p w14:paraId="370C1D14">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（3）投标人须知；</w:t>
      </w:r>
    </w:p>
    <w:p w14:paraId="0B496DD4">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（4）评标方法及评标标准；</w:t>
      </w:r>
    </w:p>
    <w:p w14:paraId="699FC484">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（5）拟签订的合同文本；</w:t>
      </w:r>
    </w:p>
    <w:p w14:paraId="4C80AC52">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（6）投标文件格式。</w:t>
      </w:r>
    </w:p>
    <w:p w14:paraId="7C74AD90">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11.招标文件的澄清、修改、现场考察和答疑会</w:t>
      </w:r>
    </w:p>
    <w:p w14:paraId="51E2D4C1">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5B463CB">
      <w:pPr>
        <w:pStyle w:val="1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2FF19C32">
      <w:pPr>
        <w:pStyle w:val="1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1</w:t>
      </w:r>
      <w:r>
        <w:rPr>
          <w:rFonts w:hAnsi="宋体"/>
          <w:color w:val="auto"/>
          <w:sz w:val="21"/>
          <w:highlight w:val="none"/>
        </w:rPr>
        <w:t>1.2</w:t>
      </w:r>
      <w:bookmarkStart w:id="55" w:name="_Hlk53134511"/>
      <w:r>
        <w:rPr>
          <w:rFonts w:hint="eastAsia" w:hAnsi="宋体"/>
          <w:color w:val="auto"/>
          <w:sz w:val="21"/>
          <w:highlight w:val="none"/>
        </w:rPr>
        <w:t>采购人或者采购代理机构可以在招标文件提供期限截止后，组织已获取招标文件的潜在投标人现场考察或者召开开标前答疑会，具体详见“投标人须知前附表”。</w:t>
      </w:r>
    </w:p>
    <w:bookmarkEnd w:id="55"/>
    <w:p w14:paraId="7FC03A7B">
      <w:pPr>
        <w:pStyle w:val="4"/>
        <w:keepNext w:val="0"/>
        <w:keepLines w:val="0"/>
        <w:jc w:val="center"/>
        <w:rPr>
          <w:rFonts w:hint="eastAsia"/>
          <w:color w:val="auto"/>
          <w:highlight w:val="none"/>
        </w:rPr>
      </w:pPr>
      <w:bookmarkStart w:id="56" w:name="_Toc254970676"/>
      <w:bookmarkStart w:id="57" w:name="_Toc254970535"/>
      <w:r>
        <w:rPr>
          <w:rFonts w:hint="eastAsia"/>
          <w:color w:val="auto"/>
          <w:highlight w:val="none"/>
        </w:rPr>
        <w:t>三、投标文件的编制</w:t>
      </w:r>
      <w:bookmarkEnd w:id="56"/>
      <w:bookmarkEnd w:id="57"/>
    </w:p>
    <w:p w14:paraId="5BF0B3FE">
      <w:pPr>
        <w:pStyle w:val="5"/>
        <w:keepNext w:val="0"/>
        <w:keepLines w:val="0"/>
        <w:spacing w:before="0" w:after="0" w:line="360" w:lineRule="auto"/>
        <w:ind w:left="420" w:leftChars="200"/>
        <w:rPr>
          <w:rFonts w:hint="eastAsia" w:ascii="黑体" w:hAnsi="黑体" w:eastAsia="黑体"/>
          <w:color w:val="auto"/>
          <w:sz w:val="24"/>
          <w:highlight w:val="none"/>
        </w:rPr>
      </w:pPr>
      <w:bookmarkStart w:id="58" w:name="_Toc254970536"/>
      <w:bookmarkStart w:id="59" w:name="_Toc254970677"/>
      <w:r>
        <w:rPr>
          <w:rFonts w:hint="eastAsia" w:ascii="黑体" w:hAnsi="黑体" w:eastAsia="黑体"/>
          <w:color w:val="auto"/>
          <w:sz w:val="24"/>
          <w:highlight w:val="none"/>
        </w:rPr>
        <w:t>12.投标文件的编制原则</w:t>
      </w:r>
    </w:p>
    <w:p w14:paraId="596096B4">
      <w:pPr>
        <w:snapToGrid w:val="0"/>
        <w:spacing w:line="360" w:lineRule="auto"/>
        <w:ind w:firstLine="420"/>
        <w:jc w:val="left"/>
        <w:rPr>
          <w:rFonts w:hint="eastAsia"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76A80CFF">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bookmarkEnd w:id="58"/>
      <w:bookmarkEnd w:id="59"/>
    </w:p>
    <w:p w14:paraId="60D8F410">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13.1</w:t>
      </w:r>
      <w:r>
        <w:rPr>
          <w:rFonts w:hint="eastAsia" w:ascii="宋体" w:hAnsi="宋体"/>
          <w:color w:val="auto"/>
          <w:szCs w:val="21"/>
          <w:highlight w:val="none"/>
        </w:rPr>
        <w:t>投标文件由报价文件、资格证明文件、商务文件、技术文件四部分组成。</w:t>
      </w:r>
    </w:p>
    <w:p w14:paraId="6C0CC4B8">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60" w:name="_13.1报价文件:_具体材料见“投标人须知前附表”。"/>
      <w:bookmarkEnd w:id="60"/>
      <w:r>
        <w:rPr>
          <w:rFonts w:hint="eastAsia" w:ascii="宋体" w:hAnsi="宋体"/>
          <w:b w:val="0"/>
          <w:color w:val="auto"/>
          <w:sz w:val="21"/>
          <w:szCs w:val="21"/>
          <w:highlight w:val="none"/>
        </w:rPr>
        <w:t>（1）报价文件：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2967E445">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61" w:name="_13.2资格证明文件：具体材料见“投标人须知前附表”。"/>
      <w:bookmarkEnd w:id="61"/>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3A8EE483">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62" w:name="_13.3商务文件:_具体材料见“投标人须知前附表”。"/>
      <w:bookmarkEnd w:id="62"/>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20C18C72">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63" w:name="_13.4技术文件：具体材料见“投标人须知前附表”。"/>
      <w:bookmarkEnd w:id="63"/>
      <w:r>
        <w:rPr>
          <w:rFonts w:hint="eastAsia" w:ascii="宋体" w:hAnsi="宋体"/>
          <w:b w:val="0"/>
          <w:color w:val="auto"/>
          <w:sz w:val="21"/>
          <w:szCs w:val="21"/>
          <w:highlight w:val="none"/>
        </w:rPr>
        <w:t>（</w:t>
      </w:r>
      <w:r>
        <w:rPr>
          <w:rFonts w:ascii="宋体" w:hAnsi="宋体"/>
          <w:b w:val="0"/>
          <w:color w:val="auto"/>
          <w:sz w:val="21"/>
          <w:szCs w:val="21"/>
          <w:highlight w:val="none"/>
        </w:rPr>
        <w:t>4</w:t>
      </w:r>
      <w:r>
        <w:rPr>
          <w:rFonts w:hint="eastAsia" w:ascii="宋体" w:hAnsi="宋体"/>
          <w:b w:val="0"/>
          <w:color w:val="auto"/>
          <w:sz w:val="21"/>
          <w:szCs w:val="21"/>
          <w:highlight w:val="none"/>
        </w:rPr>
        <w:t>）技术文件：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1E6FE496">
      <w:pPr>
        <w:pStyle w:val="5"/>
        <w:keepNext w:val="0"/>
        <w:keepLines w:val="0"/>
        <w:spacing w:before="0" w:after="0" w:line="360" w:lineRule="auto"/>
        <w:ind w:left="420" w:leftChars="200"/>
        <w:rPr>
          <w:rFonts w:hint="eastAsia" w:ascii="黑体" w:hAnsi="黑体" w:eastAsia="黑体"/>
          <w:color w:val="auto"/>
          <w:sz w:val="24"/>
          <w:highlight w:val="none"/>
        </w:rPr>
      </w:pPr>
      <w:bookmarkStart w:id="64" w:name="_13.5投标文件电子版：具体材料见“投标人须知前附表”。"/>
      <w:bookmarkEnd w:id="64"/>
      <w:bookmarkStart w:id="65" w:name="_Toc254970537"/>
      <w:bookmarkStart w:id="66" w:name="_Toc254970678"/>
      <w:r>
        <w:rPr>
          <w:rFonts w:hint="eastAsia" w:ascii="黑体" w:hAnsi="黑体" w:eastAsia="黑体"/>
          <w:color w:val="auto"/>
          <w:sz w:val="24"/>
          <w:highlight w:val="none"/>
        </w:rPr>
        <w:t>14.投标文件的语言及计量</w:t>
      </w:r>
      <w:bookmarkEnd w:id="65"/>
      <w:bookmarkEnd w:id="66"/>
    </w:p>
    <w:p w14:paraId="3A85BD4D">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14.1语言文字</w:t>
      </w:r>
    </w:p>
    <w:p w14:paraId="50BEDB69">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39EA7FC">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33A716F0">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bCs/>
          <w:color w:val="auto"/>
          <w:sz w:val="21"/>
          <w:szCs w:val="21"/>
          <w:highlight w:val="none"/>
        </w:rPr>
        <w:t>，否则视同未响应。</w:t>
      </w:r>
    </w:p>
    <w:p w14:paraId="494E7C6E">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15.投标的风险</w:t>
      </w:r>
    </w:p>
    <w:p w14:paraId="1E1CC444">
      <w:pPr>
        <w:pStyle w:val="15"/>
        <w:snapToGrid w:val="0"/>
        <w:spacing w:line="360" w:lineRule="auto"/>
        <w:ind w:firstLine="420" w:firstLineChars="200"/>
        <w:jc w:val="left"/>
        <w:rPr>
          <w:rFonts w:hint="eastAsia" w:hAnsi="宋体"/>
          <w:b/>
          <w:bCs/>
          <w:color w:val="auto"/>
          <w:sz w:val="21"/>
          <w:highlight w:val="none"/>
        </w:rPr>
      </w:pPr>
      <w:r>
        <w:rPr>
          <w:rFonts w:hint="eastAsia" w:hAnsi="宋体"/>
          <w:color w:val="auto"/>
          <w:sz w:val="21"/>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hAnsi="宋体"/>
          <w:b/>
          <w:bCs/>
          <w:color w:val="auto"/>
          <w:sz w:val="21"/>
          <w:highlight w:val="none"/>
        </w:rPr>
        <w:t>投标人没有按照招标文件要求提供全部资料，或者投标人没有对招标文件作出实质性响应是投标人的风险，并可能导致其投标被拒绝。</w:t>
      </w:r>
    </w:p>
    <w:p w14:paraId="0A309E5B">
      <w:pPr>
        <w:pStyle w:val="5"/>
        <w:keepNext w:val="0"/>
        <w:keepLines w:val="0"/>
        <w:spacing w:before="0" w:after="0" w:line="360" w:lineRule="auto"/>
        <w:ind w:left="420" w:leftChars="200"/>
        <w:rPr>
          <w:rFonts w:hint="eastAsia" w:ascii="黑体" w:hAnsi="黑体" w:eastAsia="黑体"/>
          <w:color w:val="auto"/>
          <w:sz w:val="24"/>
          <w:highlight w:val="none"/>
        </w:rPr>
      </w:pPr>
      <w:bookmarkStart w:id="67" w:name="_Toc254970679"/>
      <w:bookmarkStart w:id="68" w:name="_Toc254970538"/>
      <w:r>
        <w:rPr>
          <w:rFonts w:hint="eastAsia" w:ascii="黑体" w:hAnsi="黑体" w:eastAsia="黑体"/>
          <w:color w:val="auto"/>
          <w:sz w:val="24"/>
          <w:highlight w:val="none"/>
        </w:rPr>
        <w:t>16.投标报价</w:t>
      </w:r>
      <w:bookmarkEnd w:id="67"/>
      <w:bookmarkEnd w:id="68"/>
    </w:p>
    <w:p w14:paraId="76615CFC">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45E6655C">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69" w:name="_16.2投标报价具体定义见投标人须知前附表。"/>
      <w:bookmarkEnd w:id="69"/>
      <w:r>
        <w:rPr>
          <w:rFonts w:hint="eastAsia" w:ascii="宋体" w:hAnsi="宋体"/>
          <w:b w:val="0"/>
          <w:color w:val="auto"/>
          <w:sz w:val="21"/>
          <w:szCs w:val="21"/>
          <w:highlight w:val="none"/>
        </w:rPr>
        <w:t>16.2投标报价具体包括内容详见“投标人须知前附表”。</w:t>
      </w:r>
    </w:p>
    <w:p w14:paraId="421B602E">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7D8760A8">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33647EF8">
      <w:pPr>
        <w:pStyle w:val="5"/>
        <w:keepNext w:val="0"/>
        <w:keepLines w:val="0"/>
        <w:spacing w:before="0" w:after="0" w:line="360" w:lineRule="auto"/>
        <w:ind w:firstLine="420" w:firstLineChars="200"/>
        <w:rPr>
          <w:rFonts w:hint="eastAsia" w:ascii="宋体" w:hAnsi="宋体"/>
          <w:b w:val="0"/>
          <w:color w:val="auto"/>
          <w:sz w:val="21"/>
          <w:szCs w:val="21"/>
          <w:highlight w:val="none"/>
        </w:rPr>
      </w:pPr>
      <w:bookmarkStart w:id="70" w:name="_17.1投标有效期应按“投标人须知中的前附表”规定的期限。"/>
      <w:bookmarkEnd w:id="70"/>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52F0636E">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17.2</w:t>
      </w:r>
      <w:bookmarkStart w:id="71" w:name="_Toc254970540"/>
      <w:bookmarkStart w:id="72" w:name="_Toc254970681"/>
      <w:r>
        <w:rPr>
          <w:rFonts w:hint="eastAsia" w:ascii="宋体" w:hAnsi="宋体"/>
          <w:b w:val="0"/>
          <w:color w:val="auto"/>
          <w:sz w:val="21"/>
          <w:szCs w:val="21"/>
          <w:highlight w:val="none"/>
        </w:rPr>
        <w:t>投标有效期应按规定的期限作出承诺，具体详见“投标人须知前附表”。</w:t>
      </w:r>
    </w:p>
    <w:p w14:paraId="7EAF7501">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71"/>
      <w:bookmarkEnd w:id="72"/>
    </w:p>
    <w:p w14:paraId="74066BC3">
      <w:pPr>
        <w:pStyle w:val="5"/>
        <w:keepNext w:val="0"/>
        <w:keepLines w:val="0"/>
        <w:spacing w:before="0" w:after="0" w:line="360" w:lineRule="auto"/>
        <w:ind w:left="420" w:leftChars="200"/>
        <w:rPr>
          <w:rFonts w:hint="eastAsia" w:ascii="黑体" w:hAnsi="黑体" w:eastAsia="黑体"/>
          <w:color w:val="auto"/>
          <w:sz w:val="24"/>
          <w:highlight w:val="none"/>
        </w:rPr>
      </w:pPr>
      <w:bookmarkStart w:id="73" w:name="_18.投标保证金"/>
      <w:bookmarkEnd w:id="73"/>
      <w:bookmarkStart w:id="74" w:name="_Toc254970682"/>
      <w:bookmarkStart w:id="75" w:name="_Toc254970541"/>
      <w:r>
        <w:rPr>
          <w:rFonts w:hint="eastAsia" w:ascii="黑体" w:hAnsi="黑体" w:eastAsia="黑体"/>
          <w:color w:val="auto"/>
          <w:sz w:val="24"/>
          <w:highlight w:val="none"/>
        </w:rPr>
        <w:t>18.投标保证金</w:t>
      </w:r>
      <w:bookmarkEnd w:id="74"/>
      <w:bookmarkEnd w:id="75"/>
      <w:r>
        <w:rPr>
          <w:rFonts w:hint="eastAsia" w:ascii="黑体" w:hAnsi="黑体" w:eastAsia="黑体"/>
          <w:color w:val="auto"/>
          <w:sz w:val="24"/>
          <w:highlight w:val="none"/>
        </w:rPr>
        <w:t>：</w:t>
      </w:r>
    </w:p>
    <w:p w14:paraId="361232A9">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18.1投标人须按“投标人须知前附表”的规定提交投标保证金。</w:t>
      </w:r>
    </w:p>
    <w:p w14:paraId="27E3372C">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19.投标文件的编制</w:t>
      </w:r>
    </w:p>
    <w:p w14:paraId="549CC14C">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19.1投标人应先安装“政采云电子投标客户端”（请自行前往</w:t>
      </w:r>
      <w:r>
        <w:rPr>
          <w:rFonts w:hint="eastAsia" w:ascii="宋体" w:hAnsi="宋体"/>
          <w:b w:val="0"/>
          <w:color w:val="auto"/>
          <w:sz w:val="21"/>
          <w:szCs w:val="21"/>
          <w:highlight w:val="none"/>
          <w:lang w:eastAsia="zh-CN"/>
        </w:rPr>
        <w:t>广西政府采购云平台</w:t>
      </w:r>
      <w:r>
        <w:rPr>
          <w:rFonts w:hint="eastAsia" w:ascii="宋体" w:hAnsi="宋体"/>
          <w:b w:val="0"/>
          <w:color w:val="auto"/>
          <w:sz w:val="21"/>
          <w:szCs w:val="21"/>
          <w:highlight w:val="none"/>
        </w:rPr>
        <w:t>进行下载），并按照本项目招标文件规定的格式和顺序和</w:t>
      </w:r>
      <w:r>
        <w:rPr>
          <w:rFonts w:hint="eastAsia" w:ascii="宋体" w:hAnsi="宋体"/>
          <w:b w:val="0"/>
          <w:color w:val="auto"/>
          <w:sz w:val="21"/>
          <w:szCs w:val="21"/>
          <w:highlight w:val="none"/>
          <w:lang w:eastAsia="zh-CN"/>
        </w:rPr>
        <w:t>广西政府采购云平台</w:t>
      </w:r>
      <w:r>
        <w:rPr>
          <w:rFonts w:hint="eastAsia" w:ascii="宋体" w:hAnsi="宋体"/>
          <w:b w:val="0"/>
          <w:color w:val="auto"/>
          <w:sz w:val="21"/>
          <w:szCs w:val="21"/>
          <w:highlight w:val="none"/>
        </w:rPr>
        <w:t>的要求编制并加密。投标文件内容不完整、编排混乱导致投标文件被误读、漏读或者查找不到相关内容的，由此引发的后果由投标人承担。</w:t>
      </w:r>
    </w:p>
    <w:p w14:paraId="6E350D76">
      <w:pPr>
        <w:pStyle w:val="5"/>
        <w:keepNext w:val="0"/>
        <w:keepLines w:val="0"/>
        <w:spacing w:before="0" w:after="0" w:line="360" w:lineRule="auto"/>
        <w:ind w:firstLine="315" w:firstLineChars="150"/>
        <w:rPr>
          <w:rFonts w:hint="eastAsia" w:ascii="宋体" w:hAnsi="宋体"/>
          <w:b w:val="0"/>
          <w:color w:val="auto"/>
          <w:sz w:val="21"/>
          <w:szCs w:val="21"/>
          <w:highlight w:val="none"/>
        </w:rPr>
      </w:pPr>
      <w:bookmarkStart w:id="76" w:name="_19.2投标文件应按报价文件、资格证明文件、商务文件、技术文件分别编制"/>
      <w:bookmarkEnd w:id="76"/>
      <w:r>
        <w:rPr>
          <w:rFonts w:hint="eastAsia" w:ascii="宋体" w:hAnsi="宋体"/>
          <w:b w:val="0"/>
          <w:color w:val="auto"/>
          <w:sz w:val="21"/>
          <w:szCs w:val="21"/>
          <w:highlight w:val="none"/>
        </w:rPr>
        <w:t>19.2为确保网上操作合法、有效和安全，投标人应当在投标截止时间前完成在</w:t>
      </w:r>
      <w:r>
        <w:rPr>
          <w:rFonts w:hint="eastAsia" w:ascii="宋体" w:hAnsi="宋体"/>
          <w:b w:val="0"/>
          <w:color w:val="auto"/>
          <w:sz w:val="21"/>
          <w:szCs w:val="21"/>
          <w:highlight w:val="none"/>
          <w:lang w:eastAsia="zh-CN"/>
        </w:rPr>
        <w:t>广西政府采购云平台</w:t>
      </w:r>
      <w:r>
        <w:rPr>
          <w:rFonts w:hint="eastAsia" w:ascii="宋体" w:hAnsi="宋体"/>
          <w:b w:val="0"/>
          <w:color w:val="auto"/>
          <w:sz w:val="21"/>
          <w:szCs w:val="21"/>
          <w:highlight w:val="none"/>
        </w:rPr>
        <w:t>的身份认证，确保在电子投标过程中能够对相关数据电文进行加密和使用电子签章。</w:t>
      </w:r>
    </w:p>
    <w:p w14:paraId="455E4BE9">
      <w:pPr>
        <w:pStyle w:val="5"/>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19.3投标文件须由投标人在规定位置签字（或者电子签名）、盖章（具体以投标人须知前附表或投标文件格式规定为准），</w:t>
      </w:r>
      <w:r>
        <w:rPr>
          <w:rFonts w:hint="eastAsia" w:ascii="宋体" w:hAnsi="宋体"/>
          <w:bCs/>
          <w:color w:val="auto"/>
          <w:sz w:val="21"/>
          <w:szCs w:val="21"/>
          <w:highlight w:val="none"/>
        </w:rPr>
        <w:t>否则按无效投标处理</w:t>
      </w:r>
      <w:r>
        <w:rPr>
          <w:rFonts w:hint="eastAsia" w:ascii="宋体" w:hAnsi="宋体"/>
          <w:b w:val="0"/>
          <w:color w:val="auto"/>
          <w:sz w:val="21"/>
          <w:szCs w:val="21"/>
          <w:highlight w:val="none"/>
        </w:rPr>
        <w:t>。</w:t>
      </w:r>
    </w:p>
    <w:p w14:paraId="02D04F28">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19.4投标文件中标注的投标人名称应与主体资格证明（如营业执照或者事业单位法人证书或者执业许可证或者登记证书等）及公章一致，并与“政采云”中获取招标文件的投标人名称一致，</w:t>
      </w:r>
      <w:r>
        <w:rPr>
          <w:rFonts w:hint="eastAsia" w:ascii="宋体" w:hAnsi="宋体"/>
          <w:color w:val="auto"/>
          <w:sz w:val="21"/>
          <w:szCs w:val="21"/>
          <w:highlight w:val="none"/>
        </w:rPr>
        <w:t>否则按无效投标处理</w:t>
      </w:r>
      <w:r>
        <w:rPr>
          <w:rFonts w:hint="eastAsia" w:ascii="宋体" w:hAnsi="宋体"/>
          <w:b w:val="0"/>
          <w:color w:val="auto"/>
          <w:sz w:val="21"/>
          <w:szCs w:val="21"/>
          <w:highlight w:val="none"/>
        </w:rPr>
        <w:t>。</w:t>
      </w:r>
    </w:p>
    <w:p w14:paraId="0E243969">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3EC5C1B6">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20.电子备份投标文件</w:t>
      </w:r>
    </w:p>
    <w:p w14:paraId="0175F69D">
      <w:pPr>
        <w:spacing w:line="360" w:lineRule="auto"/>
        <w:ind w:firstLine="420" w:firstLineChars="200"/>
        <w:rPr>
          <w:rFonts w:hint="eastAsia" w:ascii="黑体" w:hAnsi="黑体" w:eastAsia="黑体"/>
          <w:color w:val="auto"/>
          <w:sz w:val="24"/>
          <w:highlight w:val="none"/>
        </w:rPr>
      </w:pPr>
      <w:r>
        <w:rPr>
          <w:rFonts w:hint="eastAsia"/>
          <w:color w:val="auto"/>
          <w:highlight w:val="none"/>
        </w:rPr>
        <w:t>电子备份投标文件是指通过“政采云电子投标客户端”在线编制生成且后缀名为“</w:t>
      </w:r>
      <w:r>
        <w:rPr>
          <w:color w:val="auto"/>
          <w:highlight w:val="none"/>
        </w:rPr>
        <w:t>bfbs</w:t>
      </w:r>
      <w:r>
        <w:rPr>
          <w:rFonts w:hint="eastAsia"/>
          <w:color w:val="auto"/>
          <w:highlight w:val="none"/>
        </w:rPr>
        <w:t>”的文件，是否接受电子备份投标文件</w:t>
      </w:r>
      <w:r>
        <w:rPr>
          <w:rFonts w:hint="eastAsia" w:hAnsi="宋体"/>
          <w:bCs/>
          <w:color w:val="auto"/>
          <w:szCs w:val="21"/>
          <w:highlight w:val="none"/>
        </w:rPr>
        <w:t>详见在“投标人须知前附表”。</w:t>
      </w:r>
    </w:p>
    <w:p w14:paraId="7FDF0457">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129DF55A">
      <w:pPr>
        <w:spacing w:line="360" w:lineRule="auto"/>
        <w:ind w:firstLine="420" w:firstLineChars="200"/>
        <w:rPr>
          <w:rFonts w:hint="eastAsia" w:hAnsi="宋体" w:eastAsia="宋体"/>
          <w:b/>
          <w:color w:val="auto"/>
          <w:highlight w:val="none"/>
          <w:lang w:eastAsia="zh-CN"/>
        </w:rPr>
      </w:pPr>
      <w:bookmarkStart w:id="77" w:name="_21.1投标人必须在“投标人须知中的前附表”规定的投标文件接收时间和投"/>
      <w:bookmarkEnd w:id="77"/>
      <w:r>
        <w:rPr>
          <w:rFonts w:hint="eastAsia" w:hAnsi="宋体"/>
          <w:bCs/>
          <w:color w:val="auto"/>
          <w:szCs w:val="21"/>
          <w:highlight w:val="none"/>
        </w:rPr>
        <w:t>21.1投标人必须在“投标人须知前附表”规定的</w:t>
      </w:r>
      <w:r>
        <w:rPr>
          <w:rFonts w:hint="eastAsia" w:ascii="宋体" w:hAnsi="宋体"/>
          <w:color w:val="auto"/>
          <w:szCs w:val="21"/>
          <w:highlight w:val="none"/>
        </w:rPr>
        <w:t>投标文件提交截止时间前将</w:t>
      </w:r>
      <w:r>
        <w:rPr>
          <w:rFonts w:hint="eastAsia" w:hAnsi="宋体"/>
          <w:bCs/>
          <w:color w:val="auto"/>
          <w:szCs w:val="21"/>
          <w:highlight w:val="none"/>
        </w:rPr>
        <w:t>电子投标文件提交至投标地点。电子投标文件应在制作完成后，</w:t>
      </w:r>
      <w:r>
        <w:rPr>
          <w:rFonts w:hAnsi="宋体"/>
          <w:bCs/>
          <w:color w:val="auto"/>
          <w:szCs w:val="21"/>
          <w:highlight w:val="none"/>
        </w:rPr>
        <w:t>在投标截止时间前</w:t>
      </w:r>
      <w:r>
        <w:rPr>
          <w:rFonts w:hint="eastAsia" w:hAnsi="宋体"/>
          <w:bCs/>
          <w:color w:val="auto"/>
          <w:szCs w:val="21"/>
          <w:highlight w:val="none"/>
        </w:rPr>
        <w:t>通过有效数字证书（CA认证锁）进行电子签章、加密，然后通过网络将加密的电子投标文件递交至</w:t>
      </w:r>
      <w:r>
        <w:rPr>
          <w:rFonts w:hint="eastAsia" w:ascii="宋体" w:hAnsi="宋体"/>
          <w:b/>
          <w:color w:val="auto"/>
          <w:szCs w:val="21"/>
          <w:highlight w:val="none"/>
          <w:lang w:eastAsia="zh-CN"/>
        </w:rPr>
        <w:t>广西政府采购云平台</w:t>
      </w:r>
      <w:r>
        <w:rPr>
          <w:rFonts w:hint="eastAsia" w:hAnsi="宋体"/>
          <w:bCs/>
          <w:color w:val="auto"/>
          <w:szCs w:val="21"/>
          <w:highlight w:val="none"/>
        </w:rPr>
        <w:t>。</w:t>
      </w:r>
    </w:p>
    <w:p w14:paraId="6411907F">
      <w:pPr>
        <w:spacing w:line="360" w:lineRule="auto"/>
        <w:ind w:firstLine="422" w:firstLineChars="200"/>
        <w:rPr>
          <w:rFonts w:hint="eastAsia" w:ascii="宋体" w:hAnsi="宋体"/>
          <w:b/>
          <w:color w:val="auto"/>
          <w:szCs w:val="20"/>
          <w:highlight w:val="none"/>
        </w:rPr>
      </w:pPr>
      <w:r>
        <w:rPr>
          <w:rFonts w:hint="eastAsia" w:ascii="宋体" w:hAnsi="宋体"/>
          <w:b/>
          <w:color w:val="auto"/>
          <w:szCs w:val="21"/>
          <w:highlight w:val="none"/>
        </w:rPr>
        <w:t>21.</w:t>
      </w:r>
      <w:r>
        <w:rPr>
          <w:rFonts w:ascii="宋体" w:hAnsi="宋体"/>
          <w:b/>
          <w:color w:val="auto"/>
          <w:szCs w:val="21"/>
          <w:highlight w:val="none"/>
        </w:rPr>
        <w:t>2</w:t>
      </w:r>
      <w:r>
        <w:rPr>
          <w:rFonts w:hint="eastAsia" w:ascii="宋体" w:hAnsi="宋体"/>
          <w:b/>
          <w:color w:val="auto"/>
          <w:szCs w:val="21"/>
          <w:highlight w:val="none"/>
        </w:rPr>
        <w:t>未在规定时间内提交或者未按照招标文件要求加密的电子投标文件，</w:t>
      </w:r>
      <w:r>
        <w:rPr>
          <w:rFonts w:hint="eastAsia" w:ascii="宋体" w:hAnsi="宋体"/>
          <w:b/>
          <w:color w:val="auto"/>
          <w:szCs w:val="21"/>
          <w:highlight w:val="none"/>
          <w:lang w:eastAsia="zh-CN"/>
        </w:rPr>
        <w:t>广西政府采购云平台</w:t>
      </w:r>
      <w:r>
        <w:rPr>
          <w:rFonts w:hint="eastAsia" w:ascii="宋体" w:hAnsi="宋体"/>
          <w:b/>
          <w:color w:val="auto"/>
          <w:szCs w:val="21"/>
          <w:highlight w:val="none"/>
        </w:rPr>
        <w:t>将拒收。</w:t>
      </w:r>
    </w:p>
    <w:p w14:paraId="728A650C">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22.投标文件的补充、修改、撤回与退回</w:t>
      </w:r>
    </w:p>
    <w:p w14:paraId="6A5007C5">
      <w:pPr>
        <w:snapToGrid w:val="0"/>
        <w:spacing w:line="360" w:lineRule="auto"/>
        <w:ind w:firstLine="420"/>
        <w:jc w:val="left"/>
        <w:rPr>
          <w:rFonts w:hint="eastAsia" w:ascii="宋体" w:hAnsi="宋体"/>
          <w:color w:val="auto"/>
          <w:szCs w:val="21"/>
          <w:highlight w:val="none"/>
        </w:rPr>
      </w:pPr>
      <w:bookmarkStart w:id="78" w:name="_Toc254970543"/>
      <w:bookmarkStart w:id="79" w:name="_Toc254970684"/>
      <w:r>
        <w:rPr>
          <w:rFonts w:ascii="宋体" w:hAnsi="宋体" w:cs="宋体"/>
          <w:color w:val="auto"/>
          <w:szCs w:val="21"/>
          <w:highlight w:val="none"/>
        </w:rPr>
        <w:t>22</w:t>
      </w:r>
      <w:r>
        <w:rPr>
          <w:rFonts w:hint="eastAsia" w:ascii="宋体" w:hAnsi="宋体" w:cs="宋体"/>
          <w:color w:val="auto"/>
          <w:szCs w:val="21"/>
          <w:highlight w:val="none"/>
        </w:rPr>
        <w:t>.1</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将予以拒收。</w:t>
      </w:r>
      <w:r>
        <w:rPr>
          <w:rFonts w:hint="eastAsia" w:ascii="宋体" w:hAnsi="宋体" w:cs="宋体"/>
          <w:color w:val="auto"/>
          <w:szCs w:val="21"/>
          <w:highlight w:val="none"/>
        </w:rPr>
        <w:t>（补充、修改或者撤回方式可</w:t>
      </w:r>
      <w:r>
        <w:rPr>
          <w:rFonts w:hint="eastAsia"/>
          <w:color w:val="auto"/>
          <w:highlight w:val="none"/>
        </w:rPr>
        <w:t>登录</w:t>
      </w:r>
      <w:r>
        <w:rPr>
          <w:rFonts w:hint="eastAsia" w:ascii="宋体" w:hAnsi="宋体" w:cs="宋体"/>
          <w:color w:val="auto"/>
          <w:kern w:val="0"/>
          <w:szCs w:val="21"/>
          <w:highlight w:val="none"/>
          <w:lang w:eastAsia="zh-CN"/>
        </w:rPr>
        <w:t>广西政府采购云平台</w:t>
      </w:r>
      <w:r>
        <w:rPr>
          <w:rFonts w:hint="eastAsia" w:ascii="宋体" w:hAnsi="宋体" w:cs="宋体"/>
          <w:color w:val="auto"/>
          <w:kern w:val="0"/>
          <w:szCs w:val="21"/>
          <w:highlight w:val="none"/>
        </w:rPr>
        <w:t>，</w:t>
      </w:r>
      <w:r>
        <w:rPr>
          <w:rFonts w:hint="eastAsia" w:ascii="宋体" w:hAnsi="宋体"/>
          <w:color w:val="auto"/>
          <w:szCs w:val="21"/>
          <w:highlight w:val="none"/>
        </w:rPr>
        <w:t>依次进入“服务中心”中查看</w:t>
      </w:r>
      <w:r>
        <w:rPr>
          <w:rFonts w:hint="eastAsia" w:ascii="宋体" w:hAnsi="宋体" w:cs="宋体"/>
          <w:color w:val="auto"/>
          <w:szCs w:val="21"/>
          <w:highlight w:val="none"/>
        </w:rPr>
        <w:t>“电子投标文件制作与投送教程”）</w:t>
      </w:r>
    </w:p>
    <w:bookmarkEnd w:id="78"/>
    <w:bookmarkEnd w:id="79"/>
    <w:p w14:paraId="2E2E8D7E">
      <w:pPr>
        <w:pStyle w:val="32"/>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22.</w:t>
      </w: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收到投标文件后向供应商发出确认回执通知。在投标截止时间前，除供应商补充、修改或者撤回投标文件外，任何单位和个人不得解密或提取投标文件。</w:t>
      </w:r>
    </w:p>
    <w:p w14:paraId="2DAA6B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3</w:t>
      </w:r>
      <w:r>
        <w:rPr>
          <w:rFonts w:hint="eastAsia" w:ascii="宋体" w:hAnsi="宋体" w:cs="宋体"/>
          <w:color w:val="auto"/>
          <w:szCs w:val="21"/>
          <w:highlight w:val="none"/>
        </w:rPr>
        <w:t>在投标截止时间后，采购人和采购代理机构对已提交的投标文件概不退回。</w:t>
      </w:r>
    </w:p>
    <w:p w14:paraId="0E7EF766">
      <w:pPr>
        <w:pStyle w:val="4"/>
        <w:keepNext w:val="0"/>
        <w:keepLines w:val="0"/>
        <w:jc w:val="center"/>
        <w:rPr>
          <w:rFonts w:hint="eastAsia"/>
          <w:color w:val="auto"/>
          <w:highlight w:val="none"/>
        </w:rPr>
      </w:pPr>
      <w:bookmarkStart w:id="80" w:name="_Toc254970544"/>
      <w:bookmarkStart w:id="81" w:name="_Toc254970685"/>
      <w:r>
        <w:rPr>
          <w:rFonts w:hint="eastAsia"/>
          <w:color w:val="auto"/>
          <w:highlight w:val="none"/>
        </w:rPr>
        <w:t>四、开标</w:t>
      </w:r>
      <w:bookmarkEnd w:id="80"/>
      <w:bookmarkEnd w:id="81"/>
    </w:p>
    <w:p w14:paraId="36561DEF">
      <w:pPr>
        <w:pStyle w:val="5"/>
        <w:keepNext w:val="0"/>
        <w:keepLines w:val="0"/>
        <w:spacing w:before="0" w:after="0" w:line="360" w:lineRule="auto"/>
        <w:ind w:left="420" w:leftChars="200"/>
        <w:rPr>
          <w:rFonts w:hint="eastAsia" w:ascii="黑体" w:hAnsi="黑体" w:eastAsia="黑体"/>
          <w:color w:val="auto"/>
          <w:sz w:val="24"/>
          <w:highlight w:val="none"/>
        </w:rPr>
      </w:pPr>
      <w:bookmarkStart w:id="82" w:name="_23.开标时间和地点"/>
      <w:bookmarkEnd w:id="82"/>
      <w:r>
        <w:rPr>
          <w:rFonts w:hint="eastAsia" w:ascii="黑体" w:hAnsi="黑体" w:eastAsia="黑体"/>
          <w:color w:val="auto"/>
          <w:sz w:val="24"/>
          <w:highlight w:val="none"/>
        </w:rPr>
        <w:t>23.开标时间和地点</w:t>
      </w:r>
    </w:p>
    <w:p w14:paraId="01A720E8">
      <w:pPr>
        <w:spacing w:line="360" w:lineRule="auto"/>
        <w:ind w:firstLine="420" w:firstLineChars="200"/>
        <w:rPr>
          <w:rFonts w:hint="eastAsia" w:hAnsi="宋体"/>
          <w:bCs/>
          <w:color w:val="auto"/>
          <w:highlight w:val="none"/>
        </w:rPr>
      </w:pPr>
      <w:r>
        <w:rPr>
          <w:rFonts w:hint="eastAsia" w:hAnsi="宋体"/>
          <w:bCs/>
          <w:color w:val="auto"/>
          <w:highlight w:val="none"/>
        </w:rPr>
        <w:t>开标时间及地点详见“投标人须知前附表”</w:t>
      </w:r>
    </w:p>
    <w:p w14:paraId="5A50AB17">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24.开标程序</w:t>
      </w:r>
    </w:p>
    <w:p w14:paraId="2C9F5AC6">
      <w:pPr>
        <w:pStyle w:val="6"/>
        <w:spacing w:line="360" w:lineRule="auto"/>
        <w:rPr>
          <w:color w:val="auto"/>
          <w:highlight w:val="none"/>
        </w:rPr>
      </w:pPr>
      <w:r>
        <w:rPr>
          <w:rFonts w:hint="eastAsia"/>
          <w:color w:val="auto"/>
          <w:highlight w:val="none"/>
        </w:rPr>
        <w:t>2</w:t>
      </w:r>
      <w:r>
        <w:rPr>
          <w:color w:val="auto"/>
          <w:highlight w:val="none"/>
        </w:rPr>
        <w:t>4.1</w:t>
      </w:r>
      <w:r>
        <w:rPr>
          <w:rFonts w:hint="eastAsia"/>
          <w:color w:val="auto"/>
          <w:highlight w:val="none"/>
        </w:rPr>
        <w:t>提交投标文件截止时间止，投标人不足3家的，不得开标。</w:t>
      </w:r>
    </w:p>
    <w:p w14:paraId="5AA8C61F">
      <w:pPr>
        <w:pStyle w:val="6"/>
        <w:spacing w:line="360" w:lineRule="auto"/>
        <w:rPr>
          <w:color w:val="auto"/>
          <w:highlight w:val="none"/>
        </w:rPr>
      </w:pPr>
      <w:r>
        <w:rPr>
          <w:rFonts w:hint="eastAsia"/>
          <w:color w:val="auto"/>
          <w:highlight w:val="none"/>
        </w:rPr>
        <w:t>24.</w:t>
      </w:r>
      <w:r>
        <w:rPr>
          <w:color w:val="auto"/>
          <w:highlight w:val="none"/>
        </w:rPr>
        <w:t>2</w:t>
      </w:r>
      <w:r>
        <w:rPr>
          <w:rFonts w:hint="eastAsia"/>
          <w:color w:val="auto"/>
          <w:highlight w:val="none"/>
        </w:rPr>
        <w:t>采购代理机构将按照招标文件规定的时间通过</w:t>
      </w:r>
      <w:r>
        <w:rPr>
          <w:rFonts w:hint="eastAsia"/>
          <w:color w:val="auto"/>
          <w:highlight w:val="none"/>
          <w:lang w:eastAsia="zh-CN"/>
        </w:rPr>
        <w:t>广西政府采购云平台</w:t>
      </w:r>
      <w:r>
        <w:rPr>
          <w:rFonts w:hint="eastAsia"/>
          <w:color w:val="auto"/>
          <w:highlight w:val="none"/>
        </w:rPr>
        <w:t>组织线上开标活动，所有供应商均应当准时在线参加，投标人因未在线参加开标而导致投标文件无法按时解密等一切后果由投标人自己承担。</w:t>
      </w:r>
    </w:p>
    <w:p w14:paraId="189F02CD">
      <w:pPr>
        <w:pStyle w:val="6"/>
        <w:spacing w:line="360" w:lineRule="auto"/>
        <w:rPr>
          <w:rFonts w:hint="eastAsia"/>
          <w:color w:val="auto"/>
          <w:highlight w:val="none"/>
        </w:rPr>
      </w:pPr>
      <w:r>
        <w:rPr>
          <w:rFonts w:hint="eastAsia"/>
          <w:color w:val="auto"/>
          <w:highlight w:val="none"/>
        </w:rPr>
        <w:t>24.</w:t>
      </w:r>
      <w:r>
        <w:rPr>
          <w:color w:val="auto"/>
          <w:highlight w:val="none"/>
        </w:rPr>
        <w:t>3</w:t>
      </w:r>
      <w:r>
        <w:rPr>
          <w:rFonts w:hint="eastAsia"/>
          <w:color w:val="auto"/>
          <w:highlight w:val="none"/>
        </w:rPr>
        <w:t>开标程序</w:t>
      </w:r>
    </w:p>
    <w:p w14:paraId="201003DD">
      <w:pPr>
        <w:pStyle w:val="6"/>
        <w:spacing w:line="360" w:lineRule="auto"/>
        <w:rPr>
          <w:rFonts w:hint="eastAsia"/>
          <w:color w:val="auto"/>
          <w:highlight w:val="none"/>
        </w:rPr>
      </w:pPr>
      <w:r>
        <w:rPr>
          <w:rFonts w:hint="eastAsia"/>
          <w:color w:val="auto"/>
          <w:highlight w:val="none"/>
        </w:rPr>
        <w:t>（1）解密电子投标文件。</w:t>
      </w:r>
      <w:r>
        <w:rPr>
          <w:rFonts w:hint="eastAsia"/>
          <w:color w:val="auto"/>
          <w:highlight w:val="none"/>
          <w:lang w:eastAsia="zh-CN"/>
        </w:rPr>
        <w:t>广西政府采购云平台</w:t>
      </w:r>
      <w:r>
        <w:rPr>
          <w:rFonts w:hint="eastAsia"/>
          <w:color w:val="auto"/>
          <w:highlight w:val="none"/>
        </w:rPr>
        <w:t>按开标时间自动提取所有投标文件。采购代理机构依托</w:t>
      </w:r>
      <w:r>
        <w:rPr>
          <w:rFonts w:hint="eastAsia"/>
          <w:color w:val="auto"/>
          <w:highlight w:val="none"/>
          <w:lang w:eastAsia="zh-CN"/>
        </w:rPr>
        <w:t>广西政府采购云平台</w:t>
      </w:r>
      <w:r>
        <w:rPr>
          <w:rFonts w:hint="eastAsia"/>
          <w:color w:val="auto"/>
          <w:highlight w:val="none"/>
        </w:rPr>
        <w:t>向各投标人发出电子加密投标文件【开始解密】通知，由投标人按</w:t>
      </w:r>
      <w:r>
        <w:rPr>
          <w:rFonts w:hint="eastAsia" w:hAnsi="宋体"/>
          <w:bCs/>
          <w:color w:val="auto"/>
          <w:szCs w:val="21"/>
          <w:highlight w:val="none"/>
        </w:rPr>
        <w:t>“投标人须知前附表”</w:t>
      </w:r>
      <w:r>
        <w:rPr>
          <w:rFonts w:hint="eastAsia"/>
          <w:color w:val="auto"/>
          <w:highlight w:val="none"/>
        </w:rPr>
        <w:t>规定的时间内自行进行投标文件解密。投标人的法定代表人或其委托代理人须凭加密时所用的CA锁准时登录到</w:t>
      </w:r>
      <w:r>
        <w:rPr>
          <w:rFonts w:hint="eastAsia"/>
          <w:color w:val="auto"/>
          <w:highlight w:val="none"/>
          <w:lang w:eastAsia="zh-CN"/>
        </w:rPr>
        <w:t>广西政府采购云平台</w:t>
      </w:r>
      <w:r>
        <w:rPr>
          <w:rFonts w:hint="eastAsia"/>
          <w:color w:val="auto"/>
          <w:highlight w:val="none"/>
        </w:rPr>
        <w:t>电子开标大厅签到并对电子投标文件解密。</w:t>
      </w:r>
      <w:r>
        <w:rPr>
          <w:b/>
          <w:color w:val="auto"/>
          <w:highlight w:val="none"/>
        </w:rPr>
        <w:t>投标人</w:t>
      </w:r>
      <w:r>
        <w:rPr>
          <w:rFonts w:hint="eastAsia"/>
          <w:b/>
          <w:color w:val="auto"/>
          <w:highlight w:val="none"/>
        </w:rPr>
        <w:t>未在</w:t>
      </w:r>
      <w:r>
        <w:rPr>
          <w:b/>
          <w:color w:val="auto"/>
          <w:highlight w:val="none"/>
        </w:rPr>
        <w:t>规定的时间内解密</w:t>
      </w:r>
      <w:r>
        <w:rPr>
          <w:rFonts w:hint="eastAsia"/>
          <w:b/>
          <w:color w:val="auto"/>
          <w:highlight w:val="none"/>
        </w:rPr>
        <w:t>投标文件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w:t>
      </w:r>
      <w:r>
        <w:rPr>
          <w:rFonts w:hint="eastAsia" w:ascii="宋体" w:hAnsi="宋体"/>
          <w:b/>
          <w:color w:val="auto"/>
          <w:szCs w:val="21"/>
          <w:highlight w:val="none"/>
        </w:rPr>
        <w:t>投标人的投标文件作无效处理</w:t>
      </w:r>
      <w:r>
        <w:rPr>
          <w:b/>
          <w:color w:val="auto"/>
          <w:highlight w:val="none"/>
        </w:rPr>
        <w:t>。</w:t>
      </w:r>
    </w:p>
    <w:p w14:paraId="430063B4">
      <w:pPr>
        <w:pStyle w:val="6"/>
        <w:spacing w:line="360" w:lineRule="auto"/>
        <w:rPr>
          <w:rFonts w:hint="eastAsia"/>
          <w:color w:val="auto"/>
          <w:highlight w:val="none"/>
        </w:rPr>
      </w:pPr>
      <w:r>
        <w:rPr>
          <w:rFonts w:hint="eastAsia"/>
          <w:color w:val="auto"/>
          <w:highlight w:val="none"/>
        </w:rPr>
        <w:t>（2）电子唱标。投标文件解密结束，宣布的内容均在</w:t>
      </w:r>
      <w:r>
        <w:rPr>
          <w:rFonts w:hint="eastAsia"/>
          <w:color w:val="auto"/>
          <w:highlight w:val="none"/>
          <w:lang w:eastAsia="zh-CN"/>
        </w:rPr>
        <w:t>广西政府采购云平台</w:t>
      </w:r>
      <w:r>
        <w:rPr>
          <w:rFonts w:hint="eastAsia"/>
          <w:color w:val="auto"/>
          <w:highlight w:val="none"/>
        </w:rPr>
        <w:t>远程开标大厅展示，具体详见</w:t>
      </w:r>
      <w:r>
        <w:rPr>
          <w:rFonts w:hint="eastAsia" w:hAnsi="宋体"/>
          <w:bCs/>
          <w:color w:val="auto"/>
          <w:highlight w:val="none"/>
        </w:rPr>
        <w:t>“投标人须知前附表”</w:t>
      </w:r>
      <w:r>
        <w:rPr>
          <w:rFonts w:hint="eastAsia"/>
          <w:color w:val="auto"/>
          <w:highlight w:val="none"/>
        </w:rPr>
        <w:t>；</w:t>
      </w:r>
    </w:p>
    <w:p w14:paraId="3931F4A0">
      <w:pPr>
        <w:pStyle w:val="6"/>
        <w:spacing w:line="360" w:lineRule="auto"/>
        <w:rPr>
          <w:rFonts w:hint="eastAsia"/>
          <w:color w:val="auto"/>
          <w:highlight w:val="none"/>
        </w:rPr>
      </w:pPr>
      <w:r>
        <w:rPr>
          <w:rFonts w:hint="eastAsia"/>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7C3EE76D">
      <w:pPr>
        <w:pStyle w:val="6"/>
        <w:spacing w:line="360" w:lineRule="auto"/>
        <w:rPr>
          <w:rFonts w:hint="eastAsia"/>
          <w:color w:val="auto"/>
          <w:highlight w:val="none"/>
        </w:rPr>
      </w:pPr>
      <w:r>
        <w:rPr>
          <w:rFonts w:hint="eastAsia"/>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19B4D7B4">
      <w:pPr>
        <w:pStyle w:val="6"/>
        <w:spacing w:line="360" w:lineRule="auto"/>
        <w:rPr>
          <w:rFonts w:hint="eastAsia"/>
          <w:color w:val="auto"/>
          <w:szCs w:val="21"/>
          <w:highlight w:val="none"/>
        </w:rPr>
      </w:pPr>
      <w:r>
        <w:rPr>
          <w:rFonts w:hint="eastAsia"/>
          <w:color w:val="auto"/>
          <w:szCs w:val="21"/>
          <w:highlight w:val="none"/>
        </w:rPr>
        <w:t>（5）开标结束。</w:t>
      </w:r>
    </w:p>
    <w:p w14:paraId="70CB4731">
      <w:pPr>
        <w:pStyle w:val="15"/>
        <w:snapToGrid w:val="0"/>
        <w:spacing w:line="360" w:lineRule="auto"/>
        <w:ind w:firstLine="420" w:firstLineChars="200"/>
        <w:rPr>
          <w:rFonts w:hint="eastAsia" w:hAnsi="宋体"/>
          <w:color w:val="auto"/>
          <w:sz w:val="21"/>
          <w:highlight w:val="none"/>
        </w:rPr>
      </w:pPr>
      <w:r>
        <w:rPr>
          <w:rFonts w:hint="eastAsia"/>
          <w:color w:val="auto"/>
          <w:sz w:val="21"/>
          <w:highlight w:val="none"/>
        </w:rPr>
        <w:t>特别说明：如遇</w:t>
      </w:r>
      <w:r>
        <w:rPr>
          <w:rFonts w:hint="eastAsia"/>
          <w:color w:val="auto"/>
          <w:sz w:val="21"/>
          <w:highlight w:val="none"/>
          <w:lang w:eastAsia="zh-CN"/>
        </w:rPr>
        <w:t>广西政府采购云平台</w:t>
      </w:r>
      <w:r>
        <w:rPr>
          <w:rFonts w:hint="eastAsia"/>
          <w:color w:val="auto"/>
          <w:sz w:val="21"/>
          <w:highlight w:val="none"/>
        </w:rPr>
        <w:t>电子化开标或评审程序调整的，按调整后执行。</w:t>
      </w:r>
    </w:p>
    <w:p w14:paraId="73F65234">
      <w:pPr>
        <w:pStyle w:val="4"/>
        <w:keepNext w:val="0"/>
        <w:keepLines w:val="0"/>
        <w:jc w:val="center"/>
        <w:rPr>
          <w:rFonts w:hint="eastAsia"/>
          <w:color w:val="auto"/>
          <w:highlight w:val="none"/>
        </w:rPr>
      </w:pPr>
      <w:r>
        <w:rPr>
          <w:rFonts w:hint="eastAsia"/>
          <w:color w:val="auto"/>
          <w:highlight w:val="none"/>
        </w:rPr>
        <w:t>五、资格审查</w:t>
      </w:r>
    </w:p>
    <w:p w14:paraId="676F564A">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25.资格审查</w:t>
      </w:r>
    </w:p>
    <w:p w14:paraId="7BB674F8">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25.1</w:t>
      </w:r>
      <w:r>
        <w:rPr>
          <w:rFonts w:ascii="宋体" w:hAnsi="宋体"/>
          <w:b w:val="0"/>
          <w:color w:val="auto"/>
          <w:sz w:val="21"/>
          <w:szCs w:val="21"/>
          <w:highlight w:val="none"/>
        </w:rPr>
        <w:t>开标结束后，</w:t>
      </w:r>
      <w:r>
        <w:rPr>
          <w:rFonts w:hint="eastAsia" w:ascii="宋体" w:hAnsi="宋体"/>
          <w:b w:val="0"/>
          <w:color w:val="auto"/>
          <w:sz w:val="21"/>
          <w:szCs w:val="21"/>
          <w:highlight w:val="none"/>
        </w:rPr>
        <w:t>采购人或者采购代理机构通过电子开评标系统依据招标文件对电子投标文件进行线上资格审查</w:t>
      </w:r>
      <w:r>
        <w:rPr>
          <w:rFonts w:ascii="宋体" w:hAnsi="宋体"/>
          <w:b w:val="0"/>
          <w:color w:val="auto"/>
          <w:sz w:val="21"/>
          <w:szCs w:val="21"/>
          <w:highlight w:val="none"/>
        </w:rPr>
        <w:t>。</w:t>
      </w:r>
    </w:p>
    <w:p w14:paraId="753CA006">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25.2资格审查标准为本招标文件中载明对投标人资格要求的条件。本项目资格审查采用合格制，凡符合招标文件规定的投标人资格要求的投标人均通过资格审查。</w:t>
      </w:r>
    </w:p>
    <w:p w14:paraId="5818647A">
      <w:pPr>
        <w:pStyle w:val="5"/>
        <w:keepNext w:val="0"/>
        <w:keepLines w:val="0"/>
        <w:numPr>
          <w:ilvl w:val="0"/>
          <w:numId w:val="0"/>
        </w:numPr>
        <w:spacing w:before="0" w:after="0" w:line="360" w:lineRule="auto"/>
        <w:ind w:firstLine="422" w:firstLineChars="200"/>
        <w:rPr>
          <w:rFonts w:hint="eastAsia" w:ascii="宋体" w:hAnsi="宋体"/>
          <w:color w:val="auto"/>
          <w:sz w:val="21"/>
          <w:szCs w:val="21"/>
          <w:highlight w:val="none"/>
        </w:rPr>
      </w:pPr>
      <w:bookmarkStart w:id="83" w:name="_25.3_投标人有下列情形之一的，资格审查不通过而导致其投标无效："/>
      <w:bookmarkEnd w:id="83"/>
      <w:r>
        <w:rPr>
          <w:rFonts w:hint="eastAsia" w:ascii="宋体" w:hAnsi="宋体"/>
          <w:color w:val="auto"/>
          <w:sz w:val="21"/>
          <w:szCs w:val="21"/>
          <w:highlight w:val="none"/>
        </w:rPr>
        <w:t>25.3投标人有下列情形之一的，资格审查不通过，作无效投标处理：</w:t>
      </w:r>
    </w:p>
    <w:p w14:paraId="76A5014B">
      <w:pPr>
        <w:pStyle w:val="15"/>
        <w:snapToGrid w:val="0"/>
        <w:spacing w:line="360" w:lineRule="auto"/>
        <w:ind w:firstLine="422" w:firstLineChars="200"/>
        <w:rPr>
          <w:rFonts w:hAnsi="宋体"/>
          <w:b/>
          <w:color w:val="auto"/>
          <w:sz w:val="21"/>
          <w:highlight w:val="none"/>
        </w:rPr>
      </w:pPr>
      <w:r>
        <w:rPr>
          <w:rFonts w:hint="eastAsia" w:hAnsi="宋体"/>
          <w:b/>
          <w:color w:val="auto"/>
          <w:sz w:val="21"/>
          <w:highlight w:val="none"/>
        </w:rPr>
        <w:t>（1）不具备招标文件中规定的资格要求的；</w:t>
      </w:r>
    </w:p>
    <w:p w14:paraId="746B8956">
      <w:pPr>
        <w:pStyle w:val="15"/>
        <w:snapToGrid w:val="0"/>
        <w:spacing w:line="360" w:lineRule="auto"/>
        <w:ind w:firstLine="422" w:firstLineChars="200"/>
        <w:rPr>
          <w:rFonts w:hAnsi="宋体"/>
          <w:b/>
          <w:color w:val="auto"/>
          <w:sz w:val="21"/>
          <w:highlight w:val="none"/>
        </w:rPr>
      </w:pPr>
      <w:r>
        <w:rPr>
          <w:rFonts w:hint="eastAsia" w:hAnsi="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r>
        <w:rPr>
          <w:rFonts w:hint="eastAsia" w:hAnsi="宋体"/>
          <w:b/>
          <w:color w:val="auto"/>
          <w:sz w:val="21"/>
          <w:highlight w:val="none"/>
          <w:lang w:eastAsia="zh-CN"/>
        </w:rPr>
        <w:t>广西政府采购云平台</w:t>
      </w:r>
      <w:r>
        <w:rPr>
          <w:rFonts w:hint="eastAsia" w:hAnsi="宋体"/>
          <w:b/>
          <w:color w:val="auto"/>
          <w:sz w:val="21"/>
          <w:highlight w:val="none"/>
        </w:rPr>
        <w:t>已与“信用中国”网站、中国政府采购网实现数据对接，可直接在线查询）</w:t>
      </w:r>
    </w:p>
    <w:p w14:paraId="53EBA0B3">
      <w:pPr>
        <w:pStyle w:val="15"/>
        <w:snapToGrid w:val="0"/>
        <w:spacing w:line="360" w:lineRule="auto"/>
        <w:ind w:firstLine="422" w:firstLineChars="200"/>
        <w:rPr>
          <w:rFonts w:hint="eastAsia" w:hAnsi="宋体"/>
          <w:b/>
          <w:color w:val="auto"/>
          <w:sz w:val="21"/>
          <w:highlight w:val="none"/>
        </w:rPr>
      </w:pPr>
      <w:r>
        <w:rPr>
          <w:rFonts w:hint="eastAsia" w:hAnsi="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3ACA445C">
      <w:pPr>
        <w:pStyle w:val="15"/>
        <w:snapToGrid w:val="0"/>
        <w:spacing w:line="360" w:lineRule="auto"/>
        <w:ind w:firstLine="422" w:firstLineChars="200"/>
        <w:rPr>
          <w:rFonts w:hint="eastAsia" w:hAnsi="宋体"/>
          <w:b/>
          <w:color w:val="auto"/>
          <w:sz w:val="21"/>
          <w:highlight w:val="none"/>
        </w:rPr>
      </w:pPr>
      <w:r>
        <w:rPr>
          <w:rFonts w:hint="eastAsia" w:hAnsi="宋体"/>
          <w:b/>
          <w:color w:val="auto"/>
          <w:sz w:val="21"/>
          <w:highlight w:val="none"/>
        </w:rPr>
        <w:t>（4）投标文件中的资格证明文件缺少任一项“投标人须知前附表”资格证明文件规定“必须提供”的文件资料的；</w:t>
      </w:r>
    </w:p>
    <w:p w14:paraId="4608FF2C">
      <w:pPr>
        <w:pStyle w:val="15"/>
        <w:snapToGrid w:val="0"/>
        <w:spacing w:line="360" w:lineRule="auto"/>
        <w:ind w:firstLine="422" w:firstLineChars="200"/>
        <w:rPr>
          <w:rFonts w:hint="eastAsia" w:hAnsi="宋体"/>
          <w:b/>
          <w:color w:val="auto"/>
          <w:sz w:val="21"/>
          <w:highlight w:val="none"/>
        </w:rPr>
      </w:pPr>
      <w:r>
        <w:rPr>
          <w:rFonts w:hint="eastAsia" w:hAnsi="宋体"/>
          <w:b/>
          <w:color w:val="auto"/>
          <w:sz w:val="21"/>
          <w:highlight w:val="none"/>
        </w:rPr>
        <w:t>（5）投标文件中的资格证明文件出现任一项不符合“投标人须知前附表”资格证明文件规定“必须提供”的文件资料要求或者无效的。</w:t>
      </w:r>
    </w:p>
    <w:p w14:paraId="0DD41DC2">
      <w:pPr>
        <w:pStyle w:val="5"/>
        <w:keepNext w:val="0"/>
        <w:keepLines w:val="0"/>
        <w:snapToGrid w:val="0"/>
        <w:spacing w:before="0" w:after="0" w:line="360" w:lineRule="auto"/>
        <w:ind w:left="690" w:leftChars="228" w:hanging="211" w:hangingChars="100"/>
        <w:rPr>
          <w:rFonts w:hint="eastAsia" w:hAnsi="宋体"/>
          <w:color w:val="auto"/>
          <w:sz w:val="21"/>
          <w:highlight w:val="none"/>
        </w:rPr>
      </w:pPr>
      <w:r>
        <w:rPr>
          <w:rFonts w:hint="eastAsia" w:ascii="宋体" w:hAnsi="宋体"/>
          <w:color w:val="auto"/>
          <w:sz w:val="21"/>
          <w:szCs w:val="21"/>
          <w:highlight w:val="none"/>
        </w:rPr>
        <w:t>25.4</w:t>
      </w:r>
      <w:r>
        <w:rPr>
          <w:rFonts w:ascii="宋体" w:hAnsi="宋体"/>
          <w:color w:val="auto"/>
          <w:sz w:val="21"/>
          <w:szCs w:val="21"/>
          <w:highlight w:val="none"/>
        </w:rPr>
        <w:t>合格投标人不足3家的，不得评标。</w:t>
      </w:r>
    </w:p>
    <w:p w14:paraId="57C7376A">
      <w:pPr>
        <w:pStyle w:val="4"/>
        <w:keepNext w:val="0"/>
        <w:keepLines w:val="0"/>
        <w:jc w:val="center"/>
        <w:rPr>
          <w:rFonts w:hint="eastAsia"/>
          <w:color w:val="auto"/>
          <w:highlight w:val="none"/>
        </w:rPr>
      </w:pPr>
      <w:r>
        <w:rPr>
          <w:rFonts w:hint="eastAsia"/>
          <w:color w:val="auto"/>
          <w:highlight w:val="none"/>
        </w:rPr>
        <w:t>六、评标</w:t>
      </w:r>
    </w:p>
    <w:p w14:paraId="2BA46B20">
      <w:pPr>
        <w:pStyle w:val="5"/>
        <w:keepNext w:val="0"/>
        <w:keepLines w:val="0"/>
        <w:spacing w:before="0" w:after="0" w:line="360" w:lineRule="auto"/>
        <w:ind w:left="420" w:leftChars="200"/>
        <w:rPr>
          <w:rFonts w:hint="eastAsia" w:ascii="黑体" w:hAnsi="黑体" w:eastAsia="黑体"/>
          <w:color w:val="auto"/>
          <w:sz w:val="24"/>
          <w:highlight w:val="none"/>
        </w:rPr>
      </w:pPr>
      <w:bookmarkStart w:id="84" w:name="_26.组建评标委员会"/>
      <w:bookmarkEnd w:id="84"/>
      <w:r>
        <w:rPr>
          <w:rFonts w:hint="eastAsia" w:ascii="黑体" w:hAnsi="黑体" w:eastAsia="黑体"/>
          <w:color w:val="auto"/>
          <w:sz w:val="24"/>
          <w:highlight w:val="none"/>
        </w:rPr>
        <w:t>26.组建评标委员会</w:t>
      </w:r>
    </w:p>
    <w:p w14:paraId="2016E2EC">
      <w:pPr>
        <w:pStyle w:val="1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26.1评标委员会由采购人代表和评审专家组成，具体人数详见“投标人须知前附表”，其中评审专家不得少于成员总数的三分之二。</w:t>
      </w:r>
    </w:p>
    <w:p w14:paraId="305BBC74">
      <w:pPr>
        <w:pStyle w:val="15"/>
        <w:snapToGrid w:val="0"/>
        <w:spacing w:line="360" w:lineRule="auto"/>
        <w:ind w:left="2" w:leftChars="1" w:firstLine="420" w:firstLineChars="200"/>
        <w:rPr>
          <w:rFonts w:hint="eastAsia" w:hAnsi="宋体"/>
          <w:color w:val="auto"/>
          <w:sz w:val="21"/>
          <w:highlight w:val="none"/>
        </w:rPr>
      </w:pPr>
      <w:r>
        <w:rPr>
          <w:rFonts w:hint="eastAsia" w:hAnsi="宋体"/>
          <w:color w:val="auto"/>
          <w:sz w:val="21"/>
          <w:highlight w:val="none"/>
        </w:rPr>
        <w:t>26.2参加过采购项目前期咨询论证的专家，不得参加该采购项目的评审活动。</w:t>
      </w:r>
    </w:p>
    <w:p w14:paraId="52063BC4">
      <w:pPr>
        <w:pStyle w:val="15"/>
        <w:snapToGrid w:val="0"/>
        <w:spacing w:line="360" w:lineRule="auto"/>
        <w:ind w:left="2" w:leftChars="1" w:firstLine="420" w:firstLineChars="200"/>
        <w:rPr>
          <w:rFonts w:hint="eastAsia" w:hAnsi="宋体"/>
          <w:color w:val="auto"/>
          <w:sz w:val="21"/>
          <w:highlight w:val="none"/>
        </w:rPr>
      </w:pPr>
      <w:r>
        <w:rPr>
          <w:rFonts w:hint="eastAsia" w:hAnsi="宋体"/>
          <w:color w:val="auto"/>
          <w:sz w:val="21"/>
          <w:highlight w:val="none"/>
        </w:rPr>
        <w:t>26.3</w:t>
      </w:r>
      <w:r>
        <w:rPr>
          <w:rFonts w:hint="eastAsia" w:hAnsi="宋体"/>
          <w:bCs/>
          <w:color w:val="auto"/>
          <w:sz w:val="21"/>
          <w:highlight w:val="none"/>
        </w:rPr>
        <w:t>采购代理机构应当基于</w:t>
      </w:r>
      <w:r>
        <w:rPr>
          <w:rFonts w:hint="eastAsia" w:hAnsi="宋体"/>
          <w:bCs/>
          <w:color w:val="auto"/>
          <w:sz w:val="21"/>
          <w:highlight w:val="none"/>
          <w:lang w:eastAsia="zh-CN"/>
        </w:rPr>
        <w:t>广西政府采购云平台</w:t>
      </w:r>
      <w:r>
        <w:rPr>
          <w:rFonts w:hint="eastAsia" w:hAnsi="宋体"/>
          <w:bCs/>
          <w:color w:val="auto"/>
          <w:sz w:val="21"/>
          <w:highlight w:val="none"/>
        </w:rPr>
        <w:t>抽（选）取评审专家。</w:t>
      </w:r>
    </w:p>
    <w:p w14:paraId="358A8328">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27.评标的依据</w:t>
      </w:r>
    </w:p>
    <w:p w14:paraId="2322771E">
      <w:pPr>
        <w:pStyle w:val="1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评标委员会以</w:t>
      </w:r>
      <w:r>
        <w:rPr>
          <w:rFonts w:hint="eastAsia" w:hAnsi="宋体" w:cs="宋体"/>
          <w:color w:val="auto"/>
          <w:sz w:val="21"/>
          <w:highlight w:val="none"/>
        </w:rPr>
        <w:t>“第四章评标方法和评标标准”</w:t>
      </w:r>
      <w:r>
        <w:rPr>
          <w:rFonts w:hint="eastAsia" w:hAnsi="宋体"/>
          <w:color w:val="auto"/>
          <w:sz w:val="21"/>
          <w:highlight w:val="none"/>
        </w:rPr>
        <w:t>为依据对投标文件进行评审，</w:t>
      </w:r>
      <w:r>
        <w:rPr>
          <w:rFonts w:hAnsi="宋体"/>
          <w:color w:val="auto"/>
          <w:sz w:val="21"/>
          <w:highlight w:val="none"/>
        </w:rPr>
        <w:t>没有规定的方法、评审因素和标准，不作为评标依据。</w:t>
      </w:r>
    </w:p>
    <w:p w14:paraId="29800F92">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28.评标原则</w:t>
      </w:r>
    </w:p>
    <w:p w14:paraId="6954B865">
      <w:pPr>
        <w:pStyle w:val="1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97368BD">
      <w:pPr>
        <w:pStyle w:val="1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28.2</w:t>
      </w:r>
      <w:bookmarkStart w:id="85" w:name="_28.3评标方法。本项目将按须知前附表规定的评标办法进行评标，具体评标"/>
      <w:bookmarkEnd w:id="85"/>
      <w:r>
        <w:rPr>
          <w:rFonts w:hint="eastAsia" w:hAnsi="宋体"/>
          <w:color w:val="auto"/>
          <w:sz w:val="21"/>
          <w:highlight w:val="none"/>
        </w:rPr>
        <w:t>评委表决。评标委员会成员对需要共同认定的事项存在争议的，应当按照少数服从多数的原则作出结论。</w:t>
      </w:r>
    </w:p>
    <w:p w14:paraId="332FEEC2">
      <w:pPr>
        <w:pStyle w:val="15"/>
        <w:snapToGrid w:val="0"/>
        <w:spacing w:line="360" w:lineRule="auto"/>
        <w:ind w:firstLine="420" w:firstLineChars="20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D1D4BA4">
      <w:pPr>
        <w:pStyle w:val="1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评标过程的监控。本项目电子评标过程实行网上留痕、全程录音、录像监控，</w:t>
      </w:r>
      <w:r>
        <w:rPr>
          <w:rFonts w:hint="eastAsia" w:hAnsi="宋体"/>
          <w:b/>
          <w:color w:val="auto"/>
          <w:sz w:val="21"/>
          <w:highlight w:val="none"/>
        </w:rPr>
        <w:t>投标人在评标过程中所进行的试图影响评标结果的不公正活动，可能导致其投标按无效处理。</w:t>
      </w:r>
    </w:p>
    <w:p w14:paraId="2C21950B">
      <w:pPr>
        <w:pStyle w:val="5"/>
        <w:keepNext w:val="0"/>
        <w:keepLines w:val="0"/>
        <w:spacing w:before="0" w:after="0" w:line="360" w:lineRule="auto"/>
        <w:ind w:left="420" w:leftChars="200"/>
        <w:rPr>
          <w:rFonts w:hint="eastAsia" w:ascii="黑体" w:hAnsi="黑体" w:eastAsia="黑体"/>
          <w:color w:val="auto"/>
          <w:sz w:val="21"/>
          <w:szCs w:val="21"/>
          <w:highlight w:val="none"/>
        </w:rPr>
      </w:pPr>
      <w:r>
        <w:rPr>
          <w:rFonts w:hint="eastAsia" w:ascii="黑体" w:hAnsi="黑体" w:eastAsia="黑体"/>
          <w:color w:val="auto"/>
          <w:sz w:val="21"/>
          <w:szCs w:val="21"/>
          <w:highlight w:val="none"/>
        </w:rPr>
        <w:t>29.评标方法及中标候选人推荐</w:t>
      </w:r>
    </w:p>
    <w:p w14:paraId="6760B8CA">
      <w:pPr>
        <w:pStyle w:val="15"/>
        <w:snapToGrid w:val="0"/>
        <w:spacing w:line="360" w:lineRule="auto"/>
        <w:ind w:firstLine="420" w:firstLineChars="20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4507C355">
      <w:pPr>
        <w:pStyle w:val="15"/>
        <w:snapToGrid w:val="0"/>
        <w:spacing w:line="360" w:lineRule="auto"/>
        <w:ind w:firstLine="420" w:firstLineChars="200"/>
        <w:rPr>
          <w:rFonts w:hAnsi="宋体"/>
          <w:color w:val="auto"/>
          <w:sz w:val="21"/>
          <w:highlight w:val="none"/>
        </w:rPr>
      </w:pPr>
      <w:r>
        <w:rPr>
          <w:rFonts w:hint="eastAsia" w:hAnsi="宋体"/>
          <w:color w:val="auto"/>
          <w:sz w:val="21"/>
          <w:highlight w:val="none"/>
        </w:rPr>
        <w:t>2</w:t>
      </w:r>
      <w:r>
        <w:rPr>
          <w:rFonts w:hAnsi="宋体"/>
          <w:color w:val="auto"/>
          <w:sz w:val="21"/>
          <w:highlight w:val="none"/>
        </w:rPr>
        <w:t>9.2</w:t>
      </w:r>
      <w:r>
        <w:rPr>
          <w:rFonts w:hint="eastAsia" w:hAnsi="宋体" w:cs="宋体"/>
          <w:color w:val="auto"/>
          <w:sz w:val="21"/>
          <w:highlight w:val="none"/>
        </w:rPr>
        <w:t>商务/技术要求</w:t>
      </w:r>
      <w:r>
        <w:rPr>
          <w:rFonts w:hint="eastAsia" w:hAnsi="宋体"/>
          <w:color w:val="auto"/>
          <w:sz w:val="21"/>
          <w:highlight w:val="none"/>
        </w:rPr>
        <w:t>允许负偏离的条款数</w:t>
      </w:r>
      <w:r>
        <w:rPr>
          <w:rFonts w:hAnsi="宋体"/>
          <w:color w:val="auto"/>
          <w:sz w:val="21"/>
          <w:highlight w:val="none"/>
        </w:rPr>
        <w:t>详见</w:t>
      </w:r>
      <w:r>
        <w:rPr>
          <w:rFonts w:hint="eastAsia" w:hAnsi="宋体"/>
          <w:color w:val="auto"/>
          <w:sz w:val="21"/>
          <w:highlight w:val="none"/>
        </w:rPr>
        <w:t>“投标人须知前附表”。</w:t>
      </w:r>
    </w:p>
    <w:p w14:paraId="2FDA1024">
      <w:pPr>
        <w:pStyle w:val="15"/>
        <w:snapToGrid w:val="0"/>
        <w:spacing w:line="360" w:lineRule="auto"/>
        <w:ind w:firstLine="420" w:firstLineChars="200"/>
        <w:rPr>
          <w:rFonts w:hint="eastAsia" w:hAnsi="宋体" w:cs="宋体"/>
          <w:color w:val="auto"/>
          <w:sz w:val="21"/>
          <w:highlight w:val="none"/>
        </w:rPr>
      </w:pPr>
      <w:r>
        <w:rPr>
          <w:rFonts w:hint="eastAsia" w:hAnsi="宋体"/>
          <w:color w:val="auto"/>
          <w:sz w:val="21"/>
          <w:highlight w:val="none"/>
        </w:rPr>
        <w:t>2</w:t>
      </w:r>
      <w:r>
        <w:rPr>
          <w:rFonts w:hAnsi="宋体"/>
          <w:color w:val="auto"/>
          <w:sz w:val="21"/>
          <w:highlight w:val="none"/>
        </w:rPr>
        <w:t>9.3中标候选人推荐数量详见</w:t>
      </w:r>
      <w:r>
        <w:rPr>
          <w:rFonts w:hint="eastAsia" w:hAnsi="宋体"/>
          <w:color w:val="auto"/>
          <w:sz w:val="21"/>
          <w:highlight w:val="none"/>
        </w:rPr>
        <w:t>“投标人须知前附表”。</w:t>
      </w:r>
    </w:p>
    <w:p w14:paraId="5145BFE4">
      <w:pPr>
        <w:spacing w:line="360" w:lineRule="auto"/>
        <w:ind w:firstLine="420" w:firstLineChars="200"/>
        <w:rPr>
          <w:rFonts w:hint="eastAsia" w:hAnsi="宋体"/>
          <w:color w:val="auto"/>
          <w:highlight w:val="none"/>
        </w:rPr>
      </w:pPr>
      <w:r>
        <w:rPr>
          <w:rFonts w:hint="eastAsia" w:hAnsi="宋体"/>
          <w:color w:val="auto"/>
          <w:szCs w:val="21"/>
          <w:highlight w:val="none"/>
        </w:rPr>
        <w:t>29.</w:t>
      </w:r>
      <w:r>
        <w:rPr>
          <w:rFonts w:hAnsi="宋体"/>
          <w:color w:val="auto"/>
          <w:szCs w:val="21"/>
          <w:highlight w:val="none"/>
        </w:rPr>
        <w:t>4</w:t>
      </w:r>
      <w:r>
        <w:rPr>
          <w:rFonts w:hint="eastAsia" w:hAnsi="宋体"/>
          <w:color w:val="auto"/>
          <w:szCs w:val="21"/>
          <w:highlight w:val="none"/>
        </w:rPr>
        <w:t>电子交易活动的中止。采购过程中出现以下情形，导致</w:t>
      </w:r>
      <w:r>
        <w:rPr>
          <w:rFonts w:hint="eastAsia" w:hAnsi="宋体"/>
          <w:color w:val="auto"/>
          <w:highlight w:val="none"/>
        </w:rPr>
        <w:t>电子交易平台无法正常运行，或者无法保证电子交易的公平、公正和安全时，采购代理机构可以中止电子交易活动：</w:t>
      </w:r>
    </w:p>
    <w:p w14:paraId="5C549B79">
      <w:pPr>
        <w:spacing w:line="360" w:lineRule="auto"/>
        <w:ind w:firstLine="420" w:firstLineChars="200"/>
        <w:rPr>
          <w:rFonts w:hint="eastAsia" w:hAnsi="宋体" w:eastAsia="宋体"/>
          <w:color w:val="auto"/>
          <w:highlight w:val="none"/>
          <w:lang w:eastAsia="zh-CN"/>
        </w:rPr>
      </w:pPr>
      <w:r>
        <w:rPr>
          <w:rFonts w:hint="eastAsia" w:hAnsi="宋体"/>
          <w:color w:val="auto"/>
          <w:highlight w:val="none"/>
        </w:rPr>
        <w:t>（1）电子交易平台发生故障而无法登录访问的；</w:t>
      </w:r>
    </w:p>
    <w:p w14:paraId="52014BD5">
      <w:pPr>
        <w:spacing w:line="360" w:lineRule="auto"/>
        <w:ind w:firstLine="420" w:firstLineChars="200"/>
        <w:rPr>
          <w:rFonts w:hint="eastAsia" w:hAnsi="宋体"/>
          <w:color w:val="auto"/>
          <w:highlight w:val="none"/>
        </w:rPr>
      </w:pPr>
      <w:r>
        <w:rPr>
          <w:rFonts w:hint="eastAsia" w:hAnsi="宋体"/>
          <w:color w:val="auto"/>
          <w:highlight w:val="none"/>
        </w:rPr>
        <w:t>（2）电子交易平台应用或数据库出现错误，不能进行正常操作的；</w:t>
      </w:r>
    </w:p>
    <w:p w14:paraId="703B51E7">
      <w:pPr>
        <w:spacing w:line="360" w:lineRule="auto"/>
        <w:ind w:firstLine="420" w:firstLineChars="200"/>
        <w:rPr>
          <w:rFonts w:hint="eastAsia" w:hAnsi="宋体"/>
          <w:color w:val="auto"/>
          <w:highlight w:val="none"/>
        </w:rPr>
      </w:pPr>
      <w:r>
        <w:rPr>
          <w:rFonts w:hint="eastAsia" w:hAnsi="宋体"/>
          <w:color w:val="auto"/>
          <w:highlight w:val="none"/>
        </w:rPr>
        <w:t>（3）电子交易平台发现严重安全漏洞，有潜在泄密危险的；</w:t>
      </w:r>
    </w:p>
    <w:p w14:paraId="17C21746">
      <w:pPr>
        <w:spacing w:line="360" w:lineRule="auto"/>
        <w:ind w:firstLine="420" w:firstLineChars="200"/>
        <w:rPr>
          <w:rFonts w:hint="eastAsia" w:hAnsi="宋体" w:eastAsia="宋体"/>
          <w:color w:val="auto"/>
          <w:highlight w:val="none"/>
          <w:lang w:eastAsia="zh-CN"/>
        </w:rPr>
      </w:pPr>
      <w:r>
        <w:rPr>
          <w:rFonts w:hint="eastAsia" w:hAnsi="宋体"/>
          <w:color w:val="auto"/>
          <w:highlight w:val="none"/>
        </w:rPr>
        <w:t>（4）病毒发作导致不能进行正常操作的；</w:t>
      </w:r>
    </w:p>
    <w:p w14:paraId="218A5A5F">
      <w:pPr>
        <w:spacing w:line="360" w:lineRule="auto"/>
        <w:ind w:firstLine="420" w:firstLineChars="200"/>
        <w:rPr>
          <w:rFonts w:hint="eastAsia" w:hAnsi="宋体"/>
          <w:color w:val="auto"/>
          <w:highlight w:val="none"/>
        </w:rPr>
      </w:pPr>
      <w:r>
        <w:rPr>
          <w:rFonts w:hint="eastAsia" w:hAnsi="宋体"/>
          <w:color w:val="auto"/>
          <w:highlight w:val="none"/>
        </w:rPr>
        <w:t>（5）其他无法保证电子交易的公平、公正和安全的情况。</w:t>
      </w:r>
    </w:p>
    <w:p w14:paraId="0C9AEBCE">
      <w:pPr>
        <w:spacing w:line="360" w:lineRule="auto"/>
        <w:ind w:firstLine="420" w:firstLineChars="200"/>
        <w:rPr>
          <w:rFonts w:hint="eastAsia" w:hAnsi="宋体"/>
          <w:color w:val="auto"/>
          <w:highlight w:val="none"/>
        </w:rPr>
      </w:pPr>
      <w:r>
        <w:rPr>
          <w:rFonts w:hint="eastAsia" w:hAnsi="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E4C1E3E">
      <w:pPr>
        <w:pStyle w:val="4"/>
        <w:keepNext w:val="0"/>
        <w:keepLines w:val="0"/>
        <w:jc w:val="center"/>
        <w:rPr>
          <w:rFonts w:hint="eastAsia"/>
          <w:color w:val="auto"/>
          <w:highlight w:val="none"/>
        </w:rPr>
      </w:pPr>
      <w:bookmarkStart w:id="86" w:name="_Toc254970546"/>
      <w:bookmarkStart w:id="87" w:name="_Toc254970687"/>
      <w:r>
        <w:rPr>
          <w:rFonts w:hint="eastAsia"/>
          <w:color w:val="auto"/>
          <w:highlight w:val="none"/>
        </w:rPr>
        <w:t>七、</w:t>
      </w:r>
      <w:bookmarkEnd w:id="86"/>
      <w:bookmarkEnd w:id="87"/>
      <w:r>
        <w:rPr>
          <w:rFonts w:hint="eastAsia"/>
          <w:color w:val="auto"/>
          <w:highlight w:val="none"/>
        </w:rPr>
        <w:t>中标和合同</w:t>
      </w:r>
    </w:p>
    <w:p w14:paraId="67DE60F2">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30确定中标人</w:t>
      </w:r>
    </w:p>
    <w:p w14:paraId="752BBEC5">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5AC9937">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采购人在收到评标报告5个工作日内未按评标报告推荐的中标候选人顺序确定中标人，又不能说明合法理由的，视同按评标报告推荐的顺序确定排名第一的中标候选人为中标人。</w:t>
      </w:r>
    </w:p>
    <w:p w14:paraId="44F1D75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30.3出现下列情形之一的，应予废标：</w:t>
      </w:r>
    </w:p>
    <w:p w14:paraId="0377516D">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（1）符合专业条件的供应商或者对招标文件作实质响应的供应商不足三家的；</w:t>
      </w:r>
    </w:p>
    <w:p w14:paraId="3A9D1249">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（2）出现影响采购公正的违法、违规行为的；</w:t>
      </w:r>
    </w:p>
    <w:p w14:paraId="08E512D9">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（3）投标人的报价均超过了采购预算，采购人不能支付的；</w:t>
      </w:r>
    </w:p>
    <w:p w14:paraId="61CEC0D4">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（4）因重大变故，采购任务取消的。</w:t>
      </w:r>
    </w:p>
    <w:p w14:paraId="1B7B96F9">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废标后，采购人应当将废标理由通知所有投标人。</w:t>
      </w:r>
    </w:p>
    <w:p w14:paraId="26150BF7">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31.结果公告</w:t>
      </w:r>
    </w:p>
    <w:p w14:paraId="040754AD">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2D21DEA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以上信息查询记录及相关证据与采购文件一并保存。</w:t>
      </w:r>
    </w:p>
    <w:p w14:paraId="7FD6CD1A">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03C252AD">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5FB4B31F">
      <w:pPr>
        <w:pStyle w:val="5"/>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在发布中标公告的同时，采购代理机构向中标人通过</w:t>
      </w:r>
      <w:r>
        <w:rPr>
          <w:rFonts w:hint="eastAsia" w:ascii="宋体" w:hAnsi="宋体"/>
          <w:b w:val="0"/>
          <w:color w:val="auto"/>
          <w:sz w:val="21"/>
          <w:szCs w:val="21"/>
          <w:highlight w:val="none"/>
          <w:lang w:eastAsia="zh-CN"/>
        </w:rPr>
        <w:t>广西政府采购云平台</w:t>
      </w:r>
      <w:r>
        <w:rPr>
          <w:rFonts w:hint="eastAsia" w:ascii="宋体" w:hAnsi="宋体"/>
          <w:b w:val="0"/>
          <w:color w:val="auto"/>
          <w:sz w:val="21"/>
          <w:szCs w:val="21"/>
          <w:highlight w:val="none"/>
        </w:rPr>
        <w:t>发出电子中标通知书。对未通过资格审查的投标人，应当告知其未通过的原因；采用综合评分办法评审的，还应当告知未中标人本人的评审得分与排序。</w:t>
      </w:r>
    </w:p>
    <w:p w14:paraId="288CD981">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33.无义务解释未中标原因</w:t>
      </w:r>
    </w:p>
    <w:p w14:paraId="63DFB3BB">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w:t>
      </w:r>
    </w:p>
    <w:p w14:paraId="38C51E9C">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070F9412">
      <w:pPr>
        <w:snapToGrid w:val="0"/>
        <w:spacing w:line="360" w:lineRule="auto"/>
        <w:ind w:firstLine="420" w:firstLineChars="20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w:t>
      </w:r>
    </w:p>
    <w:p w14:paraId="222238AB">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35.履约保证金</w:t>
      </w:r>
    </w:p>
    <w:p w14:paraId="70F76ACF">
      <w:pPr>
        <w:pStyle w:val="5"/>
        <w:keepNext w:val="0"/>
        <w:keepLines w:val="0"/>
        <w:spacing w:before="0" w:after="0" w:line="360" w:lineRule="auto"/>
        <w:ind w:firstLine="315" w:firstLineChars="150"/>
        <w:rPr>
          <w:rFonts w:hint="eastAsia" w:ascii="宋体" w:hAnsi="宋体"/>
          <w:b w:val="0"/>
          <w:color w:val="auto"/>
          <w:sz w:val="21"/>
          <w:szCs w:val="21"/>
          <w:highlight w:val="none"/>
        </w:rPr>
      </w:pPr>
      <w:bookmarkStart w:id="88" w:name="_39.1中标人须于签订合同前按本须知前附表规定的金额转账或电汇到指定账"/>
      <w:bookmarkEnd w:id="88"/>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.1履约保证金的金额、提交方式、退付的时间和条件详见“投标人须知前附表”。中标人未按规定提交履约保证金的，视为拒绝与采购人签订合同。</w:t>
      </w:r>
    </w:p>
    <w:p w14:paraId="48826579">
      <w:pPr>
        <w:pStyle w:val="5"/>
        <w:keepNext w:val="0"/>
        <w:keepLines w:val="0"/>
        <w:spacing w:before="0" w:after="0" w:line="360" w:lineRule="auto"/>
        <w:ind w:firstLine="315" w:firstLineChars="150"/>
        <w:rPr>
          <w:rFonts w:hint="eastAsia" w:ascii="宋体" w:hAnsi="宋体"/>
          <w:color w:val="auto"/>
          <w:sz w:val="21"/>
          <w:szCs w:val="21"/>
          <w:highlight w:val="none"/>
        </w:rPr>
      </w:pPr>
      <w:r>
        <w:rPr>
          <w:rFonts w:hint="eastAsia" w:ascii="宋体" w:hAnsi="宋体"/>
          <w:b w:val="0"/>
          <w:bCs/>
          <w:color w:val="auto"/>
          <w:sz w:val="21"/>
          <w:szCs w:val="21"/>
          <w:highlight w:val="none"/>
        </w:rPr>
        <w:t>35.2在履约保证金退还日期前，若中标人的开户名称、开户银行、账号有变动的，请以书面形式通知履约保证金收取单位，否则由此产生的后果由中标人自行承担。</w:t>
      </w:r>
    </w:p>
    <w:p w14:paraId="0EFBA9E9">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21182259">
      <w:pPr>
        <w:pStyle w:val="5"/>
        <w:keepNext w:val="0"/>
        <w:keepLines w:val="0"/>
        <w:spacing w:before="0" w:after="0" w:line="360" w:lineRule="auto"/>
        <w:ind w:firstLine="316" w:firstLineChars="150"/>
        <w:rPr>
          <w:rFonts w:hint="eastAsia" w:ascii="宋体" w:hAnsi="宋体"/>
          <w:b w:val="0"/>
          <w:color w:val="auto"/>
          <w:sz w:val="21"/>
          <w:szCs w:val="21"/>
          <w:highlight w:val="none"/>
          <w:lang w:val="en-US"/>
        </w:rPr>
      </w:pPr>
      <w:bookmarkStart w:id="89" w:name="_40.1投标人接到中标通知书后，按须知前附表规定向采购人出示相关资格证"/>
      <w:bookmarkEnd w:id="89"/>
      <w:r>
        <w:rPr>
          <w:rFonts w:hint="eastAsia" w:ascii="宋体" w:hAnsi="宋体"/>
          <w:color w:val="auto"/>
          <w:sz w:val="21"/>
          <w:szCs w:val="21"/>
          <w:highlight w:val="none"/>
        </w:rPr>
        <w:t>36.1签订电子采购合同：中标人领取电子中标通知书后，</w:t>
      </w:r>
      <w:r>
        <w:rPr>
          <w:rFonts w:hint="eastAsia" w:ascii="宋体" w:hAnsi="宋体"/>
          <w:color w:val="auto"/>
          <w:kern w:val="0"/>
          <w:sz w:val="21"/>
          <w:szCs w:val="21"/>
          <w:highlight w:val="none"/>
        </w:rPr>
        <w:t>在</w:t>
      </w:r>
      <w:r>
        <w:rPr>
          <w:rFonts w:hint="eastAsia" w:ascii="宋体" w:hAnsi="宋体"/>
          <w:color w:val="auto"/>
          <w:kern w:val="0"/>
          <w:sz w:val="21"/>
          <w:szCs w:val="21"/>
          <w:highlight w:val="none"/>
          <w:lang w:val="zh-CN"/>
        </w:rPr>
        <w:t>规定的日期、时间、地点，由法定代表人或其授权代表与采购人代表签订电子采购合同。</w:t>
      </w:r>
    </w:p>
    <w:p w14:paraId="29BE3B63">
      <w:pPr>
        <w:pStyle w:val="5"/>
        <w:keepNext w:val="0"/>
        <w:keepLines w:val="0"/>
        <w:spacing w:before="0" w:after="0" w:line="360" w:lineRule="auto"/>
        <w:ind w:firstLine="315" w:firstLineChars="150"/>
        <w:rPr>
          <w:rFonts w:hint="eastAsia" w:ascii="宋体" w:hAnsi="宋体"/>
          <w:b w:val="0"/>
          <w:color w:val="auto"/>
          <w:kern w:val="0"/>
          <w:sz w:val="21"/>
          <w:szCs w:val="21"/>
          <w:highlight w:val="none"/>
          <w:lang w:val="zh-CN"/>
        </w:rPr>
      </w:pPr>
      <w:r>
        <w:rPr>
          <w:rFonts w:hint="eastAsia" w:ascii="宋体" w:hAnsi="宋体"/>
          <w:b w:val="0"/>
          <w:color w:val="auto"/>
          <w:sz w:val="21"/>
          <w:szCs w:val="21"/>
          <w:highlight w:val="none"/>
        </w:rPr>
        <w:t>线下签订纸质合同：投标人领取中标通知书后，按“投标人须</w:t>
      </w:r>
      <w:r>
        <w:rPr>
          <w:rFonts w:hint="eastAsia" w:ascii="宋体" w:hAnsi="宋体"/>
          <w:b w:val="0"/>
          <w:color w:val="auto"/>
          <w:kern w:val="0"/>
          <w:sz w:val="21"/>
          <w:szCs w:val="21"/>
          <w:highlight w:val="none"/>
        </w:rPr>
        <w:t>知</w:t>
      </w:r>
      <w:r>
        <w:rPr>
          <w:rFonts w:hint="eastAsia" w:ascii="宋体" w:hAnsi="宋体"/>
          <w:b w:val="0"/>
          <w:color w:val="auto"/>
          <w:kern w:val="0"/>
          <w:sz w:val="21"/>
          <w:szCs w:val="21"/>
          <w:highlight w:val="none"/>
          <w:lang w:val="zh-CN"/>
        </w:rPr>
        <w:t>前附表”规定向采购人出示相关证明材料，经采购人核验合格后方可签订合同。</w:t>
      </w:r>
    </w:p>
    <w:p w14:paraId="299FAB2B">
      <w:pPr>
        <w:pStyle w:val="5"/>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kern w:val="0"/>
          <w:sz w:val="21"/>
          <w:szCs w:val="21"/>
          <w:highlight w:val="none"/>
          <w:lang w:val="zh-CN"/>
        </w:rPr>
        <w:t>36.</w:t>
      </w:r>
      <w:r>
        <w:rPr>
          <w:rFonts w:hint="eastAsia" w:ascii="宋体" w:hAnsi="宋体"/>
          <w:b w:val="0"/>
          <w:color w:val="auto"/>
          <w:sz w:val="21"/>
          <w:szCs w:val="21"/>
          <w:highlight w:val="none"/>
        </w:rPr>
        <w:t>2签订合同时间：按中标通知书规定的时间与采购人签订合同。</w:t>
      </w:r>
    </w:p>
    <w:p w14:paraId="59B21759">
      <w:pPr>
        <w:pStyle w:val="5"/>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36.</w:t>
      </w:r>
      <w:r>
        <w:rPr>
          <w:rFonts w:ascii="宋体" w:hAnsi="宋体"/>
          <w:b w:val="0"/>
          <w:color w:val="auto"/>
          <w:sz w:val="21"/>
          <w:szCs w:val="21"/>
          <w:highlight w:val="none"/>
        </w:rPr>
        <w:t>3</w:t>
      </w:r>
      <w:r>
        <w:rPr>
          <w:rFonts w:hint="eastAsia" w:ascii="宋体" w:hAnsi="宋体"/>
          <w:b w:val="0"/>
          <w:color w:val="auto"/>
          <w:sz w:val="21"/>
          <w:szCs w:val="21"/>
          <w:highlight w:val="none"/>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18DEC04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17E7D8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0147FB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36.6</w:t>
      </w:r>
      <w:r>
        <w:rPr>
          <w:rFonts w:hint="eastAsia" w:ascii="宋体" w:hAnsi="宋体" w:cs="仿宋_GB2312"/>
          <w:color w:val="auto"/>
          <w:szCs w:val="21"/>
          <w:highlight w:val="none"/>
        </w:rPr>
        <w:t>如签订合同并生效后，供应商无故拒绝或延期，除按照合同条款处理外，将承担相应的法律责任。</w:t>
      </w:r>
    </w:p>
    <w:p w14:paraId="7629A7C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36.7</w:t>
      </w:r>
      <w:r>
        <w:rPr>
          <w:rFonts w:hint="eastAsia" w:ascii="宋体" w:hAnsi="宋体" w:cs="宋体"/>
          <w:color w:val="auto"/>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0F7E164F">
      <w:pPr>
        <w:pStyle w:val="5"/>
        <w:keepNext w:val="0"/>
        <w:keepLines w:val="0"/>
        <w:spacing w:before="0" w:after="0" w:line="360" w:lineRule="auto"/>
        <w:ind w:left="420" w:leftChars="200"/>
        <w:rPr>
          <w:rFonts w:hint="eastAsia" w:ascii="黑体" w:hAnsi="黑体" w:eastAsia="黑体"/>
          <w:color w:val="auto"/>
          <w:sz w:val="24"/>
          <w:highlight w:val="none"/>
        </w:rPr>
      </w:pPr>
      <w:bookmarkStart w:id="90" w:name="_41.政府采购合同公告"/>
      <w:bookmarkEnd w:id="90"/>
      <w:r>
        <w:rPr>
          <w:rFonts w:hint="eastAsia" w:ascii="黑体" w:hAnsi="黑体" w:eastAsia="黑体"/>
          <w:color w:val="auto"/>
          <w:sz w:val="24"/>
          <w:highlight w:val="none"/>
        </w:rPr>
        <w:t>37.政府采购合同公告</w:t>
      </w:r>
    </w:p>
    <w:p w14:paraId="6FA02E29">
      <w:pPr>
        <w:pStyle w:val="1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2E49AA28">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询问、质疑和投诉</w:t>
      </w:r>
    </w:p>
    <w:p w14:paraId="3EF26CF0">
      <w:pPr>
        <w:pStyle w:val="6"/>
        <w:spacing w:line="360" w:lineRule="auto"/>
        <w:rPr>
          <w:rFonts w:hint="eastAsia"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5B5F1AC3">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267CB1BA">
      <w:pPr>
        <w:pStyle w:val="15"/>
        <w:snapToGrid w:val="0"/>
        <w:spacing w:line="360" w:lineRule="auto"/>
        <w:ind w:firstLine="420" w:firstLineChars="20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06EC7AFF">
      <w:pPr>
        <w:pStyle w:val="15"/>
        <w:snapToGrid w:val="0"/>
        <w:spacing w:line="360" w:lineRule="auto"/>
        <w:ind w:firstLine="420" w:firstLineChars="200"/>
        <w:rPr>
          <w:rFonts w:hint="eastAsia"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31AF87DA">
      <w:pPr>
        <w:pStyle w:val="15"/>
        <w:snapToGrid w:val="0"/>
        <w:spacing w:line="360" w:lineRule="auto"/>
        <w:ind w:firstLine="420" w:firstLineChars="200"/>
        <w:rPr>
          <w:rFonts w:hint="eastAsia"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6F05EF79">
      <w:pPr>
        <w:pStyle w:val="5"/>
        <w:keepNext w:val="0"/>
        <w:keepLines w:val="0"/>
        <w:spacing w:before="0" w:after="0" w:line="360" w:lineRule="auto"/>
        <w:ind w:firstLine="315" w:firstLineChars="150"/>
        <w:rPr>
          <w:rFonts w:ascii="宋体" w:hAnsi="宋体"/>
          <w:b w:val="0"/>
          <w:color w:val="auto"/>
          <w:sz w:val="21"/>
          <w:szCs w:val="21"/>
          <w:highlight w:val="none"/>
        </w:rPr>
      </w:pPr>
      <w:bookmarkStart w:id="91" w:name="_9.2质疑、投诉应当采用书面形式，质疑函、投诉书均应明确阐述招标文件、"/>
      <w:bookmarkEnd w:id="91"/>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Ansi="宋体"/>
          <w:b w:val="0"/>
          <w:bCs/>
          <w:color w:val="auto"/>
          <w:sz w:val="21"/>
          <w:highlight w:val="none"/>
        </w:rPr>
        <w:t>供应商提出质疑应当提交质疑函和必要的证明材料</w:t>
      </w:r>
      <w:r>
        <w:rPr>
          <w:rFonts w:hint="eastAsia" w:hAnsi="宋体"/>
          <w:b w:val="0"/>
          <w:bCs/>
          <w:color w:val="auto"/>
          <w:sz w:val="21"/>
          <w:highlight w:val="none"/>
        </w:rPr>
        <w:t>，</w:t>
      </w:r>
      <w:r>
        <w:rPr>
          <w:rFonts w:hAnsi="宋体"/>
          <w:b w:val="0"/>
          <w:bCs/>
          <w:color w:val="auto"/>
          <w:sz w:val="21"/>
          <w:highlight w:val="none"/>
        </w:rPr>
        <w:t>针对同一采购程序环节的质疑</w:t>
      </w:r>
      <w:r>
        <w:rPr>
          <w:rFonts w:hint="eastAsia" w:hAnsi="宋体"/>
          <w:b w:val="0"/>
          <w:bCs/>
          <w:color w:val="auto"/>
          <w:sz w:val="21"/>
          <w:highlight w:val="none"/>
        </w:rPr>
        <w:t>必须</w:t>
      </w:r>
      <w:r>
        <w:rPr>
          <w:rFonts w:hAnsi="宋体"/>
          <w:b w:val="0"/>
          <w:bCs/>
          <w:color w:val="auto"/>
          <w:sz w:val="21"/>
          <w:highlight w:val="none"/>
        </w:rPr>
        <w:t>在法定质疑期内一次性提出。质疑函应当包括下列内容</w:t>
      </w:r>
      <w:r>
        <w:rPr>
          <w:rFonts w:hint="eastAsia" w:hAnsi="宋体"/>
          <w:b w:val="0"/>
          <w:bCs/>
          <w:color w:val="auto"/>
          <w:sz w:val="21"/>
          <w:highlight w:val="none"/>
        </w:rPr>
        <w:t>（质疑函格式后附）</w:t>
      </w:r>
      <w:r>
        <w:rPr>
          <w:rFonts w:hAnsi="宋体"/>
          <w:b w:val="0"/>
          <w:bCs/>
          <w:color w:val="auto"/>
          <w:sz w:val="21"/>
          <w:highlight w:val="none"/>
        </w:rPr>
        <w:t>：</w:t>
      </w:r>
    </w:p>
    <w:p w14:paraId="0C54D91B">
      <w:pPr>
        <w:pStyle w:val="1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0C6341E1">
      <w:pPr>
        <w:pStyle w:val="1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53D02F93">
      <w:pPr>
        <w:pStyle w:val="1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1F172EC8">
      <w:pPr>
        <w:pStyle w:val="1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7AAA522A">
      <w:pPr>
        <w:pStyle w:val="1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693425FB">
      <w:pPr>
        <w:pStyle w:val="1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1479F35A">
      <w:pPr>
        <w:pStyle w:val="15"/>
        <w:snapToGrid w:val="0"/>
        <w:spacing w:line="360" w:lineRule="auto"/>
        <w:ind w:firstLine="420" w:firstLineChars="200"/>
        <w:rPr>
          <w:rFonts w:hint="eastAsia" w:hAnsi="宋体"/>
          <w:bCs/>
          <w:color w:val="auto"/>
          <w:sz w:val="21"/>
          <w:highlight w:val="none"/>
        </w:rPr>
      </w:pPr>
      <w:r>
        <w:rPr>
          <w:rFonts w:hAnsi="宋体"/>
          <w:bCs/>
          <w:color w:val="auto"/>
          <w:sz w:val="21"/>
          <w:highlight w:val="none"/>
        </w:rPr>
        <w:t>供应商为法人或者其他组织的，应当由法定代表人、主要负责人，或者其委托代理人签字或者盖章，并加盖公章</w:t>
      </w:r>
      <w:r>
        <w:rPr>
          <w:rFonts w:hint="eastAsia" w:hAnsi="宋体"/>
          <w:bCs/>
          <w:color w:val="auto"/>
          <w:sz w:val="21"/>
          <w:highlight w:val="none"/>
        </w:rPr>
        <w:t>。</w:t>
      </w:r>
    </w:p>
    <w:p w14:paraId="684A237B">
      <w:pPr>
        <w:pStyle w:val="5"/>
        <w:keepNext w:val="0"/>
        <w:keepLines w:val="0"/>
        <w:snapToGrid w:val="0"/>
        <w:spacing w:before="0" w:after="0" w:line="360" w:lineRule="auto"/>
        <w:ind w:firstLine="420" w:firstLineChars="200"/>
        <w:rPr>
          <w:rFonts w:hint="eastAsia" w:ascii="宋体" w:hAnsi="宋体"/>
          <w:b w:val="0"/>
          <w:bCs/>
          <w:color w:val="auto"/>
          <w:sz w:val="21"/>
          <w:szCs w:val="21"/>
          <w:highlight w:val="none"/>
        </w:rPr>
      </w:pPr>
      <w:r>
        <w:rPr>
          <w:rFonts w:ascii="宋体" w:hAnsi="宋体"/>
          <w:b w:val="0"/>
          <w:color w:val="auto"/>
          <w:sz w:val="21"/>
          <w:szCs w:val="21"/>
          <w:highlight w:val="none"/>
        </w:rPr>
        <w:t>3</w:t>
      </w:r>
      <w:r>
        <w:rPr>
          <w:rFonts w:ascii="宋体" w:hAnsi="宋体"/>
          <w:b w:val="0"/>
          <w:bCs/>
          <w:color w:val="auto"/>
          <w:sz w:val="21"/>
          <w:szCs w:val="21"/>
          <w:highlight w:val="none"/>
        </w:rPr>
        <w:t>8.4</w:t>
      </w:r>
      <w:r>
        <w:rPr>
          <w:rFonts w:hint="eastAsia" w:ascii="宋体" w:hAnsi="宋体"/>
          <w:b w:val="0"/>
          <w:bCs/>
          <w:color w:val="auto"/>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36C8B5EE">
      <w:pPr>
        <w:pStyle w:val="15"/>
        <w:snapToGrid w:val="0"/>
        <w:spacing w:line="360" w:lineRule="auto"/>
        <w:rPr>
          <w:rFonts w:hint="eastAsia" w:hAnsi="宋体"/>
          <w:bCs/>
          <w:color w:val="auto"/>
          <w:sz w:val="21"/>
          <w:highlight w:val="none"/>
        </w:rPr>
      </w:pPr>
      <w:r>
        <w:rPr>
          <w:rFonts w:hint="eastAsia" w:hAnsi="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0D325394">
      <w:pPr>
        <w:pStyle w:val="15"/>
        <w:snapToGrid w:val="0"/>
        <w:spacing w:line="360" w:lineRule="auto"/>
        <w:rPr>
          <w:rFonts w:hint="eastAsia" w:hAnsi="宋体"/>
          <w:bCs/>
          <w:color w:val="auto"/>
          <w:sz w:val="21"/>
          <w:highlight w:val="none"/>
        </w:rPr>
      </w:pPr>
      <w:r>
        <w:rPr>
          <w:rFonts w:hint="eastAsia" w:hAnsi="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098ECA21">
      <w:pPr>
        <w:pStyle w:val="15"/>
        <w:snapToGrid w:val="0"/>
        <w:spacing w:line="360" w:lineRule="auto"/>
        <w:ind w:firstLine="420"/>
        <w:rPr>
          <w:rFonts w:hAnsi="宋体"/>
          <w:bCs/>
          <w:color w:val="auto"/>
          <w:sz w:val="21"/>
          <w:highlight w:val="none"/>
        </w:rPr>
      </w:pPr>
      <w:r>
        <w:rPr>
          <w:rFonts w:hint="eastAsia" w:hAnsi="宋体"/>
          <w:bCs/>
          <w:color w:val="auto"/>
          <w:sz w:val="21"/>
          <w:highlight w:val="none"/>
        </w:rPr>
        <w:t>质疑答复导致中标结果改变的，采购人或者采购代理机构应当将有关情况书面报告本级财政部门。</w:t>
      </w:r>
    </w:p>
    <w:p w14:paraId="1DDFA509">
      <w:pPr>
        <w:pStyle w:val="15"/>
        <w:snapToGrid w:val="0"/>
        <w:spacing w:line="360" w:lineRule="auto"/>
        <w:ind w:firstLine="420" w:firstLineChars="200"/>
        <w:rPr>
          <w:rFonts w:hint="eastAsia" w:hAnsi="宋体"/>
          <w:color w:val="auto"/>
          <w:sz w:val="21"/>
          <w:highlight w:val="none"/>
        </w:rPr>
      </w:pPr>
      <w:r>
        <w:rPr>
          <w:rFonts w:hAnsi="宋体"/>
          <w:color w:val="auto"/>
          <w:sz w:val="21"/>
          <w:highlight w:val="none"/>
        </w:rPr>
        <w:t>38</w:t>
      </w:r>
      <w:r>
        <w:rPr>
          <w:rFonts w:hint="eastAsia" w:hAnsi="宋体"/>
          <w:color w:val="auto"/>
          <w:sz w:val="21"/>
          <w:highlight w:val="none"/>
        </w:rPr>
        <w:t>.</w:t>
      </w:r>
      <w:r>
        <w:rPr>
          <w:rFonts w:hAnsi="宋体"/>
          <w:color w:val="auto"/>
          <w:sz w:val="21"/>
          <w:highlight w:val="none"/>
        </w:rPr>
        <w:t>5</w:t>
      </w:r>
      <w:r>
        <w:rPr>
          <w:rFonts w:hint="eastAsia" w:hAnsi="宋体"/>
          <w:color w:val="auto"/>
          <w:sz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8D5A3C5">
      <w:pPr>
        <w:pStyle w:val="4"/>
        <w:keepNext w:val="0"/>
        <w:keepLines w:val="0"/>
        <w:spacing w:before="240" w:after="240" w:line="415" w:lineRule="auto"/>
        <w:jc w:val="center"/>
        <w:rPr>
          <w:rFonts w:hint="eastAsia"/>
          <w:color w:val="auto"/>
          <w:highlight w:val="none"/>
        </w:rPr>
      </w:pPr>
      <w:bookmarkStart w:id="92" w:name="_八、其他事项"/>
      <w:bookmarkEnd w:id="92"/>
      <w:r>
        <w:rPr>
          <w:rFonts w:hint="eastAsia"/>
          <w:color w:val="auto"/>
          <w:highlight w:val="none"/>
        </w:rPr>
        <w:t>八、其他事项</w:t>
      </w:r>
    </w:p>
    <w:p w14:paraId="48ECA9CA">
      <w:pPr>
        <w:pStyle w:val="5"/>
        <w:keepNext w:val="0"/>
        <w:keepLines w:val="0"/>
        <w:spacing w:before="0" w:after="0" w:line="360" w:lineRule="auto"/>
        <w:ind w:left="420" w:leftChars="200"/>
        <w:rPr>
          <w:rFonts w:hint="eastAsia" w:ascii="黑体" w:hAnsi="黑体" w:eastAsia="黑体"/>
          <w:color w:val="auto"/>
          <w:sz w:val="24"/>
          <w:highlight w:val="none"/>
        </w:rPr>
      </w:pPr>
      <w:bookmarkStart w:id="93" w:name="_42.代理服务费"/>
      <w:bookmarkEnd w:id="93"/>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.代理服务费</w:t>
      </w:r>
    </w:p>
    <w:p w14:paraId="14CC200F">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.1代理服务收取标准及缴费账户详见“投标人须知前附表”。</w:t>
      </w:r>
    </w:p>
    <w:p w14:paraId="4A7950C6">
      <w:pPr>
        <w:pStyle w:val="5"/>
        <w:keepNext w:val="0"/>
        <w:keepLines w:val="0"/>
        <w:spacing w:before="0" w:after="0" w:line="360" w:lineRule="auto"/>
        <w:ind w:left="420" w:leftChars="200"/>
        <w:rPr>
          <w:rFonts w:hint="eastAsia" w:ascii="宋体" w:hAnsi="宋体"/>
          <w:color w:val="auto"/>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9</w:t>
      </w:r>
      <w:r>
        <w:rPr>
          <w:rFonts w:hint="eastAsia" w:ascii="宋体" w:hAnsi="宋体"/>
          <w:color w:val="auto"/>
          <w:sz w:val="21"/>
          <w:szCs w:val="21"/>
          <w:highlight w:val="none"/>
        </w:rPr>
        <w:t>.2代理服务收费标准：</w:t>
      </w:r>
    </w:p>
    <w:tbl>
      <w:tblPr>
        <w:tblStyle w:val="24"/>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7C50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1E9F6706">
            <w:pPr>
              <w:spacing w:line="360" w:lineRule="auto"/>
              <w:rPr>
                <w:rFonts w:hint="eastAsia" w:ascii="宋体" w:hAnsi="宋体"/>
                <w:color w:val="auto"/>
                <w:szCs w:val="21"/>
                <w:highlight w:val="none"/>
              </w:rPr>
            </w:pPr>
            <w:r>
              <w:rPr>
                <w:rFonts w:hint="eastAsia" w:ascii="宋体" w:hAnsi="宋体"/>
                <w:color w:val="auto"/>
                <w:szCs w:val="21"/>
                <w:highlight w:val="none"/>
              </w:rPr>
              <w:t>费率</w:t>
            </w:r>
          </w:p>
          <w:p w14:paraId="44EFA9C4">
            <w:pPr>
              <w:spacing w:line="360" w:lineRule="auto"/>
              <w:rPr>
                <w:rFonts w:hint="eastAsia" w:ascii="宋体" w:hAnsi="宋体"/>
                <w:color w:val="auto"/>
                <w:szCs w:val="21"/>
                <w:highlight w:val="none"/>
              </w:rPr>
            </w:pPr>
            <w:r>
              <w:rPr>
                <w:rFonts w:hint="eastAsia" w:ascii="宋体" w:hAnsi="宋体"/>
                <w:color w:val="auto"/>
                <w:szCs w:val="21"/>
                <w:highlight w:val="none"/>
              </w:rPr>
              <w:t>中标金额</w:t>
            </w:r>
          </w:p>
        </w:tc>
        <w:tc>
          <w:tcPr>
            <w:tcW w:w="1659" w:type="dxa"/>
            <w:vAlign w:val="center"/>
          </w:tcPr>
          <w:p w14:paraId="59969170">
            <w:pPr>
              <w:spacing w:line="360" w:lineRule="auto"/>
              <w:ind w:firstLine="105" w:firstLineChars="50"/>
              <w:jc w:val="center"/>
              <w:rPr>
                <w:rFonts w:hint="eastAsia" w:ascii="宋体" w:hAnsi="宋体"/>
                <w:color w:val="auto"/>
                <w:szCs w:val="21"/>
                <w:highlight w:val="none"/>
              </w:rPr>
            </w:pPr>
            <w:r>
              <w:rPr>
                <w:rFonts w:hint="eastAsia" w:ascii="宋体" w:hAnsi="宋体"/>
                <w:color w:val="auto"/>
                <w:szCs w:val="21"/>
                <w:highlight w:val="none"/>
              </w:rPr>
              <w:t>货物招标</w:t>
            </w:r>
          </w:p>
        </w:tc>
        <w:tc>
          <w:tcPr>
            <w:tcW w:w="1687" w:type="dxa"/>
            <w:vAlign w:val="center"/>
          </w:tcPr>
          <w:p w14:paraId="1AC0F461">
            <w:pPr>
              <w:spacing w:line="360" w:lineRule="auto"/>
              <w:jc w:val="center"/>
              <w:rPr>
                <w:rFonts w:hint="eastAsia" w:ascii="宋体" w:hAnsi="宋体"/>
                <w:color w:val="auto"/>
                <w:szCs w:val="21"/>
                <w:highlight w:val="none"/>
              </w:rPr>
            </w:pPr>
            <w:r>
              <w:rPr>
                <w:rFonts w:hint="eastAsia" w:ascii="宋体" w:hAnsi="宋体"/>
                <w:color w:val="auto"/>
                <w:szCs w:val="21"/>
                <w:highlight w:val="none"/>
              </w:rPr>
              <w:t>服务招标</w:t>
            </w:r>
          </w:p>
        </w:tc>
        <w:tc>
          <w:tcPr>
            <w:tcW w:w="1659" w:type="dxa"/>
            <w:vAlign w:val="center"/>
          </w:tcPr>
          <w:p w14:paraId="0B34E65F">
            <w:pPr>
              <w:spacing w:line="360" w:lineRule="auto"/>
              <w:jc w:val="center"/>
              <w:rPr>
                <w:rFonts w:hint="eastAsia" w:ascii="宋体" w:hAnsi="宋体"/>
                <w:color w:val="auto"/>
                <w:szCs w:val="21"/>
                <w:highlight w:val="none"/>
              </w:rPr>
            </w:pPr>
            <w:r>
              <w:rPr>
                <w:rFonts w:hint="eastAsia" w:ascii="宋体" w:hAnsi="宋体"/>
                <w:color w:val="auto"/>
                <w:szCs w:val="21"/>
                <w:highlight w:val="none"/>
              </w:rPr>
              <w:t>工程招标</w:t>
            </w:r>
          </w:p>
        </w:tc>
      </w:tr>
      <w:tr w14:paraId="072A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73F3C9E">
            <w:pPr>
              <w:spacing w:line="360" w:lineRule="auto"/>
              <w:rPr>
                <w:rFonts w:hint="eastAsia" w:ascii="宋体" w:hAnsi="宋体"/>
                <w:color w:val="auto"/>
                <w:szCs w:val="21"/>
                <w:highlight w:val="none"/>
              </w:rPr>
            </w:pPr>
            <w:r>
              <w:rPr>
                <w:rFonts w:hint="eastAsia" w:ascii="宋体" w:hAnsi="宋体"/>
                <w:color w:val="auto"/>
                <w:szCs w:val="21"/>
                <w:highlight w:val="none"/>
              </w:rPr>
              <w:t>100万元以下</w:t>
            </w:r>
          </w:p>
        </w:tc>
        <w:tc>
          <w:tcPr>
            <w:tcW w:w="1659" w:type="dxa"/>
          </w:tcPr>
          <w:p w14:paraId="2F881CCB">
            <w:pPr>
              <w:spacing w:line="360" w:lineRule="auto"/>
              <w:jc w:val="center"/>
              <w:rPr>
                <w:rFonts w:hint="eastAsia" w:ascii="宋体" w:hAnsi="宋体" w:eastAsia="宋体"/>
                <w:color w:val="auto"/>
                <w:szCs w:val="21"/>
                <w:highlight w:val="none"/>
                <w:lang w:eastAsia="zh-CN"/>
              </w:rPr>
            </w:pPr>
            <w:r>
              <w:rPr>
                <w:rFonts w:ascii="宋体" w:hAnsi="宋体" w:cs="宋体"/>
                <w:color w:val="auto"/>
                <w:kern w:val="0"/>
                <w:szCs w:val="21"/>
                <w:highlight w:val="none"/>
              </w:rPr>
              <w:t>1.5%</w:t>
            </w:r>
          </w:p>
        </w:tc>
        <w:tc>
          <w:tcPr>
            <w:tcW w:w="1687" w:type="dxa"/>
          </w:tcPr>
          <w:p w14:paraId="2AA22560">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1.5%</w:t>
            </w:r>
          </w:p>
        </w:tc>
        <w:tc>
          <w:tcPr>
            <w:tcW w:w="1659" w:type="dxa"/>
          </w:tcPr>
          <w:p w14:paraId="6B8B00AB">
            <w:pPr>
              <w:spacing w:line="360" w:lineRule="auto"/>
              <w:ind w:firstLine="210" w:firstLineChars="100"/>
              <w:rPr>
                <w:rFonts w:hint="eastAsia" w:ascii="宋体" w:hAnsi="宋体" w:eastAsia="宋体"/>
                <w:color w:val="auto"/>
                <w:szCs w:val="21"/>
                <w:highlight w:val="none"/>
                <w:lang w:eastAsia="zh-CN"/>
              </w:rPr>
            </w:pPr>
            <w:r>
              <w:rPr>
                <w:rFonts w:ascii="宋体" w:hAnsi="宋体" w:cs="宋体"/>
                <w:color w:val="auto"/>
                <w:kern w:val="0"/>
                <w:szCs w:val="21"/>
                <w:highlight w:val="none"/>
              </w:rPr>
              <w:t>1.0%</w:t>
            </w:r>
          </w:p>
        </w:tc>
      </w:tr>
      <w:tr w14:paraId="30FC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2B03B02">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100～</w:t>
            </w:r>
            <w:r>
              <w:rPr>
                <w:rFonts w:hint="eastAsia" w:ascii="宋体" w:hAnsi="宋体"/>
                <w:color w:val="auto"/>
                <w:szCs w:val="21"/>
                <w:highlight w:val="none"/>
                <w:lang w:eastAsia="zh-CN"/>
              </w:rPr>
              <w:t>5</w:t>
            </w:r>
            <w:r>
              <w:rPr>
                <w:rFonts w:hint="eastAsia" w:ascii="宋体" w:hAnsi="宋体"/>
                <w:color w:val="auto"/>
                <w:szCs w:val="21"/>
                <w:highlight w:val="none"/>
                <w:lang w:val="en-US" w:eastAsia="zh-CN"/>
              </w:rPr>
              <w:t>00</w:t>
            </w:r>
            <w:r>
              <w:rPr>
                <w:rFonts w:hint="eastAsia" w:ascii="宋体" w:hAnsi="宋体"/>
                <w:color w:val="auto"/>
                <w:szCs w:val="21"/>
                <w:highlight w:val="none"/>
                <w:lang w:eastAsia="zh-CN"/>
              </w:rPr>
              <w:t>万元</w:t>
            </w:r>
          </w:p>
        </w:tc>
        <w:tc>
          <w:tcPr>
            <w:tcW w:w="1659" w:type="dxa"/>
          </w:tcPr>
          <w:p w14:paraId="6EE88DA6">
            <w:pPr>
              <w:spacing w:line="360" w:lineRule="auto"/>
              <w:ind w:firstLine="210" w:firstLineChars="100"/>
              <w:jc w:val="center"/>
              <w:rPr>
                <w:rFonts w:hint="eastAsia" w:ascii="宋体" w:hAnsi="宋体" w:eastAsia="宋体"/>
                <w:color w:val="auto"/>
                <w:szCs w:val="21"/>
                <w:highlight w:val="none"/>
                <w:lang w:eastAsia="zh-CN"/>
              </w:rPr>
            </w:pPr>
            <w:r>
              <w:rPr>
                <w:rFonts w:ascii="宋体" w:hAnsi="宋体" w:cs="宋体"/>
                <w:color w:val="auto"/>
                <w:kern w:val="0"/>
                <w:szCs w:val="21"/>
                <w:highlight w:val="none"/>
              </w:rPr>
              <w:t>1.1%</w:t>
            </w:r>
          </w:p>
        </w:tc>
        <w:tc>
          <w:tcPr>
            <w:tcW w:w="1687" w:type="dxa"/>
          </w:tcPr>
          <w:p w14:paraId="789C1923">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0.8%</w:t>
            </w:r>
          </w:p>
        </w:tc>
        <w:tc>
          <w:tcPr>
            <w:tcW w:w="1659" w:type="dxa"/>
          </w:tcPr>
          <w:p w14:paraId="0B824E87">
            <w:pPr>
              <w:spacing w:line="360" w:lineRule="auto"/>
              <w:ind w:firstLine="210" w:firstLineChars="100"/>
              <w:rPr>
                <w:rFonts w:hint="eastAsia" w:ascii="宋体" w:hAnsi="宋体" w:eastAsia="宋体"/>
                <w:color w:val="auto"/>
                <w:szCs w:val="21"/>
                <w:highlight w:val="none"/>
                <w:lang w:eastAsia="zh-CN"/>
              </w:rPr>
            </w:pPr>
            <w:r>
              <w:rPr>
                <w:rFonts w:ascii="宋体" w:hAnsi="宋体" w:cs="宋体"/>
                <w:color w:val="auto"/>
                <w:kern w:val="0"/>
                <w:szCs w:val="21"/>
                <w:highlight w:val="none"/>
              </w:rPr>
              <w:t>0.7%</w:t>
            </w:r>
          </w:p>
        </w:tc>
      </w:tr>
      <w:tr w14:paraId="0860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4225B29">
            <w:pPr>
              <w:spacing w:line="360" w:lineRule="auto"/>
              <w:rPr>
                <w:rFonts w:hint="eastAsia" w:ascii="宋体" w:hAnsi="宋体"/>
                <w:color w:val="auto"/>
                <w:szCs w:val="21"/>
                <w:highlight w:val="none"/>
              </w:rPr>
            </w:pPr>
            <w:r>
              <w:rPr>
                <w:rFonts w:hint="eastAsia" w:ascii="宋体" w:hAnsi="宋体"/>
                <w:color w:val="auto"/>
                <w:szCs w:val="21"/>
                <w:highlight w:val="none"/>
              </w:rPr>
              <w:t>500～1000万元</w:t>
            </w:r>
          </w:p>
        </w:tc>
        <w:tc>
          <w:tcPr>
            <w:tcW w:w="1659" w:type="dxa"/>
          </w:tcPr>
          <w:p w14:paraId="5482D338">
            <w:pPr>
              <w:spacing w:line="360" w:lineRule="auto"/>
              <w:jc w:val="center"/>
              <w:rPr>
                <w:rFonts w:hint="eastAsia" w:ascii="宋体" w:hAnsi="宋体" w:eastAsia="宋体"/>
                <w:color w:val="auto"/>
                <w:szCs w:val="21"/>
                <w:highlight w:val="none"/>
                <w:lang w:eastAsia="zh-CN"/>
              </w:rPr>
            </w:pPr>
            <w:r>
              <w:rPr>
                <w:rFonts w:ascii="宋体" w:hAnsi="宋体" w:cs="宋体"/>
                <w:color w:val="auto"/>
                <w:kern w:val="0"/>
                <w:szCs w:val="21"/>
                <w:highlight w:val="none"/>
              </w:rPr>
              <w:t>0.8%</w:t>
            </w:r>
          </w:p>
        </w:tc>
        <w:tc>
          <w:tcPr>
            <w:tcW w:w="1687" w:type="dxa"/>
          </w:tcPr>
          <w:p w14:paraId="1CB0D6AF">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0.45%</w:t>
            </w:r>
          </w:p>
        </w:tc>
        <w:tc>
          <w:tcPr>
            <w:tcW w:w="1659" w:type="dxa"/>
          </w:tcPr>
          <w:p w14:paraId="6B2D86EE">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0.55%</w:t>
            </w:r>
          </w:p>
        </w:tc>
      </w:tr>
      <w:tr w14:paraId="2969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A26CDA4">
            <w:pPr>
              <w:spacing w:line="360" w:lineRule="auto"/>
              <w:rPr>
                <w:rFonts w:hint="eastAsia" w:ascii="宋体" w:hAnsi="宋体"/>
                <w:color w:val="auto"/>
                <w:szCs w:val="21"/>
                <w:highlight w:val="none"/>
              </w:rPr>
            </w:pPr>
            <w:r>
              <w:rPr>
                <w:rFonts w:hint="eastAsia" w:ascii="宋体" w:hAnsi="宋体"/>
                <w:color w:val="auto"/>
                <w:szCs w:val="21"/>
                <w:highlight w:val="none"/>
              </w:rPr>
              <w:t>1000～5000万元</w:t>
            </w:r>
          </w:p>
        </w:tc>
        <w:tc>
          <w:tcPr>
            <w:tcW w:w="1659" w:type="dxa"/>
          </w:tcPr>
          <w:p w14:paraId="45802235">
            <w:pPr>
              <w:spacing w:line="360" w:lineRule="auto"/>
              <w:ind w:firstLine="210" w:firstLineChars="100"/>
              <w:rPr>
                <w:rFonts w:hint="eastAsia" w:ascii="宋体" w:hAnsi="宋体" w:eastAsia="宋体"/>
                <w:color w:val="auto"/>
                <w:szCs w:val="21"/>
                <w:highlight w:val="none"/>
                <w:lang w:eastAsia="zh-CN"/>
              </w:rPr>
            </w:pPr>
            <w:r>
              <w:rPr>
                <w:rFonts w:ascii="宋体" w:hAnsi="宋体" w:cs="宋体"/>
                <w:color w:val="auto"/>
                <w:kern w:val="0"/>
                <w:szCs w:val="21"/>
                <w:highlight w:val="none"/>
              </w:rPr>
              <w:t>0.5%</w:t>
            </w:r>
          </w:p>
        </w:tc>
        <w:tc>
          <w:tcPr>
            <w:tcW w:w="1687" w:type="dxa"/>
          </w:tcPr>
          <w:p w14:paraId="2DCAA963">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0.25%</w:t>
            </w:r>
          </w:p>
        </w:tc>
        <w:tc>
          <w:tcPr>
            <w:tcW w:w="1659" w:type="dxa"/>
          </w:tcPr>
          <w:p w14:paraId="1063AC84">
            <w:pPr>
              <w:spacing w:line="360" w:lineRule="auto"/>
              <w:ind w:firstLine="210" w:firstLineChars="100"/>
              <w:rPr>
                <w:rFonts w:hint="eastAsia" w:ascii="宋体" w:hAnsi="宋体" w:eastAsia="宋体"/>
                <w:color w:val="auto"/>
                <w:szCs w:val="21"/>
                <w:highlight w:val="none"/>
                <w:lang w:eastAsia="zh-CN"/>
              </w:rPr>
            </w:pPr>
            <w:r>
              <w:rPr>
                <w:rFonts w:ascii="宋体" w:hAnsi="宋体" w:cs="宋体"/>
                <w:color w:val="auto"/>
                <w:kern w:val="0"/>
                <w:szCs w:val="21"/>
                <w:highlight w:val="none"/>
              </w:rPr>
              <w:t>0.35%</w:t>
            </w:r>
          </w:p>
        </w:tc>
      </w:tr>
      <w:tr w14:paraId="64A3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D43DBF3">
            <w:pPr>
              <w:spacing w:line="360" w:lineRule="auto"/>
              <w:rPr>
                <w:rFonts w:hint="eastAsia" w:ascii="宋体" w:hAnsi="宋体"/>
                <w:color w:val="auto"/>
                <w:szCs w:val="21"/>
                <w:highlight w:val="none"/>
              </w:rPr>
            </w:pPr>
            <w:r>
              <w:rPr>
                <w:rFonts w:hint="eastAsia" w:ascii="宋体" w:hAnsi="宋体"/>
                <w:color w:val="auto"/>
                <w:szCs w:val="21"/>
                <w:highlight w:val="none"/>
              </w:rPr>
              <w:t>5000万元～1亿元</w:t>
            </w:r>
          </w:p>
        </w:tc>
        <w:tc>
          <w:tcPr>
            <w:tcW w:w="1659" w:type="dxa"/>
          </w:tcPr>
          <w:p w14:paraId="0EF1F4D0">
            <w:pPr>
              <w:spacing w:line="360" w:lineRule="auto"/>
              <w:ind w:firstLine="210" w:firstLineChars="100"/>
              <w:rPr>
                <w:rFonts w:hint="eastAsia" w:ascii="宋体" w:hAnsi="宋体" w:eastAsia="宋体"/>
                <w:color w:val="auto"/>
                <w:szCs w:val="21"/>
                <w:highlight w:val="none"/>
                <w:lang w:eastAsia="zh-CN"/>
              </w:rPr>
            </w:pPr>
            <w:r>
              <w:rPr>
                <w:rFonts w:ascii="宋体" w:hAnsi="宋体" w:cs="宋体"/>
                <w:color w:val="auto"/>
                <w:kern w:val="0"/>
                <w:szCs w:val="21"/>
                <w:highlight w:val="none"/>
              </w:rPr>
              <w:t>0.25%</w:t>
            </w:r>
          </w:p>
        </w:tc>
        <w:tc>
          <w:tcPr>
            <w:tcW w:w="1687" w:type="dxa"/>
          </w:tcPr>
          <w:p w14:paraId="643FDC36">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0.1%</w:t>
            </w:r>
          </w:p>
        </w:tc>
        <w:tc>
          <w:tcPr>
            <w:tcW w:w="1659" w:type="dxa"/>
          </w:tcPr>
          <w:p w14:paraId="0ED71D32">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0.2%</w:t>
            </w:r>
          </w:p>
        </w:tc>
      </w:tr>
      <w:tr w14:paraId="75A8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64E76FF">
            <w:pPr>
              <w:spacing w:line="360" w:lineRule="auto"/>
              <w:rPr>
                <w:rFonts w:hint="eastAsia" w:ascii="宋体" w:hAnsi="宋体"/>
                <w:color w:val="auto"/>
                <w:szCs w:val="21"/>
                <w:highlight w:val="none"/>
              </w:rPr>
            </w:pPr>
            <w:r>
              <w:rPr>
                <w:rFonts w:hint="eastAsia" w:ascii="宋体" w:hAnsi="宋体"/>
                <w:color w:val="auto"/>
                <w:szCs w:val="21"/>
                <w:highlight w:val="none"/>
              </w:rPr>
              <w:t>1～5亿元</w:t>
            </w:r>
          </w:p>
        </w:tc>
        <w:tc>
          <w:tcPr>
            <w:tcW w:w="1659" w:type="dxa"/>
          </w:tcPr>
          <w:p w14:paraId="089E55BD">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0.05%</w:t>
            </w:r>
          </w:p>
        </w:tc>
        <w:tc>
          <w:tcPr>
            <w:tcW w:w="1687" w:type="dxa"/>
          </w:tcPr>
          <w:p w14:paraId="636B68ED">
            <w:pPr>
              <w:spacing w:line="360" w:lineRule="auto"/>
              <w:rPr>
                <w:rFonts w:hint="eastAsia" w:ascii="宋体" w:hAnsi="宋体"/>
                <w:color w:val="auto"/>
                <w:szCs w:val="21"/>
                <w:highlight w:val="none"/>
              </w:rPr>
            </w:pPr>
            <w:r>
              <w:rPr>
                <w:rFonts w:hint="eastAsia" w:ascii="宋体" w:hAnsi="宋体"/>
                <w:color w:val="auto"/>
                <w:szCs w:val="21"/>
                <w:highlight w:val="none"/>
              </w:rPr>
              <w:t>0.05%</w:t>
            </w:r>
          </w:p>
        </w:tc>
        <w:tc>
          <w:tcPr>
            <w:tcW w:w="1659" w:type="dxa"/>
          </w:tcPr>
          <w:p w14:paraId="4ED9D394">
            <w:pPr>
              <w:spacing w:line="360" w:lineRule="auto"/>
              <w:rPr>
                <w:rFonts w:hint="eastAsia" w:ascii="宋体" w:hAnsi="宋体"/>
                <w:color w:val="auto"/>
                <w:szCs w:val="21"/>
                <w:highlight w:val="none"/>
              </w:rPr>
            </w:pPr>
            <w:r>
              <w:rPr>
                <w:rFonts w:hint="eastAsia" w:ascii="宋体" w:hAnsi="宋体"/>
                <w:color w:val="auto"/>
                <w:szCs w:val="21"/>
                <w:highlight w:val="none"/>
              </w:rPr>
              <w:t>0.05%</w:t>
            </w:r>
          </w:p>
        </w:tc>
      </w:tr>
      <w:tr w14:paraId="1041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07BE568">
            <w:pPr>
              <w:spacing w:line="360" w:lineRule="auto"/>
              <w:rPr>
                <w:rFonts w:hint="eastAsia" w:ascii="宋体" w:hAnsi="宋体"/>
                <w:color w:val="auto"/>
                <w:szCs w:val="21"/>
                <w:highlight w:val="none"/>
              </w:rPr>
            </w:pPr>
            <w:r>
              <w:rPr>
                <w:rFonts w:hint="eastAsia" w:ascii="宋体" w:hAnsi="宋体"/>
                <w:color w:val="auto"/>
                <w:szCs w:val="21"/>
                <w:highlight w:val="none"/>
              </w:rPr>
              <w:t>5～10亿元</w:t>
            </w:r>
          </w:p>
        </w:tc>
        <w:tc>
          <w:tcPr>
            <w:tcW w:w="1659" w:type="dxa"/>
          </w:tcPr>
          <w:p w14:paraId="4BEFE85C">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0.035%</w:t>
            </w:r>
          </w:p>
        </w:tc>
        <w:tc>
          <w:tcPr>
            <w:tcW w:w="1687" w:type="dxa"/>
          </w:tcPr>
          <w:p w14:paraId="0D1CC8D3">
            <w:pPr>
              <w:spacing w:line="360" w:lineRule="auto"/>
              <w:rPr>
                <w:rFonts w:hint="eastAsia" w:ascii="宋体" w:hAnsi="宋体"/>
                <w:color w:val="auto"/>
                <w:szCs w:val="21"/>
                <w:highlight w:val="none"/>
              </w:rPr>
            </w:pPr>
            <w:r>
              <w:rPr>
                <w:rFonts w:hint="eastAsia" w:ascii="宋体" w:hAnsi="宋体"/>
                <w:color w:val="auto"/>
                <w:szCs w:val="21"/>
                <w:highlight w:val="none"/>
              </w:rPr>
              <w:t>0.035%</w:t>
            </w:r>
          </w:p>
        </w:tc>
        <w:tc>
          <w:tcPr>
            <w:tcW w:w="1659" w:type="dxa"/>
          </w:tcPr>
          <w:p w14:paraId="4B4F3668">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0.035%</w:t>
            </w:r>
          </w:p>
        </w:tc>
      </w:tr>
      <w:tr w14:paraId="739D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CB3ADFE">
            <w:pPr>
              <w:spacing w:line="360" w:lineRule="auto"/>
              <w:rPr>
                <w:rFonts w:hint="eastAsia" w:ascii="宋体" w:hAnsi="宋体"/>
                <w:color w:val="auto"/>
                <w:szCs w:val="21"/>
                <w:highlight w:val="none"/>
              </w:rPr>
            </w:pPr>
            <w:r>
              <w:rPr>
                <w:rFonts w:hint="eastAsia" w:ascii="宋体" w:hAnsi="宋体"/>
                <w:color w:val="auto"/>
                <w:szCs w:val="21"/>
                <w:highlight w:val="none"/>
              </w:rPr>
              <w:t>10～50亿元</w:t>
            </w:r>
          </w:p>
        </w:tc>
        <w:tc>
          <w:tcPr>
            <w:tcW w:w="1659" w:type="dxa"/>
          </w:tcPr>
          <w:p w14:paraId="2CAA0777">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0.008%</w:t>
            </w:r>
          </w:p>
        </w:tc>
        <w:tc>
          <w:tcPr>
            <w:tcW w:w="1687" w:type="dxa"/>
          </w:tcPr>
          <w:p w14:paraId="07C571A1">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0.008%</w:t>
            </w:r>
          </w:p>
        </w:tc>
        <w:tc>
          <w:tcPr>
            <w:tcW w:w="1659" w:type="dxa"/>
          </w:tcPr>
          <w:p w14:paraId="2298A92A">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0.008%</w:t>
            </w:r>
          </w:p>
        </w:tc>
      </w:tr>
      <w:tr w14:paraId="60D4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4AE9B73">
            <w:pPr>
              <w:spacing w:line="360" w:lineRule="auto"/>
              <w:rPr>
                <w:rFonts w:hint="eastAsia" w:ascii="宋体" w:hAnsi="宋体"/>
                <w:color w:val="auto"/>
                <w:szCs w:val="21"/>
                <w:highlight w:val="none"/>
              </w:rPr>
            </w:pPr>
            <w:r>
              <w:rPr>
                <w:rFonts w:hint="eastAsia" w:ascii="宋体" w:hAnsi="宋体"/>
                <w:color w:val="auto"/>
                <w:szCs w:val="21"/>
                <w:highlight w:val="none"/>
              </w:rPr>
              <w:t>50～100亿元</w:t>
            </w:r>
          </w:p>
        </w:tc>
        <w:tc>
          <w:tcPr>
            <w:tcW w:w="1659" w:type="dxa"/>
          </w:tcPr>
          <w:p w14:paraId="2DAC7813">
            <w:pPr>
              <w:spacing w:line="360" w:lineRule="auto"/>
              <w:rPr>
                <w:rFonts w:hint="eastAsia" w:ascii="宋体" w:hAnsi="宋体"/>
                <w:color w:val="auto"/>
                <w:szCs w:val="21"/>
                <w:highlight w:val="none"/>
              </w:rPr>
            </w:pPr>
            <w:r>
              <w:rPr>
                <w:rFonts w:hint="eastAsia" w:ascii="宋体" w:hAnsi="宋体"/>
                <w:color w:val="auto"/>
                <w:szCs w:val="21"/>
                <w:highlight w:val="none"/>
              </w:rPr>
              <w:t>0.006%</w:t>
            </w:r>
          </w:p>
        </w:tc>
        <w:tc>
          <w:tcPr>
            <w:tcW w:w="1687" w:type="dxa"/>
          </w:tcPr>
          <w:p w14:paraId="70C76893">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0.006%</w:t>
            </w:r>
          </w:p>
        </w:tc>
        <w:tc>
          <w:tcPr>
            <w:tcW w:w="1659" w:type="dxa"/>
          </w:tcPr>
          <w:p w14:paraId="2DCEE43F">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0.006%</w:t>
            </w:r>
          </w:p>
        </w:tc>
      </w:tr>
      <w:tr w14:paraId="5DBE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8F377C0">
            <w:pPr>
              <w:spacing w:line="360" w:lineRule="auto"/>
              <w:rPr>
                <w:rFonts w:hint="eastAsia" w:ascii="宋体" w:hAnsi="宋体"/>
                <w:color w:val="auto"/>
                <w:szCs w:val="21"/>
                <w:highlight w:val="none"/>
              </w:rPr>
            </w:pPr>
            <w:r>
              <w:rPr>
                <w:rFonts w:hint="eastAsia" w:ascii="宋体" w:hAnsi="宋体"/>
                <w:color w:val="auto"/>
                <w:szCs w:val="21"/>
                <w:highlight w:val="none"/>
              </w:rPr>
              <w:t>100亿以上</w:t>
            </w:r>
          </w:p>
        </w:tc>
        <w:tc>
          <w:tcPr>
            <w:tcW w:w="1659" w:type="dxa"/>
          </w:tcPr>
          <w:p w14:paraId="00247501">
            <w:pPr>
              <w:spacing w:line="360" w:lineRule="auto"/>
              <w:rPr>
                <w:rFonts w:hint="eastAsia" w:ascii="宋体" w:hAnsi="宋体"/>
                <w:color w:val="auto"/>
                <w:szCs w:val="21"/>
                <w:highlight w:val="none"/>
              </w:rPr>
            </w:pPr>
            <w:r>
              <w:rPr>
                <w:rFonts w:hint="eastAsia" w:ascii="宋体" w:hAnsi="宋体"/>
                <w:color w:val="auto"/>
                <w:szCs w:val="21"/>
                <w:highlight w:val="none"/>
              </w:rPr>
              <w:t>0.004%</w:t>
            </w:r>
          </w:p>
        </w:tc>
        <w:tc>
          <w:tcPr>
            <w:tcW w:w="1687" w:type="dxa"/>
          </w:tcPr>
          <w:p w14:paraId="4C7FAA84">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0.004%</w:t>
            </w:r>
          </w:p>
        </w:tc>
        <w:tc>
          <w:tcPr>
            <w:tcW w:w="1659" w:type="dxa"/>
          </w:tcPr>
          <w:p w14:paraId="30CE90B4">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0.004%</w:t>
            </w:r>
          </w:p>
        </w:tc>
      </w:tr>
    </w:tbl>
    <w:p w14:paraId="7229D30D">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olor w:val="auto"/>
          <w:szCs w:val="21"/>
          <w:highlight w:val="none"/>
        </w:rPr>
        <w:t>注:</w:t>
      </w:r>
    </w:p>
    <w:p w14:paraId="2DF39E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563D0F7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0F7E178C">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服务采购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21DFF95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100万元×l.5%＝1.5万元</w:t>
      </w:r>
    </w:p>
    <w:p w14:paraId="1DB8399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（200－100）万元×0.8%＝0.8万元</w:t>
      </w:r>
    </w:p>
    <w:p w14:paraId="6BCD714C">
      <w:pPr>
        <w:pStyle w:val="15"/>
        <w:snapToGrid w:val="0"/>
        <w:spacing w:line="360" w:lineRule="auto"/>
        <w:ind w:firstLine="420" w:firstLineChars="200"/>
        <w:rPr>
          <w:rFonts w:hAnsi="宋体" w:cs="宋体"/>
          <w:color w:val="auto"/>
          <w:sz w:val="21"/>
          <w:highlight w:val="none"/>
        </w:rPr>
      </w:pPr>
      <w:r>
        <w:rPr>
          <w:rFonts w:hAnsi="宋体" w:cs="宋体"/>
          <w:color w:val="auto"/>
          <w:sz w:val="21"/>
          <w:highlight w:val="none"/>
        </w:rPr>
        <w:t>合计收费＝1.5</w:t>
      </w:r>
      <w:r>
        <w:rPr>
          <w:rFonts w:hint="eastAsia" w:hAnsi="宋体" w:cs="宋体"/>
          <w:color w:val="auto"/>
          <w:sz w:val="21"/>
          <w:highlight w:val="none"/>
        </w:rPr>
        <w:t>+</w:t>
      </w:r>
      <w:r>
        <w:rPr>
          <w:rFonts w:hAnsi="宋体" w:cs="宋体"/>
          <w:color w:val="auto"/>
          <w:sz w:val="21"/>
          <w:highlight w:val="none"/>
        </w:rPr>
        <w:t>0.8＝2.3（万元）</w:t>
      </w:r>
    </w:p>
    <w:p w14:paraId="682A0240">
      <w:pPr>
        <w:pStyle w:val="5"/>
        <w:keepNext w:val="0"/>
        <w:keepLines w:val="0"/>
        <w:spacing w:before="0" w:after="0" w:line="360" w:lineRule="auto"/>
        <w:ind w:left="420" w:leftChars="200"/>
        <w:rPr>
          <w:rFonts w:ascii="黑体" w:hAnsi="黑体" w:eastAsia="黑体"/>
          <w:color w:val="auto"/>
          <w:sz w:val="24"/>
          <w:highlight w:val="none"/>
        </w:rPr>
      </w:pPr>
      <w:r>
        <w:rPr>
          <w:rFonts w:ascii="黑体" w:hAnsi="黑体" w:eastAsia="黑体"/>
          <w:color w:val="auto"/>
          <w:sz w:val="24"/>
          <w:highlight w:val="none"/>
        </w:rPr>
        <w:t>40.需要补充的其他内容</w:t>
      </w:r>
    </w:p>
    <w:p w14:paraId="50626AF4">
      <w:pPr>
        <w:pStyle w:val="1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40.1本招标文件解释规则详见“投标人须知前附表”。</w:t>
      </w:r>
    </w:p>
    <w:p w14:paraId="111B46A0">
      <w:pPr>
        <w:pStyle w:val="1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40.2其他事项详见“投标人须知前附表”。</w:t>
      </w:r>
    </w:p>
    <w:p w14:paraId="301616EF">
      <w:pPr>
        <w:pStyle w:val="1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7259BE14">
      <w:pPr>
        <w:pStyle w:val="1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53635CFE">
      <w:pPr>
        <w:pStyle w:val="1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6E512BE7">
      <w:pPr>
        <w:pStyle w:val="1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w:t>
      </w:r>
      <w:r>
        <w:rPr>
          <w:rFonts w:hint="eastAsia" w:hAnsi="宋体" w:cs="宋体"/>
          <w:color w:val="auto"/>
          <w:sz w:val="21"/>
          <w:highlight w:val="none"/>
          <w:lang w:eastAsia="zh-CN"/>
        </w:rPr>
        <w:t>中华人民共和国劳动合同法</w:t>
      </w:r>
      <w:r>
        <w:rPr>
          <w:rFonts w:hint="eastAsia" w:hAnsi="宋体" w:cs="宋体"/>
          <w:color w:val="auto"/>
          <w:sz w:val="21"/>
          <w:highlight w:val="none"/>
        </w:rPr>
        <w:t>》订立劳动合同的从业人员，不对其中涉及的货物的制造商和工程承建商作出要求。</w:t>
      </w:r>
    </w:p>
    <w:p w14:paraId="62951BC5">
      <w:pPr>
        <w:pStyle w:val="1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29BADB1">
      <w:pPr>
        <w:pStyle w:val="12"/>
        <w:ind w:firstLine="420" w:firstLineChars="200"/>
        <w:rPr>
          <w:rFonts w:hint="eastAsia" w:hAnsi="宋体"/>
          <w:color w:val="auto"/>
          <w:sz w:val="21"/>
          <w:highlight w:val="none"/>
        </w:rPr>
      </w:pPr>
      <w:r>
        <w:rPr>
          <w:rFonts w:hint="eastAsia" w:hAnsi="宋体"/>
          <w:color w:val="auto"/>
          <w:sz w:val="21"/>
          <w:highlight w:val="none"/>
        </w:rPr>
        <w:t>依据</w:t>
      </w:r>
      <w:r>
        <w:rPr>
          <w:rFonts w:hint="eastAsia" w:hAnsi="宋体" w:cs="宋体"/>
          <w:color w:val="auto"/>
          <w:sz w:val="21"/>
          <w:highlight w:val="none"/>
        </w:rPr>
        <w:t>本招标文件</w:t>
      </w:r>
      <w:r>
        <w:rPr>
          <w:rFonts w:hint="eastAsia" w:hAnsi="宋体"/>
          <w:color w:val="auto"/>
          <w:sz w:val="21"/>
          <w:highlight w:val="none"/>
        </w:rPr>
        <w:t>规定享受扶持政策获得政府采购合同的，小微企业不得将合同分包给大中型企业，中型企业不得将合同分包给大型企业。</w:t>
      </w:r>
    </w:p>
    <w:p w14:paraId="7DD3BCE4">
      <w:pPr>
        <w:pStyle w:val="12"/>
        <w:ind w:firstLine="420" w:firstLineChars="200"/>
        <w:rPr>
          <w:rFonts w:hint="eastAsia" w:hAnsi="宋体"/>
          <w:color w:val="auto"/>
          <w:sz w:val="21"/>
          <w:highlight w:val="none"/>
        </w:rPr>
      </w:pPr>
    </w:p>
    <w:p w14:paraId="4AC78FDC">
      <w:pPr>
        <w:pStyle w:val="12"/>
        <w:ind w:firstLine="420" w:firstLineChars="200"/>
        <w:rPr>
          <w:rFonts w:hint="eastAsia" w:hAnsi="宋体"/>
          <w:color w:val="auto"/>
          <w:sz w:val="21"/>
          <w:highlight w:val="none"/>
        </w:rPr>
      </w:pPr>
    </w:p>
    <w:p w14:paraId="4DB3A750">
      <w:pPr>
        <w:pStyle w:val="12"/>
        <w:ind w:firstLine="420" w:firstLineChars="200"/>
        <w:rPr>
          <w:rFonts w:hint="eastAsia" w:hAnsi="宋体"/>
          <w:color w:val="auto"/>
          <w:sz w:val="21"/>
          <w:highlight w:val="none"/>
        </w:rPr>
      </w:pPr>
    </w:p>
    <w:p w14:paraId="5C234A35">
      <w:pPr>
        <w:pStyle w:val="12"/>
        <w:ind w:firstLine="420" w:firstLineChars="200"/>
        <w:rPr>
          <w:rFonts w:hint="eastAsia" w:hAnsi="宋体"/>
          <w:color w:val="auto"/>
          <w:sz w:val="21"/>
          <w:highlight w:val="none"/>
        </w:rPr>
      </w:pPr>
    </w:p>
    <w:p w14:paraId="6119C79B">
      <w:pPr>
        <w:pStyle w:val="12"/>
        <w:ind w:firstLine="420" w:firstLineChars="200"/>
        <w:rPr>
          <w:rFonts w:hint="eastAsia" w:hAnsi="宋体"/>
          <w:color w:val="auto"/>
          <w:sz w:val="21"/>
          <w:highlight w:val="none"/>
        </w:rPr>
      </w:pPr>
    </w:p>
    <w:p w14:paraId="0E415B87">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color w:val="auto"/>
          <w:highlight w:val="none"/>
        </w:rPr>
      </w:pPr>
      <w:bookmarkStart w:id="94" w:name="_Toc15687"/>
      <w:bookmarkStart w:id="95" w:name="_Toc330456896"/>
      <w:bookmarkStart w:id="96" w:name="_Toc254970689"/>
      <w:bookmarkStart w:id="97" w:name="_Toc254970548"/>
      <w:r>
        <w:rPr>
          <w:rFonts w:hint="eastAsia"/>
          <w:color w:val="auto"/>
          <w:highlight w:val="none"/>
        </w:rPr>
        <w:br w:type="page"/>
      </w:r>
      <w:r>
        <w:rPr>
          <w:rFonts w:hint="eastAsia"/>
          <w:color w:val="auto"/>
          <w:highlight w:val="none"/>
        </w:rPr>
        <w:t>第四章</w:t>
      </w:r>
      <w:r>
        <w:rPr>
          <w:rFonts w:hint="eastAsia" w:ascii="Times New Roman" w:hAnsi="Times New Roman" w:eastAsia="宋体" w:cs="Times New Roman"/>
          <w:color w:val="auto"/>
          <w:highlight w:val="none"/>
          <w:lang w:val="en-US" w:eastAsia="zh-CN"/>
        </w:rPr>
        <w:t xml:space="preserve"> </w:t>
      </w:r>
      <w:r>
        <w:rPr>
          <w:rFonts w:hint="eastAsia"/>
          <w:color w:val="auto"/>
          <w:highlight w:val="none"/>
        </w:rPr>
        <w:t>评标方法及评标标准</w:t>
      </w:r>
      <w:bookmarkEnd w:id="94"/>
      <w:bookmarkEnd w:id="95"/>
      <w:bookmarkEnd w:id="96"/>
      <w:bookmarkEnd w:id="97"/>
    </w:p>
    <w:p w14:paraId="59F7E92B">
      <w:pPr>
        <w:pStyle w:val="4"/>
        <w:keepNext w:val="0"/>
        <w:keepLines w:val="0"/>
        <w:jc w:val="center"/>
        <w:rPr>
          <w:color w:val="auto"/>
          <w:highlight w:val="none"/>
        </w:rPr>
      </w:pPr>
      <w:r>
        <w:rPr>
          <w:rFonts w:hint="eastAsia"/>
          <w:color w:val="auto"/>
          <w:highlight w:val="none"/>
        </w:rPr>
        <w:t>一、评标方法</w:t>
      </w:r>
    </w:p>
    <w:p w14:paraId="53409528">
      <w:pPr>
        <w:pStyle w:val="15"/>
        <w:spacing w:line="360" w:lineRule="auto"/>
        <w:ind w:firstLine="420"/>
        <w:rPr>
          <w:rFonts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4C485B7D">
      <w:pPr>
        <w:pStyle w:val="4"/>
        <w:keepNext w:val="0"/>
        <w:keepLines w:val="0"/>
        <w:jc w:val="center"/>
        <w:rPr>
          <w:rFonts w:hint="eastAsia"/>
          <w:color w:val="auto"/>
          <w:highlight w:val="none"/>
        </w:rPr>
      </w:pPr>
      <w:r>
        <w:rPr>
          <w:rFonts w:hint="eastAsia"/>
          <w:color w:val="auto"/>
          <w:highlight w:val="none"/>
        </w:rPr>
        <w:t>二、评标程序</w:t>
      </w:r>
    </w:p>
    <w:p w14:paraId="1A73D1EE">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1.符合性审查</w:t>
      </w:r>
    </w:p>
    <w:p w14:paraId="52B21832">
      <w:pPr>
        <w:pStyle w:val="15"/>
        <w:snapToGrid w:val="0"/>
        <w:spacing w:line="360" w:lineRule="auto"/>
        <w:ind w:left="1" w:firstLine="420"/>
        <w:rPr>
          <w:rFonts w:hint="eastAsia" w:hAnsi="宋体"/>
          <w:b/>
          <w:color w:val="auto"/>
          <w:kern w:val="2"/>
          <w:sz w:val="21"/>
          <w:highlight w:val="none"/>
        </w:rPr>
      </w:pPr>
      <w:r>
        <w:rPr>
          <w:rFonts w:hint="eastAsia" w:hAnsi="宋体"/>
          <w:b/>
          <w:color w:val="auto"/>
          <w:kern w:val="2"/>
          <w:sz w:val="21"/>
          <w:highlight w:val="none"/>
        </w:rPr>
        <w:t>评标委员会应当对符合资格的投标人的投标文件进行投标报价、商务、技术等实质性内容符合性审查，以确定其是否满足招标文件的实质性要求。</w:t>
      </w:r>
    </w:p>
    <w:p w14:paraId="6942B4E6">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2ABA8FB3">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1683BD3C">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45E857DD">
      <w:pPr>
        <w:pStyle w:val="6"/>
        <w:numPr>
          <w:ilvl w:val="0"/>
          <w:numId w:val="3"/>
        </w:numPr>
        <w:spacing w:line="360" w:lineRule="auto"/>
        <w:ind w:firstLine="398" w:firstLineChars="200"/>
        <w:rPr>
          <w:rFonts w:hint="eastAsia" w:ascii="宋体" w:hAnsi="宋体"/>
          <w:b/>
          <w:color w:val="auto"/>
          <w:spacing w:val="-6"/>
          <w:szCs w:val="21"/>
          <w:highlight w:val="none"/>
        </w:rPr>
      </w:pPr>
      <w:r>
        <w:rPr>
          <w:rFonts w:hint="eastAsia" w:ascii="宋体" w:hAnsi="宋体"/>
          <w:b/>
          <w:color w:val="auto"/>
          <w:spacing w:val="-6"/>
          <w:szCs w:val="21"/>
          <w:highlight w:val="none"/>
        </w:rPr>
        <w:t>报价文件未提供“投标人须知前附表”第13.1条规定中“必须提供”的文件资料的；</w:t>
      </w:r>
    </w:p>
    <w:p w14:paraId="25209C61">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6CE63A23">
      <w:pPr>
        <w:pStyle w:val="6"/>
        <w:numPr>
          <w:ilvl w:val="0"/>
          <w:numId w:val="3"/>
        </w:numPr>
        <w:spacing w:line="360" w:lineRule="auto"/>
        <w:ind w:left="-2" w:firstLine="422"/>
        <w:rPr>
          <w:rFonts w:hint="eastAsia" w:ascii="宋体" w:hAnsi="宋体"/>
          <w:b/>
          <w:color w:val="auto"/>
          <w:spacing w:val="-6"/>
          <w:szCs w:val="21"/>
          <w:highlight w:val="none"/>
        </w:rPr>
      </w:pPr>
      <w:r>
        <w:rPr>
          <w:rFonts w:hint="eastAsia" w:ascii="宋体" w:hAnsi="宋体"/>
          <w:b/>
          <w:color w:val="auto"/>
          <w:spacing w:val="-6"/>
          <w:szCs w:val="21"/>
          <w:highlight w:val="none"/>
        </w:rPr>
        <w:t>各分标报价超出招标文件相应分标规定最高限价，或者超出相应分标采购预算金额的；</w:t>
      </w:r>
    </w:p>
    <w:p w14:paraId="6587AC24">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341DC215">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修正后的报价，投标人不确认的；</w:t>
      </w:r>
    </w:p>
    <w:p w14:paraId="35DD5AA7">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条（2）情形的。</w:t>
      </w:r>
    </w:p>
    <w:p w14:paraId="5523FEE3">
      <w:pPr>
        <w:pStyle w:val="6"/>
        <w:numPr>
          <w:ilvl w:val="0"/>
          <w:numId w:val="3"/>
        </w:numPr>
        <w:spacing w:line="360" w:lineRule="auto"/>
        <w:ind w:firstLine="398" w:firstLineChars="200"/>
        <w:rPr>
          <w:rFonts w:hint="eastAsia"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00F59FD6">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2.2在商务评审时，如发现下列情形之一的，将被视为投标无效：</w:t>
      </w:r>
    </w:p>
    <w:p w14:paraId="33F38C4F">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投标文件未按招标文件要求签署、盖章的；</w:t>
      </w:r>
    </w:p>
    <w:p w14:paraId="0F697E9D">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委托代理人未能出具有效身份证或者出具的身份证与授权委托书中的信息不符的；</w:t>
      </w:r>
    </w:p>
    <w:p w14:paraId="244F8B9C">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w:t>
      </w:r>
      <w:r>
        <w:rPr>
          <w:rFonts w:ascii="宋体" w:hAnsi="宋体"/>
          <w:b/>
          <w:color w:val="auto"/>
          <w:szCs w:val="21"/>
          <w:highlight w:val="none"/>
        </w:rPr>
        <w:t>1</w:t>
      </w:r>
      <w:r>
        <w:rPr>
          <w:rFonts w:hint="eastAsia" w:ascii="宋体" w:hAnsi="宋体"/>
          <w:b/>
          <w:color w:val="auto"/>
          <w:szCs w:val="21"/>
          <w:highlight w:val="none"/>
        </w:rPr>
        <w:t>条规定中“必须提供”或者“委托时必须提供”的文件资料的；</w:t>
      </w:r>
    </w:p>
    <w:p w14:paraId="064CCA72">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商务要求评审允许负偏离的条款数超过“投标人须知前附表”规定项数的；</w:t>
      </w:r>
    </w:p>
    <w:p w14:paraId="7BE29F50">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6C5B66BC">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6C3FDB51">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41067187">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41F2E88F">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6E4486C4">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招标文件明确不允许分包，投标文件拟分包的；</w:t>
      </w:r>
    </w:p>
    <w:p w14:paraId="0B96470D">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未响应招标文件实质性要求的；</w:t>
      </w:r>
    </w:p>
    <w:p w14:paraId="64AED86C">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法律、法规和招标文件规定的其他无效情形。</w:t>
      </w:r>
    </w:p>
    <w:p w14:paraId="0E7A50DA">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2.3在技术评审时，如发现下列情形之一的，将被视为投标无效：</w:t>
      </w:r>
    </w:p>
    <w:p w14:paraId="1BD383C5">
      <w:pPr>
        <w:pStyle w:val="13"/>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（1）技术要求评审允许负偏离的条款数超过“投标人须知前附表”规定项数的；</w:t>
      </w:r>
    </w:p>
    <w:p w14:paraId="7F96B7F1">
      <w:pPr>
        <w:pStyle w:val="13"/>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（2）投标文件未提供“投标人须知前附表”第13.</w:t>
      </w:r>
      <w:r>
        <w:rPr>
          <w:rFonts w:ascii="宋体" w:hAnsi="宋体" w:eastAsia="宋体"/>
          <w:b/>
          <w:color w:val="auto"/>
          <w:kern w:val="2"/>
          <w:sz w:val="21"/>
          <w:szCs w:val="21"/>
          <w:highlight w:val="none"/>
        </w:rPr>
        <w:t>1</w:t>
      </w:r>
      <w:r>
        <w:rPr>
          <w:rFonts w:hint="eastAsia" w:ascii="宋体" w:hAnsi="宋体" w:eastAsia="宋体"/>
          <w:b/>
          <w:color w:val="auto"/>
          <w:kern w:val="2"/>
          <w:sz w:val="21"/>
          <w:szCs w:val="21"/>
          <w:highlight w:val="none"/>
        </w:rPr>
        <w:t>条规定中“必须提供”的文件资料的；</w:t>
      </w:r>
    </w:p>
    <w:p w14:paraId="18860E1F">
      <w:pPr>
        <w:pStyle w:val="13"/>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（3）虚假投标，或者出现其他情形而导致被评标委员会认定无效的；</w:t>
      </w:r>
    </w:p>
    <w:p w14:paraId="16733B56">
      <w:pPr>
        <w:pStyle w:val="13"/>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（4）</w:t>
      </w:r>
      <w:bookmarkStart w:id="98" w:name="_Hlk71706244"/>
      <w:r>
        <w:rPr>
          <w:rFonts w:hint="eastAsia" w:ascii="宋体" w:hAnsi="宋体" w:eastAsia="宋体"/>
          <w:b/>
          <w:color w:val="auto"/>
          <w:kern w:val="2"/>
          <w:sz w:val="21"/>
          <w:szCs w:val="21"/>
          <w:highlight w:val="none"/>
        </w:rPr>
        <w:t>招标文件未载明允许提供备选（替代）投标方案或明确不允许提供备选（替代）投标方案时，投标人提供了备选（替代）投标方案的；</w:t>
      </w:r>
      <w:bookmarkEnd w:id="98"/>
    </w:p>
    <w:p w14:paraId="7F9F3CCD">
      <w:pPr>
        <w:pStyle w:val="13"/>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（5）未响应招标文件实质性要求的。</w:t>
      </w:r>
    </w:p>
    <w:p w14:paraId="0E663346">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618A3012">
      <w:pPr>
        <w:spacing w:line="360" w:lineRule="auto"/>
        <w:ind w:firstLine="420" w:firstLineChars="200"/>
        <w:rPr>
          <w:rFonts w:hint="eastAsia"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w:t>
      </w:r>
      <w:r>
        <w:rPr>
          <w:rFonts w:hint="eastAsia" w:ascii="宋体" w:hAnsi="宋体" w:cs="Courier New"/>
          <w:color w:val="auto"/>
          <w:szCs w:val="21"/>
          <w:highlight w:val="none"/>
          <w:lang w:eastAsia="zh-CN"/>
        </w:rPr>
        <w:t>广西政府采购云平台</w:t>
      </w:r>
      <w:r>
        <w:rPr>
          <w:rFonts w:hint="eastAsia" w:ascii="宋体" w:hAnsi="宋体" w:cs="Courier New"/>
          <w:color w:val="auto"/>
          <w:szCs w:val="21"/>
          <w:highlight w:val="none"/>
        </w:rPr>
        <w:t>发布电子澄清函，要求投标人在规定时间内作出必要的澄清、说明或者补正。投标人在</w:t>
      </w:r>
      <w:r>
        <w:rPr>
          <w:rFonts w:hint="eastAsia" w:ascii="宋体" w:hAnsi="宋体" w:cs="Courier New"/>
          <w:color w:val="auto"/>
          <w:szCs w:val="21"/>
          <w:highlight w:val="none"/>
          <w:lang w:eastAsia="zh-CN"/>
        </w:rPr>
        <w:t>广西政府采购云平台</w:t>
      </w:r>
      <w:r>
        <w:rPr>
          <w:rFonts w:hint="eastAsia" w:ascii="宋体" w:hAnsi="宋体" w:cs="Courier New"/>
          <w:color w:val="auto"/>
          <w:szCs w:val="21"/>
          <w:highlight w:val="none"/>
        </w:rPr>
        <w:t>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7DD6B580">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56B3CEF">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377BEB4C">
      <w:pPr>
        <w:pStyle w:val="5"/>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78EBFD21">
      <w:pPr>
        <w:pStyle w:val="5"/>
        <w:keepNext w:val="0"/>
        <w:keepLines w:val="0"/>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.1投标文件报价出现前后不一致的，按照下列规定修正：</w:t>
      </w:r>
    </w:p>
    <w:p w14:paraId="490CA4C3">
      <w:pPr>
        <w:pStyle w:val="15"/>
        <w:snapToGrid w:val="0"/>
        <w:spacing w:line="360" w:lineRule="auto"/>
        <w:ind w:firstLine="420" w:firstLineChars="20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0D2E7AD5">
      <w:pPr>
        <w:pStyle w:val="15"/>
        <w:snapToGrid w:val="0"/>
        <w:spacing w:line="360" w:lineRule="auto"/>
        <w:ind w:firstLine="420" w:firstLineChars="200"/>
        <w:rPr>
          <w:rFonts w:hAnsi="宋体"/>
          <w:color w:val="auto"/>
          <w:sz w:val="21"/>
          <w:highlight w:val="none"/>
        </w:rPr>
      </w:pPr>
      <w:r>
        <w:rPr>
          <w:rFonts w:hint="eastAsia" w:hAnsi="宋体"/>
          <w:color w:val="auto"/>
          <w:sz w:val="21"/>
          <w:highlight w:val="none"/>
        </w:rPr>
        <w:t>（2）大写金额和小写金额不一致的，以大写金额为准；</w:t>
      </w:r>
    </w:p>
    <w:p w14:paraId="5184AB9C">
      <w:pPr>
        <w:pStyle w:val="15"/>
        <w:snapToGrid w:val="0"/>
        <w:spacing w:line="360" w:lineRule="auto"/>
        <w:ind w:firstLine="420" w:firstLineChars="20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4332BC55">
      <w:pPr>
        <w:pStyle w:val="15"/>
        <w:snapToGrid w:val="0"/>
        <w:spacing w:line="360" w:lineRule="auto"/>
        <w:ind w:firstLine="420" w:firstLineChars="20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1C3AF9F0">
      <w:pPr>
        <w:pStyle w:val="1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kern w:val="2"/>
          <w:sz w:val="21"/>
          <w:highlight w:val="none"/>
        </w:rPr>
        <w:t>其投标无效</w:t>
      </w:r>
      <w:r>
        <w:rPr>
          <w:rFonts w:hint="eastAsia" w:hAnsi="宋体"/>
          <w:color w:val="auto"/>
          <w:sz w:val="21"/>
          <w:highlight w:val="none"/>
        </w:rPr>
        <w:t>。</w:t>
      </w:r>
    </w:p>
    <w:p w14:paraId="2968FDFD">
      <w:pPr>
        <w:pStyle w:val="5"/>
        <w:keepNext w:val="0"/>
        <w:keepLines w:val="0"/>
        <w:spacing w:before="0" w:after="0" w:line="360" w:lineRule="auto"/>
        <w:rPr>
          <w:rFonts w:hint="eastAsia"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5C6CB5EE">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40D9167D">
      <w:pPr>
        <w:pStyle w:val="5"/>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642EBCDD">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5.1采用综合评分法的</w:t>
      </w:r>
    </w:p>
    <w:p w14:paraId="5AACCF8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（1）评标委员会按照招标文件中规定的评标方法及评标标准，对符合性审查合格的投标文件进行商务和技术评估，综合比较与评价。</w:t>
      </w:r>
    </w:p>
    <w:p w14:paraId="4C332E8A">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（2）评标委员会独立对每个投标人的投标文件进行评价，并汇总每个投标人的得分。</w:t>
      </w:r>
    </w:p>
    <w:p w14:paraId="666E5AA0">
      <w:pPr>
        <w:snapToGrid w:val="0"/>
        <w:spacing w:line="360" w:lineRule="auto"/>
        <w:ind w:firstLine="420" w:firstLineChars="200"/>
        <w:rPr>
          <w:rFonts w:hint="eastAsia" w:ascii="宋体" w:hAnsi="宋体"/>
          <w:b/>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b/>
          <w:color w:val="auto"/>
          <w:szCs w:val="21"/>
          <w:highlight w:val="none"/>
        </w:rPr>
        <w:t>投标人不能证明其报价合理性的，评标委员会将其作为无效投标处理。</w:t>
      </w:r>
    </w:p>
    <w:p w14:paraId="44CB7EE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（3）评标委员会按照招标文件中规定的评标方法和标准计算各投标人的报价得分。在计算过程中，不得去掉最高报价或者最低报价。</w:t>
      </w:r>
    </w:p>
    <w:p w14:paraId="588CBB2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5921DBF0">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（5）评标委员会按照招标文件中的规定推荐中标候选人。</w:t>
      </w:r>
    </w:p>
    <w:p w14:paraId="31B1B91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bookmarkStart w:id="99" w:name="_Hlk71707917"/>
    </w:p>
    <w:p w14:paraId="201B2A1A">
      <w:pPr>
        <w:spacing w:before="1" w:line="360" w:lineRule="auto"/>
        <w:ind w:left="505"/>
        <w:rPr>
          <w:rFonts w:ascii="宋体" w:hAnsi="宋体" w:eastAsia="宋体" w:cs="宋体"/>
          <w:color w:val="auto"/>
          <w:sz w:val="21"/>
          <w:szCs w:val="21"/>
          <w:highlight w:val="none"/>
        </w:rPr>
      </w:pPr>
      <w:r>
        <w:rPr>
          <w:rFonts w:ascii="宋体" w:hAnsi="宋体" w:eastAsia="宋体" w:cs="宋体"/>
          <w:b/>
          <w:bCs/>
          <w:color w:val="auto"/>
          <w:spacing w:val="-4"/>
          <w:sz w:val="21"/>
          <w:szCs w:val="21"/>
          <w:highlight w:val="none"/>
        </w:rPr>
        <w:t>6.异常低价审查</w:t>
      </w:r>
    </w:p>
    <w:p w14:paraId="207E9782">
      <w:pPr>
        <w:spacing w:before="145" w:line="360" w:lineRule="auto"/>
        <w:ind w:left="21" w:firstLine="422"/>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6.1根据《关于推动解决政府采购异常低价问题的通知》</w:t>
      </w:r>
      <w:r>
        <w:rPr>
          <w:rFonts w:ascii="宋体" w:hAnsi="宋体" w:eastAsia="宋体" w:cs="宋体"/>
          <w:color w:val="auto"/>
          <w:spacing w:val="6"/>
          <w:sz w:val="21"/>
          <w:szCs w:val="21"/>
          <w:highlight w:val="none"/>
        </w:rPr>
        <w:t>(财库〔2026〕2</w:t>
      </w:r>
      <w:r>
        <w:rPr>
          <w:rFonts w:ascii="宋体" w:hAnsi="宋体" w:eastAsia="宋体" w:cs="宋体"/>
          <w:color w:val="auto"/>
          <w:spacing w:val="-33"/>
          <w:sz w:val="21"/>
          <w:szCs w:val="21"/>
          <w:highlight w:val="none"/>
        </w:rPr>
        <w:t xml:space="preserve"> </w:t>
      </w:r>
      <w:r>
        <w:rPr>
          <w:rFonts w:ascii="宋体" w:hAnsi="宋体" w:eastAsia="宋体" w:cs="宋体"/>
          <w:color w:val="auto"/>
          <w:spacing w:val="6"/>
          <w:sz w:val="21"/>
          <w:szCs w:val="21"/>
          <w:highlight w:val="none"/>
        </w:rPr>
        <w:t>号)规定，政</w:t>
      </w:r>
      <w:r>
        <w:rPr>
          <w:rFonts w:ascii="宋体" w:hAnsi="宋体" w:eastAsia="宋体" w:cs="宋体"/>
          <w:color w:val="auto"/>
          <w:spacing w:val="8"/>
          <w:sz w:val="21"/>
          <w:szCs w:val="21"/>
          <w:highlight w:val="none"/>
        </w:rPr>
        <w:t>府采购评审中出现异常低价下列情形之一的，评审委员会应当启动异常低价投标审查程序：</w:t>
      </w:r>
    </w:p>
    <w:p w14:paraId="5CBFAC6F">
      <w:pPr>
        <w:spacing w:before="1" w:line="360" w:lineRule="auto"/>
        <w:ind w:left="39" w:right="99" w:firstLine="413"/>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（1）投标（响应）报价低于全部通过符合性审查</w:t>
      </w:r>
      <w:r>
        <w:rPr>
          <w:rFonts w:ascii="宋体" w:hAnsi="宋体" w:eastAsia="宋体" w:cs="宋体"/>
          <w:color w:val="auto"/>
          <w:spacing w:val="8"/>
          <w:sz w:val="21"/>
          <w:szCs w:val="21"/>
          <w:highlight w:val="none"/>
        </w:rPr>
        <w:t>供应商投标（响应）报价平均值</w:t>
      </w:r>
      <w:r>
        <w:rPr>
          <w:rFonts w:ascii="宋体" w:hAnsi="宋体" w:eastAsia="宋体" w:cs="宋体"/>
          <w:color w:val="auto"/>
          <w:spacing w:val="-35"/>
          <w:sz w:val="21"/>
          <w:szCs w:val="21"/>
          <w:highlight w:val="none"/>
        </w:rPr>
        <w:t xml:space="preserve"> </w:t>
      </w:r>
      <w:r>
        <w:rPr>
          <w:rFonts w:ascii="宋体" w:hAnsi="宋体" w:eastAsia="宋体" w:cs="宋体"/>
          <w:b/>
          <w:bCs/>
          <w:color w:val="auto"/>
          <w:spacing w:val="8"/>
          <w:sz w:val="21"/>
          <w:szCs w:val="21"/>
          <w:highlight w:val="none"/>
        </w:rPr>
        <w:t>50%</w:t>
      </w:r>
      <w:r>
        <w:rPr>
          <w:rFonts w:ascii="宋体" w:hAnsi="宋体" w:eastAsia="宋体" w:cs="宋体"/>
          <w:color w:val="auto"/>
          <w:spacing w:val="9"/>
          <w:sz w:val="21"/>
          <w:szCs w:val="21"/>
          <w:highlight w:val="none"/>
        </w:rPr>
        <w:t>的，即投标（响应）报价&lt;全部通过符合性审查供应</w:t>
      </w:r>
      <w:r>
        <w:rPr>
          <w:rFonts w:ascii="宋体" w:hAnsi="宋体" w:eastAsia="宋体" w:cs="宋体"/>
          <w:color w:val="auto"/>
          <w:spacing w:val="8"/>
          <w:sz w:val="21"/>
          <w:szCs w:val="21"/>
          <w:highlight w:val="none"/>
        </w:rPr>
        <w:t>商投标（响应）报价平均值×50%；</w:t>
      </w:r>
    </w:p>
    <w:p w14:paraId="0B494877">
      <w:pPr>
        <w:spacing w:before="1" w:line="360" w:lineRule="auto"/>
        <w:ind w:left="39" w:right="99" w:firstLine="413"/>
        <w:rPr>
          <w:rFonts w:ascii="宋体" w:hAnsi="宋体" w:eastAsia="宋体" w:cs="宋体"/>
          <w:color w:val="auto"/>
          <w:spacing w:val="8"/>
          <w:sz w:val="21"/>
          <w:szCs w:val="21"/>
          <w:highlight w:val="none"/>
        </w:rPr>
      </w:pPr>
      <w:r>
        <w:rPr>
          <w:rFonts w:ascii="宋体" w:hAnsi="宋体" w:eastAsia="宋体" w:cs="宋体"/>
          <w:color w:val="auto"/>
          <w:spacing w:val="9"/>
          <w:sz w:val="21"/>
          <w:szCs w:val="21"/>
          <w:highlight w:val="none"/>
        </w:rPr>
        <w:t>（2）投标（响应）报价低于通过符合性审查的次</w:t>
      </w:r>
      <w:r>
        <w:rPr>
          <w:rFonts w:ascii="宋体" w:hAnsi="宋体" w:eastAsia="宋体" w:cs="宋体"/>
          <w:color w:val="auto"/>
          <w:spacing w:val="8"/>
          <w:sz w:val="21"/>
          <w:szCs w:val="21"/>
          <w:highlight w:val="none"/>
        </w:rPr>
        <w:t>低报价供应商投标（响应）报价</w:t>
      </w:r>
      <w:r>
        <w:rPr>
          <w:rFonts w:ascii="宋体" w:hAnsi="宋体" w:eastAsia="宋体" w:cs="宋体"/>
          <w:color w:val="auto"/>
          <w:spacing w:val="-35"/>
          <w:sz w:val="21"/>
          <w:szCs w:val="21"/>
          <w:highlight w:val="none"/>
        </w:rPr>
        <w:t xml:space="preserve"> </w:t>
      </w:r>
      <w:r>
        <w:rPr>
          <w:rFonts w:ascii="宋体" w:hAnsi="宋体" w:eastAsia="宋体" w:cs="宋体"/>
          <w:b/>
          <w:bCs/>
          <w:color w:val="auto"/>
          <w:spacing w:val="8"/>
          <w:sz w:val="21"/>
          <w:szCs w:val="21"/>
          <w:highlight w:val="none"/>
        </w:rPr>
        <w:t>50%</w:t>
      </w:r>
      <w:r>
        <w:rPr>
          <w:rFonts w:ascii="宋体" w:hAnsi="宋体" w:eastAsia="宋体" w:cs="宋体"/>
          <w:color w:val="auto"/>
          <w:spacing w:val="9"/>
          <w:sz w:val="21"/>
          <w:szCs w:val="21"/>
          <w:highlight w:val="none"/>
        </w:rPr>
        <w:t>的，即投标（响应）报价&lt;通过符合性审查的次低报</w:t>
      </w:r>
      <w:r>
        <w:rPr>
          <w:rFonts w:ascii="宋体" w:hAnsi="宋体" w:eastAsia="宋体" w:cs="宋体"/>
          <w:color w:val="auto"/>
          <w:spacing w:val="8"/>
          <w:sz w:val="21"/>
          <w:szCs w:val="21"/>
          <w:highlight w:val="none"/>
        </w:rPr>
        <w:t>价供应商投标（响应）报价×50%；</w:t>
      </w:r>
    </w:p>
    <w:p w14:paraId="0B3E1FA4">
      <w:pPr>
        <w:spacing w:before="149" w:line="360" w:lineRule="auto"/>
        <w:ind w:left="356" w:right="54" w:firstLine="427"/>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（3）投标（响应）报价低于采购项目最高限价</w:t>
      </w:r>
      <w:r>
        <w:rPr>
          <w:rFonts w:ascii="宋体" w:hAnsi="宋体" w:eastAsia="宋体" w:cs="宋体"/>
          <w:b/>
          <w:bCs/>
          <w:color w:val="auto"/>
          <w:spacing w:val="7"/>
          <w:sz w:val="21"/>
          <w:szCs w:val="21"/>
          <w:highlight w:val="none"/>
        </w:rPr>
        <w:t>45%</w:t>
      </w:r>
      <w:r>
        <w:rPr>
          <w:rFonts w:ascii="宋体" w:hAnsi="宋体" w:eastAsia="宋体" w:cs="宋体"/>
          <w:color w:val="auto"/>
          <w:spacing w:val="7"/>
          <w:sz w:val="21"/>
          <w:szCs w:val="21"/>
          <w:highlight w:val="none"/>
        </w:rPr>
        <w:t>的，即投标（响应）报价&lt;采购项目</w:t>
      </w:r>
      <w:r>
        <w:rPr>
          <w:rFonts w:ascii="宋体" w:hAnsi="宋体" w:eastAsia="宋体" w:cs="宋体"/>
          <w:color w:val="auto"/>
          <w:spacing w:val="5"/>
          <w:sz w:val="21"/>
          <w:szCs w:val="21"/>
          <w:highlight w:val="none"/>
        </w:rPr>
        <w:t>最高限价×45%；</w:t>
      </w:r>
    </w:p>
    <w:p w14:paraId="084B6718">
      <w:pPr>
        <w:spacing w:before="2" w:line="360" w:lineRule="auto"/>
        <w:ind w:left="353" w:right="64" w:firstLine="43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（4）评审委员会基于专业判断，认为供应商报价过低，有可能影响产品质量或者不能</w:t>
      </w:r>
      <w:r>
        <w:rPr>
          <w:rFonts w:ascii="宋体" w:hAnsi="宋体" w:eastAsia="宋体" w:cs="宋体"/>
          <w:color w:val="auto"/>
          <w:spacing w:val="8"/>
          <w:sz w:val="21"/>
          <w:szCs w:val="21"/>
          <w:highlight w:val="none"/>
        </w:rPr>
        <w:t>诚信履约的其他情形。</w:t>
      </w:r>
    </w:p>
    <w:p w14:paraId="2774B0BF">
      <w:pPr>
        <w:spacing w:line="360" w:lineRule="auto"/>
        <w:ind w:left="784"/>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（5）相关法律法规对供应商报价有规定的，从其规定。</w:t>
      </w:r>
    </w:p>
    <w:p w14:paraId="13494224">
      <w:pPr>
        <w:spacing w:before="154" w:line="360" w:lineRule="auto"/>
        <w:ind w:left="353" w:firstLine="422"/>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6.2资料要求</w:t>
      </w:r>
      <w:r>
        <w:rPr>
          <w:rFonts w:ascii="宋体" w:hAnsi="宋体" w:eastAsia="宋体" w:cs="宋体"/>
          <w:color w:val="auto"/>
          <w:spacing w:val="-58"/>
          <w:sz w:val="21"/>
          <w:szCs w:val="21"/>
          <w:highlight w:val="none"/>
        </w:rPr>
        <w:t xml:space="preserve"> </w:t>
      </w:r>
      <w:r>
        <w:rPr>
          <w:rFonts w:hint="eastAsia" w:ascii="宋体" w:hAnsi="宋体" w:eastAsia="宋体" w:cs="宋体"/>
          <w:color w:val="auto"/>
          <w:spacing w:val="-58"/>
          <w:sz w:val="21"/>
          <w:szCs w:val="21"/>
          <w:highlight w:val="none"/>
          <w:lang w:eastAsia="zh-CN"/>
        </w:rPr>
        <w:t>：</w:t>
      </w:r>
      <w:r>
        <w:rPr>
          <w:rFonts w:ascii="宋体" w:hAnsi="宋体" w:eastAsia="宋体" w:cs="宋体"/>
          <w:color w:val="auto"/>
          <w:spacing w:val="8"/>
          <w:sz w:val="21"/>
          <w:szCs w:val="21"/>
          <w:highlight w:val="none"/>
        </w:rPr>
        <w:t>评审委员会启动异常低价投标（响应）审查后，属于前述第</w:t>
      </w:r>
      <w:r>
        <w:rPr>
          <w:rFonts w:ascii="宋体" w:hAnsi="宋体" w:eastAsia="宋体" w:cs="宋体"/>
          <w:color w:val="auto"/>
          <w:spacing w:val="7"/>
          <w:sz w:val="21"/>
          <w:szCs w:val="21"/>
          <w:highlight w:val="none"/>
        </w:rPr>
        <w:t>1项至第4项情形的，应当要求相关供应商在评审现场合理的时间内对投标（响应）价格作出解释，提供项目具体成本测算等与报价合理性相关的书面说明及必要的证明材料，包括但不限于原材</w:t>
      </w:r>
      <w:r>
        <w:rPr>
          <w:rFonts w:ascii="宋体" w:hAnsi="宋体" w:eastAsia="宋体" w:cs="宋体"/>
          <w:color w:val="auto"/>
          <w:spacing w:val="9"/>
          <w:sz w:val="21"/>
          <w:szCs w:val="21"/>
          <w:highlight w:val="none"/>
        </w:rPr>
        <w:t>料成本、人工成本、制造费用等，给予相关供应商的合理时间一般不少于30分钟。其中，</w:t>
      </w:r>
      <w:r>
        <w:rPr>
          <w:rFonts w:ascii="宋体" w:hAnsi="宋体" w:eastAsia="宋体" w:cs="宋体"/>
          <w:color w:val="auto"/>
          <w:spacing w:val="3"/>
          <w:sz w:val="21"/>
          <w:szCs w:val="21"/>
          <w:highlight w:val="none"/>
        </w:rPr>
        <w:t>属于第3项情形，供应商已随投标（响应）文件一并提交相关书面说明及必要的证明材</w:t>
      </w:r>
      <w:r>
        <w:rPr>
          <w:rFonts w:ascii="宋体" w:hAnsi="宋体" w:eastAsia="宋体" w:cs="宋体"/>
          <w:color w:val="auto"/>
          <w:spacing w:val="2"/>
          <w:sz w:val="21"/>
          <w:szCs w:val="21"/>
          <w:highlight w:val="none"/>
        </w:rPr>
        <w:t>料的，</w:t>
      </w:r>
      <w:r>
        <w:rPr>
          <w:rFonts w:ascii="宋体" w:hAnsi="宋体" w:eastAsia="宋体" w:cs="宋体"/>
          <w:color w:val="auto"/>
          <w:spacing w:val="8"/>
          <w:sz w:val="21"/>
          <w:szCs w:val="21"/>
          <w:highlight w:val="none"/>
        </w:rPr>
        <w:t>在评审现场可不再重复提交。</w:t>
      </w:r>
    </w:p>
    <w:p w14:paraId="6D033713">
      <w:pPr>
        <w:spacing w:before="1" w:line="360" w:lineRule="auto"/>
        <w:ind w:left="353" w:firstLine="422"/>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6.3审查要求：评审委员会依据专业经验，参考同类项目中标（成</w:t>
      </w:r>
      <w:r>
        <w:rPr>
          <w:rFonts w:ascii="宋体" w:hAnsi="宋体" w:eastAsia="宋体" w:cs="宋体"/>
          <w:color w:val="auto"/>
          <w:spacing w:val="7"/>
          <w:sz w:val="21"/>
          <w:szCs w:val="21"/>
          <w:highlight w:val="none"/>
        </w:rPr>
        <w:t>交）价格、类似产品</w:t>
      </w:r>
      <w:r>
        <w:rPr>
          <w:rFonts w:ascii="宋体" w:hAnsi="宋体" w:eastAsia="宋体" w:cs="宋体"/>
          <w:color w:val="auto"/>
          <w:spacing w:val="4"/>
          <w:sz w:val="21"/>
          <w:szCs w:val="21"/>
          <w:highlight w:val="none"/>
        </w:rPr>
        <w:t>市场价格水平、行业人工费用标准、国家有关部门指导行业协</w:t>
      </w:r>
      <w:r>
        <w:rPr>
          <w:rFonts w:ascii="宋体" w:hAnsi="宋体" w:eastAsia="宋体" w:cs="宋体"/>
          <w:color w:val="auto"/>
          <w:spacing w:val="3"/>
          <w:sz w:val="21"/>
          <w:szCs w:val="21"/>
          <w:highlight w:val="none"/>
        </w:rPr>
        <w:t>会发布的行业平均成本等情况，</w:t>
      </w:r>
      <w:r>
        <w:rPr>
          <w:rFonts w:ascii="宋体" w:hAnsi="宋体" w:eastAsia="宋体" w:cs="宋体"/>
          <w:color w:val="auto"/>
          <w:spacing w:val="7"/>
          <w:sz w:val="21"/>
          <w:szCs w:val="21"/>
          <w:highlight w:val="none"/>
        </w:rPr>
        <w:t>对报价合理性进行判断。投标（响应）供应商不能提供书面说明、证明材料，或者提供的书</w:t>
      </w:r>
      <w:r>
        <w:rPr>
          <w:rFonts w:ascii="宋体" w:hAnsi="宋体" w:eastAsia="宋体" w:cs="宋体"/>
          <w:color w:val="auto"/>
          <w:spacing w:val="9"/>
          <w:sz w:val="21"/>
          <w:szCs w:val="21"/>
          <w:highlight w:val="none"/>
        </w:rPr>
        <w:t>面说明、证明材料不能证明其报价合理性的，</w:t>
      </w:r>
      <w:r>
        <w:rPr>
          <w:rFonts w:ascii="宋体" w:hAnsi="宋体" w:eastAsia="宋体" w:cs="宋体"/>
          <w:b/>
          <w:bCs/>
          <w:color w:val="auto"/>
          <w:spacing w:val="9"/>
          <w:sz w:val="21"/>
          <w:szCs w:val="21"/>
          <w:highlight w:val="none"/>
        </w:rPr>
        <w:t>评审委员会应当将其作为</w:t>
      </w:r>
      <w:r>
        <w:rPr>
          <w:rFonts w:ascii="宋体" w:hAnsi="宋体" w:eastAsia="宋体" w:cs="宋体"/>
          <w:b/>
          <w:bCs/>
          <w:color w:val="auto"/>
          <w:spacing w:val="8"/>
          <w:sz w:val="21"/>
          <w:szCs w:val="21"/>
          <w:highlight w:val="none"/>
        </w:rPr>
        <w:t>无效投标（响应）</w:t>
      </w:r>
    </w:p>
    <w:p w14:paraId="4DF2371B">
      <w:pPr>
        <w:spacing w:before="1" w:line="360" w:lineRule="auto"/>
        <w:ind w:left="358"/>
        <w:rPr>
          <w:rFonts w:ascii="宋体" w:hAnsi="宋体" w:eastAsia="宋体" w:cs="宋体"/>
          <w:color w:val="auto"/>
          <w:sz w:val="21"/>
          <w:szCs w:val="21"/>
          <w:highlight w:val="none"/>
        </w:rPr>
      </w:pPr>
      <w:r>
        <w:rPr>
          <w:rFonts w:ascii="宋体" w:hAnsi="宋体" w:eastAsia="宋体" w:cs="宋体"/>
          <w:b/>
          <w:bCs/>
          <w:color w:val="auto"/>
          <w:sz w:val="21"/>
          <w:szCs w:val="21"/>
          <w:highlight w:val="none"/>
        </w:rPr>
        <w:t>处理。</w:t>
      </w:r>
    </w:p>
    <w:p w14:paraId="58D67226">
      <w:pPr>
        <w:spacing w:before="149" w:line="360" w:lineRule="auto"/>
        <w:ind w:left="353" w:right="54" w:firstLine="422"/>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6.4评审组织：采购人、采购代理机构应当为评审委员会在评审现场及时获取同类项目</w:t>
      </w:r>
      <w:r>
        <w:rPr>
          <w:rFonts w:ascii="宋体" w:hAnsi="宋体" w:eastAsia="宋体" w:cs="宋体"/>
          <w:color w:val="auto"/>
          <w:spacing w:val="7"/>
          <w:sz w:val="21"/>
          <w:szCs w:val="21"/>
          <w:highlight w:val="none"/>
        </w:rPr>
        <w:t>中标（成交）价格、类似产品市场价格水平、行业人工费用标准、国家有关部门指导行业协会发布的行业平均成本等相关信息资料提供便利。评审委员会借助互联网等渠道查询相关信</w:t>
      </w:r>
      <w:r>
        <w:rPr>
          <w:rFonts w:ascii="宋体" w:hAnsi="宋体" w:eastAsia="宋体" w:cs="宋体"/>
          <w:color w:val="auto"/>
          <w:spacing w:val="9"/>
          <w:sz w:val="21"/>
          <w:szCs w:val="21"/>
          <w:highlight w:val="none"/>
        </w:rPr>
        <w:t>息的，应当严格遵守评审工作纪律，不得实施影响评审公正的行为。</w:t>
      </w:r>
    </w:p>
    <w:p w14:paraId="125026E4">
      <w:pPr>
        <w:spacing w:line="360" w:lineRule="auto"/>
        <w:ind w:left="353" w:right="54" w:firstLine="422"/>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6.5记录及归档：异常低价投标（响应）审查的启动原因、审查意见和审查结果应当在</w:t>
      </w:r>
      <w:r>
        <w:rPr>
          <w:rFonts w:ascii="宋体" w:hAnsi="宋体" w:eastAsia="宋体" w:cs="宋体"/>
          <w:color w:val="auto"/>
          <w:spacing w:val="7"/>
          <w:sz w:val="21"/>
          <w:szCs w:val="21"/>
          <w:highlight w:val="none"/>
        </w:rPr>
        <w:t>评审报告中记录，并随供应商提供的相关书面说明及证明材料，以及评审委员会有关互联网</w:t>
      </w:r>
      <w:r>
        <w:rPr>
          <w:rFonts w:ascii="宋体" w:hAnsi="宋体" w:eastAsia="宋体" w:cs="宋体"/>
          <w:color w:val="auto"/>
          <w:spacing w:val="8"/>
          <w:sz w:val="21"/>
          <w:szCs w:val="21"/>
          <w:highlight w:val="none"/>
        </w:rPr>
        <w:t>浏览、查询历史一并归档。</w:t>
      </w:r>
    </w:p>
    <w:p w14:paraId="5E2E180A">
      <w:pPr>
        <w:snapToGrid w:val="0"/>
        <w:spacing w:line="360" w:lineRule="auto"/>
        <w:ind w:firstLine="3537" w:firstLineChars="1101"/>
        <w:jc w:val="both"/>
        <w:rPr>
          <w:rFonts w:hint="eastAsia"/>
          <w:color w:val="auto"/>
          <w:sz w:val="30"/>
          <w:szCs w:val="30"/>
          <w:highlight w:val="none"/>
        </w:rPr>
      </w:pPr>
      <w:r>
        <w:rPr>
          <w:rFonts w:ascii="宋体" w:hAnsi="宋体" w:cs="宋体"/>
          <w:b/>
          <w:bCs/>
          <w:color w:val="auto"/>
          <w:sz w:val="32"/>
          <w:szCs w:val="32"/>
          <w:highlight w:val="none"/>
        </w:rPr>
        <w:br w:type="page"/>
      </w:r>
      <w:r>
        <w:rPr>
          <w:rFonts w:ascii="宋体" w:hAnsi="宋体" w:cs="宋体"/>
          <w:b/>
          <w:bCs/>
          <w:color w:val="auto"/>
          <w:sz w:val="32"/>
          <w:szCs w:val="32"/>
          <w:highlight w:val="none"/>
        </w:rPr>
        <w:t>三</w:t>
      </w:r>
      <w:r>
        <w:rPr>
          <w:rFonts w:hint="eastAsia" w:ascii="宋体" w:hAnsi="宋体" w:cs="宋体"/>
          <w:b/>
          <w:bCs/>
          <w:color w:val="auto"/>
          <w:sz w:val="32"/>
          <w:szCs w:val="32"/>
          <w:highlight w:val="none"/>
        </w:rPr>
        <w:t>、评标标准</w:t>
      </w:r>
      <w:bookmarkEnd w:id="99"/>
    </w:p>
    <w:p w14:paraId="4332EF08">
      <w:pPr>
        <w:pStyle w:val="4"/>
        <w:keepNext w:val="0"/>
        <w:keepLines w:val="0"/>
        <w:jc w:val="center"/>
        <w:rPr>
          <w:rFonts w:hint="eastAsia" w:eastAsia="宋体"/>
          <w:color w:val="auto"/>
          <w:highlight w:val="none"/>
          <w:lang w:eastAsia="zh-CN"/>
        </w:rPr>
      </w:pPr>
      <w:r>
        <w:rPr>
          <w:rFonts w:hint="eastAsia"/>
          <w:color w:val="auto"/>
          <w:highlight w:val="none"/>
        </w:rPr>
        <w:t>综合评分法</w:t>
      </w:r>
    </w:p>
    <w:tbl>
      <w:tblPr>
        <w:tblStyle w:val="24"/>
        <w:tblW w:w="9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83"/>
        <w:gridCol w:w="1197"/>
        <w:gridCol w:w="7128"/>
      </w:tblGrid>
      <w:tr w14:paraId="0742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345" w:type="dxa"/>
            <w:gridSpan w:val="2"/>
            <w:vAlign w:val="center"/>
          </w:tcPr>
          <w:p w14:paraId="1E9AACB4">
            <w:pPr>
              <w:adjustRightInd w:val="0"/>
              <w:spacing w:line="410" w:lineRule="exact"/>
              <w:jc w:val="center"/>
              <w:textAlignment w:val="baseline"/>
              <w:rPr>
                <w:rFonts w:ascii="宋体" w:hAnsi="宋体"/>
                <w:b/>
                <w:color w:val="auto"/>
                <w:szCs w:val="21"/>
                <w:highlight w:val="none"/>
              </w:rPr>
            </w:pPr>
            <w:r>
              <w:rPr>
                <w:rFonts w:hint="eastAsia" w:ascii="宋体" w:hAnsi="宋体"/>
                <w:b/>
                <w:color w:val="auto"/>
                <w:szCs w:val="21"/>
                <w:highlight w:val="none"/>
              </w:rPr>
              <w:t>序号</w:t>
            </w:r>
          </w:p>
        </w:tc>
        <w:tc>
          <w:tcPr>
            <w:tcW w:w="1197" w:type="dxa"/>
            <w:vAlign w:val="center"/>
          </w:tcPr>
          <w:p w14:paraId="4BDD7EA0">
            <w:pPr>
              <w:adjustRightInd w:val="0"/>
              <w:spacing w:line="410" w:lineRule="exact"/>
              <w:jc w:val="center"/>
              <w:textAlignment w:val="baseline"/>
              <w:rPr>
                <w:rFonts w:ascii="宋体" w:hAnsi="宋体"/>
                <w:b/>
                <w:color w:val="auto"/>
                <w:szCs w:val="21"/>
                <w:highlight w:val="none"/>
              </w:rPr>
            </w:pPr>
            <w:r>
              <w:rPr>
                <w:rFonts w:hint="eastAsia" w:ascii="宋体" w:hAnsi="宋体"/>
                <w:b/>
                <w:color w:val="auto"/>
                <w:szCs w:val="21"/>
                <w:highlight w:val="none"/>
              </w:rPr>
              <w:t>评审因素</w:t>
            </w:r>
          </w:p>
        </w:tc>
        <w:tc>
          <w:tcPr>
            <w:tcW w:w="7128" w:type="dxa"/>
            <w:vAlign w:val="center"/>
          </w:tcPr>
          <w:p w14:paraId="13718D1E">
            <w:pPr>
              <w:adjustRightInd w:val="0"/>
              <w:spacing w:line="410" w:lineRule="exact"/>
              <w:jc w:val="center"/>
              <w:textAlignment w:val="baseline"/>
              <w:rPr>
                <w:rFonts w:ascii="宋体" w:hAnsi="宋体"/>
                <w:b/>
                <w:color w:val="auto"/>
                <w:szCs w:val="21"/>
                <w:highlight w:val="none"/>
              </w:rPr>
            </w:pPr>
            <w:r>
              <w:rPr>
                <w:rFonts w:hint="eastAsia" w:ascii="宋体" w:hAnsi="宋体"/>
                <w:b/>
                <w:color w:val="auto"/>
                <w:szCs w:val="21"/>
                <w:highlight w:val="none"/>
              </w:rPr>
              <w:t>评标标准</w:t>
            </w:r>
          </w:p>
        </w:tc>
      </w:tr>
      <w:tr w14:paraId="0616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5BF24EDA">
            <w:pPr>
              <w:adjustRightInd w:val="0"/>
              <w:spacing w:line="360" w:lineRule="exact"/>
              <w:jc w:val="center"/>
              <w:textAlignment w:val="baseline"/>
              <w:rPr>
                <w:rFonts w:ascii="宋体" w:hAnsi="宋体"/>
                <w:color w:val="auto"/>
                <w:szCs w:val="21"/>
                <w:highlight w:val="none"/>
              </w:rPr>
            </w:pPr>
            <w:r>
              <w:rPr>
                <w:rFonts w:hint="eastAsia" w:ascii="宋体" w:hAnsi="宋体"/>
                <w:color w:val="auto"/>
                <w:szCs w:val="21"/>
                <w:highlight w:val="none"/>
              </w:rPr>
              <w:t>1</w:t>
            </w:r>
          </w:p>
        </w:tc>
        <w:tc>
          <w:tcPr>
            <w:tcW w:w="783" w:type="dxa"/>
            <w:vAlign w:val="center"/>
          </w:tcPr>
          <w:p w14:paraId="278A0BA0">
            <w:pPr>
              <w:adjustRightInd w:val="0"/>
              <w:spacing w:line="360" w:lineRule="exact"/>
              <w:jc w:val="center"/>
              <w:textAlignment w:val="baseline"/>
              <w:rPr>
                <w:rFonts w:ascii="宋体" w:hAnsi="宋体"/>
                <w:bCs/>
                <w:color w:val="auto"/>
                <w:szCs w:val="21"/>
                <w:highlight w:val="none"/>
              </w:rPr>
            </w:pPr>
            <w:r>
              <w:rPr>
                <w:rFonts w:hint="eastAsia" w:ascii="宋体" w:hAnsi="宋体"/>
                <w:b/>
                <w:bCs w:val="0"/>
                <w:color w:val="auto"/>
                <w:szCs w:val="21"/>
                <w:highlight w:val="none"/>
                <w:lang w:eastAsia="zh-CN"/>
              </w:rPr>
              <w:t>报价分</w:t>
            </w:r>
            <w:r>
              <w:rPr>
                <w:rFonts w:hint="eastAsia" w:ascii="宋体" w:hAnsi="宋体"/>
                <w:b/>
                <w:bCs w:val="0"/>
                <w:color w:val="auto"/>
                <w:szCs w:val="21"/>
                <w:highlight w:val="none"/>
              </w:rPr>
              <w:t>（满分</w:t>
            </w:r>
            <w:r>
              <w:rPr>
                <w:rFonts w:hint="eastAsia" w:ascii="宋体" w:hAnsi="宋体"/>
                <w:b/>
                <w:bCs w:val="0"/>
                <w:color w:val="auto"/>
                <w:szCs w:val="21"/>
                <w:highlight w:val="none"/>
                <w:u w:val="single"/>
              </w:rPr>
              <w:t>10</w:t>
            </w:r>
            <w:r>
              <w:rPr>
                <w:rFonts w:hint="eastAsia" w:ascii="宋体" w:hAnsi="宋体"/>
                <w:b/>
                <w:bCs w:val="0"/>
                <w:color w:val="auto"/>
                <w:szCs w:val="21"/>
                <w:highlight w:val="none"/>
              </w:rPr>
              <w:t>分）</w:t>
            </w:r>
          </w:p>
        </w:tc>
        <w:tc>
          <w:tcPr>
            <w:tcW w:w="1197" w:type="dxa"/>
            <w:vAlign w:val="center"/>
          </w:tcPr>
          <w:p w14:paraId="23BC8972">
            <w:pPr>
              <w:adjustRightInd/>
              <w:snapToGrid w:val="0"/>
              <w:spacing w:line="360" w:lineRule="atLeast"/>
              <w:jc w:val="left"/>
              <w:textAlignment w:val="auto"/>
              <w:rPr>
                <w:rFonts w:ascii="宋体" w:hAnsi="宋体"/>
                <w:bCs/>
                <w:color w:val="auto"/>
                <w:szCs w:val="21"/>
                <w:highlight w:val="none"/>
              </w:rPr>
            </w:pPr>
            <w:r>
              <w:rPr>
                <w:rFonts w:hint="eastAsia" w:ascii="宋体" w:hAnsi="宋体"/>
                <w:bCs/>
                <w:color w:val="auto"/>
                <w:szCs w:val="21"/>
                <w:highlight w:val="none"/>
              </w:rPr>
              <w:t>投标报价</w:t>
            </w:r>
          </w:p>
        </w:tc>
        <w:tc>
          <w:tcPr>
            <w:tcW w:w="7128" w:type="dxa"/>
            <w:vAlign w:val="center"/>
          </w:tcPr>
          <w:p w14:paraId="1C47EBB6">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（1）评标报价为投标人的投标报价进行政策性扣除后的价格，评标报价只是作为评标时使用。最终中标人的中标金额等于投标报价。</w:t>
            </w:r>
          </w:p>
          <w:p w14:paraId="3A898E4B">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w:t>
            </w:r>
            <w:r>
              <w:rPr>
                <w:rFonts w:ascii="宋体" w:hAnsi="宋体"/>
                <w:bCs/>
                <w:color w:val="auto"/>
                <w:szCs w:val="21"/>
                <w:highlight w:val="none"/>
              </w:rPr>
              <w:t>2</w:t>
            </w:r>
            <w:r>
              <w:rPr>
                <w:rFonts w:hint="eastAsia" w:ascii="宋体" w:hAnsi="宋体"/>
                <w:bCs/>
                <w:color w:val="auto"/>
                <w:szCs w:val="21"/>
                <w:highlight w:val="none"/>
              </w:rPr>
              <w:t>）政策性扣除计算方法。</w:t>
            </w:r>
          </w:p>
          <w:p w14:paraId="66B4D96D">
            <w:pPr>
              <w:snapToGrid/>
              <w:spacing w:line="360" w:lineRule="auto"/>
              <w:ind w:firstLine="233" w:firstLineChars="111"/>
              <w:rPr>
                <w:rFonts w:ascii="宋体" w:hAnsi="宋体"/>
                <w:color w:val="auto"/>
                <w:szCs w:val="21"/>
                <w:highlight w:val="none"/>
              </w:rPr>
            </w:pPr>
            <w:bookmarkStart w:id="100" w:name="_Hlk65858438"/>
            <w:r>
              <w:rPr>
                <w:rFonts w:hint="eastAsia" w:ascii="宋体" w:hAnsi="宋体"/>
                <w:bCs/>
                <w:color w:val="auto"/>
                <w:szCs w:val="21"/>
                <w:highlight w:val="none"/>
              </w:rPr>
              <w:t>本项目为</w:t>
            </w:r>
            <w:r>
              <w:rPr>
                <w:rFonts w:hint="eastAsia" w:ascii="宋体" w:hAnsi="宋体"/>
                <w:bCs/>
                <w:color w:val="auto"/>
                <w:szCs w:val="21"/>
                <w:highlight w:val="none"/>
                <w:shd w:val="clear" w:color="auto" w:fill="auto"/>
              </w:rPr>
              <w:t>服务类</w:t>
            </w:r>
            <w:r>
              <w:rPr>
                <w:rFonts w:hint="eastAsia" w:ascii="宋体" w:hAnsi="宋体"/>
                <w:bCs/>
                <w:color w:val="auto"/>
                <w:szCs w:val="21"/>
                <w:highlight w:val="none"/>
              </w:rPr>
              <w:t>项目，根据《政府采购促进中小企业发展管理办法》（财库〔2020〕46号）及《广西壮族自治区财政厅关于贯彻落实政府采购支持中小企业发展政策的通知》（桂财采〔2022〕31号）的规定，投标人在其投标文件中提供《中小企业声明函》，</w:t>
            </w:r>
            <w:r>
              <w:rPr>
                <w:rFonts w:hint="eastAsia" w:ascii="宋体" w:hAnsi="宋体"/>
                <w:bCs/>
                <w:color w:val="auto"/>
                <w:szCs w:val="21"/>
                <w:highlight w:val="none"/>
                <w:lang w:eastAsia="zh-CN"/>
              </w:rPr>
              <w:t>且其服务为小型和微型企业承接的</w:t>
            </w:r>
            <w:r>
              <w:rPr>
                <w:rFonts w:hint="eastAsia" w:ascii="宋体" w:hAnsi="宋体"/>
                <w:bCs/>
                <w:color w:val="auto"/>
                <w:szCs w:val="21"/>
                <w:highlight w:val="none"/>
              </w:rPr>
              <w:t>，对其投标报价给予10%的扣除，扣除后的价格为评标报价，即评标报价=投标报价×（1-10%）。除上述情况外，评标报价=投标报价。</w:t>
            </w:r>
          </w:p>
          <w:bookmarkEnd w:id="100"/>
          <w:p w14:paraId="56EFC140">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55757935">
            <w:pPr>
              <w:snapToGrid w:val="0"/>
              <w:spacing w:line="360" w:lineRule="auto"/>
              <w:ind w:firstLine="233" w:firstLineChars="111"/>
              <w:rPr>
                <w:rFonts w:hint="eastAsia" w:ascii="宋体" w:hAnsi="宋体"/>
                <w:bCs/>
                <w:color w:val="auto"/>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5FAEB73A">
            <w:pPr>
              <w:snapToGrid w:val="0"/>
              <w:spacing w:line="360" w:lineRule="auto"/>
              <w:ind w:firstLine="233" w:firstLineChars="111"/>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（5）本国产品政策性扣除计算方法。</w:t>
            </w:r>
          </w:p>
          <w:p w14:paraId="6DBA352F">
            <w:pPr>
              <w:snapToGrid w:val="0"/>
              <w:spacing w:line="360" w:lineRule="auto"/>
              <w:ind w:firstLine="233" w:firstLineChars="111"/>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5D193B9">
            <w:pPr>
              <w:snapToGrid w:val="0"/>
              <w:spacing w:line="360" w:lineRule="auto"/>
              <w:ind w:firstLine="233" w:firstLineChars="111"/>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6E02E07E">
            <w:pPr>
              <w:snapToGrid w:val="0"/>
              <w:spacing w:line="360" w:lineRule="auto"/>
              <w:ind w:firstLine="233" w:firstLineChars="111"/>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供应商在其投标文件中提供《关于符合本国产品标准的声明函》或财政部会同有关部门规定的有关证明文件，出具符合要求的《声明函》或有关证明文件的，该产品视为本国产品。采购人、采购代理机构应当随中标、成交结果同时公告中标、成交供应商提供的《声明函》或有关证明文件。</w:t>
            </w:r>
          </w:p>
          <w:p w14:paraId="11500457">
            <w:pPr>
              <w:snapToGrid w:val="0"/>
              <w:spacing w:line="360" w:lineRule="auto"/>
              <w:ind w:firstLine="233" w:firstLineChars="111"/>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如果所有参与竞争的供应商均可享受本国产品价格评审优惠，则统一不进行价格扣除。</w:t>
            </w:r>
          </w:p>
          <w:p w14:paraId="101D5CE7">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lang w:val="en-US" w:eastAsia="zh-CN"/>
              </w:rPr>
              <w:t>（6）中小企业折扣与本国产品折扣进行叠加计算，用扣除后的价格参加评审。即评审价=投标报价-中小企业折扣-本国产品折扣，除上述情况外，评标报价=投标报价。</w:t>
            </w:r>
          </w:p>
          <w:p w14:paraId="3FD95AA5">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7</w:t>
            </w:r>
            <w:r>
              <w:rPr>
                <w:rFonts w:hint="eastAsia" w:ascii="宋体" w:hAnsi="宋体"/>
                <w:bCs/>
                <w:color w:val="auto"/>
                <w:szCs w:val="21"/>
                <w:highlight w:val="none"/>
              </w:rPr>
              <w:t>）满足招标文件要求且评标报价最低的评标报价为评标基准价，其价格分为满分。</w:t>
            </w:r>
          </w:p>
          <w:p w14:paraId="7E6A4C35">
            <w:pPr>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8</w:t>
            </w:r>
            <w:r>
              <w:rPr>
                <w:rFonts w:hint="eastAsia" w:ascii="宋体" w:hAnsi="宋体"/>
                <w:bCs/>
                <w:color w:val="auto"/>
                <w:szCs w:val="21"/>
                <w:highlight w:val="none"/>
              </w:rPr>
              <w:t>）价格分计算公式：</w:t>
            </w:r>
          </w:p>
          <w:p w14:paraId="0C8E806B">
            <w:pPr>
              <w:pStyle w:val="15"/>
              <w:spacing w:before="160" w:beforeLines="50" w:line="360" w:lineRule="auto"/>
              <w:ind w:right="105"/>
              <w:rPr>
                <w:rFonts w:hint="eastAsia" w:ascii="宋体" w:hAnsi="宋体" w:cs="Courier New"/>
                <w:b/>
                <w:bCs/>
                <w:color w:val="auto"/>
                <w:sz w:val="24"/>
                <w:highlight w:val="none"/>
              </w:rPr>
            </w:pPr>
            <w:r>
              <w:rPr>
                <w:rFonts w:hint="eastAsia" w:ascii="宋体" w:hAnsi="宋体"/>
                <w:bCs/>
                <w:color w:val="auto"/>
                <w:kern w:val="0"/>
                <w:sz w:val="21"/>
                <w:szCs w:val="21"/>
                <w:highlight w:val="none"/>
              </w:rPr>
              <w:t>价格分</w:t>
            </w:r>
            <w:r>
              <w:rPr>
                <w:rFonts w:hint="eastAsia" w:ascii="宋体" w:hAnsi="宋体" w:cs="Courier New"/>
                <w:bCs/>
                <w:color w:val="auto"/>
                <w:sz w:val="21"/>
                <w:szCs w:val="21"/>
                <w:highlight w:val="none"/>
              </w:rPr>
              <w:t>=（评标基准价／评标报价）×</w:t>
            </w:r>
            <w:r>
              <w:rPr>
                <w:rFonts w:hint="eastAsia" w:ascii="宋体" w:hAnsi="宋体"/>
                <w:bCs/>
                <w:color w:val="auto"/>
                <w:kern w:val="0"/>
                <w:sz w:val="21"/>
                <w:szCs w:val="21"/>
                <w:highlight w:val="none"/>
                <w:u w:val="single"/>
                <w:lang w:val="en-US" w:eastAsia="zh-CN"/>
              </w:rPr>
              <w:t>10</w:t>
            </w:r>
            <w:r>
              <w:rPr>
                <w:rFonts w:hint="eastAsia" w:ascii="宋体" w:hAnsi="宋体" w:cs="Courier New"/>
                <w:bCs/>
                <w:color w:val="auto"/>
                <w:sz w:val="21"/>
                <w:szCs w:val="21"/>
                <w:highlight w:val="none"/>
              </w:rPr>
              <w:t>分</w:t>
            </w:r>
          </w:p>
        </w:tc>
      </w:tr>
      <w:tr w14:paraId="32BE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44A853BF">
            <w:pPr>
              <w:adjustRightInd w:val="0"/>
              <w:snapToGrid w:val="0"/>
              <w:spacing w:line="360" w:lineRule="atLeast"/>
              <w:jc w:val="center"/>
              <w:textAlignment w:val="baseline"/>
              <w:rPr>
                <w:rFonts w:ascii="宋体" w:hAnsi="宋体"/>
                <w:color w:val="auto"/>
                <w:szCs w:val="21"/>
                <w:highlight w:val="none"/>
              </w:rPr>
            </w:pPr>
            <w:r>
              <w:rPr>
                <w:rFonts w:hint="eastAsia" w:ascii="宋体" w:hAnsi="宋体"/>
                <w:color w:val="auto"/>
                <w:szCs w:val="21"/>
                <w:highlight w:val="none"/>
              </w:rPr>
              <w:t>2</w:t>
            </w:r>
          </w:p>
        </w:tc>
        <w:tc>
          <w:tcPr>
            <w:tcW w:w="783" w:type="dxa"/>
            <w:vMerge w:val="restart"/>
            <w:vAlign w:val="center"/>
          </w:tcPr>
          <w:p w14:paraId="36133A8F">
            <w:pPr>
              <w:adjustRightInd w:val="0"/>
              <w:snapToGrid w:val="0"/>
              <w:spacing w:line="360" w:lineRule="atLeast"/>
              <w:ind w:left="-105" w:leftChars="-50" w:right="-105" w:rightChars="-50"/>
              <w:jc w:val="center"/>
              <w:textAlignment w:val="baseline"/>
              <w:rPr>
                <w:rFonts w:ascii="宋体" w:hAnsi="宋体"/>
                <w:color w:val="auto"/>
                <w:spacing w:val="-18"/>
                <w:szCs w:val="21"/>
                <w:highlight w:val="none"/>
              </w:rPr>
            </w:pPr>
            <w:r>
              <w:rPr>
                <w:rFonts w:hint="eastAsia" w:ascii="宋体" w:hAnsi="宋体"/>
                <w:b/>
                <w:bCs w:val="0"/>
                <w:color w:val="auto"/>
                <w:szCs w:val="21"/>
                <w:highlight w:val="none"/>
              </w:rPr>
              <w:t>技术</w:t>
            </w:r>
            <w:r>
              <w:rPr>
                <w:rFonts w:hint="eastAsia" w:ascii="宋体" w:hAnsi="宋体"/>
                <w:b/>
                <w:bCs w:val="0"/>
                <w:color w:val="auto"/>
                <w:szCs w:val="21"/>
                <w:highlight w:val="none"/>
                <w:lang w:eastAsia="zh-CN"/>
              </w:rPr>
              <w:t>方案分</w:t>
            </w:r>
            <w:r>
              <w:rPr>
                <w:rFonts w:hint="eastAsia" w:ascii="宋体" w:hAnsi="宋体"/>
                <w:b/>
                <w:bCs w:val="0"/>
                <w:color w:val="auto"/>
                <w:szCs w:val="21"/>
                <w:highlight w:val="none"/>
              </w:rPr>
              <w:t>（</w:t>
            </w:r>
            <w:r>
              <w:rPr>
                <w:rFonts w:hint="eastAsia" w:ascii="宋体" w:hAnsi="宋体"/>
                <w:b/>
                <w:color w:val="auto"/>
                <w:szCs w:val="21"/>
                <w:highlight w:val="none"/>
              </w:rPr>
              <w:t>满分</w:t>
            </w:r>
            <w:r>
              <w:rPr>
                <w:rFonts w:hint="eastAsia" w:ascii="宋体" w:hAnsi="宋体"/>
                <w:b/>
                <w:color w:val="auto"/>
                <w:szCs w:val="21"/>
                <w:highlight w:val="none"/>
                <w:u w:val="single"/>
                <w:lang w:val="en-US" w:eastAsia="zh-CN"/>
              </w:rPr>
              <w:t>76</w:t>
            </w:r>
            <w:r>
              <w:rPr>
                <w:rFonts w:hint="eastAsia" w:ascii="宋体" w:hAnsi="宋体"/>
                <w:b/>
                <w:color w:val="auto"/>
                <w:szCs w:val="21"/>
                <w:highlight w:val="none"/>
              </w:rPr>
              <w:t>分</w:t>
            </w:r>
            <w:r>
              <w:rPr>
                <w:rFonts w:hint="eastAsia" w:ascii="宋体" w:hAnsi="宋体"/>
                <w:b/>
                <w:bCs w:val="0"/>
                <w:color w:val="auto"/>
                <w:szCs w:val="21"/>
                <w:highlight w:val="none"/>
              </w:rPr>
              <w:t>）</w:t>
            </w:r>
          </w:p>
        </w:tc>
        <w:tc>
          <w:tcPr>
            <w:tcW w:w="1197" w:type="dxa"/>
            <w:vAlign w:val="center"/>
          </w:tcPr>
          <w:p w14:paraId="26F4FD7D">
            <w:pPr>
              <w:widowControl/>
              <w:snapToGrid w:val="0"/>
              <w:spacing w:line="360" w:lineRule="atLeast"/>
              <w:jc w:val="left"/>
              <w:rPr>
                <w:rFonts w:hint="eastAsia" w:ascii="宋体" w:hAnsi="宋体" w:eastAsia="宋体" w:cs="宋体"/>
                <w:bCs/>
                <w:color w:val="auto"/>
                <w:szCs w:val="21"/>
                <w:highlight w:val="none"/>
                <w:lang w:val="en-US" w:eastAsia="zh-CN"/>
              </w:rPr>
            </w:pPr>
            <w:r>
              <w:rPr>
                <w:rFonts w:hint="eastAsia" w:ascii="宋体" w:hAnsi="宋体"/>
                <w:color w:val="auto"/>
                <w:kern w:val="0"/>
                <w:sz w:val="21"/>
                <w:szCs w:val="21"/>
                <w:highlight w:val="none"/>
                <w:lang w:val="en-US" w:eastAsia="zh-CN"/>
              </w:rPr>
              <w:t>2.1项目整体服务实施方案（10分）</w:t>
            </w:r>
          </w:p>
        </w:tc>
        <w:tc>
          <w:tcPr>
            <w:tcW w:w="7128" w:type="dxa"/>
            <w:vAlign w:val="center"/>
          </w:tcPr>
          <w:p w14:paraId="6C9DB192">
            <w:pPr>
              <w:widowControl/>
              <w:spacing w:line="38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一档（0分）：</w:t>
            </w:r>
            <w:r>
              <w:rPr>
                <w:rFonts w:ascii="宋体" w:hAnsi="宋体" w:cs="宋体"/>
                <w:bCs/>
                <w:color w:val="auto"/>
                <w:szCs w:val="21"/>
                <w:highlight w:val="none"/>
              </w:rPr>
              <w:t>未提供方案或方案不满足</w:t>
            </w:r>
            <w:r>
              <w:rPr>
                <w:rFonts w:hint="eastAsia" w:ascii="宋体" w:hAnsi="宋体" w:cs="宋体"/>
                <w:bCs/>
                <w:color w:val="auto"/>
                <w:szCs w:val="21"/>
                <w:highlight w:val="none"/>
              </w:rPr>
              <w:t>二档</w:t>
            </w:r>
            <w:r>
              <w:rPr>
                <w:rFonts w:ascii="宋体" w:hAnsi="宋体" w:cs="宋体"/>
                <w:bCs/>
                <w:color w:val="auto"/>
                <w:szCs w:val="21"/>
                <w:highlight w:val="none"/>
              </w:rPr>
              <w:t>评分项的不得分</w:t>
            </w:r>
            <w:r>
              <w:rPr>
                <w:rFonts w:hint="eastAsia" w:ascii="宋体" w:hAnsi="宋体" w:cs="宋体"/>
                <w:color w:val="auto"/>
                <w:szCs w:val="21"/>
                <w:highlight w:val="none"/>
              </w:rPr>
              <w:t>。</w:t>
            </w:r>
          </w:p>
          <w:p w14:paraId="7B5DB031">
            <w:pPr>
              <w:widowControl/>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二档（4分）：投标人提供的方案能根据项目建设目标，</w:t>
            </w:r>
            <w:r>
              <w:rPr>
                <w:rFonts w:hint="eastAsia" w:ascii="宋体" w:hAnsi="宋体" w:cs="宋体"/>
                <w:color w:val="auto"/>
                <w:szCs w:val="21"/>
                <w:highlight w:val="none"/>
                <w:lang w:val="en-US" w:eastAsia="zh-CN"/>
              </w:rPr>
              <w:t>对</w:t>
            </w:r>
            <w:r>
              <w:rPr>
                <w:rFonts w:hint="eastAsia" w:ascii="宋体" w:hAnsi="宋体" w:cs="宋体"/>
                <w:color w:val="auto"/>
                <w:szCs w:val="21"/>
                <w:highlight w:val="none"/>
              </w:rPr>
              <w:t>从合同签订到布展建设完成并交付使用各环节工作实施内容（至少包含布展方案设计、现场实施、验收、售后等）节点计划等进行较详细且较正确的分解。人员工作职责较清晰，分工较明确，拟投入本项目人员的实施及售后人员不少于3人和施工人员不少于3人（除项目负责人、技术负责人以外）。</w:t>
            </w:r>
          </w:p>
          <w:p w14:paraId="462E0684">
            <w:pPr>
              <w:widowControl/>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三档（7分）：投标人提供的方案能根据项目建设目标，</w:t>
            </w:r>
            <w:r>
              <w:rPr>
                <w:rFonts w:hint="eastAsia" w:ascii="宋体" w:hAnsi="宋体" w:cs="宋体"/>
                <w:color w:val="auto"/>
                <w:szCs w:val="21"/>
                <w:highlight w:val="none"/>
                <w:lang w:val="en-US" w:eastAsia="zh-CN"/>
              </w:rPr>
              <w:t>对</w:t>
            </w:r>
            <w:r>
              <w:rPr>
                <w:rFonts w:hint="eastAsia" w:ascii="宋体" w:hAnsi="宋体" w:cs="宋体"/>
                <w:color w:val="auto"/>
                <w:szCs w:val="21"/>
                <w:highlight w:val="none"/>
              </w:rPr>
              <w:t>从合同签订到布展建设完成并交付使用各环节工作实施内容（至少包含布展方案设计、现场实施、验收、售后等）节点计划等进行详细且正确的分解，每个节点计划、每个环节均配备有满足岗位需求的管理人员、劳务人员和设备、材料说明，编制拟投入本项目相关人、机、料的一览表，且根据上一档各环节工作编制具体工作措施。人员工作职责清晰，分工明确，拟投入本项目人员的实施及售后人员不少于4人和施工人员不少于4人（除项目负责人、技术负责人以外）。</w:t>
            </w:r>
          </w:p>
          <w:p w14:paraId="31CD5DF2">
            <w:pPr>
              <w:keepNext w:val="0"/>
              <w:keepLines w:val="0"/>
              <w:pageBreakBefore w:val="0"/>
              <w:kinsoku/>
              <w:wordWrap/>
              <w:overflowPunct/>
              <w:topLinePunct w:val="0"/>
              <w:autoSpaceDE/>
              <w:autoSpaceDN/>
              <w:bidi w:val="0"/>
              <w:spacing w:line="360" w:lineRule="exact"/>
              <w:ind w:firstLine="420" w:firstLineChars="200"/>
              <w:textAlignment w:val="auto"/>
              <w:rPr>
                <w:rFonts w:ascii="宋体" w:hAnsi="宋体" w:cs="宋体"/>
                <w:b/>
                <w:bCs/>
                <w:color w:val="auto"/>
                <w:szCs w:val="21"/>
                <w:highlight w:val="none"/>
              </w:rPr>
            </w:pPr>
            <w:r>
              <w:rPr>
                <w:rFonts w:hint="eastAsia" w:ascii="宋体" w:hAnsi="宋体" w:cs="宋体"/>
                <w:color w:val="auto"/>
                <w:szCs w:val="21"/>
                <w:highlight w:val="none"/>
              </w:rPr>
              <w:t>四档（10分）：投标人提供的方案能根据项目建设目标，</w:t>
            </w:r>
            <w:r>
              <w:rPr>
                <w:rFonts w:hint="eastAsia" w:ascii="宋体" w:hAnsi="宋体" w:cs="宋体"/>
                <w:color w:val="auto"/>
                <w:szCs w:val="21"/>
                <w:highlight w:val="none"/>
                <w:lang w:val="en-US" w:eastAsia="zh-CN"/>
              </w:rPr>
              <w:t>对</w:t>
            </w:r>
            <w:r>
              <w:rPr>
                <w:rFonts w:hint="eastAsia" w:ascii="宋体" w:hAnsi="宋体" w:cs="宋体"/>
                <w:color w:val="auto"/>
                <w:szCs w:val="21"/>
                <w:highlight w:val="none"/>
              </w:rPr>
              <w:t>从合同签订到布展建设完成并交付使用各环节工作实施内容（至少包含布展方案设计、现场实施、验收、售后等）节点计划等进行详细且正确的分解，每个节点计划、每个环节均配备有满足岗位需求的管理人员、劳务人员和设备、材料说明，编制拟投入本项目相关人、机、料的一览表，且根据上一档各环节工作编制具体工作措施，能结合国内同类主题布展建设的先进经验或具体案例，编制利于项目整体建设的合理化建议。人员工作职责清晰，分工明确，拟投入项目实施及售后人员不少于5人和施工人员不少于5人（除项目负责人、技术负责人以外）。</w:t>
            </w:r>
          </w:p>
          <w:p w14:paraId="5DCAE062">
            <w:pPr>
              <w:keepNext w:val="0"/>
              <w:keepLines w:val="0"/>
              <w:pageBreakBefore w:val="0"/>
              <w:kinsoku/>
              <w:wordWrap/>
              <w:overflowPunct/>
              <w:topLinePunct w:val="0"/>
              <w:autoSpaceDE/>
              <w:autoSpaceDN/>
              <w:bidi w:val="0"/>
              <w:spacing w:line="360" w:lineRule="exact"/>
              <w:ind w:firstLine="422" w:firstLineChars="200"/>
              <w:textAlignment w:val="auto"/>
              <w:rPr>
                <w:rFonts w:hint="eastAsia" w:ascii="宋体" w:hAnsi="宋体" w:cs="宋体"/>
                <w:color w:val="auto"/>
                <w:szCs w:val="21"/>
                <w:highlight w:val="none"/>
                <w:lang w:eastAsia="zh-CN"/>
              </w:rPr>
            </w:pPr>
            <w:r>
              <w:rPr>
                <w:rFonts w:ascii="宋体" w:hAnsi="宋体" w:cs="宋体"/>
                <w:b/>
                <w:bCs/>
                <w:color w:val="auto"/>
                <w:szCs w:val="21"/>
                <w:highlight w:val="none"/>
              </w:rPr>
              <w:t>注意：</w:t>
            </w:r>
            <w:r>
              <w:rPr>
                <w:rFonts w:hint="eastAsia" w:ascii="宋体" w:hAnsi="宋体" w:cs="宋体"/>
                <w:b/>
                <w:bCs/>
                <w:color w:val="auto"/>
                <w:szCs w:val="21"/>
                <w:highlight w:val="none"/>
              </w:rPr>
              <w:t>（1）投标人投标文件必须附拟投入人员身份证</w:t>
            </w:r>
            <w:r>
              <w:rPr>
                <w:rFonts w:ascii="宋体" w:hAnsi="宋体" w:cs="宋体"/>
                <w:b/>
                <w:bCs/>
                <w:color w:val="auto"/>
                <w:szCs w:val="21"/>
                <w:highlight w:val="none"/>
              </w:rPr>
              <w:t>扫描件</w:t>
            </w:r>
            <w:r>
              <w:rPr>
                <w:rFonts w:hint="eastAsia" w:ascii="宋体" w:hAnsi="宋体" w:cs="宋体"/>
                <w:b/>
                <w:bCs/>
                <w:color w:val="auto"/>
                <w:szCs w:val="21"/>
                <w:highlight w:val="none"/>
                <w:lang w:eastAsia="zh-CN"/>
              </w:rPr>
              <w:t>、投标人依法</w:t>
            </w:r>
            <w:r>
              <w:rPr>
                <w:rFonts w:hint="eastAsia" w:ascii="宋体" w:hAnsi="宋体" w:cs="宋体"/>
                <w:b/>
                <w:bCs/>
                <w:color w:val="auto"/>
                <w:szCs w:val="21"/>
                <w:highlight w:val="none"/>
                <w:lang w:val="en-US" w:eastAsia="zh-CN"/>
              </w:rPr>
              <w:t>为其</w:t>
            </w:r>
            <w:r>
              <w:rPr>
                <w:rFonts w:hint="eastAsia" w:ascii="宋体" w:hAnsi="宋体" w:cs="宋体"/>
                <w:b/>
                <w:bCs/>
                <w:color w:val="auto"/>
                <w:szCs w:val="21"/>
                <w:highlight w:val="none"/>
                <w:lang w:eastAsia="zh-CN"/>
              </w:rPr>
              <w:t>缴纳社会保障资金的相关材料[202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lang w:eastAsia="zh-CN"/>
              </w:rPr>
              <w:t>年</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lang w:eastAsia="zh-CN"/>
              </w:rPr>
              <w:t>月至</w:t>
            </w:r>
            <w:r>
              <w:rPr>
                <w:rFonts w:hint="eastAsia" w:ascii="宋体" w:hAnsi="宋体" w:cs="宋体"/>
                <w:b/>
                <w:bCs/>
                <w:color w:val="auto"/>
                <w:szCs w:val="21"/>
                <w:highlight w:val="none"/>
                <w:lang w:val="en-US" w:eastAsia="zh-CN"/>
              </w:rPr>
              <w:t>今</w:t>
            </w:r>
            <w:r>
              <w:rPr>
                <w:rFonts w:hint="eastAsia" w:ascii="宋体" w:hAnsi="宋体" w:cs="宋体"/>
                <w:b/>
                <w:bCs/>
                <w:color w:val="auto"/>
                <w:szCs w:val="21"/>
                <w:highlight w:val="none"/>
                <w:lang w:eastAsia="zh-CN"/>
              </w:rPr>
              <w:t>任意1个月的依法缴纳社会保障资金的</w:t>
            </w:r>
            <w:r>
              <w:rPr>
                <w:rFonts w:hint="eastAsia" w:ascii="宋体" w:hAnsi="宋体" w:cs="宋体"/>
                <w:b/>
                <w:bCs/>
                <w:color w:val="auto"/>
                <w:szCs w:val="21"/>
                <w:highlight w:val="none"/>
                <w:lang w:val="en-US" w:eastAsia="zh-CN"/>
              </w:rPr>
              <w:t>证明]复印件或劳动合同复印件</w:t>
            </w:r>
            <w:r>
              <w:rPr>
                <w:rFonts w:ascii="宋体" w:hAnsi="宋体" w:cs="宋体"/>
                <w:b/>
                <w:bCs/>
                <w:color w:val="auto"/>
                <w:szCs w:val="21"/>
                <w:highlight w:val="none"/>
              </w:rPr>
              <w:t>并加盖</w:t>
            </w:r>
            <w:r>
              <w:rPr>
                <w:rFonts w:hint="eastAsia" w:ascii="宋体" w:hAnsi="宋体" w:cs="宋体"/>
                <w:b/>
                <w:bCs/>
                <w:color w:val="auto"/>
                <w:szCs w:val="21"/>
                <w:highlight w:val="none"/>
              </w:rPr>
              <w:t>投标人公章，</w:t>
            </w:r>
            <w:r>
              <w:rPr>
                <w:rFonts w:hint="eastAsia"/>
                <w:b/>
                <w:bCs/>
                <w:color w:val="auto"/>
                <w:szCs w:val="21"/>
                <w:highlight w:val="none"/>
              </w:rPr>
              <w:t>不提供或提供不全的不计分</w:t>
            </w:r>
            <w:r>
              <w:rPr>
                <w:rFonts w:hint="eastAsia" w:ascii="宋体" w:hAnsi="宋体" w:cs="宋体"/>
                <w:b/>
                <w:bCs/>
                <w:color w:val="auto"/>
                <w:szCs w:val="21"/>
                <w:highlight w:val="none"/>
              </w:rPr>
              <w:t>；（2）</w:t>
            </w:r>
            <w:r>
              <w:rPr>
                <w:rFonts w:ascii="宋体" w:hAnsi="宋体" w:cs="宋体"/>
                <w:b/>
                <w:bCs/>
                <w:color w:val="auto"/>
                <w:szCs w:val="21"/>
                <w:highlight w:val="none"/>
              </w:rPr>
              <w:t>承诺的拟投入人员须如实投入到项目实施中，未经采购人同意不允许自行更换。</w:t>
            </w:r>
          </w:p>
        </w:tc>
      </w:tr>
      <w:tr w14:paraId="530C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1FD3FD3F">
            <w:pPr>
              <w:adjustRightInd w:val="0"/>
              <w:snapToGrid w:val="0"/>
              <w:spacing w:line="360" w:lineRule="atLeast"/>
              <w:jc w:val="center"/>
              <w:textAlignment w:val="baseline"/>
              <w:rPr>
                <w:rFonts w:hint="eastAsia" w:ascii="宋体" w:hAnsi="宋体"/>
                <w:color w:val="auto"/>
                <w:szCs w:val="21"/>
                <w:highlight w:val="none"/>
              </w:rPr>
            </w:pPr>
          </w:p>
        </w:tc>
        <w:tc>
          <w:tcPr>
            <w:tcW w:w="783" w:type="dxa"/>
            <w:vMerge w:val="continue"/>
            <w:vAlign w:val="center"/>
          </w:tcPr>
          <w:p w14:paraId="6C13917A">
            <w:pPr>
              <w:adjustRightInd w:val="0"/>
              <w:snapToGrid w:val="0"/>
              <w:spacing w:line="360" w:lineRule="atLeast"/>
              <w:ind w:left="-105" w:leftChars="-50" w:right="-105" w:rightChars="-50"/>
              <w:jc w:val="center"/>
              <w:textAlignment w:val="baseline"/>
              <w:rPr>
                <w:rFonts w:hint="eastAsia" w:ascii="宋体" w:hAnsi="宋体"/>
                <w:bCs/>
                <w:color w:val="auto"/>
                <w:szCs w:val="21"/>
                <w:highlight w:val="none"/>
              </w:rPr>
            </w:pPr>
          </w:p>
        </w:tc>
        <w:tc>
          <w:tcPr>
            <w:tcW w:w="1197" w:type="dxa"/>
            <w:vAlign w:val="center"/>
          </w:tcPr>
          <w:p w14:paraId="588C3E51">
            <w:pPr>
              <w:widowControl/>
              <w:snapToGrid w:val="0"/>
              <w:spacing w:line="360" w:lineRule="atLeast"/>
              <w:jc w:val="left"/>
              <w:rPr>
                <w:rFonts w:hint="eastAsia" w:ascii="宋体" w:hAnsi="宋体" w:cs="宋体"/>
                <w:bCs/>
                <w:color w:val="auto"/>
                <w:szCs w:val="21"/>
                <w:highlight w:val="none"/>
              </w:rPr>
            </w:pPr>
            <w:r>
              <w:rPr>
                <w:rFonts w:hint="eastAsia" w:ascii="宋体" w:hAnsi="宋体" w:cs="宋体"/>
                <w:b w:val="0"/>
                <w:bCs/>
                <w:color w:val="auto"/>
                <w:szCs w:val="21"/>
                <w:highlight w:val="none"/>
              </w:rPr>
              <w:t>2.2布展展陈策划（18分）</w:t>
            </w:r>
          </w:p>
        </w:tc>
        <w:tc>
          <w:tcPr>
            <w:tcW w:w="7128" w:type="dxa"/>
            <w:vAlign w:val="center"/>
          </w:tcPr>
          <w:p w14:paraId="5F37F1E5">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一档（0分）：未提供布展展陈大纲或不满足二档评分项的不得分。</w:t>
            </w:r>
          </w:p>
          <w:p w14:paraId="08879A64">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二档（</w:t>
            </w:r>
            <w:r>
              <w:rPr>
                <w:rFonts w:hint="eastAsia" w:ascii="宋体" w:hAnsi="宋体" w:cs="Times New Roman"/>
                <w:b w:val="0"/>
                <w:bCs/>
                <w:color w:val="auto"/>
                <w:sz w:val="21"/>
                <w:szCs w:val="21"/>
                <w:highlight w:val="none"/>
                <w:lang w:val="en-US" w:eastAsia="zh-CN"/>
              </w:rPr>
              <w:t>6</w:t>
            </w:r>
            <w:r>
              <w:rPr>
                <w:rFonts w:hint="eastAsia" w:ascii="宋体" w:hAnsi="宋体" w:eastAsia="宋体" w:cs="Times New Roman"/>
                <w:b w:val="0"/>
                <w:bCs/>
                <w:color w:val="auto"/>
                <w:sz w:val="21"/>
                <w:szCs w:val="21"/>
                <w:highlight w:val="none"/>
                <w:lang w:val="en-US" w:eastAsia="zh-CN"/>
              </w:rPr>
              <w:t>分）：布展展陈大纲未涵盖二楼金花茶科普研学展区所有展示区域以及上岳保护站森林体验实践基地所涉及的文字内容、字幕等全部内容，有漏项，大纲对展馆空间利用、保护区实况结合较少，金花茶特色与生态宣教主题体现薄弱。整体内容单薄、亮点不足，仅满足最低布展准入要求，需大幅补充完善。</w:t>
            </w:r>
          </w:p>
          <w:p w14:paraId="179D700B">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三档（12分）：布展展陈大纲包括二楼金花茶科普研学展区所有展示区域以及上岳保护站森林体验实践基地所涉及的文字内容、字幕等，大纲贴合展馆空间条件与保护区基本情况，能够体现金花茶保护特色与宣教定位。整体框架完整、逻辑通顺，符合布展要求，仅金花茶特色呈现、宣教细节设计有待优化。</w:t>
            </w:r>
          </w:p>
          <w:p w14:paraId="0B865E7A">
            <w:pPr>
              <w:spacing w:line="360" w:lineRule="exact"/>
              <w:ind w:firstLine="420" w:firstLineChars="200"/>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四档（18分）：布展展陈大纲包括二楼金花茶科普研学展区所有展示区域以及上岳保护站森林体验实践基地所涉及的文字内容、字幕等，大纲紧密结合展馆现场空间实际与保护区现状，深度凸显金花茶特色资源与保护文化。整体布局科学、宣教主线清晰，充分强化自然科普、生态保护的宣教功能，</w:t>
            </w:r>
            <w:r>
              <w:rPr>
                <w:rFonts w:hint="eastAsia" w:ascii="宋体" w:hAnsi="宋体" w:cs="Times New Roman"/>
                <w:b w:val="0"/>
                <w:bCs/>
                <w:color w:val="auto"/>
                <w:sz w:val="21"/>
                <w:szCs w:val="21"/>
                <w:highlight w:val="none"/>
                <w:lang w:val="en-US" w:eastAsia="zh-CN"/>
              </w:rPr>
              <w:t>大纲</w:t>
            </w:r>
            <w:r>
              <w:rPr>
                <w:rFonts w:hint="eastAsia" w:ascii="宋体" w:hAnsi="宋体" w:eastAsia="宋体" w:cs="Times New Roman"/>
                <w:b w:val="0"/>
                <w:bCs/>
                <w:color w:val="auto"/>
                <w:sz w:val="21"/>
                <w:szCs w:val="21"/>
                <w:highlight w:val="none"/>
                <w:lang w:val="en-US" w:eastAsia="zh-CN"/>
              </w:rPr>
              <w:t>完整优质、落地性极强。</w:t>
            </w:r>
          </w:p>
        </w:tc>
      </w:tr>
      <w:tr w14:paraId="08EA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6F6BF8B2">
            <w:pPr>
              <w:adjustRightInd w:val="0"/>
              <w:snapToGrid w:val="0"/>
              <w:spacing w:line="360" w:lineRule="atLeast"/>
              <w:jc w:val="center"/>
              <w:textAlignment w:val="baseline"/>
              <w:rPr>
                <w:rFonts w:hint="eastAsia" w:ascii="宋体" w:hAnsi="宋体"/>
                <w:color w:val="auto"/>
                <w:szCs w:val="21"/>
                <w:highlight w:val="none"/>
              </w:rPr>
            </w:pPr>
          </w:p>
        </w:tc>
        <w:tc>
          <w:tcPr>
            <w:tcW w:w="783" w:type="dxa"/>
            <w:vMerge w:val="continue"/>
            <w:vAlign w:val="center"/>
          </w:tcPr>
          <w:p w14:paraId="366558B0">
            <w:pPr>
              <w:adjustRightInd w:val="0"/>
              <w:snapToGrid w:val="0"/>
              <w:spacing w:line="360" w:lineRule="atLeast"/>
              <w:ind w:left="-105" w:leftChars="-50" w:right="-105" w:rightChars="-50"/>
              <w:jc w:val="center"/>
              <w:textAlignment w:val="baseline"/>
              <w:rPr>
                <w:rFonts w:hint="eastAsia" w:ascii="宋体" w:hAnsi="宋体"/>
                <w:bCs/>
                <w:color w:val="auto"/>
                <w:szCs w:val="21"/>
                <w:highlight w:val="none"/>
              </w:rPr>
            </w:pPr>
          </w:p>
        </w:tc>
        <w:tc>
          <w:tcPr>
            <w:tcW w:w="1197" w:type="dxa"/>
            <w:vAlign w:val="center"/>
          </w:tcPr>
          <w:p w14:paraId="14EED9B2">
            <w:pPr>
              <w:widowControl/>
              <w:snapToGrid w:val="0"/>
              <w:spacing w:line="360" w:lineRule="atLeast"/>
              <w:jc w:val="left"/>
              <w:rPr>
                <w:rFonts w:hint="eastAsia" w:ascii="宋体" w:hAnsi="宋体" w:cs="宋体"/>
                <w:b w:val="0"/>
                <w:bCs/>
                <w:color w:val="auto"/>
                <w:szCs w:val="21"/>
                <w:highlight w:val="none"/>
                <w:u w:val="none"/>
                <w:lang w:eastAsia="zh-CN"/>
              </w:rPr>
            </w:pPr>
            <w:r>
              <w:rPr>
                <w:rFonts w:hint="eastAsia" w:ascii="宋体" w:hAnsi="宋体" w:cs="宋体"/>
                <w:b w:val="0"/>
                <w:bCs/>
                <w:color w:val="auto"/>
                <w:szCs w:val="21"/>
                <w:highlight w:val="none"/>
                <w:u w:val="none"/>
                <w:lang w:eastAsia="zh-CN"/>
              </w:rPr>
              <w:t>2.3布展效果图策划</w:t>
            </w:r>
          </w:p>
          <w:p w14:paraId="344A4BF5">
            <w:pPr>
              <w:widowControl/>
              <w:snapToGrid w:val="0"/>
              <w:spacing w:line="360" w:lineRule="atLeast"/>
              <w:jc w:val="left"/>
              <w:rPr>
                <w:rFonts w:hint="eastAsia" w:ascii="宋体" w:hAnsi="宋体" w:cs="宋体"/>
                <w:b w:val="0"/>
                <w:bCs/>
                <w:color w:val="auto"/>
                <w:szCs w:val="21"/>
                <w:highlight w:val="none"/>
                <w:u w:val="none"/>
              </w:rPr>
            </w:pPr>
            <w:r>
              <w:rPr>
                <w:rFonts w:hint="eastAsia" w:ascii="宋体" w:hAnsi="宋体" w:cs="宋体"/>
                <w:b w:val="0"/>
                <w:bCs/>
                <w:color w:val="auto"/>
                <w:szCs w:val="21"/>
                <w:highlight w:val="none"/>
                <w:u w:val="none"/>
                <w:lang w:eastAsia="zh-CN"/>
              </w:rPr>
              <w:t>（1</w:t>
            </w:r>
            <w:r>
              <w:rPr>
                <w:rFonts w:hint="eastAsia" w:ascii="宋体" w:hAnsi="宋体" w:cs="宋体"/>
                <w:b w:val="0"/>
                <w:bCs/>
                <w:color w:val="auto"/>
                <w:szCs w:val="21"/>
                <w:highlight w:val="none"/>
                <w:u w:val="none"/>
                <w:lang w:val="en-US" w:eastAsia="zh-CN"/>
              </w:rPr>
              <w:t>0</w:t>
            </w:r>
            <w:r>
              <w:rPr>
                <w:rFonts w:hint="eastAsia" w:ascii="宋体" w:hAnsi="宋体" w:cs="宋体"/>
                <w:b w:val="0"/>
                <w:bCs/>
                <w:color w:val="auto"/>
                <w:szCs w:val="21"/>
                <w:highlight w:val="none"/>
                <w:u w:val="none"/>
                <w:lang w:eastAsia="zh-CN"/>
              </w:rPr>
              <w:t>分）</w:t>
            </w:r>
          </w:p>
        </w:tc>
        <w:tc>
          <w:tcPr>
            <w:tcW w:w="7128" w:type="dxa"/>
            <w:vAlign w:val="center"/>
          </w:tcPr>
          <w:p w14:paraId="3568FB80">
            <w:pPr>
              <w:spacing w:line="440" w:lineRule="exact"/>
              <w:ind w:firstLine="420" w:firstLineChars="200"/>
              <w:rPr>
                <w:rFonts w:hint="eastAsia" w:ascii="宋体" w:hAnsi="宋体" w:eastAsia="宋体" w:cs="Times New Roman"/>
                <w:b w:val="0"/>
                <w:bCs/>
                <w:color w:val="auto"/>
                <w:sz w:val="21"/>
                <w:szCs w:val="21"/>
                <w:highlight w:val="none"/>
                <w:u w:val="none"/>
                <w:lang w:val="en-US" w:eastAsia="zh-CN"/>
              </w:rPr>
            </w:pPr>
            <w:r>
              <w:rPr>
                <w:rFonts w:hint="eastAsia" w:ascii="宋体" w:hAnsi="宋体" w:eastAsia="宋体" w:cs="Times New Roman"/>
                <w:b w:val="0"/>
                <w:bCs/>
                <w:color w:val="auto"/>
                <w:sz w:val="21"/>
                <w:szCs w:val="21"/>
                <w:highlight w:val="none"/>
                <w:u w:val="none"/>
                <w:lang w:val="en-US" w:eastAsia="zh-CN"/>
              </w:rPr>
              <w:t>一档（0分）：未单独提供方案或方案不满足二档评分项的不得分。</w:t>
            </w:r>
          </w:p>
          <w:p w14:paraId="214F28AB">
            <w:pPr>
              <w:spacing w:line="440" w:lineRule="exact"/>
              <w:ind w:firstLine="420" w:firstLineChars="200"/>
              <w:rPr>
                <w:rFonts w:hint="eastAsia" w:ascii="宋体" w:hAnsi="宋体" w:eastAsia="宋体" w:cs="Times New Roman"/>
                <w:b w:val="0"/>
                <w:bCs/>
                <w:color w:val="auto"/>
                <w:sz w:val="21"/>
                <w:szCs w:val="21"/>
                <w:highlight w:val="none"/>
                <w:u w:val="none"/>
                <w:lang w:val="en-US" w:eastAsia="zh-CN"/>
              </w:rPr>
            </w:pPr>
            <w:r>
              <w:rPr>
                <w:rFonts w:hint="eastAsia" w:ascii="宋体" w:hAnsi="宋体" w:eastAsia="宋体" w:cs="Times New Roman"/>
                <w:b w:val="0"/>
                <w:bCs/>
                <w:color w:val="auto"/>
                <w:sz w:val="21"/>
                <w:szCs w:val="21"/>
                <w:highlight w:val="none"/>
                <w:u w:val="none"/>
                <w:lang w:val="en-US" w:eastAsia="zh-CN"/>
              </w:rPr>
              <w:t>二档（</w:t>
            </w:r>
            <w:r>
              <w:rPr>
                <w:rFonts w:hint="eastAsia" w:ascii="宋体" w:hAnsi="宋体" w:cs="Times New Roman"/>
                <w:b w:val="0"/>
                <w:bCs/>
                <w:color w:val="auto"/>
                <w:sz w:val="21"/>
                <w:szCs w:val="21"/>
                <w:highlight w:val="none"/>
                <w:u w:val="none"/>
                <w:lang w:val="en-US" w:eastAsia="zh-CN"/>
              </w:rPr>
              <w:t>4</w:t>
            </w:r>
            <w:r>
              <w:rPr>
                <w:rFonts w:hint="eastAsia" w:ascii="宋体" w:hAnsi="宋体" w:eastAsia="宋体" w:cs="Times New Roman"/>
                <w:b w:val="0"/>
                <w:bCs/>
                <w:color w:val="auto"/>
                <w:sz w:val="21"/>
                <w:szCs w:val="21"/>
                <w:highlight w:val="none"/>
                <w:u w:val="none"/>
                <w:lang w:val="en-US" w:eastAsia="zh-CN"/>
              </w:rPr>
              <w:t>分）：投标人提供针对布展空间与路线，效果图数量少不于5张，各展厅、重要节点均有效果图呈现；提供针对布展空间，选择并提供不少于3项重点亮点展项的效果展示，提供每项重点亮点展项效果图（不少于1张）、展项单体细节图（不少于1张）的展示效果。</w:t>
            </w:r>
          </w:p>
          <w:p w14:paraId="57ECA808">
            <w:pPr>
              <w:spacing w:line="440" w:lineRule="exact"/>
              <w:ind w:firstLine="420" w:firstLineChars="200"/>
              <w:rPr>
                <w:rFonts w:hint="eastAsia" w:ascii="宋体" w:hAnsi="宋体" w:eastAsia="宋体" w:cs="Times New Roman"/>
                <w:b w:val="0"/>
                <w:bCs/>
                <w:color w:val="auto"/>
                <w:sz w:val="21"/>
                <w:szCs w:val="21"/>
                <w:highlight w:val="none"/>
                <w:u w:val="none"/>
                <w:lang w:val="en-US" w:eastAsia="zh-CN"/>
              </w:rPr>
            </w:pPr>
            <w:r>
              <w:rPr>
                <w:rFonts w:hint="eastAsia" w:ascii="宋体" w:hAnsi="宋体" w:eastAsia="宋体" w:cs="Times New Roman"/>
                <w:b w:val="0"/>
                <w:bCs/>
                <w:color w:val="auto"/>
                <w:sz w:val="21"/>
                <w:szCs w:val="21"/>
                <w:highlight w:val="none"/>
                <w:u w:val="none"/>
                <w:lang w:val="en-US" w:eastAsia="zh-CN"/>
              </w:rPr>
              <w:t>三档（</w:t>
            </w:r>
            <w:r>
              <w:rPr>
                <w:rFonts w:hint="eastAsia" w:ascii="宋体" w:hAnsi="宋体" w:cs="Times New Roman"/>
                <w:b w:val="0"/>
                <w:bCs/>
                <w:color w:val="auto"/>
                <w:sz w:val="21"/>
                <w:szCs w:val="21"/>
                <w:highlight w:val="none"/>
                <w:u w:val="none"/>
                <w:lang w:val="en-US" w:eastAsia="zh-CN"/>
              </w:rPr>
              <w:t>7</w:t>
            </w:r>
            <w:r>
              <w:rPr>
                <w:rFonts w:hint="eastAsia" w:ascii="宋体" w:hAnsi="宋体" w:eastAsia="宋体" w:cs="Times New Roman"/>
                <w:b w:val="0"/>
                <w:bCs/>
                <w:color w:val="auto"/>
                <w:sz w:val="21"/>
                <w:szCs w:val="21"/>
                <w:highlight w:val="none"/>
                <w:u w:val="none"/>
                <w:lang w:val="en-US" w:eastAsia="zh-CN"/>
              </w:rPr>
              <w:t>分）：投标人提供针对布展空间与路线，效果图数量不少于10张，各展厅、重要节点均有效果图呈现；提供针对布展空间，选择并提供不少于5项重点亮点展项的效果展示，提供每项重点亮点展项效果图（不少于1张）、展项单体细节图（不少于1张）的展示效果，各展厅、重要节点和展品均有多角度效果呈现，对重点亮点展项效果做出较详细且较正确的理由说明。</w:t>
            </w:r>
          </w:p>
          <w:p w14:paraId="5DF45310">
            <w:pPr>
              <w:spacing w:line="440" w:lineRule="exact"/>
              <w:ind w:firstLine="420" w:firstLineChars="200"/>
              <w:rPr>
                <w:rFonts w:hint="eastAsia" w:ascii="宋体" w:hAnsi="宋体" w:cs="Times New Roman"/>
                <w:b w:val="0"/>
                <w:bCs/>
                <w:color w:val="auto"/>
                <w:sz w:val="21"/>
                <w:szCs w:val="21"/>
                <w:highlight w:val="none"/>
                <w:u w:val="none"/>
                <w:lang w:val="en-US" w:eastAsia="zh-CN"/>
              </w:rPr>
            </w:pPr>
            <w:r>
              <w:rPr>
                <w:rFonts w:hint="eastAsia" w:ascii="宋体" w:hAnsi="宋体" w:eastAsia="宋体" w:cs="Times New Roman"/>
                <w:b w:val="0"/>
                <w:bCs/>
                <w:color w:val="auto"/>
                <w:sz w:val="21"/>
                <w:szCs w:val="21"/>
                <w:highlight w:val="none"/>
                <w:u w:val="none"/>
                <w:lang w:val="en-US" w:eastAsia="zh-CN"/>
              </w:rPr>
              <w:t>四档（1</w:t>
            </w:r>
            <w:r>
              <w:rPr>
                <w:rFonts w:hint="eastAsia" w:ascii="宋体" w:hAnsi="宋体" w:cs="Times New Roman"/>
                <w:b w:val="0"/>
                <w:bCs/>
                <w:color w:val="auto"/>
                <w:sz w:val="21"/>
                <w:szCs w:val="21"/>
                <w:highlight w:val="none"/>
                <w:u w:val="none"/>
                <w:lang w:val="en-US" w:eastAsia="zh-CN"/>
              </w:rPr>
              <w:t>0</w:t>
            </w:r>
            <w:r>
              <w:rPr>
                <w:rFonts w:hint="eastAsia" w:ascii="宋体" w:hAnsi="宋体" w:eastAsia="宋体" w:cs="Times New Roman"/>
                <w:b w:val="0"/>
                <w:bCs/>
                <w:color w:val="auto"/>
                <w:sz w:val="21"/>
                <w:szCs w:val="21"/>
                <w:highlight w:val="none"/>
                <w:u w:val="none"/>
                <w:lang w:val="en-US" w:eastAsia="zh-CN"/>
              </w:rPr>
              <w:t>分）：投标人提供针对布展空间与路线，效果图数量不少于15张，各展厅、重要节点均有效果图呈现；提供针对布展空间，选择并提供不少于8项重点亮点展项的效果展示，每项重点亮点展项效果图（不少于1张）、展项单体细节图（不少于1张）的展示效果；各展厅、重要节点和展品均有多角度效果呈现，对重点亮点展项效果做出详细且正确的理由说明，效果图能体现分众化内容，提供的效果图设计说明和重点亮点展项效果的设计能围绕自然保护区科普宣教主题。</w:t>
            </w:r>
          </w:p>
        </w:tc>
      </w:tr>
      <w:tr w14:paraId="12D7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562" w:type="dxa"/>
            <w:vMerge w:val="continue"/>
            <w:vAlign w:val="center"/>
          </w:tcPr>
          <w:p w14:paraId="09B0CC32">
            <w:pPr>
              <w:adjustRightInd w:val="0"/>
              <w:snapToGrid w:val="0"/>
              <w:spacing w:line="360" w:lineRule="atLeast"/>
              <w:jc w:val="center"/>
              <w:textAlignment w:val="baseline"/>
              <w:rPr>
                <w:rFonts w:hint="eastAsia" w:ascii="宋体" w:hAnsi="宋体"/>
                <w:color w:val="auto"/>
                <w:szCs w:val="21"/>
                <w:highlight w:val="none"/>
              </w:rPr>
            </w:pPr>
          </w:p>
        </w:tc>
        <w:tc>
          <w:tcPr>
            <w:tcW w:w="783" w:type="dxa"/>
            <w:vMerge w:val="continue"/>
            <w:vAlign w:val="center"/>
          </w:tcPr>
          <w:p w14:paraId="5229A259">
            <w:pPr>
              <w:adjustRightInd w:val="0"/>
              <w:snapToGrid w:val="0"/>
              <w:spacing w:line="360" w:lineRule="atLeast"/>
              <w:ind w:left="-105" w:leftChars="-50" w:right="-105" w:rightChars="-50"/>
              <w:jc w:val="center"/>
              <w:textAlignment w:val="baseline"/>
              <w:rPr>
                <w:rFonts w:hint="eastAsia" w:ascii="宋体" w:hAnsi="宋体"/>
                <w:bCs/>
                <w:color w:val="auto"/>
                <w:szCs w:val="21"/>
                <w:highlight w:val="none"/>
              </w:rPr>
            </w:pPr>
          </w:p>
        </w:tc>
        <w:tc>
          <w:tcPr>
            <w:tcW w:w="1197" w:type="dxa"/>
            <w:vAlign w:val="center"/>
          </w:tcPr>
          <w:p w14:paraId="148F1DE2">
            <w:pPr>
              <w:widowControl/>
              <w:snapToGrid/>
              <w:spacing w:line="240" w:lineRule="auto"/>
              <w:jc w:val="left"/>
              <w:rPr>
                <w:rFonts w:ascii="宋体" w:hAnsi="宋体" w:cs="微软雅黑"/>
                <w:bCs/>
                <w:color w:val="auto"/>
                <w:szCs w:val="21"/>
                <w:highlight w:val="none"/>
              </w:rPr>
            </w:pPr>
            <w:r>
              <w:rPr>
                <w:rFonts w:hint="eastAsia" w:ascii="宋体" w:hAnsi="宋体" w:cs="微软雅黑"/>
                <w:bCs/>
                <w:color w:val="auto"/>
                <w:szCs w:val="21"/>
                <w:highlight w:val="none"/>
                <w:lang w:val="en-US" w:eastAsia="zh-CN"/>
              </w:rPr>
              <w:t>2.4</w:t>
            </w:r>
            <w:r>
              <w:rPr>
                <w:rFonts w:hint="eastAsia" w:ascii="宋体" w:hAnsi="宋体" w:cs="微软雅黑"/>
                <w:bCs/>
                <w:color w:val="auto"/>
                <w:szCs w:val="21"/>
                <w:highlight w:val="none"/>
              </w:rPr>
              <w:t>场景设计制作及多媒体项目运用方案（</w:t>
            </w:r>
            <w:r>
              <w:rPr>
                <w:rFonts w:hint="eastAsia" w:ascii="宋体" w:hAnsi="宋体" w:cs="微软雅黑"/>
                <w:bCs/>
                <w:color w:val="auto"/>
                <w:szCs w:val="21"/>
                <w:highlight w:val="none"/>
                <w:lang w:val="en-US" w:eastAsia="zh-CN"/>
              </w:rPr>
              <w:t>12</w:t>
            </w:r>
            <w:r>
              <w:rPr>
                <w:rFonts w:hint="eastAsia" w:ascii="宋体" w:hAnsi="宋体" w:cs="微软雅黑"/>
                <w:bCs/>
                <w:color w:val="auto"/>
                <w:szCs w:val="21"/>
                <w:highlight w:val="none"/>
              </w:rPr>
              <w:t>分）</w:t>
            </w:r>
          </w:p>
        </w:tc>
        <w:tc>
          <w:tcPr>
            <w:tcW w:w="7128" w:type="dxa"/>
            <w:vAlign w:val="center"/>
          </w:tcPr>
          <w:p w14:paraId="43A5CBB6">
            <w:pPr>
              <w:widowControl/>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一档（0分）：</w:t>
            </w:r>
            <w:r>
              <w:rPr>
                <w:rFonts w:hint="eastAsia" w:ascii="宋体" w:hAnsi="宋体" w:cs="宋体"/>
                <w:bCs/>
                <w:color w:val="auto"/>
                <w:szCs w:val="21"/>
                <w:highlight w:val="none"/>
              </w:rPr>
              <w:t>未单独提供方案或方案不满足</w:t>
            </w:r>
            <w:r>
              <w:rPr>
                <w:rFonts w:hint="eastAsia" w:ascii="宋体" w:hAnsi="宋体" w:cs="宋体"/>
                <w:color w:val="auto"/>
                <w:szCs w:val="21"/>
                <w:highlight w:val="none"/>
              </w:rPr>
              <w:t>二</w:t>
            </w:r>
            <w:r>
              <w:rPr>
                <w:rFonts w:ascii="宋体" w:hAnsi="宋体" w:cs="宋体"/>
                <w:color w:val="auto"/>
                <w:szCs w:val="21"/>
                <w:highlight w:val="none"/>
              </w:rPr>
              <w:t>档</w:t>
            </w:r>
            <w:r>
              <w:rPr>
                <w:rFonts w:hint="eastAsia" w:ascii="宋体" w:hAnsi="宋体" w:cs="宋体"/>
                <w:bCs/>
                <w:color w:val="auto"/>
                <w:szCs w:val="21"/>
                <w:highlight w:val="none"/>
              </w:rPr>
              <w:t>评分项的不得分</w:t>
            </w:r>
            <w:r>
              <w:rPr>
                <w:rFonts w:hint="eastAsia" w:ascii="宋体" w:hAnsi="宋体" w:cs="宋体"/>
                <w:color w:val="auto"/>
                <w:szCs w:val="21"/>
                <w:highlight w:val="none"/>
              </w:rPr>
              <w:t>。</w:t>
            </w:r>
          </w:p>
          <w:p w14:paraId="16D8F873">
            <w:pPr>
              <w:widowControl/>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二</w:t>
            </w:r>
            <w:r>
              <w:rPr>
                <w:rFonts w:ascii="宋体" w:hAnsi="宋体" w:cs="宋体"/>
                <w:color w:val="auto"/>
                <w:szCs w:val="21"/>
                <w:highlight w:val="none"/>
              </w:rPr>
              <w:t>档</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分）：投标人根据</w:t>
            </w:r>
            <w:r>
              <w:rPr>
                <w:rFonts w:hint="eastAsia" w:ascii="宋体" w:hAnsi="宋体" w:cs="宋体"/>
                <w:color w:val="auto"/>
                <w:szCs w:val="21"/>
                <w:highlight w:val="none"/>
                <w:lang w:val="en-US" w:eastAsia="zh-CN"/>
              </w:rPr>
              <w:t>自然保护区</w:t>
            </w:r>
            <w:r>
              <w:rPr>
                <w:rFonts w:hint="eastAsia" w:ascii="宋体" w:hAnsi="宋体" w:cs="宋体"/>
                <w:color w:val="auto"/>
                <w:szCs w:val="21"/>
                <w:highlight w:val="none"/>
              </w:rPr>
              <w:t>主题和建设目标的要求，对展厅内地面、展墙、展示设施、灯具照明系统、标识等陈列布展设施分别提供方案，</w:t>
            </w:r>
            <w:r>
              <w:rPr>
                <w:rFonts w:hint="eastAsia" w:ascii="宋体" w:hAnsi="宋体" w:cs="宋体"/>
                <w:bCs/>
                <w:color w:val="auto"/>
                <w:szCs w:val="21"/>
                <w:highlight w:val="none"/>
              </w:rPr>
              <w:t>方案</w:t>
            </w:r>
            <w:r>
              <w:rPr>
                <w:rFonts w:hint="eastAsia" w:ascii="宋体" w:hAnsi="宋体" w:cs="宋体"/>
                <w:bCs/>
                <w:color w:val="auto"/>
                <w:szCs w:val="21"/>
                <w:highlight w:val="none"/>
                <w:lang w:val="en-US" w:eastAsia="zh-CN"/>
              </w:rPr>
              <w:t>较</w:t>
            </w:r>
            <w:r>
              <w:rPr>
                <w:rFonts w:hint="eastAsia" w:ascii="宋体" w:hAnsi="宋体" w:cs="宋体"/>
                <w:bCs/>
                <w:color w:val="auto"/>
                <w:szCs w:val="21"/>
                <w:highlight w:val="none"/>
              </w:rPr>
              <w:t>符合主题要求，</w:t>
            </w:r>
            <w:r>
              <w:rPr>
                <w:rFonts w:hint="eastAsia" w:ascii="宋体" w:hAnsi="宋体" w:cs="宋体"/>
                <w:color w:val="auto"/>
                <w:szCs w:val="21"/>
                <w:highlight w:val="none"/>
              </w:rPr>
              <w:t>方案的风格定位、</w:t>
            </w:r>
            <w:r>
              <w:rPr>
                <w:rFonts w:hint="eastAsia" w:ascii="宋体" w:hAnsi="宋体" w:cs="宋体"/>
                <w:color w:val="auto"/>
                <w:szCs w:val="21"/>
                <w:highlight w:val="none"/>
                <w:lang w:val="en-US" w:eastAsia="zh-CN"/>
              </w:rPr>
              <w:t>布展</w:t>
            </w:r>
            <w:r>
              <w:rPr>
                <w:rFonts w:hint="eastAsia" w:ascii="宋体" w:hAnsi="宋体" w:cs="宋体"/>
                <w:color w:val="auto"/>
                <w:szCs w:val="21"/>
                <w:highlight w:val="none"/>
              </w:rPr>
              <w:t>设计、构思布局、思路和内容</w:t>
            </w:r>
            <w:r>
              <w:rPr>
                <w:rFonts w:hint="eastAsia" w:ascii="宋体" w:hAnsi="宋体" w:cs="宋体"/>
                <w:color w:val="auto"/>
                <w:szCs w:val="21"/>
                <w:highlight w:val="none"/>
                <w:lang w:val="en-US" w:eastAsia="zh-CN"/>
              </w:rPr>
              <w:t>较</w:t>
            </w:r>
            <w:r>
              <w:rPr>
                <w:rFonts w:hint="eastAsia" w:ascii="宋体" w:hAnsi="宋体" w:cs="宋体"/>
                <w:color w:val="auto"/>
                <w:szCs w:val="21"/>
                <w:highlight w:val="none"/>
              </w:rPr>
              <w:t>符合项目实施要求并能</w:t>
            </w:r>
            <w:r>
              <w:rPr>
                <w:rFonts w:hint="eastAsia" w:ascii="宋体" w:hAnsi="宋体" w:cs="宋体"/>
                <w:color w:val="auto"/>
                <w:szCs w:val="21"/>
                <w:highlight w:val="none"/>
                <w:lang w:val="en-US" w:eastAsia="zh-CN"/>
              </w:rPr>
              <w:t>基本</w:t>
            </w:r>
            <w:r>
              <w:rPr>
                <w:rFonts w:hint="eastAsia" w:ascii="宋体" w:hAnsi="宋体" w:cs="宋体"/>
                <w:color w:val="auto"/>
                <w:szCs w:val="21"/>
                <w:highlight w:val="none"/>
              </w:rPr>
              <w:t>呈现金花茶</w:t>
            </w:r>
            <w:r>
              <w:rPr>
                <w:rFonts w:hint="eastAsia" w:ascii="宋体" w:hAnsi="宋体" w:cs="宋体"/>
                <w:color w:val="auto"/>
                <w:szCs w:val="21"/>
                <w:highlight w:val="none"/>
                <w:lang w:val="en-US" w:eastAsia="zh-CN"/>
              </w:rPr>
              <w:t>自然保护区主题的科普宣教</w:t>
            </w:r>
            <w:r>
              <w:rPr>
                <w:rFonts w:hint="eastAsia" w:ascii="宋体" w:hAnsi="宋体" w:cs="宋体"/>
                <w:color w:val="auto"/>
                <w:szCs w:val="21"/>
                <w:highlight w:val="none"/>
              </w:rPr>
              <w:t>作用。</w:t>
            </w:r>
          </w:p>
          <w:p w14:paraId="370C3E76">
            <w:pPr>
              <w:widowControl/>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分）：投标人根据</w:t>
            </w:r>
            <w:r>
              <w:rPr>
                <w:rFonts w:hint="eastAsia" w:ascii="宋体" w:hAnsi="宋体" w:cs="宋体"/>
                <w:color w:val="auto"/>
                <w:szCs w:val="21"/>
                <w:highlight w:val="none"/>
                <w:lang w:val="en-US" w:eastAsia="zh-CN"/>
              </w:rPr>
              <w:t>自然保护区</w:t>
            </w:r>
            <w:r>
              <w:rPr>
                <w:rFonts w:hint="eastAsia" w:ascii="宋体" w:hAnsi="宋体" w:cs="宋体"/>
                <w:color w:val="auto"/>
                <w:szCs w:val="21"/>
                <w:highlight w:val="none"/>
              </w:rPr>
              <w:t>主题和建设目标的要求，提供的展厅内地面、展墙、展示设施、灯具照明系统、标识等陈列布展设施分别提供方案，</w:t>
            </w:r>
            <w:r>
              <w:rPr>
                <w:rFonts w:hint="eastAsia" w:ascii="宋体" w:hAnsi="宋体" w:cs="宋体"/>
                <w:bCs/>
                <w:color w:val="auto"/>
                <w:szCs w:val="21"/>
                <w:highlight w:val="none"/>
              </w:rPr>
              <w:t>方案符合主题要求，</w:t>
            </w:r>
            <w:r>
              <w:rPr>
                <w:rFonts w:hint="eastAsia" w:ascii="宋体" w:hAnsi="宋体" w:cs="宋体"/>
                <w:color w:val="auto"/>
                <w:szCs w:val="21"/>
                <w:highlight w:val="none"/>
              </w:rPr>
              <w:t>方案的风格定位、</w:t>
            </w:r>
            <w:r>
              <w:rPr>
                <w:rFonts w:hint="eastAsia" w:ascii="宋体" w:hAnsi="宋体" w:cs="宋体"/>
                <w:color w:val="auto"/>
                <w:szCs w:val="21"/>
                <w:highlight w:val="none"/>
                <w:lang w:val="en-US" w:eastAsia="zh-CN"/>
              </w:rPr>
              <w:t>布展</w:t>
            </w:r>
            <w:r>
              <w:rPr>
                <w:rFonts w:hint="eastAsia" w:ascii="宋体" w:hAnsi="宋体" w:cs="宋体"/>
                <w:color w:val="auto"/>
                <w:szCs w:val="21"/>
                <w:highlight w:val="none"/>
              </w:rPr>
              <w:t>设计、构思布局、思路和内容符合项目实施要求并能呈现金花茶</w:t>
            </w:r>
            <w:r>
              <w:rPr>
                <w:rFonts w:hint="eastAsia" w:ascii="宋体" w:hAnsi="宋体" w:cs="宋体"/>
                <w:color w:val="auto"/>
                <w:szCs w:val="21"/>
                <w:highlight w:val="none"/>
                <w:lang w:val="en-US" w:eastAsia="zh-CN"/>
              </w:rPr>
              <w:t>自然保护区主题的科普宣教</w:t>
            </w:r>
            <w:r>
              <w:rPr>
                <w:rFonts w:hint="eastAsia" w:ascii="宋体" w:hAnsi="宋体" w:cs="宋体"/>
                <w:color w:val="auto"/>
                <w:szCs w:val="21"/>
                <w:highlight w:val="none"/>
              </w:rPr>
              <w:t>作用</w:t>
            </w:r>
            <w:r>
              <w:rPr>
                <w:rFonts w:hint="eastAsia" w:ascii="宋体" w:hAnsi="宋体" w:cs="宋体"/>
                <w:bCs/>
                <w:color w:val="auto"/>
                <w:szCs w:val="21"/>
                <w:highlight w:val="none"/>
              </w:rPr>
              <w:t>，能</w:t>
            </w:r>
            <w:r>
              <w:rPr>
                <w:rFonts w:hint="eastAsia" w:ascii="宋体" w:hAnsi="宋体" w:cs="宋体"/>
                <w:color w:val="auto"/>
                <w:szCs w:val="21"/>
                <w:highlight w:val="none"/>
              </w:rPr>
              <w:t>提供各展示项目建设设施设计方案的平面设计效果图和三维立体效果图，每个场景的方案要求具备声光电音和展具、展墙展板等展示品结合。</w:t>
            </w:r>
          </w:p>
          <w:p w14:paraId="388BEF40">
            <w:pPr>
              <w:widowControl/>
              <w:spacing w:line="400" w:lineRule="exact"/>
              <w:ind w:firstLine="420" w:firstLineChars="200"/>
              <w:jc w:val="left"/>
              <w:rPr>
                <w:rFonts w:hint="eastAsia" w:ascii="宋体" w:hAnsi="宋体" w:cs="宋体"/>
                <w:bCs/>
                <w:color w:val="auto"/>
                <w:szCs w:val="21"/>
                <w:highlight w:val="none"/>
                <w:lang w:bidi="ar"/>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分）：投标人根据</w:t>
            </w:r>
            <w:r>
              <w:rPr>
                <w:rFonts w:hint="eastAsia" w:ascii="宋体" w:hAnsi="宋体" w:cs="宋体"/>
                <w:color w:val="auto"/>
                <w:szCs w:val="21"/>
                <w:highlight w:val="none"/>
                <w:lang w:val="en-US" w:eastAsia="zh-CN"/>
              </w:rPr>
              <w:t>自然保护区</w:t>
            </w:r>
            <w:r>
              <w:rPr>
                <w:rFonts w:hint="eastAsia" w:ascii="宋体" w:hAnsi="宋体" w:cs="宋体"/>
                <w:color w:val="auto"/>
                <w:szCs w:val="21"/>
                <w:highlight w:val="none"/>
              </w:rPr>
              <w:t>主题和建设目标的要求，提供的展厅内地面、展墙、展示设施、灯具照明系统、标识等陈列布展设施分别提供方案，</w:t>
            </w:r>
            <w:r>
              <w:rPr>
                <w:rFonts w:hint="eastAsia" w:ascii="宋体" w:hAnsi="宋体" w:cs="宋体"/>
                <w:bCs/>
                <w:color w:val="auto"/>
                <w:szCs w:val="21"/>
                <w:highlight w:val="none"/>
              </w:rPr>
              <w:t>方案符合主题要求，</w:t>
            </w:r>
            <w:r>
              <w:rPr>
                <w:rFonts w:hint="eastAsia" w:ascii="宋体" w:hAnsi="宋体" w:cs="宋体"/>
                <w:color w:val="auto"/>
                <w:szCs w:val="21"/>
                <w:highlight w:val="none"/>
              </w:rPr>
              <w:t>方案的风格定位、</w:t>
            </w:r>
            <w:r>
              <w:rPr>
                <w:rFonts w:hint="eastAsia" w:ascii="宋体" w:hAnsi="宋体" w:cs="宋体"/>
                <w:color w:val="auto"/>
                <w:szCs w:val="21"/>
                <w:highlight w:val="none"/>
                <w:lang w:val="en-US" w:eastAsia="zh-CN"/>
              </w:rPr>
              <w:t>布展</w:t>
            </w:r>
            <w:r>
              <w:rPr>
                <w:rFonts w:hint="eastAsia" w:ascii="宋体" w:hAnsi="宋体" w:cs="宋体"/>
                <w:color w:val="auto"/>
                <w:szCs w:val="21"/>
                <w:highlight w:val="none"/>
              </w:rPr>
              <w:t>设计、构思布局、思路和内容符合项目实施要求并能呈现金花茶</w:t>
            </w:r>
            <w:r>
              <w:rPr>
                <w:rFonts w:hint="eastAsia" w:ascii="宋体" w:hAnsi="宋体" w:cs="宋体"/>
                <w:color w:val="auto"/>
                <w:szCs w:val="21"/>
                <w:highlight w:val="none"/>
                <w:lang w:val="en-US" w:eastAsia="zh-CN"/>
              </w:rPr>
              <w:t>自然保护区主题的科普宣教</w:t>
            </w:r>
            <w:r>
              <w:rPr>
                <w:rFonts w:hint="eastAsia" w:ascii="宋体" w:hAnsi="宋体" w:cs="宋体"/>
                <w:color w:val="auto"/>
                <w:szCs w:val="21"/>
                <w:highlight w:val="none"/>
              </w:rPr>
              <w:t>作用</w:t>
            </w:r>
            <w:r>
              <w:rPr>
                <w:rFonts w:hint="eastAsia" w:ascii="宋体" w:hAnsi="宋体" w:cs="宋体"/>
                <w:bCs/>
                <w:color w:val="auto"/>
                <w:szCs w:val="21"/>
                <w:highlight w:val="none"/>
              </w:rPr>
              <w:t>，能</w:t>
            </w:r>
            <w:r>
              <w:rPr>
                <w:rFonts w:hint="eastAsia" w:ascii="宋体" w:hAnsi="宋体" w:cs="宋体"/>
                <w:color w:val="auto"/>
                <w:szCs w:val="21"/>
                <w:highlight w:val="none"/>
              </w:rPr>
              <w:t>提供各展示项目建设设施设计方案的平面设计效果图和三维立体效果图，每个场景的方案要求具备声光电音和展具、展墙展板等展示品结合</w:t>
            </w:r>
            <w:r>
              <w:rPr>
                <w:rFonts w:hint="eastAsia" w:ascii="宋体" w:hAnsi="宋体" w:cs="宋体"/>
                <w:bCs/>
                <w:color w:val="auto"/>
                <w:szCs w:val="21"/>
                <w:highlight w:val="none"/>
              </w:rPr>
              <w:t>，能</w:t>
            </w:r>
            <w:r>
              <w:rPr>
                <w:rFonts w:hint="eastAsia" w:ascii="宋体" w:hAnsi="宋体" w:cs="宋体"/>
                <w:color w:val="auto"/>
                <w:szCs w:val="21"/>
                <w:highlight w:val="none"/>
              </w:rPr>
              <w:t>详细列出多媒体互动运用场景、投入的多媒体展示设备一览表（含设备名称、品牌型号、生产厂家、主要技术参数等主要信息）及实现手段，方案具有鲜明突出精准化、沉浸式、出实效三个特点。</w:t>
            </w:r>
          </w:p>
        </w:tc>
      </w:tr>
      <w:tr w14:paraId="1F4D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562" w:type="dxa"/>
            <w:vMerge w:val="continue"/>
            <w:vAlign w:val="center"/>
          </w:tcPr>
          <w:p w14:paraId="336FCBF1">
            <w:pPr>
              <w:widowControl/>
              <w:snapToGrid/>
              <w:spacing w:line="240" w:lineRule="auto"/>
              <w:jc w:val="left"/>
              <w:rPr>
                <w:color w:val="auto"/>
                <w:highlight w:val="none"/>
              </w:rPr>
            </w:pPr>
          </w:p>
        </w:tc>
        <w:tc>
          <w:tcPr>
            <w:tcW w:w="783" w:type="dxa"/>
            <w:vMerge w:val="continue"/>
            <w:vAlign w:val="center"/>
          </w:tcPr>
          <w:p w14:paraId="7653BA12">
            <w:pPr>
              <w:widowControl/>
              <w:snapToGrid/>
              <w:spacing w:line="240" w:lineRule="auto"/>
              <w:jc w:val="left"/>
              <w:rPr>
                <w:color w:val="auto"/>
                <w:highlight w:val="none"/>
              </w:rPr>
            </w:pPr>
          </w:p>
        </w:tc>
        <w:tc>
          <w:tcPr>
            <w:tcW w:w="1197" w:type="dxa"/>
            <w:vAlign w:val="center"/>
          </w:tcPr>
          <w:p w14:paraId="1A6C63E0">
            <w:pPr>
              <w:widowControl/>
              <w:snapToGrid/>
              <w:spacing w:line="240" w:lineRule="auto"/>
              <w:jc w:val="left"/>
              <w:rPr>
                <w:rFonts w:hint="eastAsia" w:ascii="宋体" w:hAnsi="宋体" w:cs="微软雅黑"/>
                <w:bCs/>
                <w:color w:val="auto"/>
                <w:szCs w:val="21"/>
                <w:highlight w:val="none"/>
              </w:rPr>
            </w:pPr>
            <w:r>
              <w:rPr>
                <w:rFonts w:hint="eastAsia" w:ascii="宋体" w:hAnsi="宋体" w:cs="微软雅黑"/>
                <w:bCs/>
                <w:color w:val="auto"/>
                <w:szCs w:val="21"/>
                <w:highlight w:val="none"/>
                <w:lang w:val="en-US" w:eastAsia="zh-CN"/>
              </w:rPr>
              <w:t>2.5</w:t>
            </w:r>
            <w:r>
              <w:rPr>
                <w:rFonts w:hint="eastAsia" w:ascii="宋体" w:hAnsi="宋体" w:cs="微软雅黑"/>
                <w:bCs/>
                <w:color w:val="auto"/>
                <w:szCs w:val="21"/>
                <w:highlight w:val="none"/>
              </w:rPr>
              <w:t>现场布展组织方案（</w:t>
            </w:r>
            <w:r>
              <w:rPr>
                <w:rFonts w:hint="eastAsia" w:ascii="宋体" w:hAnsi="宋体" w:cs="微软雅黑"/>
                <w:bCs/>
                <w:color w:val="auto"/>
                <w:szCs w:val="21"/>
                <w:highlight w:val="none"/>
                <w:lang w:val="en-US" w:eastAsia="zh-CN"/>
              </w:rPr>
              <w:t>12</w:t>
            </w:r>
            <w:r>
              <w:rPr>
                <w:rFonts w:hint="eastAsia" w:ascii="宋体" w:hAnsi="宋体" w:cs="微软雅黑"/>
                <w:bCs/>
                <w:color w:val="auto"/>
                <w:szCs w:val="21"/>
                <w:highlight w:val="none"/>
              </w:rPr>
              <w:t>分）</w:t>
            </w:r>
          </w:p>
        </w:tc>
        <w:tc>
          <w:tcPr>
            <w:tcW w:w="7128" w:type="dxa"/>
            <w:vAlign w:val="center"/>
          </w:tcPr>
          <w:p w14:paraId="3E9C76D1">
            <w:pPr>
              <w:widowControl/>
              <w:wordWrap/>
              <w:spacing w:line="400" w:lineRule="exact"/>
              <w:ind w:firstLine="420" w:firstLineChars="200"/>
              <w:jc w:val="left"/>
              <w:rPr>
                <w:rFonts w:hint="eastAsia"/>
                <w:color w:val="auto"/>
                <w:highlight w:val="none"/>
              </w:rPr>
            </w:pPr>
            <w:r>
              <w:rPr>
                <w:rFonts w:hint="eastAsia"/>
                <w:color w:val="auto"/>
                <w:highlight w:val="none"/>
              </w:rPr>
              <w:t>一档（0分）：未单独提供方案或方案不满足二档评分项的不得分；</w:t>
            </w:r>
          </w:p>
          <w:p w14:paraId="5415A8F9">
            <w:pPr>
              <w:widowControl/>
              <w:spacing w:line="400" w:lineRule="exact"/>
              <w:ind w:firstLine="420" w:firstLineChars="200"/>
              <w:jc w:val="left"/>
              <w:rPr>
                <w:rFonts w:hint="eastAsia" w:ascii="宋体" w:hAnsi="宋体" w:cs="宋体"/>
                <w:color w:val="auto"/>
                <w:szCs w:val="21"/>
                <w:highlight w:val="none"/>
              </w:rPr>
            </w:pPr>
            <w:r>
              <w:rPr>
                <w:rFonts w:hint="eastAsia"/>
                <w:color w:val="auto"/>
                <w:highlight w:val="none"/>
              </w:rPr>
              <w:t>二档（</w:t>
            </w:r>
            <w:r>
              <w:rPr>
                <w:rFonts w:hint="eastAsia"/>
                <w:color w:val="auto"/>
                <w:highlight w:val="none"/>
                <w:lang w:val="en-US" w:eastAsia="zh-CN"/>
              </w:rPr>
              <w:t>4</w:t>
            </w:r>
            <w:r>
              <w:rPr>
                <w:rFonts w:hint="eastAsia"/>
                <w:color w:val="auto"/>
                <w:highlight w:val="none"/>
              </w:rPr>
              <w:t>分）：方案能结合</w:t>
            </w:r>
            <w:r>
              <w:rPr>
                <w:rFonts w:hint="eastAsia" w:ascii="宋体" w:hAnsi="宋体" w:cs="宋体"/>
                <w:bCs/>
                <w:color w:val="auto"/>
                <w:szCs w:val="21"/>
                <w:highlight w:val="none"/>
              </w:rPr>
              <w:t>项目实施时间节点要求，</w:t>
            </w:r>
            <w:r>
              <w:rPr>
                <w:rFonts w:hint="eastAsia" w:ascii="宋体" w:hAnsi="宋体" w:cs="宋体"/>
                <w:color w:val="auto"/>
                <w:szCs w:val="21"/>
                <w:highlight w:val="none"/>
              </w:rPr>
              <w:t>提供施工技术重点难点分析及</w:t>
            </w:r>
            <w:r>
              <w:rPr>
                <w:rFonts w:hint="eastAsia" w:ascii="宋体" w:hAnsi="宋体" w:cs="宋体"/>
                <w:color w:val="auto"/>
                <w:szCs w:val="21"/>
                <w:highlight w:val="none"/>
                <w:lang w:val="en-US" w:eastAsia="zh-CN"/>
              </w:rPr>
              <w:t>较</w:t>
            </w:r>
            <w:r>
              <w:rPr>
                <w:rFonts w:hint="eastAsia" w:ascii="宋体" w:hAnsi="宋体" w:cs="宋体"/>
                <w:color w:val="auto"/>
                <w:szCs w:val="21"/>
                <w:highlight w:val="none"/>
              </w:rPr>
              <w:t>合理化建议，</w:t>
            </w:r>
            <w:r>
              <w:rPr>
                <w:rFonts w:hint="eastAsia" w:ascii="宋体" w:hAnsi="宋体" w:cs="宋体"/>
                <w:bCs/>
                <w:color w:val="auto"/>
                <w:szCs w:val="21"/>
                <w:highlight w:val="none"/>
              </w:rPr>
              <w:t>将各</w:t>
            </w:r>
            <w:r>
              <w:rPr>
                <w:rFonts w:hint="eastAsia" w:ascii="宋体" w:hAnsi="宋体" w:cs="宋体"/>
                <w:bCs/>
                <w:color w:val="auto"/>
                <w:szCs w:val="21"/>
                <w:highlight w:val="none"/>
                <w:lang w:val="en-US" w:eastAsia="zh-CN"/>
              </w:rPr>
              <w:t>布展</w:t>
            </w:r>
            <w:r>
              <w:rPr>
                <w:rFonts w:hint="eastAsia" w:ascii="宋体" w:hAnsi="宋体" w:cs="宋体"/>
                <w:bCs/>
                <w:color w:val="auto"/>
                <w:szCs w:val="21"/>
                <w:highlight w:val="none"/>
              </w:rPr>
              <w:t>工序逐一列明并编制排班计划，</w:t>
            </w:r>
            <w:r>
              <w:rPr>
                <w:rFonts w:hint="eastAsia" w:ascii="宋体" w:hAnsi="宋体" w:cs="宋体"/>
                <w:bCs/>
                <w:color w:val="auto"/>
                <w:szCs w:val="21"/>
                <w:highlight w:val="none"/>
                <w:lang w:val="en-US" w:eastAsia="zh-CN"/>
              </w:rPr>
              <w:t>较</w:t>
            </w:r>
            <w:r>
              <w:rPr>
                <w:rFonts w:hint="eastAsia" w:ascii="宋体" w:hAnsi="宋体" w:cs="宋体"/>
                <w:bCs/>
                <w:color w:val="auto"/>
                <w:szCs w:val="21"/>
                <w:highlight w:val="none"/>
              </w:rPr>
              <w:t>合理配置项目管理岗位人员，岗位职责</w:t>
            </w:r>
            <w:r>
              <w:rPr>
                <w:rFonts w:hint="eastAsia" w:ascii="宋体" w:hAnsi="宋体" w:cs="宋体"/>
                <w:bCs/>
                <w:color w:val="auto"/>
                <w:szCs w:val="21"/>
                <w:highlight w:val="none"/>
                <w:lang w:val="en-US" w:eastAsia="zh-CN"/>
              </w:rPr>
              <w:t>较</w:t>
            </w:r>
            <w:r>
              <w:rPr>
                <w:rFonts w:hint="eastAsia" w:ascii="宋体" w:hAnsi="宋体" w:cs="宋体"/>
                <w:bCs/>
                <w:color w:val="auto"/>
                <w:szCs w:val="21"/>
                <w:highlight w:val="none"/>
              </w:rPr>
              <w:t>明确，</w:t>
            </w:r>
            <w:r>
              <w:rPr>
                <w:rFonts w:hint="eastAsia" w:ascii="宋体" w:hAnsi="宋体" w:cs="宋体"/>
                <w:bCs/>
                <w:color w:val="auto"/>
                <w:szCs w:val="21"/>
                <w:highlight w:val="none"/>
                <w:lang w:val="en-US" w:eastAsia="zh-CN"/>
              </w:rPr>
              <w:t>布展</w:t>
            </w:r>
            <w:r>
              <w:rPr>
                <w:rFonts w:hint="eastAsia" w:ascii="宋体" w:hAnsi="宋体" w:cs="宋体"/>
                <w:bCs/>
                <w:color w:val="auto"/>
                <w:szCs w:val="21"/>
                <w:highlight w:val="none"/>
              </w:rPr>
              <w:t>方法、技术措施具有</w:t>
            </w:r>
            <w:r>
              <w:rPr>
                <w:rFonts w:hint="eastAsia" w:ascii="宋体" w:hAnsi="宋体" w:cs="宋体"/>
                <w:bCs/>
                <w:color w:val="auto"/>
                <w:szCs w:val="21"/>
                <w:highlight w:val="none"/>
                <w:lang w:val="en-US" w:eastAsia="zh-CN"/>
              </w:rPr>
              <w:t>较</w:t>
            </w:r>
            <w:r>
              <w:rPr>
                <w:rFonts w:hint="eastAsia" w:ascii="宋体" w:hAnsi="宋体" w:cs="宋体"/>
                <w:bCs/>
                <w:color w:val="auto"/>
                <w:szCs w:val="21"/>
                <w:highlight w:val="none"/>
              </w:rPr>
              <w:t>详细描述，并编制</w:t>
            </w:r>
            <w:r>
              <w:rPr>
                <w:rFonts w:hint="eastAsia" w:ascii="宋体" w:hAnsi="宋体" w:cs="宋体"/>
                <w:bCs/>
                <w:color w:val="auto"/>
                <w:szCs w:val="21"/>
                <w:highlight w:val="none"/>
                <w:lang w:val="en-US" w:eastAsia="zh-CN"/>
              </w:rPr>
              <w:t>较</w:t>
            </w:r>
            <w:r>
              <w:rPr>
                <w:rFonts w:hint="eastAsia" w:ascii="宋体" w:hAnsi="宋体" w:cs="宋体"/>
                <w:bCs/>
                <w:color w:val="auto"/>
                <w:szCs w:val="21"/>
                <w:highlight w:val="none"/>
              </w:rPr>
              <w:t>符合项目实施环境的质量管理方案、安全及文明施工方案、原有</w:t>
            </w:r>
            <w:r>
              <w:rPr>
                <w:rFonts w:hint="eastAsia" w:ascii="宋体" w:hAnsi="宋体" w:cs="宋体"/>
                <w:bCs/>
                <w:color w:val="auto"/>
                <w:szCs w:val="21"/>
                <w:highlight w:val="none"/>
                <w:lang w:val="en-US" w:eastAsia="zh-CN"/>
              </w:rPr>
              <w:t>设施设备或环境</w:t>
            </w:r>
            <w:r>
              <w:rPr>
                <w:rFonts w:hint="eastAsia" w:ascii="宋体" w:hAnsi="宋体" w:cs="宋体"/>
                <w:bCs/>
                <w:color w:val="auto"/>
                <w:szCs w:val="21"/>
                <w:highlight w:val="none"/>
              </w:rPr>
              <w:t>的保护方案等，</w:t>
            </w:r>
            <w:r>
              <w:rPr>
                <w:rFonts w:hint="eastAsia" w:ascii="宋体" w:hAnsi="宋体" w:cs="宋体"/>
                <w:bCs/>
                <w:color w:val="auto"/>
                <w:szCs w:val="21"/>
                <w:highlight w:val="none"/>
                <w:lang w:val="en-US" w:eastAsia="zh-CN"/>
              </w:rPr>
              <w:t>布展提交服务成果时间</w:t>
            </w:r>
            <w:r>
              <w:rPr>
                <w:rFonts w:hint="eastAsia" w:ascii="宋体" w:hAnsi="宋体" w:cs="宋体"/>
                <w:bCs/>
                <w:color w:val="auto"/>
                <w:szCs w:val="21"/>
                <w:highlight w:val="none"/>
              </w:rPr>
              <w:t>满足采购文件商务要求</w:t>
            </w:r>
            <w:r>
              <w:rPr>
                <w:rFonts w:hint="eastAsia" w:ascii="宋体" w:hAnsi="宋体" w:cs="宋体"/>
                <w:color w:val="auto"/>
                <w:szCs w:val="21"/>
                <w:highlight w:val="none"/>
              </w:rPr>
              <w:t>。</w:t>
            </w:r>
          </w:p>
          <w:p w14:paraId="4CA67B1C">
            <w:pPr>
              <w:widowControl/>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r>
              <w:rPr>
                <w:rFonts w:hint="eastAsia"/>
                <w:color w:val="auto"/>
                <w:highlight w:val="none"/>
              </w:rPr>
              <w:t>方案能结合</w:t>
            </w:r>
            <w:r>
              <w:rPr>
                <w:rFonts w:hint="eastAsia" w:ascii="宋体" w:hAnsi="宋体" w:cs="宋体"/>
                <w:bCs/>
                <w:color w:val="auto"/>
                <w:szCs w:val="21"/>
                <w:highlight w:val="none"/>
              </w:rPr>
              <w:t>项目实施时间节点要求，</w:t>
            </w:r>
            <w:r>
              <w:rPr>
                <w:rFonts w:hint="eastAsia" w:ascii="宋体" w:hAnsi="宋体" w:cs="宋体"/>
                <w:color w:val="auto"/>
                <w:szCs w:val="21"/>
                <w:highlight w:val="none"/>
              </w:rPr>
              <w:t>提供施工技术重点难点分析及合理化建议，</w:t>
            </w:r>
            <w:r>
              <w:rPr>
                <w:rFonts w:hint="eastAsia" w:ascii="宋体" w:hAnsi="宋体" w:cs="宋体"/>
                <w:bCs/>
                <w:color w:val="auto"/>
                <w:szCs w:val="21"/>
                <w:highlight w:val="none"/>
              </w:rPr>
              <w:t>将各</w:t>
            </w:r>
            <w:r>
              <w:rPr>
                <w:rFonts w:hint="eastAsia" w:ascii="宋体" w:hAnsi="宋体" w:cs="宋体"/>
                <w:bCs/>
                <w:color w:val="auto"/>
                <w:szCs w:val="21"/>
                <w:highlight w:val="none"/>
                <w:lang w:val="en-US" w:eastAsia="zh-CN"/>
              </w:rPr>
              <w:t>布展</w:t>
            </w:r>
            <w:r>
              <w:rPr>
                <w:rFonts w:hint="eastAsia" w:ascii="宋体" w:hAnsi="宋体" w:cs="宋体"/>
                <w:bCs/>
                <w:color w:val="auto"/>
                <w:szCs w:val="21"/>
                <w:highlight w:val="none"/>
              </w:rPr>
              <w:t>工序逐一列明并编制排班计划，合理配置项目管理岗位人员，岗位职责明确，</w:t>
            </w:r>
            <w:r>
              <w:rPr>
                <w:rFonts w:hint="eastAsia" w:ascii="宋体" w:hAnsi="宋体" w:cs="宋体"/>
                <w:bCs/>
                <w:color w:val="auto"/>
                <w:szCs w:val="21"/>
                <w:highlight w:val="none"/>
                <w:lang w:val="en-US" w:eastAsia="zh-CN"/>
              </w:rPr>
              <w:t>布展</w:t>
            </w:r>
            <w:r>
              <w:rPr>
                <w:rFonts w:hint="eastAsia" w:ascii="宋体" w:hAnsi="宋体" w:cs="宋体"/>
                <w:bCs/>
                <w:color w:val="auto"/>
                <w:szCs w:val="21"/>
                <w:highlight w:val="none"/>
              </w:rPr>
              <w:t>方法、技术措施具有详细描述，并编制符合项目实施环境的质量管理方案、安全及文明施工方案、原有</w:t>
            </w:r>
            <w:r>
              <w:rPr>
                <w:rFonts w:hint="eastAsia" w:ascii="宋体" w:hAnsi="宋体" w:cs="宋体"/>
                <w:bCs/>
                <w:color w:val="auto"/>
                <w:szCs w:val="21"/>
                <w:highlight w:val="none"/>
                <w:lang w:val="en-US" w:eastAsia="zh-CN"/>
              </w:rPr>
              <w:t>施设备或环境</w:t>
            </w:r>
            <w:r>
              <w:rPr>
                <w:rFonts w:hint="eastAsia" w:ascii="宋体" w:hAnsi="宋体" w:cs="宋体"/>
                <w:bCs/>
                <w:color w:val="auto"/>
                <w:szCs w:val="21"/>
                <w:highlight w:val="none"/>
              </w:rPr>
              <w:t>的保护方案等，</w:t>
            </w:r>
            <w:r>
              <w:rPr>
                <w:rFonts w:hint="eastAsia" w:ascii="宋体" w:hAnsi="宋体" w:cs="宋体"/>
                <w:bCs/>
                <w:color w:val="auto"/>
                <w:szCs w:val="21"/>
                <w:highlight w:val="none"/>
                <w:lang w:val="en-US" w:eastAsia="zh-CN"/>
              </w:rPr>
              <w:t>较</w:t>
            </w:r>
            <w:r>
              <w:rPr>
                <w:rFonts w:hint="eastAsia" w:ascii="宋体" w:hAnsi="宋体" w:cs="宋体"/>
                <w:bCs/>
                <w:color w:val="auto"/>
                <w:szCs w:val="21"/>
                <w:highlight w:val="none"/>
              </w:rPr>
              <w:t>详细分析项目管理人员、劳务人员、材料和机具的使用一览表及进退场计划，</w:t>
            </w:r>
            <w:r>
              <w:rPr>
                <w:rFonts w:hint="eastAsia" w:ascii="宋体" w:hAnsi="宋体" w:cs="宋体"/>
                <w:bCs/>
                <w:color w:val="auto"/>
                <w:szCs w:val="21"/>
                <w:highlight w:val="none"/>
                <w:lang w:val="en-US" w:eastAsia="zh-CN"/>
              </w:rPr>
              <w:t>布展提交服务成果时间</w:t>
            </w:r>
            <w:r>
              <w:rPr>
                <w:rFonts w:hint="eastAsia" w:ascii="宋体" w:hAnsi="宋体" w:cs="宋体"/>
                <w:bCs/>
                <w:color w:val="auto"/>
                <w:szCs w:val="21"/>
                <w:highlight w:val="none"/>
              </w:rPr>
              <w:t>优于采购文件商务要求</w:t>
            </w:r>
            <w:r>
              <w:rPr>
                <w:rFonts w:hint="eastAsia" w:ascii="宋体" w:hAnsi="宋体" w:cs="宋体"/>
                <w:color w:val="auto"/>
                <w:szCs w:val="21"/>
                <w:highlight w:val="none"/>
              </w:rPr>
              <w:t>。</w:t>
            </w:r>
          </w:p>
          <w:p w14:paraId="1CB43BA2">
            <w:pPr>
              <w:widowControl/>
              <w:snapToGrid/>
              <w:spacing w:line="400" w:lineRule="exact"/>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w:t>
            </w:r>
            <w:r>
              <w:rPr>
                <w:rFonts w:hint="eastAsia"/>
                <w:color w:val="auto"/>
                <w:highlight w:val="none"/>
              </w:rPr>
              <w:t>方案能结合</w:t>
            </w:r>
            <w:r>
              <w:rPr>
                <w:rFonts w:hint="eastAsia" w:ascii="宋体" w:hAnsi="宋体" w:cs="宋体"/>
                <w:bCs/>
                <w:color w:val="auto"/>
                <w:szCs w:val="21"/>
                <w:highlight w:val="none"/>
              </w:rPr>
              <w:t>项目实施时间节点要求，</w:t>
            </w:r>
            <w:r>
              <w:rPr>
                <w:rFonts w:hint="eastAsia" w:ascii="宋体" w:hAnsi="宋体" w:cs="宋体"/>
                <w:color w:val="auto"/>
                <w:szCs w:val="21"/>
                <w:highlight w:val="none"/>
              </w:rPr>
              <w:t>提供施工技术重点难点分析及合理化建议，</w:t>
            </w:r>
            <w:r>
              <w:rPr>
                <w:rFonts w:hint="eastAsia" w:ascii="宋体" w:hAnsi="宋体" w:cs="宋体"/>
                <w:bCs/>
                <w:color w:val="auto"/>
                <w:szCs w:val="21"/>
                <w:highlight w:val="none"/>
              </w:rPr>
              <w:t>将各</w:t>
            </w:r>
            <w:r>
              <w:rPr>
                <w:rFonts w:hint="eastAsia" w:ascii="宋体" w:hAnsi="宋体" w:cs="宋体"/>
                <w:bCs/>
                <w:color w:val="auto"/>
                <w:szCs w:val="21"/>
                <w:highlight w:val="none"/>
                <w:lang w:val="en-US" w:eastAsia="zh-CN"/>
              </w:rPr>
              <w:t>布展</w:t>
            </w:r>
            <w:r>
              <w:rPr>
                <w:rFonts w:hint="eastAsia" w:ascii="宋体" w:hAnsi="宋体" w:cs="宋体"/>
                <w:bCs/>
                <w:color w:val="auto"/>
                <w:szCs w:val="21"/>
                <w:highlight w:val="none"/>
              </w:rPr>
              <w:t>工序逐一列明并编制排班计划，合理配置项目管理岗位人员，岗位职责明确，</w:t>
            </w:r>
            <w:r>
              <w:rPr>
                <w:rFonts w:hint="eastAsia" w:ascii="宋体" w:hAnsi="宋体" w:cs="宋体"/>
                <w:bCs/>
                <w:color w:val="auto"/>
                <w:szCs w:val="21"/>
                <w:highlight w:val="none"/>
                <w:lang w:val="en-US" w:eastAsia="zh-CN"/>
              </w:rPr>
              <w:t>布展</w:t>
            </w:r>
            <w:r>
              <w:rPr>
                <w:rFonts w:hint="eastAsia" w:ascii="宋体" w:hAnsi="宋体" w:cs="宋体"/>
                <w:bCs/>
                <w:color w:val="auto"/>
                <w:szCs w:val="21"/>
                <w:highlight w:val="none"/>
              </w:rPr>
              <w:t>方法、技术措施具有详细描述，并编制符合项目实施环境的质量管理方案、安全及文明施工方案、原有</w:t>
            </w:r>
            <w:r>
              <w:rPr>
                <w:rFonts w:hint="eastAsia" w:ascii="宋体" w:hAnsi="宋体" w:cs="宋体"/>
                <w:bCs/>
                <w:color w:val="auto"/>
                <w:szCs w:val="21"/>
                <w:highlight w:val="none"/>
                <w:lang w:val="en-US" w:eastAsia="zh-CN"/>
              </w:rPr>
              <w:t>施设备或环境</w:t>
            </w:r>
            <w:r>
              <w:rPr>
                <w:rFonts w:hint="eastAsia" w:ascii="宋体" w:hAnsi="宋体" w:cs="宋体"/>
                <w:bCs/>
                <w:color w:val="auto"/>
                <w:szCs w:val="21"/>
                <w:highlight w:val="none"/>
              </w:rPr>
              <w:t>的保护方案等，详细分析项目管理人员、劳务人员、材料和机具的使用一览表及进退场计划，</w:t>
            </w:r>
            <w:r>
              <w:rPr>
                <w:rFonts w:hint="eastAsia" w:ascii="宋体" w:hAnsi="宋体" w:cs="宋体"/>
                <w:color w:val="auto"/>
                <w:szCs w:val="21"/>
                <w:highlight w:val="none"/>
              </w:rPr>
              <w:t>分析项目建设过程中可能出现的各项紧急情况，并编制应急预案和预防措施，</w:t>
            </w:r>
            <w:r>
              <w:rPr>
                <w:rFonts w:hint="eastAsia" w:ascii="宋体" w:hAnsi="宋体" w:cs="宋体"/>
                <w:bCs/>
                <w:color w:val="auto"/>
                <w:szCs w:val="21"/>
                <w:highlight w:val="none"/>
                <w:lang w:val="en-US" w:eastAsia="zh-CN"/>
              </w:rPr>
              <w:t>布展提交服务成果时间</w:t>
            </w:r>
            <w:r>
              <w:rPr>
                <w:rFonts w:hint="eastAsia" w:ascii="宋体" w:hAnsi="宋体" w:cs="宋体"/>
                <w:bCs/>
                <w:color w:val="auto"/>
                <w:szCs w:val="21"/>
                <w:highlight w:val="none"/>
              </w:rPr>
              <w:t>优于采购文件商务要求。</w:t>
            </w:r>
          </w:p>
        </w:tc>
      </w:tr>
      <w:tr w14:paraId="24D6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562" w:type="dxa"/>
            <w:vMerge w:val="continue"/>
            <w:vAlign w:val="center"/>
          </w:tcPr>
          <w:p w14:paraId="760D63F5">
            <w:pPr>
              <w:widowControl/>
              <w:snapToGrid/>
              <w:spacing w:line="240" w:lineRule="auto"/>
              <w:jc w:val="left"/>
              <w:rPr>
                <w:color w:val="auto"/>
                <w:highlight w:val="none"/>
              </w:rPr>
            </w:pPr>
          </w:p>
        </w:tc>
        <w:tc>
          <w:tcPr>
            <w:tcW w:w="783" w:type="dxa"/>
            <w:vMerge w:val="continue"/>
            <w:vAlign w:val="center"/>
          </w:tcPr>
          <w:p w14:paraId="750573D5">
            <w:pPr>
              <w:widowControl/>
              <w:snapToGrid/>
              <w:spacing w:line="240" w:lineRule="auto"/>
              <w:jc w:val="left"/>
              <w:rPr>
                <w:color w:val="auto"/>
                <w:highlight w:val="none"/>
              </w:rPr>
            </w:pPr>
          </w:p>
        </w:tc>
        <w:tc>
          <w:tcPr>
            <w:tcW w:w="1197" w:type="dxa"/>
            <w:vAlign w:val="center"/>
          </w:tcPr>
          <w:p w14:paraId="36DDB095">
            <w:pPr>
              <w:widowControl/>
              <w:snapToGrid/>
              <w:spacing w:line="240" w:lineRule="auto"/>
              <w:jc w:val="left"/>
              <w:rPr>
                <w:rFonts w:hint="eastAsia" w:ascii="宋体" w:hAnsi="宋体" w:cs="微软雅黑"/>
                <w:bCs/>
                <w:color w:val="auto"/>
                <w:szCs w:val="21"/>
                <w:highlight w:val="none"/>
                <w:lang w:val="en-US" w:eastAsia="zh-CN"/>
              </w:rPr>
            </w:pPr>
            <w:r>
              <w:rPr>
                <w:rFonts w:hint="eastAsia" w:ascii="宋体" w:hAnsi="宋体" w:cs="微软雅黑"/>
                <w:bCs/>
                <w:color w:val="auto"/>
                <w:szCs w:val="21"/>
                <w:highlight w:val="none"/>
                <w:lang w:val="en-US" w:eastAsia="zh-CN"/>
              </w:rPr>
              <w:t>2.6项目进度保证措施（4分）</w:t>
            </w:r>
          </w:p>
        </w:tc>
        <w:tc>
          <w:tcPr>
            <w:tcW w:w="7128" w:type="dxa"/>
            <w:vAlign w:val="center"/>
          </w:tcPr>
          <w:p w14:paraId="49D11E99">
            <w:pPr>
              <w:widowControl/>
              <w:snapToGrid/>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一档（0分）：未制定进度保证措施，或内容空洞、脱离项目实际，无法保障项目正常推进。</w:t>
            </w:r>
          </w:p>
          <w:p w14:paraId="39EAB46D">
            <w:pPr>
              <w:widowControl/>
              <w:snapToGrid/>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二档（2分）：仅列明基础进度管控内容，措施较为简单笼统，缺少专项预案，基本能够把控工期，仍有优化空间。</w:t>
            </w:r>
          </w:p>
          <w:p w14:paraId="1E2ACC3D">
            <w:pPr>
              <w:widowControl/>
              <w:snapToGrid/>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三档（4分）：进度保障体系完整，工期计划、人员安排、应急预案等内容齐全，结合展馆布展实际制定可行举措，可全面保障项目按期完工。</w:t>
            </w:r>
          </w:p>
        </w:tc>
      </w:tr>
      <w:tr w14:paraId="4F0D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562" w:type="dxa"/>
            <w:vMerge w:val="continue"/>
            <w:vAlign w:val="center"/>
          </w:tcPr>
          <w:p w14:paraId="10CFAD7D">
            <w:pPr>
              <w:widowControl/>
              <w:snapToGrid/>
              <w:spacing w:line="240" w:lineRule="auto"/>
              <w:jc w:val="left"/>
              <w:rPr>
                <w:color w:val="auto"/>
                <w:highlight w:val="none"/>
              </w:rPr>
            </w:pPr>
          </w:p>
        </w:tc>
        <w:tc>
          <w:tcPr>
            <w:tcW w:w="783" w:type="dxa"/>
            <w:vMerge w:val="continue"/>
            <w:vAlign w:val="center"/>
          </w:tcPr>
          <w:p w14:paraId="09303F07">
            <w:pPr>
              <w:widowControl/>
              <w:snapToGrid/>
              <w:spacing w:line="240" w:lineRule="auto"/>
              <w:jc w:val="left"/>
              <w:rPr>
                <w:color w:val="auto"/>
                <w:highlight w:val="none"/>
              </w:rPr>
            </w:pPr>
          </w:p>
        </w:tc>
        <w:tc>
          <w:tcPr>
            <w:tcW w:w="1197" w:type="dxa"/>
            <w:vAlign w:val="center"/>
          </w:tcPr>
          <w:p w14:paraId="00D2C5DC">
            <w:pPr>
              <w:widowControl/>
              <w:snapToGrid/>
              <w:spacing w:line="240" w:lineRule="auto"/>
              <w:jc w:val="left"/>
              <w:rPr>
                <w:rFonts w:hint="eastAsia" w:ascii="宋体" w:hAnsi="宋体" w:cs="微软雅黑"/>
                <w:bCs/>
                <w:color w:val="auto"/>
                <w:szCs w:val="21"/>
                <w:highlight w:val="none"/>
                <w:lang w:val="en-US" w:eastAsia="zh-CN"/>
              </w:rPr>
            </w:pPr>
            <w:r>
              <w:rPr>
                <w:rFonts w:hint="eastAsia" w:ascii="宋体" w:hAnsi="宋体" w:cs="微软雅黑"/>
                <w:bCs/>
                <w:color w:val="auto"/>
                <w:szCs w:val="21"/>
                <w:highlight w:val="none"/>
                <w:lang w:val="en-US" w:eastAsia="zh-CN"/>
              </w:rPr>
              <w:t>2.7项目质量保证措施（6分）</w:t>
            </w:r>
          </w:p>
        </w:tc>
        <w:tc>
          <w:tcPr>
            <w:tcW w:w="7128" w:type="dxa"/>
            <w:vAlign w:val="center"/>
          </w:tcPr>
          <w:p w14:paraId="33B6D126">
            <w:pPr>
              <w:widowControl/>
              <w:snapToGrid/>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一档（0分）：未提供质量保证措施，或内容空洞、脱离项目实际，无法起到质量管控作用。</w:t>
            </w:r>
          </w:p>
          <w:p w14:paraId="5C5FFCD9">
            <w:pPr>
              <w:widowControl/>
              <w:snapToGrid/>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二档（3分）：仅列出基础质量管控内容，措施偏笼统，缺少细化标准与管控环节，能满足基本质量要求，仍需补充完善。</w:t>
            </w:r>
          </w:p>
          <w:p w14:paraId="28B168EE">
            <w:pPr>
              <w:widowControl/>
              <w:snapToGrid/>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分）：质量管控体系完善，涵盖全流程管控、检验标准、整改机制等内容，贴合展馆布展实际，可全面保障项目建设质量。</w:t>
            </w:r>
          </w:p>
        </w:tc>
      </w:tr>
      <w:tr w14:paraId="28C6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vMerge w:val="continue"/>
            <w:vAlign w:val="center"/>
          </w:tcPr>
          <w:p w14:paraId="1DF6FD9A">
            <w:pPr>
              <w:widowControl/>
              <w:snapToGrid/>
              <w:spacing w:line="240" w:lineRule="auto"/>
              <w:jc w:val="left"/>
              <w:rPr>
                <w:rFonts w:hint="eastAsia" w:ascii="宋体" w:hAnsi="宋体" w:cs="微软雅黑"/>
                <w:bCs/>
                <w:color w:val="auto"/>
                <w:szCs w:val="21"/>
                <w:highlight w:val="none"/>
              </w:rPr>
            </w:pPr>
          </w:p>
        </w:tc>
        <w:tc>
          <w:tcPr>
            <w:tcW w:w="783" w:type="dxa"/>
            <w:vMerge w:val="continue"/>
            <w:vAlign w:val="center"/>
          </w:tcPr>
          <w:p w14:paraId="69DB87CD">
            <w:pPr>
              <w:widowControl/>
              <w:snapToGrid/>
              <w:spacing w:line="240" w:lineRule="auto"/>
              <w:jc w:val="left"/>
              <w:rPr>
                <w:rFonts w:hint="eastAsia" w:ascii="宋体" w:hAnsi="宋体" w:cs="微软雅黑"/>
                <w:bCs/>
                <w:color w:val="auto"/>
                <w:szCs w:val="21"/>
                <w:highlight w:val="none"/>
              </w:rPr>
            </w:pPr>
          </w:p>
        </w:tc>
        <w:tc>
          <w:tcPr>
            <w:tcW w:w="1197" w:type="dxa"/>
            <w:vAlign w:val="center"/>
          </w:tcPr>
          <w:p w14:paraId="04288191">
            <w:pPr>
              <w:widowControl/>
              <w:snapToGrid/>
              <w:spacing w:line="240" w:lineRule="auto"/>
              <w:jc w:val="left"/>
              <w:rPr>
                <w:rFonts w:hint="eastAsia" w:ascii="宋体" w:hAnsi="宋体" w:cs="微软雅黑"/>
                <w:bCs/>
                <w:color w:val="auto"/>
                <w:szCs w:val="21"/>
                <w:highlight w:val="none"/>
              </w:rPr>
            </w:pPr>
            <w:r>
              <w:rPr>
                <w:rFonts w:hint="eastAsia" w:ascii="宋体" w:hAnsi="宋体" w:cs="微软雅黑"/>
                <w:bCs/>
                <w:color w:val="auto"/>
                <w:szCs w:val="21"/>
                <w:highlight w:val="none"/>
                <w:lang w:val="en-US" w:eastAsia="zh-CN"/>
              </w:rPr>
              <w:t>2.8</w:t>
            </w:r>
            <w:r>
              <w:rPr>
                <w:rFonts w:hint="eastAsia" w:ascii="宋体" w:hAnsi="宋体" w:cs="微软雅黑"/>
                <w:bCs/>
                <w:color w:val="auto"/>
                <w:szCs w:val="21"/>
                <w:highlight w:val="none"/>
              </w:rPr>
              <w:t>售后服务承诺（</w:t>
            </w:r>
            <w:r>
              <w:rPr>
                <w:rFonts w:hint="eastAsia" w:ascii="宋体" w:hAnsi="宋体" w:cs="微软雅黑"/>
                <w:bCs/>
                <w:color w:val="auto"/>
                <w:szCs w:val="21"/>
                <w:highlight w:val="none"/>
                <w:lang w:val="en-US" w:eastAsia="zh-CN"/>
              </w:rPr>
              <w:t>4</w:t>
            </w:r>
            <w:r>
              <w:rPr>
                <w:rFonts w:hint="eastAsia" w:ascii="宋体" w:hAnsi="宋体" w:cs="微软雅黑"/>
                <w:bCs/>
                <w:color w:val="auto"/>
                <w:szCs w:val="21"/>
                <w:highlight w:val="none"/>
              </w:rPr>
              <w:t>分）</w:t>
            </w:r>
          </w:p>
        </w:tc>
        <w:tc>
          <w:tcPr>
            <w:tcW w:w="7128" w:type="dxa"/>
            <w:vAlign w:val="center"/>
          </w:tcPr>
          <w:p w14:paraId="790165FA">
            <w:pPr>
              <w:widowControl/>
              <w:snapToGrid/>
              <w:spacing w:line="320" w:lineRule="exact"/>
              <w:ind w:firstLine="420" w:firstLineChars="200"/>
              <w:jc w:val="left"/>
              <w:rPr>
                <w:rFonts w:hint="eastAsia" w:ascii="宋体" w:hAnsi="宋体" w:cs="微软雅黑"/>
                <w:bCs/>
                <w:color w:val="auto"/>
                <w:szCs w:val="21"/>
                <w:highlight w:val="none"/>
              </w:rPr>
            </w:pPr>
            <w:r>
              <w:rPr>
                <w:rFonts w:hint="eastAsia" w:ascii="宋体" w:hAnsi="宋体" w:eastAsia="宋体" w:cs="宋体"/>
                <w:color w:val="auto"/>
                <w:kern w:val="0"/>
                <w:sz w:val="21"/>
                <w:szCs w:val="21"/>
                <w:highlight w:val="none"/>
                <w:lang w:val="en-US" w:eastAsia="zh-CN" w:bidi="zh-CN"/>
              </w:rPr>
              <w:t>项目所有服务质保期在3年的基础上增加1年的加2分，增加2年的得4分，质保期从采购人书面确认交付书之日起计算。</w:t>
            </w:r>
          </w:p>
        </w:tc>
      </w:tr>
      <w:tr w14:paraId="0244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6C6022C9">
            <w:pPr>
              <w:snapToGrid w:val="0"/>
              <w:spacing w:line="360" w:lineRule="atLeast"/>
              <w:jc w:val="center"/>
              <w:rPr>
                <w:rFonts w:ascii="宋体" w:hAnsi="宋体"/>
                <w:color w:val="auto"/>
                <w:szCs w:val="21"/>
                <w:highlight w:val="none"/>
              </w:rPr>
            </w:pPr>
            <w:r>
              <w:rPr>
                <w:rFonts w:hint="eastAsia" w:ascii="宋体" w:hAnsi="宋体"/>
                <w:color w:val="auto"/>
                <w:szCs w:val="21"/>
                <w:highlight w:val="none"/>
              </w:rPr>
              <w:t>3</w:t>
            </w:r>
          </w:p>
        </w:tc>
        <w:tc>
          <w:tcPr>
            <w:tcW w:w="783" w:type="dxa"/>
            <w:vMerge w:val="restart"/>
            <w:vAlign w:val="center"/>
          </w:tcPr>
          <w:p w14:paraId="11883149">
            <w:pPr>
              <w:snapToGrid w:val="0"/>
              <w:spacing w:line="360" w:lineRule="atLeast"/>
              <w:jc w:val="center"/>
              <w:rPr>
                <w:rFonts w:ascii="宋体" w:hAnsi="宋体"/>
                <w:color w:val="auto"/>
                <w:szCs w:val="21"/>
                <w:highlight w:val="none"/>
              </w:rPr>
            </w:pPr>
            <w:r>
              <w:rPr>
                <w:rFonts w:hint="eastAsia" w:ascii="宋体" w:hAnsi="宋体"/>
                <w:b/>
                <w:bCs/>
                <w:color w:val="auto"/>
                <w:szCs w:val="21"/>
                <w:highlight w:val="none"/>
                <w:lang w:eastAsia="zh-CN"/>
              </w:rPr>
              <w:t>商务</w:t>
            </w:r>
            <w:r>
              <w:rPr>
                <w:rFonts w:hint="eastAsia" w:ascii="宋体" w:hAnsi="宋体"/>
                <w:b/>
                <w:bCs/>
                <w:color w:val="auto"/>
                <w:szCs w:val="21"/>
                <w:highlight w:val="none"/>
              </w:rPr>
              <w:t>分（满分</w:t>
            </w:r>
            <w:r>
              <w:rPr>
                <w:rFonts w:hint="eastAsia" w:ascii="宋体" w:hAnsi="宋体"/>
                <w:b/>
                <w:bCs/>
                <w:color w:val="auto"/>
                <w:szCs w:val="21"/>
                <w:highlight w:val="none"/>
                <w:u w:val="single"/>
                <w:lang w:val="en-US" w:eastAsia="zh-CN"/>
              </w:rPr>
              <w:t>14</w:t>
            </w:r>
            <w:r>
              <w:rPr>
                <w:rFonts w:hint="eastAsia" w:ascii="宋体" w:hAnsi="宋体"/>
                <w:b/>
                <w:bCs/>
                <w:color w:val="auto"/>
                <w:szCs w:val="21"/>
                <w:highlight w:val="none"/>
              </w:rPr>
              <w:t>分）</w:t>
            </w:r>
          </w:p>
        </w:tc>
        <w:tc>
          <w:tcPr>
            <w:tcW w:w="1197" w:type="dxa"/>
            <w:shd w:val="clear" w:color="auto" w:fill="auto"/>
            <w:vAlign w:val="center"/>
          </w:tcPr>
          <w:p w14:paraId="6B3A7CD7">
            <w:pPr>
              <w:snapToGrid w:val="0"/>
              <w:spacing w:line="360" w:lineRule="atLeast"/>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rPr>
              <w:t>业绩分（</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rPr>
              <w:t>分）</w:t>
            </w: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客观分</w:t>
            </w:r>
            <w:r>
              <w:rPr>
                <w:rFonts w:hint="eastAsia" w:ascii="宋体" w:hAnsi="宋体" w:cs="Times New Roman"/>
                <w:color w:val="auto"/>
                <w:szCs w:val="21"/>
                <w:highlight w:val="none"/>
                <w:lang w:eastAsia="zh-CN"/>
              </w:rPr>
              <w:t>）</w:t>
            </w:r>
          </w:p>
        </w:tc>
        <w:tc>
          <w:tcPr>
            <w:tcW w:w="7128" w:type="dxa"/>
            <w:shd w:val="clear" w:color="auto" w:fill="auto"/>
            <w:vAlign w:val="top"/>
          </w:tcPr>
          <w:p w14:paraId="7AF7ED21">
            <w:pPr>
              <w:widowControl/>
              <w:snapToGrid w:val="0"/>
              <w:spacing w:line="360" w:lineRule="atLeast"/>
              <w:ind w:firstLine="0" w:firstLineChars="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投标人自2023年1月1日(以合同签订时间为准)以来承接过类似项目的,每提供1个得</w:t>
            </w: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分，最多得</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rPr>
              <w:t>分。</w:t>
            </w:r>
          </w:p>
          <w:p w14:paraId="5EA7F1A0">
            <w:pPr>
              <w:widowControl/>
              <w:snapToGrid w:val="0"/>
              <w:spacing w:line="360" w:lineRule="atLeast"/>
              <w:ind w:firstLine="0" w:firstLineChars="0"/>
              <w:jc w:val="left"/>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rPr>
              <w:t>【注：（1）业绩时间以合同签订时间为准。须提供合同、中标通知书（或免招标证明）及验收报告（或竣工验收备案表或业主出具的完工证明）扫描件并加盖投标人公章，以上材料不提供或提供不全不得分】</w:t>
            </w:r>
          </w:p>
        </w:tc>
      </w:tr>
      <w:tr w14:paraId="1894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3413F4F3">
            <w:pPr>
              <w:snapToGrid w:val="0"/>
              <w:spacing w:line="360" w:lineRule="atLeast"/>
              <w:jc w:val="center"/>
              <w:rPr>
                <w:rFonts w:hint="eastAsia" w:ascii="宋体" w:hAnsi="宋体"/>
                <w:color w:val="auto"/>
                <w:szCs w:val="21"/>
                <w:highlight w:val="none"/>
              </w:rPr>
            </w:pPr>
          </w:p>
        </w:tc>
        <w:tc>
          <w:tcPr>
            <w:tcW w:w="783" w:type="dxa"/>
            <w:vMerge w:val="continue"/>
            <w:vAlign w:val="center"/>
          </w:tcPr>
          <w:p w14:paraId="42D079A8">
            <w:pPr>
              <w:snapToGrid w:val="0"/>
              <w:spacing w:line="360" w:lineRule="atLeast"/>
              <w:jc w:val="center"/>
              <w:rPr>
                <w:rFonts w:hint="eastAsia" w:ascii="宋体" w:hAnsi="宋体"/>
                <w:color w:val="auto"/>
                <w:szCs w:val="21"/>
                <w:highlight w:val="none"/>
              </w:rPr>
            </w:pPr>
          </w:p>
        </w:tc>
        <w:tc>
          <w:tcPr>
            <w:tcW w:w="1197" w:type="dxa"/>
            <w:shd w:val="clear" w:color="auto" w:fill="auto"/>
            <w:vAlign w:val="center"/>
          </w:tcPr>
          <w:p w14:paraId="61F02E83">
            <w:pPr>
              <w:snapToGrid w:val="0"/>
              <w:spacing w:line="360" w:lineRule="atLeast"/>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lang w:val="en-US" w:eastAsia="zh-CN"/>
              </w:rPr>
              <w:t>拟派负责人（</w:t>
            </w: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lang w:val="en-US" w:eastAsia="zh-CN"/>
              </w:rPr>
              <w:t>分）</w:t>
            </w:r>
          </w:p>
        </w:tc>
        <w:tc>
          <w:tcPr>
            <w:tcW w:w="7128" w:type="dxa"/>
            <w:shd w:val="clear" w:color="auto" w:fill="auto"/>
            <w:vAlign w:val="top"/>
          </w:tcPr>
          <w:p w14:paraId="25C730F6">
            <w:pPr>
              <w:widowControl/>
              <w:snapToGrid w:val="0"/>
              <w:spacing w:line="360" w:lineRule="atLeas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1）拟派本采购项目的项目负责人，</w:t>
            </w:r>
            <w:r>
              <w:rPr>
                <w:rFonts w:hint="eastAsia" w:ascii="宋体" w:hAnsi="宋体" w:cs="Courier New"/>
                <w:color w:val="auto"/>
                <w:szCs w:val="21"/>
                <w:highlight w:val="none"/>
                <w:lang w:val="en-US" w:eastAsia="zh-CN"/>
              </w:rPr>
              <w:t>2023年以来</w:t>
            </w:r>
            <w:r>
              <w:rPr>
                <w:rFonts w:hint="eastAsia" w:ascii="宋体" w:hAnsi="宋体" w:cs="Courier New"/>
                <w:color w:val="auto"/>
                <w:szCs w:val="21"/>
                <w:highlight w:val="none"/>
              </w:rPr>
              <w:t>完成过</w:t>
            </w:r>
            <w:r>
              <w:rPr>
                <w:rFonts w:hint="eastAsia" w:ascii="宋体" w:hAnsi="宋体" w:cs="Courier New"/>
                <w:color w:val="auto"/>
                <w:szCs w:val="21"/>
                <w:highlight w:val="none"/>
                <w:lang w:val="en-US" w:eastAsia="zh-CN"/>
              </w:rPr>
              <w:t>市</w:t>
            </w:r>
            <w:r>
              <w:rPr>
                <w:rFonts w:hint="eastAsia" w:ascii="宋体" w:hAnsi="宋体" w:cs="Courier New"/>
                <w:color w:val="auto"/>
                <w:szCs w:val="21"/>
                <w:highlight w:val="none"/>
              </w:rPr>
              <w:t>级及以上</w:t>
            </w:r>
            <w:r>
              <w:rPr>
                <w:rFonts w:hint="eastAsia" w:ascii="宋体" w:hAnsi="宋体" w:cs="Courier New"/>
                <w:color w:val="auto"/>
                <w:szCs w:val="21"/>
                <w:highlight w:val="none"/>
                <w:lang w:eastAsia="zh-CN"/>
              </w:rPr>
              <w:t>自然保护区科普宣教</w:t>
            </w:r>
            <w:r>
              <w:rPr>
                <w:rFonts w:hint="eastAsia" w:ascii="宋体" w:hAnsi="宋体" w:cs="Courier New"/>
                <w:color w:val="auto"/>
                <w:szCs w:val="21"/>
                <w:highlight w:val="none"/>
              </w:rPr>
              <w:t>布展建设的，得</w:t>
            </w:r>
            <w:r>
              <w:rPr>
                <w:rFonts w:hint="eastAsia" w:ascii="宋体" w:hAnsi="宋体" w:cs="Courier New"/>
                <w:color w:val="auto"/>
                <w:szCs w:val="21"/>
                <w:highlight w:val="none"/>
                <w:lang w:val="en-US" w:eastAsia="zh-CN"/>
              </w:rPr>
              <w:t>1</w:t>
            </w:r>
            <w:r>
              <w:rPr>
                <w:rFonts w:hint="eastAsia" w:ascii="宋体" w:hAnsi="宋体" w:cs="Courier New"/>
                <w:color w:val="auto"/>
                <w:szCs w:val="21"/>
                <w:highlight w:val="none"/>
              </w:rPr>
              <w:t>分；</w:t>
            </w:r>
            <w:r>
              <w:rPr>
                <w:rFonts w:hint="eastAsia" w:ascii="宋体" w:hAnsi="宋体" w:cs="Courier New"/>
                <w:color w:val="auto"/>
                <w:szCs w:val="21"/>
                <w:highlight w:val="none"/>
                <w:lang w:val="en-US" w:eastAsia="zh-CN"/>
              </w:rPr>
              <w:t>2023年以来</w:t>
            </w:r>
            <w:r>
              <w:rPr>
                <w:rFonts w:hint="eastAsia" w:ascii="宋体" w:hAnsi="宋体" w:cs="Courier New"/>
                <w:color w:val="auto"/>
                <w:szCs w:val="21"/>
                <w:highlight w:val="none"/>
              </w:rPr>
              <w:t>完成过省级及以上</w:t>
            </w:r>
            <w:r>
              <w:rPr>
                <w:rFonts w:hint="eastAsia" w:ascii="宋体" w:hAnsi="宋体" w:cs="Courier New"/>
                <w:color w:val="auto"/>
                <w:szCs w:val="21"/>
                <w:highlight w:val="none"/>
                <w:lang w:eastAsia="zh-CN"/>
              </w:rPr>
              <w:t>自然保护区科普宣教</w:t>
            </w:r>
            <w:r>
              <w:rPr>
                <w:rFonts w:hint="eastAsia" w:ascii="宋体" w:hAnsi="宋体" w:cs="Courier New"/>
                <w:color w:val="auto"/>
                <w:szCs w:val="21"/>
                <w:highlight w:val="none"/>
              </w:rPr>
              <w:t>布展</w:t>
            </w:r>
            <w:r>
              <w:rPr>
                <w:rFonts w:hint="eastAsia" w:ascii="宋体" w:hAnsi="宋体" w:cs="Courier New"/>
                <w:color w:val="auto"/>
                <w:szCs w:val="21"/>
                <w:highlight w:val="none"/>
                <w:lang w:val="en-US" w:eastAsia="zh-CN"/>
              </w:rPr>
              <w:t>建设的</w:t>
            </w:r>
            <w:r>
              <w:rPr>
                <w:rFonts w:hint="eastAsia" w:ascii="宋体" w:hAnsi="宋体" w:cs="Courier New"/>
                <w:color w:val="auto"/>
                <w:szCs w:val="21"/>
                <w:highlight w:val="none"/>
              </w:rPr>
              <w:t>加</w:t>
            </w:r>
            <w:r>
              <w:rPr>
                <w:rFonts w:hint="eastAsia" w:ascii="宋体" w:hAnsi="宋体" w:cs="Courier New"/>
                <w:color w:val="auto"/>
                <w:szCs w:val="21"/>
                <w:highlight w:val="none"/>
                <w:lang w:val="en-US" w:eastAsia="zh-CN"/>
              </w:rPr>
              <w:t>2</w:t>
            </w:r>
            <w:r>
              <w:rPr>
                <w:rFonts w:hint="eastAsia" w:ascii="宋体" w:hAnsi="宋体" w:cs="Courier New"/>
                <w:color w:val="auto"/>
                <w:szCs w:val="21"/>
                <w:highlight w:val="none"/>
              </w:rPr>
              <w:t>分；此项满分</w:t>
            </w:r>
            <w:r>
              <w:rPr>
                <w:rFonts w:hint="eastAsia" w:ascii="宋体" w:hAnsi="宋体" w:cs="Courier New"/>
                <w:color w:val="auto"/>
                <w:szCs w:val="21"/>
                <w:highlight w:val="none"/>
                <w:lang w:val="en-US" w:eastAsia="zh-CN"/>
              </w:rPr>
              <w:t>3</w:t>
            </w:r>
            <w:r>
              <w:rPr>
                <w:rFonts w:hint="eastAsia" w:ascii="宋体" w:hAnsi="宋体" w:cs="Courier New"/>
                <w:color w:val="auto"/>
                <w:szCs w:val="21"/>
                <w:highlight w:val="none"/>
              </w:rPr>
              <w:t>分。</w:t>
            </w:r>
          </w:p>
          <w:p w14:paraId="25DC830A">
            <w:pPr>
              <w:widowControl/>
              <w:snapToGrid w:val="0"/>
              <w:spacing w:line="360" w:lineRule="atLeas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2）拟派本采购项目的</w:t>
            </w:r>
            <w:r>
              <w:rPr>
                <w:rFonts w:hint="eastAsia" w:ascii="宋体" w:hAnsi="宋体" w:cs="Courier New"/>
                <w:color w:val="auto"/>
                <w:szCs w:val="21"/>
                <w:highlight w:val="none"/>
                <w:lang w:val="en-US" w:eastAsia="zh-CN"/>
              </w:rPr>
              <w:t>项目</w:t>
            </w:r>
            <w:r>
              <w:rPr>
                <w:rFonts w:hint="eastAsia" w:ascii="宋体" w:hAnsi="宋体" w:cs="Courier New"/>
                <w:color w:val="auto"/>
                <w:szCs w:val="21"/>
                <w:highlight w:val="none"/>
              </w:rPr>
              <w:t>负责人具备交互设计、展示设计、空间规划与设计等设计类高级或以上技术职称的得</w:t>
            </w:r>
            <w:r>
              <w:rPr>
                <w:rFonts w:hint="eastAsia" w:ascii="宋体" w:hAnsi="宋体" w:cs="Courier New"/>
                <w:color w:val="auto"/>
                <w:szCs w:val="21"/>
                <w:highlight w:val="none"/>
                <w:lang w:val="en-US" w:eastAsia="zh-CN"/>
              </w:rPr>
              <w:t>1</w:t>
            </w:r>
            <w:r>
              <w:rPr>
                <w:rFonts w:hint="eastAsia" w:ascii="宋体" w:hAnsi="宋体" w:cs="Courier New"/>
                <w:color w:val="auto"/>
                <w:szCs w:val="21"/>
                <w:highlight w:val="none"/>
              </w:rPr>
              <w:t>分；</w:t>
            </w:r>
          </w:p>
          <w:p w14:paraId="0C503C4D">
            <w:pPr>
              <w:widowControl/>
              <w:snapToGrid w:val="0"/>
              <w:spacing w:line="360" w:lineRule="atLeas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lang w:val="en-US" w:eastAsia="zh-CN"/>
              </w:rPr>
              <w:t>3）拟派本采购项目的技术负责人，2023年以来完成过市级及以上自然保护区科普宣教布展建设的，得1分；2023年以来完成过省级及以上自然保护区科普宣教布展建设的加1分；此项满分2分</w:t>
            </w:r>
            <w:r>
              <w:rPr>
                <w:rFonts w:hint="eastAsia" w:ascii="宋体" w:hAnsi="宋体" w:cs="Courier New"/>
                <w:color w:val="auto"/>
                <w:szCs w:val="21"/>
                <w:highlight w:val="none"/>
              </w:rPr>
              <w:t>。</w:t>
            </w:r>
          </w:p>
          <w:p w14:paraId="6F456B1A">
            <w:pPr>
              <w:widowControl/>
              <w:snapToGrid w:val="0"/>
              <w:spacing w:line="360" w:lineRule="atLeast"/>
              <w:ind w:firstLine="420" w:firstLineChars="200"/>
              <w:jc w:val="left"/>
              <w:rPr>
                <w:rFonts w:hint="eastAsia" w:ascii="宋体" w:hAnsi="宋体" w:eastAsia="宋体" w:cs="Courier New"/>
                <w:color w:val="auto"/>
                <w:kern w:val="2"/>
                <w:sz w:val="21"/>
                <w:szCs w:val="21"/>
                <w:highlight w:val="none"/>
                <w:lang w:val="en-US" w:eastAsia="zh-CN" w:bidi="ar-SA"/>
              </w:rPr>
            </w:pPr>
            <w:r>
              <w:rPr>
                <w:rFonts w:hint="eastAsia" w:ascii="宋体" w:hAnsi="宋体" w:cs="Courier New"/>
                <w:color w:val="auto"/>
                <w:szCs w:val="21"/>
                <w:highlight w:val="none"/>
              </w:rPr>
              <w:t>注：（</w:t>
            </w:r>
            <w:r>
              <w:rPr>
                <w:rFonts w:hint="eastAsia" w:ascii="宋体" w:hAnsi="宋体" w:cs="Courier New"/>
                <w:color w:val="auto"/>
                <w:szCs w:val="21"/>
                <w:highlight w:val="none"/>
                <w:lang w:val="en-US" w:eastAsia="zh-CN"/>
              </w:rPr>
              <w:t>1</w:t>
            </w:r>
            <w:r>
              <w:rPr>
                <w:rFonts w:hint="eastAsia" w:ascii="宋体" w:hAnsi="宋体" w:cs="Courier New"/>
                <w:color w:val="auto"/>
                <w:szCs w:val="21"/>
                <w:highlight w:val="none"/>
              </w:rPr>
              <w:t>）以上第1-</w:t>
            </w:r>
            <w:r>
              <w:rPr>
                <w:rFonts w:hint="eastAsia" w:ascii="宋体" w:hAnsi="宋体" w:cs="Courier New"/>
                <w:color w:val="auto"/>
                <w:szCs w:val="21"/>
                <w:highlight w:val="none"/>
                <w:lang w:val="en-US" w:eastAsia="zh-CN"/>
              </w:rPr>
              <w:t>3</w:t>
            </w:r>
            <w:r>
              <w:rPr>
                <w:rFonts w:hint="eastAsia" w:ascii="宋体" w:hAnsi="宋体" w:cs="Courier New"/>
                <w:color w:val="auto"/>
                <w:szCs w:val="21"/>
                <w:highlight w:val="none"/>
              </w:rPr>
              <w:t>项人员须提供身份证、有效证书的扫描件并加盖投标人公章，不提供或提供不全的不计分；（</w:t>
            </w:r>
            <w:r>
              <w:rPr>
                <w:rFonts w:hint="eastAsia" w:ascii="宋体" w:hAnsi="宋体" w:cs="Courier New"/>
                <w:color w:val="auto"/>
                <w:szCs w:val="21"/>
                <w:highlight w:val="none"/>
                <w:lang w:val="en-US" w:eastAsia="zh-CN"/>
              </w:rPr>
              <w:t>2</w:t>
            </w:r>
            <w:r>
              <w:rPr>
                <w:rFonts w:hint="eastAsia" w:ascii="宋体" w:hAnsi="宋体" w:cs="Courier New"/>
                <w:color w:val="auto"/>
                <w:szCs w:val="21"/>
                <w:highlight w:val="none"/>
              </w:rPr>
              <w:t>）投标人承诺的拟投入人员须如实投入到项目实施中，未经采购人同意不允许自行更换。（</w:t>
            </w:r>
            <w:r>
              <w:rPr>
                <w:rFonts w:hint="eastAsia" w:ascii="宋体" w:hAnsi="宋体" w:cs="Courier New"/>
                <w:color w:val="auto"/>
                <w:szCs w:val="21"/>
                <w:highlight w:val="none"/>
                <w:lang w:val="en-US" w:eastAsia="zh-CN"/>
              </w:rPr>
              <w:t>3</w:t>
            </w:r>
            <w:r>
              <w:rPr>
                <w:rFonts w:hint="eastAsia" w:ascii="宋体" w:hAnsi="宋体" w:cs="Courier New"/>
                <w:color w:val="auto"/>
                <w:szCs w:val="21"/>
                <w:highlight w:val="none"/>
              </w:rPr>
              <w:t>）以上第1-</w:t>
            </w:r>
            <w:r>
              <w:rPr>
                <w:rFonts w:hint="eastAsia" w:ascii="宋体" w:hAnsi="宋体" w:cs="Courier New"/>
                <w:color w:val="auto"/>
                <w:szCs w:val="21"/>
                <w:highlight w:val="none"/>
                <w:lang w:val="en-US" w:eastAsia="zh-CN"/>
              </w:rPr>
              <w:t>3</w:t>
            </w:r>
            <w:r>
              <w:rPr>
                <w:rFonts w:hint="eastAsia" w:ascii="宋体" w:hAnsi="宋体" w:cs="Courier New"/>
                <w:color w:val="auto"/>
                <w:szCs w:val="21"/>
                <w:highlight w:val="none"/>
              </w:rPr>
              <w:t>项人员业绩须提供中标（成交）通知书、合同关键页，竣工验收报告或竣工验收备案表或业主出具的完工证明等扫描件并加盖投标人公章，以上材料不提供或提供不全不得分。</w:t>
            </w:r>
          </w:p>
        </w:tc>
      </w:tr>
      <w:tr w14:paraId="58C2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9670" w:type="dxa"/>
            <w:gridSpan w:val="4"/>
            <w:vAlign w:val="center"/>
          </w:tcPr>
          <w:p w14:paraId="1F065946">
            <w:pPr>
              <w:pStyle w:val="15"/>
              <w:snapToGrid w:val="0"/>
              <w:spacing w:line="360" w:lineRule="atLeast"/>
              <w:rPr>
                <w:rFonts w:hAnsi="宋体"/>
                <w:b/>
                <w:bCs/>
                <w:color w:val="auto"/>
                <w:sz w:val="21"/>
                <w:highlight w:val="none"/>
                <w:lang w:val="en-US" w:eastAsia="zh-CN"/>
              </w:rPr>
            </w:pPr>
            <w:r>
              <w:rPr>
                <w:rFonts w:hint="eastAsia" w:hAnsi="宋体"/>
                <w:b/>
                <w:bCs/>
                <w:color w:val="auto"/>
                <w:sz w:val="21"/>
                <w:highlight w:val="none"/>
                <w:lang w:val="en-US" w:eastAsia="zh-CN"/>
              </w:rPr>
              <w:t>总得分=1+2+3</w:t>
            </w:r>
          </w:p>
        </w:tc>
      </w:tr>
    </w:tbl>
    <w:p w14:paraId="14F081EF">
      <w:pPr>
        <w:pStyle w:val="15"/>
        <w:spacing w:line="360" w:lineRule="auto"/>
        <w:ind w:firstLine="420"/>
        <w:rPr>
          <w:rFonts w:hint="eastAsia" w:hAnsi="宋体"/>
          <w:bCs/>
          <w:color w:val="auto"/>
          <w:sz w:val="21"/>
          <w:highlight w:val="none"/>
        </w:rPr>
      </w:pPr>
      <w:r>
        <w:rPr>
          <w:rFonts w:hint="eastAsia" w:hAnsi="宋体"/>
          <w:bCs/>
          <w:color w:val="auto"/>
          <w:sz w:val="21"/>
          <w:highlight w:val="none"/>
        </w:rPr>
        <w:t>注：计分方法按四舍五入取至百分位</w:t>
      </w:r>
    </w:p>
    <w:p w14:paraId="6E56F4BB">
      <w:pPr>
        <w:pStyle w:val="16"/>
        <w:rPr>
          <w:rFonts w:hint="eastAsia" w:hAnsi="宋体"/>
          <w:bCs/>
          <w:color w:val="auto"/>
          <w:sz w:val="21"/>
          <w:highlight w:val="none"/>
        </w:rPr>
      </w:pPr>
    </w:p>
    <w:p w14:paraId="14B4D2DA">
      <w:pPr>
        <w:pStyle w:val="4"/>
        <w:keepNext w:val="0"/>
        <w:keepLines w:val="0"/>
        <w:jc w:val="center"/>
        <w:rPr>
          <w:color w:val="auto"/>
          <w:sz w:val="30"/>
          <w:szCs w:val="30"/>
          <w:highlight w:val="none"/>
        </w:rPr>
      </w:pPr>
      <w:r>
        <w:rPr>
          <w:rFonts w:hint="eastAsia"/>
          <w:color w:val="auto"/>
          <w:sz w:val="30"/>
          <w:szCs w:val="30"/>
          <w:highlight w:val="none"/>
        </w:rPr>
        <w:t>四、中标候选人推荐原则</w:t>
      </w:r>
    </w:p>
    <w:p w14:paraId="65DAAE1E">
      <w:pPr>
        <w:pStyle w:val="15"/>
        <w:spacing w:line="360" w:lineRule="auto"/>
        <w:ind w:firstLine="420" w:firstLineChars="200"/>
        <w:contextualSpacing/>
        <w:rPr>
          <w:rFonts w:hAnsi="宋体"/>
          <w:color w:val="auto"/>
          <w:sz w:val="21"/>
          <w:highlight w:val="none"/>
        </w:rPr>
      </w:pPr>
      <w:r>
        <w:rPr>
          <w:rFonts w:hint="eastAsia" w:hAnsi="宋体"/>
          <w:color w:val="auto"/>
          <w:sz w:val="21"/>
          <w:highlight w:val="none"/>
        </w:rPr>
        <w:t>1</w:t>
      </w:r>
      <w:r>
        <w:rPr>
          <w:rFonts w:hAnsi="宋体"/>
          <w:color w:val="auto"/>
          <w:sz w:val="21"/>
          <w:highlight w:val="none"/>
        </w:rPr>
        <w:t>.</w:t>
      </w:r>
      <w:r>
        <w:rPr>
          <w:rFonts w:hint="eastAsia" w:hAnsi="宋体"/>
          <w:color w:val="auto"/>
          <w:sz w:val="21"/>
          <w:highlight w:val="none"/>
        </w:rPr>
        <w:t>评标委员会根据原始评标记录和评标结果编写评标报告，并通过电子交易平台向采购人、采购代理机构提交。</w:t>
      </w:r>
    </w:p>
    <w:p w14:paraId="311EA56B">
      <w:pPr>
        <w:pStyle w:val="15"/>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w:t>
      </w:r>
      <w:r>
        <w:rPr>
          <w:rFonts w:hint="eastAsia" w:hAnsi="宋体"/>
          <w:color w:val="auto"/>
          <w:sz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6B9CCF9F">
      <w:pPr>
        <w:pStyle w:val="15"/>
        <w:spacing w:line="360" w:lineRule="auto"/>
        <w:ind w:firstLine="420" w:firstLineChars="200"/>
        <w:contextualSpacing/>
        <w:rPr>
          <w:rFonts w:hint="eastAsia" w:hAnsi="宋体"/>
          <w:color w:val="auto"/>
          <w:sz w:val="21"/>
          <w:highlight w:val="none"/>
        </w:rPr>
      </w:pPr>
    </w:p>
    <w:p w14:paraId="402B8A51">
      <w:pPr>
        <w:pStyle w:val="15"/>
        <w:spacing w:line="360" w:lineRule="auto"/>
        <w:ind w:firstLine="420" w:firstLineChars="200"/>
        <w:contextualSpacing/>
        <w:rPr>
          <w:rFonts w:hint="eastAsia" w:hAnsi="宋体"/>
          <w:color w:val="auto"/>
          <w:sz w:val="21"/>
          <w:highlight w:val="none"/>
        </w:rPr>
      </w:pPr>
    </w:p>
    <w:p w14:paraId="00B4DA73">
      <w:pPr>
        <w:pStyle w:val="15"/>
        <w:spacing w:line="360" w:lineRule="auto"/>
        <w:ind w:firstLine="420" w:firstLineChars="200"/>
        <w:contextualSpacing/>
        <w:rPr>
          <w:rFonts w:hint="eastAsia" w:hAnsi="宋体"/>
          <w:color w:val="auto"/>
          <w:sz w:val="21"/>
          <w:highlight w:val="none"/>
          <w:lang w:eastAsia="zh-CN"/>
        </w:rPr>
      </w:pPr>
    </w:p>
    <w:p w14:paraId="086F1D1D">
      <w:pPr>
        <w:rPr>
          <w:rFonts w:hint="eastAsia" w:hAnsi="宋体"/>
          <w:color w:val="auto"/>
          <w:sz w:val="21"/>
          <w:highlight w:val="none"/>
        </w:rPr>
      </w:pPr>
    </w:p>
    <w:p w14:paraId="223E720C">
      <w:pPr>
        <w:rPr>
          <w:rFonts w:hint="eastAsia"/>
          <w:color w:val="auto"/>
          <w:highlight w:val="none"/>
        </w:rPr>
      </w:pPr>
      <w:bookmarkStart w:id="101" w:name="_Toc25250"/>
      <w:r>
        <w:rPr>
          <w:rFonts w:hint="eastAsia"/>
          <w:color w:val="auto"/>
          <w:highlight w:val="none"/>
        </w:rPr>
        <w:br w:type="page"/>
      </w:r>
    </w:p>
    <w:bookmarkEnd w:id="101"/>
    <w:p w14:paraId="30338E71">
      <w:pPr>
        <w:pStyle w:val="2"/>
        <w:jc w:val="center"/>
        <w:rPr>
          <w:rFonts w:hint="eastAsia"/>
          <w:color w:val="auto"/>
          <w:highlight w:val="none"/>
        </w:rPr>
      </w:pPr>
      <w:r>
        <w:rPr>
          <w:rFonts w:hint="eastAsia"/>
          <w:color w:val="auto"/>
          <w:highlight w:val="none"/>
        </w:rPr>
        <w:t>第五章</w:t>
      </w:r>
      <w:r>
        <w:rPr>
          <w:rFonts w:hint="eastAsia"/>
          <w:color w:val="auto"/>
          <w:highlight w:val="none"/>
          <w:lang w:val="en-US" w:eastAsia="zh-CN"/>
        </w:rPr>
        <w:t xml:space="preserve"> </w:t>
      </w:r>
      <w:r>
        <w:rPr>
          <w:rFonts w:hint="eastAsia"/>
          <w:color w:val="auto"/>
          <w:highlight w:val="none"/>
        </w:rPr>
        <w:t>拟签订的合同文本</w:t>
      </w:r>
    </w:p>
    <w:p w14:paraId="1726EDEB">
      <w:pPr>
        <w:snapToGrid w:val="0"/>
        <w:spacing w:before="120" w:after="120" w:line="600" w:lineRule="exact"/>
        <w:jc w:val="center"/>
        <w:rPr>
          <w:rFonts w:hint="eastAsia" w:ascii="宋体" w:hAnsi="宋体" w:cs="宋体"/>
          <w:b/>
          <w:bCs/>
          <w:color w:val="auto"/>
          <w:sz w:val="36"/>
          <w:szCs w:val="36"/>
          <w:highlight w:val="none"/>
          <w:lang w:eastAsia="zh-CN"/>
        </w:rPr>
      </w:pPr>
      <w:r>
        <w:rPr>
          <w:rFonts w:hint="eastAsia" w:ascii="宋体" w:hAnsi="宋体" w:cs="宋体"/>
          <w:b/>
          <w:bCs/>
          <w:color w:val="auto"/>
          <w:sz w:val="36"/>
          <w:szCs w:val="36"/>
          <w:highlight w:val="none"/>
          <w:lang w:eastAsia="zh-CN"/>
        </w:rPr>
        <w:t>广西防城金花茶国家级自然保护区科普宣教展区布展</w:t>
      </w:r>
    </w:p>
    <w:p w14:paraId="6BB606B6">
      <w:pPr>
        <w:snapToGrid w:val="0"/>
        <w:spacing w:before="120" w:after="120" w:line="600" w:lineRule="exact"/>
        <w:jc w:val="center"/>
        <w:rPr>
          <w:rFonts w:hint="eastAsia" w:ascii="宋体" w:hAnsi="宋体" w:cs="宋体"/>
          <w:b/>
          <w:bCs/>
          <w:color w:val="auto"/>
          <w:kern w:val="0"/>
          <w:sz w:val="44"/>
          <w:szCs w:val="44"/>
          <w:highlight w:val="none"/>
        </w:rPr>
      </w:pPr>
      <w:r>
        <w:rPr>
          <w:rFonts w:hint="eastAsia" w:ascii="宋体" w:hAnsi="宋体" w:cs="宋体"/>
          <w:b/>
          <w:bCs/>
          <w:color w:val="auto"/>
          <w:sz w:val="36"/>
          <w:szCs w:val="36"/>
          <w:highlight w:val="none"/>
          <w:lang w:eastAsia="zh-CN"/>
        </w:rPr>
        <w:t>项目</w:t>
      </w:r>
      <w:r>
        <w:rPr>
          <w:rFonts w:hint="eastAsia" w:ascii="宋体" w:hAnsi="宋体" w:cs="宋体"/>
          <w:b/>
          <w:bCs/>
          <w:color w:val="auto"/>
          <w:kern w:val="0"/>
          <w:sz w:val="36"/>
          <w:szCs w:val="36"/>
          <w:highlight w:val="none"/>
        </w:rPr>
        <w:t>采购合同</w:t>
      </w:r>
    </w:p>
    <w:p w14:paraId="4DB9E0A7">
      <w:pPr>
        <w:jc w:val="center"/>
        <w:rPr>
          <w:rFonts w:hint="eastAsia" w:ascii="黑体" w:hAnsi="黑体" w:eastAsia="黑体"/>
          <w:color w:val="auto"/>
          <w:sz w:val="32"/>
          <w:szCs w:val="32"/>
          <w:highlight w:val="none"/>
        </w:rPr>
      </w:pPr>
    </w:p>
    <w:p w14:paraId="3D4A8C55">
      <w:pPr>
        <w:jc w:val="center"/>
        <w:rPr>
          <w:rFonts w:hint="eastAsia" w:ascii="黑体" w:hAnsi="黑体" w:eastAsia="黑体"/>
          <w:color w:val="auto"/>
          <w:sz w:val="32"/>
          <w:szCs w:val="32"/>
          <w:highlight w:val="none"/>
        </w:rPr>
      </w:pPr>
    </w:p>
    <w:p w14:paraId="057D3572">
      <w:pPr>
        <w:pStyle w:val="23"/>
        <w:ind w:left="0" w:leftChars="0" w:firstLine="0" w:firstLineChars="0"/>
        <w:rPr>
          <w:rFonts w:hint="eastAsia"/>
          <w:color w:val="auto"/>
          <w:highlight w:val="none"/>
        </w:rPr>
      </w:pPr>
    </w:p>
    <w:p w14:paraId="10EFEE5C">
      <w:pPr>
        <w:rPr>
          <w:rFonts w:hint="eastAsia"/>
          <w:color w:val="auto"/>
          <w:highlight w:val="none"/>
        </w:rPr>
      </w:pPr>
    </w:p>
    <w:p w14:paraId="7639DAA4">
      <w:pPr>
        <w:spacing w:line="540" w:lineRule="exact"/>
        <w:ind w:right="800"/>
        <w:rPr>
          <w:rFonts w:hint="eastAsia" w:ascii="宋体" w:hAnsi="宋体" w:cs="宋体"/>
          <w:b/>
          <w:bCs/>
          <w:color w:val="auto"/>
          <w:sz w:val="32"/>
          <w:szCs w:val="32"/>
          <w:highlight w:val="none"/>
          <w:u w:val="single"/>
        </w:rPr>
      </w:pPr>
      <w:r>
        <w:rPr>
          <w:rFonts w:hint="eastAsia" w:ascii="宋体" w:hAnsi="宋体" w:cs="宋体"/>
          <w:b/>
          <w:bCs/>
          <w:color w:val="auto"/>
          <w:sz w:val="32"/>
          <w:szCs w:val="32"/>
          <w:highlight w:val="none"/>
        </w:rPr>
        <w:t>采购计划号：</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u w:val="single"/>
        </w:rPr>
        <w:t xml:space="preserve">       </w:t>
      </w:r>
    </w:p>
    <w:p w14:paraId="74CFCAEE">
      <w:pPr>
        <w:spacing w:line="540" w:lineRule="exact"/>
        <w:ind w:right="800"/>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合同编号：</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u w:val="single"/>
        </w:rPr>
        <w:t xml:space="preserve">     </w:t>
      </w:r>
    </w:p>
    <w:p w14:paraId="574E0B1E">
      <w:pPr>
        <w:spacing w:line="540" w:lineRule="exact"/>
        <w:ind w:left="2570" w:hanging="2570" w:hangingChars="800"/>
        <w:rPr>
          <w:rFonts w:hint="eastAsia" w:ascii="宋体" w:hAnsi="宋体" w:cs="宋体"/>
          <w:b/>
          <w:bCs/>
          <w:color w:val="auto"/>
          <w:sz w:val="32"/>
          <w:szCs w:val="32"/>
          <w:highlight w:val="none"/>
          <w:u w:val="single"/>
          <w:lang w:eastAsia="zh-CN"/>
        </w:rPr>
      </w:pPr>
      <w:r>
        <w:rPr>
          <w:rFonts w:hint="eastAsia" w:ascii="宋体" w:hAnsi="宋体" w:cs="宋体"/>
          <w:b/>
          <w:bCs/>
          <w:color w:val="auto"/>
          <w:sz w:val="32"/>
          <w:szCs w:val="32"/>
          <w:highlight w:val="none"/>
        </w:rPr>
        <w:t>采购人（甲方）：</w:t>
      </w:r>
      <w:r>
        <w:rPr>
          <w:rFonts w:hint="eastAsia" w:ascii="宋体" w:hAnsi="宋体" w:cs="宋体"/>
          <w:b/>
          <w:bCs/>
          <w:color w:val="auto"/>
          <w:sz w:val="32"/>
          <w:szCs w:val="32"/>
          <w:highlight w:val="none"/>
          <w:u w:val="single"/>
          <w:lang w:eastAsia="zh-CN"/>
        </w:rPr>
        <w:t>广西壮族自治区防城金花茶国家级自然</w:t>
      </w:r>
    </w:p>
    <w:p w14:paraId="5C533094">
      <w:pPr>
        <w:spacing w:line="540" w:lineRule="exact"/>
        <w:ind w:left="2560" w:leftChars="1219" w:firstLine="0" w:firstLineChars="0"/>
        <w:rPr>
          <w:rFonts w:ascii="宋体" w:hAnsi="宋体" w:cs="宋体"/>
          <w:b/>
          <w:bCs/>
          <w:color w:val="auto"/>
          <w:sz w:val="32"/>
          <w:szCs w:val="32"/>
          <w:highlight w:val="none"/>
        </w:rPr>
      </w:pPr>
      <w:r>
        <w:rPr>
          <w:rFonts w:hint="eastAsia" w:ascii="宋体" w:hAnsi="宋体" w:cs="宋体"/>
          <w:b/>
          <w:bCs/>
          <w:color w:val="auto"/>
          <w:sz w:val="32"/>
          <w:szCs w:val="32"/>
          <w:highlight w:val="none"/>
          <w:u w:val="single"/>
          <w:lang w:eastAsia="zh-CN"/>
        </w:rPr>
        <w:t>保护区管理中心</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u w:val="single"/>
        </w:rPr>
        <w:t xml:space="preserve"> </w:t>
      </w:r>
    </w:p>
    <w:p w14:paraId="12CE82A8">
      <w:pPr>
        <w:spacing w:line="540" w:lineRule="exact"/>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供应商（乙方）：</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u w:val="single"/>
        </w:rPr>
        <w:t xml:space="preserve">     </w:t>
      </w:r>
    </w:p>
    <w:p w14:paraId="41BC6BEF">
      <w:pPr>
        <w:spacing w:line="540" w:lineRule="exact"/>
        <w:ind w:left="1606" w:hanging="1606" w:hangingChars="500"/>
        <w:rPr>
          <w:rFonts w:hint="default" w:ascii="宋体" w:hAnsi="宋体" w:cs="宋体"/>
          <w:b/>
          <w:bCs/>
          <w:color w:val="auto"/>
          <w:sz w:val="32"/>
          <w:szCs w:val="32"/>
          <w:highlight w:val="none"/>
          <w:u w:val="single"/>
          <w:lang w:val="en-US" w:eastAsia="zh-CN"/>
        </w:rPr>
      </w:pPr>
      <w:r>
        <w:rPr>
          <w:rFonts w:hint="eastAsia" w:ascii="宋体" w:hAnsi="宋体" w:cs="宋体"/>
          <w:b/>
          <w:bCs/>
          <w:color w:val="auto"/>
          <w:sz w:val="32"/>
          <w:szCs w:val="32"/>
          <w:highlight w:val="none"/>
        </w:rPr>
        <w:t>项目名称：</w:t>
      </w:r>
      <w:r>
        <w:rPr>
          <w:rFonts w:hint="eastAsia" w:ascii="宋体" w:hAnsi="宋体" w:cs="宋体"/>
          <w:b/>
          <w:bCs/>
          <w:color w:val="auto"/>
          <w:sz w:val="32"/>
          <w:szCs w:val="32"/>
          <w:highlight w:val="none"/>
          <w:u w:val="single"/>
          <w:lang w:eastAsia="zh-CN"/>
        </w:rPr>
        <w:t>广西防城金花茶国家级自然保护区科普宣教</w:t>
      </w:r>
      <w:r>
        <w:rPr>
          <w:rFonts w:hint="eastAsia" w:ascii="宋体" w:hAnsi="宋体" w:cs="宋体"/>
          <w:b/>
          <w:bCs/>
          <w:color w:val="auto"/>
          <w:sz w:val="32"/>
          <w:szCs w:val="32"/>
          <w:highlight w:val="none"/>
          <w:u w:val="single"/>
          <w:lang w:val="en-US" w:eastAsia="zh-CN"/>
        </w:rPr>
        <w:t xml:space="preserve">  </w:t>
      </w:r>
    </w:p>
    <w:p w14:paraId="3DF0A0E8">
      <w:pPr>
        <w:spacing w:line="540" w:lineRule="exact"/>
        <w:ind w:left="0" w:leftChars="0" w:firstLine="1606" w:firstLineChars="500"/>
        <w:rPr>
          <w:rFonts w:ascii="宋体" w:hAnsi="宋体" w:cs="宋体"/>
          <w:b/>
          <w:bCs/>
          <w:color w:val="auto"/>
          <w:sz w:val="32"/>
          <w:szCs w:val="32"/>
          <w:highlight w:val="none"/>
        </w:rPr>
      </w:pPr>
      <w:r>
        <w:rPr>
          <w:rFonts w:hint="eastAsia" w:ascii="宋体" w:hAnsi="宋体" w:cs="宋体"/>
          <w:b/>
          <w:bCs/>
          <w:color w:val="auto"/>
          <w:sz w:val="32"/>
          <w:szCs w:val="32"/>
          <w:highlight w:val="none"/>
          <w:u w:val="single"/>
          <w:lang w:eastAsia="zh-CN"/>
        </w:rPr>
        <w:t>展区布展项目</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u w:val="single"/>
        </w:rPr>
        <w:t xml:space="preserve">          </w:t>
      </w:r>
    </w:p>
    <w:p w14:paraId="4EE4BDFE">
      <w:pPr>
        <w:spacing w:line="540" w:lineRule="exact"/>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项目编号：</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eastAsia="zh-CN"/>
        </w:rPr>
        <w:t>GXZC2026-G3-001331-GDZB</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u w:val="single"/>
        </w:rPr>
        <w:t xml:space="preserve">      </w:t>
      </w:r>
    </w:p>
    <w:p w14:paraId="2A057CE4">
      <w:pPr>
        <w:spacing w:line="540" w:lineRule="exact"/>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签订地点：</w:t>
      </w:r>
      <w:r>
        <w:rPr>
          <w:rFonts w:hint="eastAsia" w:ascii="宋体" w:hAnsi="宋体" w:cs="宋体"/>
          <w:b/>
          <w:bCs/>
          <w:color w:val="auto"/>
          <w:sz w:val="32"/>
          <w:szCs w:val="32"/>
          <w:highlight w:val="none"/>
          <w:u w:val="single"/>
        </w:rPr>
        <w:t xml:space="preserve"> 广西壮族自治区防城港市       </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u w:val="single"/>
        </w:rPr>
        <w:t xml:space="preserve">  </w:t>
      </w:r>
    </w:p>
    <w:p w14:paraId="59094D31">
      <w:pPr>
        <w:spacing w:line="540" w:lineRule="exact"/>
        <w:rPr>
          <w:rFonts w:hint="eastAsia" w:ascii="宋体" w:hAnsi="宋体" w:cs="宋体"/>
          <w:color w:val="auto"/>
          <w:szCs w:val="21"/>
          <w:highlight w:val="none"/>
        </w:rPr>
      </w:pPr>
      <w:r>
        <w:rPr>
          <w:rFonts w:hint="eastAsia" w:ascii="宋体" w:hAnsi="宋体" w:cs="宋体"/>
          <w:b/>
          <w:bCs/>
          <w:color w:val="auto"/>
          <w:sz w:val="32"/>
          <w:szCs w:val="32"/>
          <w:highlight w:val="none"/>
        </w:rPr>
        <w:t>签订时间：</w:t>
      </w:r>
      <w:bookmarkStart w:id="102" w:name="OLE_LINK4"/>
      <w:r>
        <w:rPr>
          <w:rFonts w:hint="eastAsia" w:ascii="宋体" w:hAnsi="宋体" w:cs="宋体"/>
          <w:b/>
          <w:bCs/>
          <w:color w:val="auto"/>
          <w:sz w:val="32"/>
          <w:szCs w:val="32"/>
          <w:highlight w:val="none"/>
          <w:u w:val="single"/>
          <w:lang w:eastAsia="zh-CN"/>
        </w:rPr>
        <w:t>2026年</w:t>
      </w:r>
      <w:r>
        <w:rPr>
          <w:rFonts w:hint="eastAsia" w:ascii="宋体" w:hAnsi="宋体" w:cs="宋体"/>
          <w:b/>
          <w:bCs/>
          <w:color w:val="auto"/>
          <w:sz w:val="32"/>
          <w:szCs w:val="32"/>
          <w:highlight w:val="none"/>
          <w:u w:val="single"/>
        </w:rPr>
        <w:t xml:space="preserve">  月  日</w:t>
      </w:r>
      <w:bookmarkEnd w:id="102"/>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u w:val="single"/>
        </w:rPr>
        <w:t xml:space="preserve">      </w:t>
      </w:r>
    </w:p>
    <w:p w14:paraId="73B1BAB6">
      <w:pPr>
        <w:spacing w:line="420" w:lineRule="exact"/>
        <w:ind w:firstLine="562" w:firstLineChars="200"/>
        <w:jc w:val="center"/>
        <w:rPr>
          <w:rFonts w:hint="eastAsia" w:ascii="宋体" w:hAnsi="宋体" w:cs="宋体"/>
          <w:b/>
          <w:bCs/>
          <w:color w:val="auto"/>
          <w:sz w:val="28"/>
          <w:szCs w:val="28"/>
          <w:highlight w:val="none"/>
        </w:rPr>
      </w:pPr>
    </w:p>
    <w:p w14:paraId="73FDB35E">
      <w:pPr>
        <w:spacing w:line="420" w:lineRule="exact"/>
        <w:ind w:firstLine="562" w:firstLineChars="200"/>
        <w:jc w:val="center"/>
        <w:rPr>
          <w:rFonts w:hint="eastAsia" w:ascii="宋体" w:hAnsi="宋体" w:cs="宋体"/>
          <w:b/>
          <w:bCs/>
          <w:color w:val="auto"/>
          <w:sz w:val="28"/>
          <w:szCs w:val="28"/>
          <w:highlight w:val="none"/>
        </w:rPr>
      </w:pPr>
    </w:p>
    <w:p w14:paraId="4B1C25E9">
      <w:pPr>
        <w:pStyle w:val="30"/>
        <w:rPr>
          <w:rFonts w:hint="eastAsia" w:ascii="宋体" w:hAnsi="宋体" w:cs="宋体"/>
          <w:b/>
          <w:bCs/>
          <w:color w:val="auto"/>
          <w:sz w:val="28"/>
          <w:szCs w:val="28"/>
          <w:highlight w:val="none"/>
        </w:rPr>
      </w:pPr>
    </w:p>
    <w:p w14:paraId="19CDC6F7">
      <w:pPr>
        <w:rPr>
          <w:rFonts w:hint="eastAsia" w:ascii="宋体" w:hAnsi="宋体" w:cs="宋体"/>
          <w:b/>
          <w:bCs/>
          <w:color w:val="auto"/>
          <w:sz w:val="28"/>
          <w:szCs w:val="28"/>
          <w:highlight w:val="none"/>
        </w:rPr>
      </w:pPr>
    </w:p>
    <w:p w14:paraId="4CD0809F">
      <w:pPr>
        <w:pStyle w:val="16"/>
        <w:rPr>
          <w:rFonts w:hint="eastAsia"/>
          <w:color w:val="auto"/>
          <w:highlight w:val="none"/>
        </w:rPr>
      </w:pPr>
    </w:p>
    <w:p w14:paraId="38694ACD">
      <w:pPr>
        <w:rPr>
          <w:rFonts w:hint="eastAsia"/>
          <w:color w:val="auto"/>
          <w:highlight w:val="none"/>
        </w:rPr>
      </w:pPr>
    </w:p>
    <w:p w14:paraId="3F198DCF">
      <w:pPr>
        <w:pStyle w:val="30"/>
        <w:rPr>
          <w:rFonts w:hint="eastAsia"/>
          <w:color w:val="auto"/>
          <w:highlight w:val="none"/>
        </w:rPr>
      </w:pPr>
    </w:p>
    <w:p w14:paraId="3D2EE78E">
      <w:pPr>
        <w:keepNext w:val="0"/>
        <w:keepLines w:val="0"/>
        <w:pageBreakBefore w:val="0"/>
        <w:widowControl/>
        <w:kinsoku/>
        <w:wordWrap/>
        <w:overflowPunct/>
        <w:topLinePunct w:val="0"/>
        <w:autoSpaceDE/>
        <w:autoSpaceDN/>
        <w:bidi w:val="0"/>
        <w:adjustRightInd/>
        <w:snapToGrid/>
        <w:spacing w:line="240" w:lineRule="auto"/>
        <w:ind w:firstLine="3092" w:firstLineChars="700"/>
        <w:jc w:val="left"/>
        <w:textAlignment w:val="auto"/>
        <w:rPr>
          <w:rFonts w:hint="eastAsia" w:ascii="宋体" w:hAnsi="宋体" w:cs="宋体"/>
          <w:b/>
          <w:bCs/>
          <w:color w:val="auto"/>
          <w:sz w:val="44"/>
          <w:szCs w:val="44"/>
          <w:highlight w:val="none"/>
        </w:rPr>
      </w:pPr>
      <w:r>
        <w:rPr>
          <w:rFonts w:hint="eastAsia" w:ascii="宋体" w:hAnsi="宋体" w:cs="宋体"/>
          <w:b/>
          <w:bCs/>
          <w:color w:val="auto"/>
          <w:sz w:val="44"/>
          <w:szCs w:val="44"/>
          <w:highlight w:val="none"/>
          <w:lang w:val="en-US" w:eastAsia="zh-CN"/>
        </w:rPr>
        <w:t>政府</w:t>
      </w:r>
      <w:r>
        <w:rPr>
          <w:rFonts w:hint="eastAsia" w:ascii="宋体" w:hAnsi="宋体" w:cs="宋体"/>
          <w:b/>
          <w:bCs/>
          <w:color w:val="auto"/>
          <w:sz w:val="44"/>
          <w:szCs w:val="44"/>
          <w:highlight w:val="none"/>
        </w:rPr>
        <w:t>采购合同文本</w:t>
      </w:r>
    </w:p>
    <w:p w14:paraId="38DEAC9B">
      <w:pPr>
        <w:pStyle w:val="30"/>
        <w:rPr>
          <w:rFonts w:hint="eastAsia" w:ascii="宋体" w:hAnsi="宋体" w:cs="仿宋_GB2312"/>
          <w:color w:val="auto"/>
          <w:highlight w:val="none"/>
        </w:rPr>
      </w:pPr>
    </w:p>
    <w:p w14:paraId="05D4988D">
      <w:pPr>
        <w:spacing w:line="360" w:lineRule="auto"/>
        <w:ind w:right="800"/>
        <w:rPr>
          <w:rFonts w:hint="eastAsia" w:ascii="宋体" w:hAnsi="宋体" w:cs="宋体"/>
          <w:color w:val="auto"/>
          <w:sz w:val="24"/>
          <w:highlight w:val="none"/>
        </w:rPr>
      </w:pPr>
    </w:p>
    <w:p w14:paraId="5B49499B">
      <w:pPr>
        <w:spacing w:line="360" w:lineRule="auto"/>
        <w:ind w:right="800"/>
        <w:rPr>
          <w:rFonts w:hint="eastAsia" w:ascii="宋体" w:hAnsi="宋体" w:cs="宋体"/>
          <w:color w:val="auto"/>
          <w:sz w:val="24"/>
          <w:highlight w:val="none"/>
        </w:rPr>
      </w:pPr>
      <w:r>
        <w:rPr>
          <w:rFonts w:hint="eastAsia" w:ascii="宋体" w:hAnsi="宋体" w:cs="宋体"/>
          <w:color w:val="auto"/>
          <w:sz w:val="24"/>
          <w:highlight w:val="none"/>
        </w:rPr>
        <w:t>采购计划号：</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ascii="宋体" w:hAnsi="宋体" w:cs="宋体"/>
          <w:color w:val="auto"/>
          <w:sz w:val="24"/>
          <w:highlight w:val="none"/>
          <w:u w:val="single"/>
        </w:rPr>
        <w:t xml:space="preserve">   </w:t>
      </w:r>
      <w:r>
        <w:rPr>
          <w:rFonts w:ascii="宋体" w:hAnsi="宋体" w:cs="宋体"/>
          <w:color w:val="auto"/>
          <w:sz w:val="24"/>
          <w:highlight w:val="none"/>
        </w:rPr>
        <w:t xml:space="preserve">   </w:t>
      </w:r>
    </w:p>
    <w:p w14:paraId="1A512A84">
      <w:pPr>
        <w:spacing w:line="360" w:lineRule="auto"/>
        <w:ind w:right="800"/>
        <w:rPr>
          <w:rFonts w:ascii="宋体" w:hAnsi="宋体" w:cs="宋体"/>
          <w:bCs/>
          <w:color w:val="auto"/>
          <w:sz w:val="24"/>
          <w:highlight w:val="none"/>
          <w:u w:val="single"/>
        </w:rPr>
      </w:pPr>
      <w:r>
        <w:rPr>
          <w:rFonts w:hint="eastAsia" w:ascii="宋体" w:hAnsi="宋体" w:cs="宋体"/>
          <w:bCs/>
          <w:color w:val="auto"/>
          <w:sz w:val="24"/>
          <w:highlight w:val="none"/>
        </w:rPr>
        <w:t>合同编号：</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p>
    <w:p w14:paraId="3A1FE566">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采购人（甲方）：</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广西壮族自治区防城金花茶国家级自然保护区管理中心</w:t>
      </w:r>
      <w:r>
        <w:rPr>
          <w:rFonts w:hint="eastAsia" w:ascii="宋体" w:hAnsi="宋体" w:cs="宋体"/>
          <w:color w:val="auto"/>
          <w:sz w:val="24"/>
          <w:highlight w:val="none"/>
          <w:u w:val="single"/>
        </w:rPr>
        <w:t xml:space="preserve"> </w:t>
      </w:r>
    </w:p>
    <w:p w14:paraId="544EB344">
      <w:pPr>
        <w:spacing w:line="360" w:lineRule="auto"/>
        <w:rPr>
          <w:rFonts w:ascii="宋体" w:hAnsi="宋体" w:cs="宋体"/>
          <w:color w:val="auto"/>
          <w:sz w:val="24"/>
          <w:highlight w:val="none"/>
          <w:u w:val="single"/>
        </w:rPr>
      </w:pPr>
      <w:r>
        <w:rPr>
          <w:rFonts w:hint="eastAsia" w:ascii="宋体" w:hAnsi="宋体" w:cs="宋体"/>
          <w:color w:val="auto"/>
          <w:sz w:val="24"/>
          <w:highlight w:val="none"/>
        </w:rPr>
        <w:t>供应商（乙方）：</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13C14478">
      <w:pPr>
        <w:spacing w:line="360" w:lineRule="auto"/>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项目名称：</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广西防城金花茶国家级自然保护区科普宣教展区布展项目</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p>
    <w:p w14:paraId="4AE76136">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项目编号：</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ascii="宋体" w:hAnsi="宋体" w:cs="宋体"/>
          <w:color w:val="auto"/>
          <w:sz w:val="24"/>
          <w:highlight w:val="none"/>
          <w:u w:val="single"/>
        </w:rPr>
        <w:t xml:space="preserve">      </w:t>
      </w:r>
    </w:p>
    <w:p w14:paraId="26D07C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签订地点：</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广西壮族自治区防城港市</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9C905CC">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签订时间：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rPr>
        <w:t xml:space="preserve">    月    日      </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p>
    <w:p w14:paraId="7006ACFB">
      <w:pPr>
        <w:keepNext w:val="0"/>
        <w:keepLines w:val="0"/>
        <w:pageBreakBefore w:val="0"/>
        <w:kinsoku/>
        <w:wordWrap/>
        <w:overflowPunct/>
        <w:topLinePunct w:val="0"/>
        <w:autoSpaceDE/>
        <w:autoSpaceDN/>
        <w:bidi w:val="0"/>
        <w:adjustRightInd/>
        <w:snapToGrid w:val="0"/>
        <w:spacing w:line="480" w:lineRule="exact"/>
        <w:ind w:left="0" w:leftChars="0" w:right="0" w:firstLine="560" w:firstLineChars="200"/>
        <w:jc w:val="left"/>
        <w:textAlignment w:val="auto"/>
        <w:rPr>
          <w:rFonts w:hint="eastAsia" w:ascii="宋体" w:hAnsi="宋体" w:eastAsia="宋体" w:cs="Times New Roman"/>
          <w:color w:val="auto"/>
          <w:sz w:val="28"/>
          <w:szCs w:val="28"/>
          <w:highlight w:val="none"/>
          <w:u w:val="none"/>
        </w:rPr>
      </w:pPr>
      <w:r>
        <w:rPr>
          <w:rFonts w:hint="eastAsia" w:ascii="宋体" w:hAnsi="宋体" w:eastAsia="宋体" w:cs="Times New Roman"/>
          <w:color w:val="auto"/>
          <w:sz w:val="28"/>
          <w:szCs w:val="28"/>
          <w:highlight w:val="none"/>
          <w:u w:val="none"/>
        </w:rPr>
        <w:t>根据《中华人民共和国政府采购法》《中华人民共和国民法典》等有关法律、法规规定，经政府采购公开招标，确定乙方中标。为明确责任确保便于执行，甲乙双方遵循平等、自愿、公平、诚实信用、协商一致的原则，双方就</w:t>
      </w:r>
      <w:r>
        <w:rPr>
          <w:rFonts w:hint="eastAsia" w:ascii="宋体" w:hAnsi="宋体" w:eastAsia="宋体" w:cs="Times New Roman"/>
          <w:color w:val="auto"/>
          <w:sz w:val="28"/>
          <w:szCs w:val="28"/>
          <w:highlight w:val="none"/>
          <w:u w:val="single"/>
          <w:lang w:eastAsia="zh-CN"/>
        </w:rPr>
        <w:t>广西防城金花茶国家级自然保护区科普宣教展区布展项目</w:t>
      </w:r>
      <w:r>
        <w:rPr>
          <w:rFonts w:hint="eastAsia" w:ascii="宋体" w:hAnsi="宋体" w:eastAsia="宋体" w:cs="Times New Roman"/>
          <w:color w:val="auto"/>
          <w:sz w:val="28"/>
          <w:szCs w:val="28"/>
          <w:highlight w:val="none"/>
          <w:u w:val="none"/>
        </w:rPr>
        <w:t>事项，订立本合同，共同遵守以下条款。</w:t>
      </w:r>
    </w:p>
    <w:p w14:paraId="05617E8E">
      <w:pPr>
        <w:snapToGrid w:val="0"/>
        <w:spacing w:line="480" w:lineRule="exact"/>
        <w:ind w:firstLine="562" w:firstLineChars="200"/>
        <w:rPr>
          <w:rFonts w:hint="eastAsia" w:ascii="宋体" w:hAnsi="宋体"/>
          <w:b/>
          <w:color w:val="auto"/>
          <w:sz w:val="28"/>
          <w:szCs w:val="28"/>
          <w:highlight w:val="none"/>
        </w:rPr>
      </w:pPr>
      <w:r>
        <w:rPr>
          <w:rFonts w:hint="eastAsia" w:ascii="宋体" w:hAnsi="宋体"/>
          <w:b/>
          <w:color w:val="auto"/>
          <w:sz w:val="28"/>
          <w:szCs w:val="28"/>
          <w:highlight w:val="none"/>
        </w:rPr>
        <w:t>第一条　合同标的</w:t>
      </w:r>
    </w:p>
    <w:p w14:paraId="0C31E9D9">
      <w:pPr>
        <w:snapToGrid w:val="0"/>
        <w:spacing w:line="480" w:lineRule="exact"/>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1</w:t>
      </w:r>
      <w:r>
        <w:rPr>
          <w:rFonts w:hint="eastAsia" w:ascii="宋体" w:hAnsi="宋体" w:eastAsia="宋体" w:cs="Times New Roman"/>
          <w:color w:val="auto"/>
          <w:sz w:val="28"/>
          <w:szCs w:val="28"/>
          <w:highlight w:val="none"/>
          <w:lang w:eastAsia="zh-CN"/>
        </w:rPr>
        <w:t>.</w:t>
      </w:r>
      <w:r>
        <w:rPr>
          <w:rFonts w:hint="eastAsia" w:ascii="宋体" w:hAnsi="宋体"/>
          <w:color w:val="auto"/>
          <w:sz w:val="28"/>
          <w:szCs w:val="28"/>
          <w:highlight w:val="none"/>
        </w:rPr>
        <w:t>项目一览表</w:t>
      </w:r>
    </w:p>
    <w:tbl>
      <w:tblPr>
        <w:tblStyle w:val="24"/>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41"/>
        <w:gridCol w:w="2202"/>
        <w:gridCol w:w="914"/>
        <w:gridCol w:w="1083"/>
        <w:gridCol w:w="1440"/>
        <w:gridCol w:w="1260"/>
      </w:tblGrid>
      <w:tr w14:paraId="7ADD0A72">
        <w:tblPrEx>
          <w:tblCellMar>
            <w:top w:w="0" w:type="dxa"/>
            <w:left w:w="108" w:type="dxa"/>
            <w:bottom w:w="0" w:type="dxa"/>
            <w:right w:w="108" w:type="dxa"/>
          </w:tblCellMar>
        </w:tblPrEx>
        <w:trPr>
          <w:cantSplit/>
          <w:trHeight w:val="820" w:hRule="atLeast"/>
        </w:trPr>
        <w:tc>
          <w:tcPr>
            <w:tcW w:w="720" w:type="dxa"/>
            <w:noWrap w:val="0"/>
            <w:vAlign w:val="center"/>
          </w:tcPr>
          <w:p w14:paraId="54B948AA">
            <w:pPr>
              <w:spacing w:line="420" w:lineRule="exact"/>
              <w:jc w:val="center"/>
              <w:rPr>
                <w:rFonts w:ascii="宋体" w:hAnsi="宋体"/>
                <w:color w:val="auto"/>
                <w:sz w:val="28"/>
                <w:szCs w:val="28"/>
                <w:highlight w:val="none"/>
              </w:rPr>
            </w:pPr>
            <w:r>
              <w:rPr>
                <w:rFonts w:hint="eastAsia" w:ascii="宋体" w:hAnsi="宋体"/>
                <w:color w:val="auto"/>
                <w:sz w:val="28"/>
                <w:szCs w:val="28"/>
                <w:highlight w:val="none"/>
              </w:rPr>
              <w:t>序号</w:t>
            </w:r>
          </w:p>
        </w:tc>
        <w:tc>
          <w:tcPr>
            <w:tcW w:w="1741" w:type="dxa"/>
            <w:noWrap w:val="0"/>
            <w:vAlign w:val="center"/>
          </w:tcPr>
          <w:p w14:paraId="203174E9">
            <w:pPr>
              <w:spacing w:line="420" w:lineRule="exact"/>
              <w:jc w:val="center"/>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项目名称</w:t>
            </w:r>
          </w:p>
        </w:tc>
        <w:tc>
          <w:tcPr>
            <w:tcW w:w="2202" w:type="dxa"/>
            <w:noWrap w:val="0"/>
            <w:vAlign w:val="center"/>
          </w:tcPr>
          <w:p w14:paraId="382BF04D">
            <w:pPr>
              <w:spacing w:line="420" w:lineRule="exact"/>
              <w:jc w:val="center"/>
              <w:rPr>
                <w:rFonts w:ascii="宋体" w:hAnsi="宋体"/>
                <w:color w:val="auto"/>
                <w:sz w:val="28"/>
                <w:szCs w:val="28"/>
                <w:highlight w:val="none"/>
              </w:rPr>
            </w:pPr>
            <w:r>
              <w:rPr>
                <w:rFonts w:hint="eastAsia" w:hAnsi="宋体"/>
                <w:color w:val="auto"/>
                <w:sz w:val="28"/>
                <w:szCs w:val="28"/>
                <w:highlight w:val="none"/>
              </w:rPr>
              <w:t>服务项目要求(或技术参数需求)</w:t>
            </w:r>
          </w:p>
        </w:tc>
        <w:tc>
          <w:tcPr>
            <w:tcW w:w="914" w:type="dxa"/>
            <w:noWrap w:val="0"/>
            <w:vAlign w:val="center"/>
          </w:tcPr>
          <w:p w14:paraId="762EA1B6">
            <w:pPr>
              <w:spacing w:line="420" w:lineRule="exact"/>
              <w:jc w:val="center"/>
              <w:rPr>
                <w:rFonts w:ascii="宋体" w:hAnsi="宋体"/>
                <w:color w:val="auto"/>
                <w:sz w:val="28"/>
                <w:szCs w:val="28"/>
                <w:highlight w:val="none"/>
              </w:rPr>
            </w:pPr>
            <w:r>
              <w:rPr>
                <w:rFonts w:hint="eastAsia" w:ascii="宋体" w:hAnsi="宋体"/>
                <w:color w:val="auto"/>
                <w:sz w:val="28"/>
                <w:szCs w:val="28"/>
                <w:highlight w:val="none"/>
              </w:rPr>
              <w:t>数量</w:t>
            </w:r>
          </w:p>
        </w:tc>
        <w:tc>
          <w:tcPr>
            <w:tcW w:w="1083" w:type="dxa"/>
            <w:noWrap w:val="0"/>
            <w:vAlign w:val="center"/>
          </w:tcPr>
          <w:p w14:paraId="040B6FD4">
            <w:pPr>
              <w:spacing w:line="420" w:lineRule="exact"/>
              <w:jc w:val="center"/>
              <w:rPr>
                <w:rFonts w:ascii="宋体" w:hAnsi="宋体"/>
                <w:color w:val="auto"/>
                <w:sz w:val="28"/>
                <w:szCs w:val="28"/>
                <w:highlight w:val="none"/>
              </w:rPr>
            </w:pPr>
            <w:r>
              <w:rPr>
                <w:rFonts w:hint="eastAsia" w:ascii="宋体" w:hAnsi="宋体"/>
                <w:color w:val="auto"/>
                <w:sz w:val="28"/>
                <w:szCs w:val="28"/>
                <w:highlight w:val="none"/>
              </w:rPr>
              <w:t>单位</w:t>
            </w:r>
          </w:p>
        </w:tc>
        <w:tc>
          <w:tcPr>
            <w:tcW w:w="1440" w:type="dxa"/>
            <w:noWrap w:val="0"/>
            <w:vAlign w:val="center"/>
          </w:tcPr>
          <w:p w14:paraId="68EF9EBD">
            <w:pPr>
              <w:spacing w:line="420" w:lineRule="exact"/>
              <w:jc w:val="center"/>
              <w:rPr>
                <w:rFonts w:ascii="宋体" w:hAnsi="宋体"/>
                <w:color w:val="auto"/>
                <w:sz w:val="28"/>
                <w:szCs w:val="28"/>
                <w:highlight w:val="none"/>
              </w:rPr>
            </w:pPr>
            <w:r>
              <w:rPr>
                <w:rFonts w:hint="eastAsia" w:ascii="宋体" w:hAnsi="宋体"/>
                <w:color w:val="auto"/>
                <w:sz w:val="28"/>
                <w:szCs w:val="28"/>
                <w:highlight w:val="none"/>
              </w:rPr>
              <w:t>单  价</w:t>
            </w:r>
          </w:p>
          <w:p w14:paraId="37FD4C0D">
            <w:pPr>
              <w:spacing w:line="420" w:lineRule="exact"/>
              <w:jc w:val="center"/>
              <w:rPr>
                <w:rFonts w:ascii="宋体" w:hAnsi="宋体"/>
                <w:color w:val="auto"/>
                <w:sz w:val="28"/>
                <w:szCs w:val="28"/>
                <w:highlight w:val="none"/>
              </w:rPr>
            </w:pPr>
            <w:r>
              <w:rPr>
                <w:rFonts w:hint="eastAsia" w:ascii="宋体" w:hAnsi="宋体"/>
                <w:color w:val="auto"/>
                <w:sz w:val="28"/>
                <w:szCs w:val="28"/>
                <w:highlight w:val="none"/>
              </w:rPr>
              <w:t>（元）</w:t>
            </w:r>
          </w:p>
        </w:tc>
        <w:tc>
          <w:tcPr>
            <w:tcW w:w="1260" w:type="dxa"/>
            <w:noWrap w:val="0"/>
            <w:vAlign w:val="center"/>
          </w:tcPr>
          <w:p w14:paraId="66E16645">
            <w:pPr>
              <w:spacing w:line="420" w:lineRule="exact"/>
              <w:jc w:val="center"/>
              <w:rPr>
                <w:rFonts w:ascii="宋体" w:hAnsi="宋体"/>
                <w:color w:val="auto"/>
                <w:sz w:val="28"/>
                <w:szCs w:val="28"/>
                <w:highlight w:val="none"/>
              </w:rPr>
            </w:pPr>
            <w:r>
              <w:rPr>
                <w:rFonts w:hint="eastAsia" w:ascii="宋体" w:hAnsi="宋体"/>
                <w:color w:val="auto"/>
                <w:sz w:val="28"/>
                <w:szCs w:val="28"/>
                <w:highlight w:val="none"/>
              </w:rPr>
              <w:t>金  额</w:t>
            </w:r>
          </w:p>
          <w:p w14:paraId="25B7406B">
            <w:pPr>
              <w:spacing w:line="420" w:lineRule="exact"/>
              <w:jc w:val="center"/>
              <w:rPr>
                <w:rFonts w:ascii="宋体" w:hAnsi="宋体"/>
                <w:color w:val="auto"/>
                <w:sz w:val="28"/>
                <w:szCs w:val="28"/>
                <w:highlight w:val="none"/>
              </w:rPr>
            </w:pPr>
            <w:r>
              <w:rPr>
                <w:rFonts w:hint="eastAsia" w:ascii="宋体" w:hAnsi="宋体"/>
                <w:color w:val="auto"/>
                <w:sz w:val="28"/>
                <w:szCs w:val="28"/>
                <w:highlight w:val="none"/>
              </w:rPr>
              <w:t>（元）</w:t>
            </w:r>
          </w:p>
        </w:tc>
      </w:tr>
      <w:tr w14:paraId="7E91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20" w:type="dxa"/>
            <w:noWrap w:val="0"/>
            <w:vAlign w:val="center"/>
          </w:tcPr>
          <w:p w14:paraId="02D79436">
            <w:pPr>
              <w:spacing w:line="420" w:lineRule="exact"/>
              <w:jc w:val="center"/>
              <w:rPr>
                <w:rFonts w:hint="eastAsia" w:ascii="宋体" w:hAnsi="宋体"/>
                <w:color w:val="auto"/>
                <w:sz w:val="28"/>
                <w:szCs w:val="28"/>
                <w:highlight w:val="none"/>
              </w:rPr>
            </w:pPr>
            <w:r>
              <w:rPr>
                <w:rFonts w:hint="eastAsia" w:ascii="宋体" w:hAnsi="宋体"/>
                <w:color w:val="auto"/>
                <w:sz w:val="28"/>
                <w:szCs w:val="28"/>
                <w:highlight w:val="none"/>
                <w:lang w:val="en-US" w:eastAsia="zh-CN"/>
              </w:rPr>
              <w:t>1</w:t>
            </w:r>
          </w:p>
        </w:tc>
        <w:tc>
          <w:tcPr>
            <w:tcW w:w="1741" w:type="dxa"/>
            <w:noWrap w:val="0"/>
            <w:vAlign w:val="center"/>
          </w:tcPr>
          <w:p w14:paraId="55896492">
            <w:pPr>
              <w:spacing w:line="420" w:lineRule="exact"/>
              <w:jc w:val="center"/>
              <w:rPr>
                <w:rFonts w:hint="eastAsia" w:ascii="宋体" w:hAnsi="宋体"/>
                <w:color w:val="auto"/>
                <w:sz w:val="28"/>
                <w:szCs w:val="28"/>
                <w:highlight w:val="none"/>
              </w:rPr>
            </w:pPr>
            <w:r>
              <w:rPr>
                <w:rFonts w:hint="eastAsia" w:ascii="宋体" w:hAnsi="宋体"/>
                <w:color w:val="auto"/>
                <w:sz w:val="28"/>
                <w:szCs w:val="28"/>
                <w:highlight w:val="none"/>
              </w:rPr>
              <w:t>广西防城金花茶国家级自然保护区科普宣教展区布展项目</w:t>
            </w:r>
          </w:p>
        </w:tc>
        <w:tc>
          <w:tcPr>
            <w:tcW w:w="2202" w:type="dxa"/>
            <w:noWrap w:val="0"/>
            <w:vAlign w:val="center"/>
          </w:tcPr>
          <w:p w14:paraId="06E6E663">
            <w:pPr>
              <w:spacing w:line="420" w:lineRule="exact"/>
              <w:jc w:val="center"/>
              <w:rPr>
                <w:rFonts w:hint="eastAsia" w:ascii="宋体" w:hAnsi="宋体" w:eastAsia="宋体"/>
                <w:color w:val="auto"/>
                <w:sz w:val="28"/>
                <w:szCs w:val="28"/>
                <w:highlight w:val="none"/>
                <w:lang w:eastAsia="zh-CN"/>
              </w:rPr>
            </w:pPr>
            <w:r>
              <w:rPr>
                <w:rFonts w:hint="eastAsia" w:ascii="宋体" w:hAnsi="宋体"/>
                <w:color w:val="auto"/>
                <w:sz w:val="28"/>
                <w:szCs w:val="28"/>
                <w:highlight w:val="none"/>
                <w:lang w:eastAsia="zh-CN"/>
              </w:rPr>
              <w:t>详见</w:t>
            </w:r>
            <w:r>
              <w:rPr>
                <w:rFonts w:hint="eastAsia" w:ascii="宋体" w:hAnsi="宋体"/>
                <w:color w:val="auto"/>
                <w:sz w:val="28"/>
                <w:szCs w:val="28"/>
                <w:highlight w:val="none"/>
                <w:lang w:val="en-US" w:eastAsia="zh-CN"/>
              </w:rPr>
              <w:t>招标文件和</w:t>
            </w:r>
            <w:r>
              <w:rPr>
                <w:rFonts w:hint="eastAsia" w:ascii="宋体" w:hAnsi="宋体"/>
                <w:color w:val="auto"/>
                <w:sz w:val="28"/>
                <w:szCs w:val="28"/>
                <w:highlight w:val="none"/>
                <w:lang w:eastAsia="zh-CN"/>
              </w:rPr>
              <w:t>投标文件，</w:t>
            </w:r>
            <w:r>
              <w:rPr>
                <w:rFonts w:hint="eastAsia" w:ascii="宋体" w:hAnsi="宋体"/>
                <w:color w:val="auto"/>
                <w:sz w:val="28"/>
                <w:szCs w:val="28"/>
                <w:highlight w:val="none"/>
                <w:lang w:val="en-US" w:eastAsia="zh-CN"/>
              </w:rPr>
              <w:t>按招标文件要求和投标文件内容实施服务</w:t>
            </w:r>
            <w:r>
              <w:rPr>
                <w:rFonts w:hint="eastAsia" w:ascii="宋体" w:hAnsi="宋体"/>
                <w:color w:val="auto"/>
                <w:sz w:val="28"/>
                <w:szCs w:val="28"/>
                <w:highlight w:val="none"/>
                <w:lang w:eastAsia="zh-CN"/>
              </w:rPr>
              <w:t>。</w:t>
            </w:r>
          </w:p>
        </w:tc>
        <w:tc>
          <w:tcPr>
            <w:tcW w:w="914" w:type="dxa"/>
            <w:noWrap w:val="0"/>
            <w:vAlign w:val="center"/>
          </w:tcPr>
          <w:p w14:paraId="2BADBCCE">
            <w:pPr>
              <w:spacing w:line="420" w:lineRule="exact"/>
              <w:jc w:val="center"/>
              <w:rPr>
                <w:rFonts w:hint="eastAsia"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1</w:t>
            </w:r>
          </w:p>
        </w:tc>
        <w:tc>
          <w:tcPr>
            <w:tcW w:w="1083" w:type="dxa"/>
            <w:noWrap w:val="0"/>
            <w:vAlign w:val="center"/>
          </w:tcPr>
          <w:p w14:paraId="7F814056">
            <w:pPr>
              <w:spacing w:line="420" w:lineRule="exact"/>
              <w:jc w:val="center"/>
              <w:rPr>
                <w:rFonts w:hint="eastAsia" w:ascii="宋体" w:hAnsi="宋体" w:eastAsia="宋体"/>
                <w:color w:val="auto"/>
                <w:sz w:val="28"/>
                <w:szCs w:val="28"/>
                <w:highlight w:val="none"/>
                <w:lang w:eastAsia="zh-CN"/>
              </w:rPr>
            </w:pPr>
            <w:r>
              <w:rPr>
                <w:rFonts w:hint="eastAsia" w:ascii="宋体" w:hAnsi="宋体"/>
                <w:color w:val="auto"/>
                <w:sz w:val="28"/>
                <w:szCs w:val="28"/>
                <w:highlight w:val="none"/>
                <w:lang w:eastAsia="zh-CN"/>
              </w:rPr>
              <w:t>项</w:t>
            </w:r>
          </w:p>
        </w:tc>
        <w:tc>
          <w:tcPr>
            <w:tcW w:w="1440" w:type="dxa"/>
            <w:noWrap w:val="0"/>
            <w:vAlign w:val="center"/>
          </w:tcPr>
          <w:p w14:paraId="4409344A">
            <w:pPr>
              <w:spacing w:line="420" w:lineRule="exact"/>
              <w:jc w:val="center"/>
              <w:rPr>
                <w:rFonts w:hint="eastAsia" w:ascii="宋体" w:hAnsi="宋体"/>
                <w:color w:val="auto"/>
                <w:sz w:val="28"/>
                <w:szCs w:val="28"/>
                <w:highlight w:val="none"/>
              </w:rPr>
            </w:pPr>
          </w:p>
        </w:tc>
        <w:tc>
          <w:tcPr>
            <w:tcW w:w="1260" w:type="dxa"/>
            <w:noWrap w:val="0"/>
            <w:vAlign w:val="center"/>
          </w:tcPr>
          <w:p w14:paraId="4F6C023B">
            <w:pPr>
              <w:spacing w:line="420" w:lineRule="exact"/>
              <w:jc w:val="center"/>
              <w:rPr>
                <w:rFonts w:hint="eastAsia" w:ascii="宋体" w:hAnsi="宋体"/>
                <w:color w:val="auto"/>
                <w:sz w:val="28"/>
                <w:szCs w:val="28"/>
                <w:highlight w:val="none"/>
              </w:rPr>
            </w:pPr>
          </w:p>
        </w:tc>
      </w:tr>
      <w:tr w14:paraId="728D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noWrap w:val="0"/>
            <w:vAlign w:val="center"/>
          </w:tcPr>
          <w:p w14:paraId="5A4A1E17">
            <w:pPr>
              <w:spacing w:line="360" w:lineRule="auto"/>
              <w:rPr>
                <w:rFonts w:ascii="宋体" w:hAnsi="宋体"/>
                <w:color w:val="auto"/>
                <w:sz w:val="28"/>
                <w:szCs w:val="28"/>
                <w:highlight w:val="none"/>
              </w:rPr>
            </w:pPr>
            <w:r>
              <w:rPr>
                <w:rFonts w:hint="eastAsia" w:ascii="宋体" w:hAnsi="宋体"/>
                <w:color w:val="auto"/>
                <w:sz w:val="28"/>
                <w:szCs w:val="28"/>
                <w:highlight w:val="none"/>
              </w:rPr>
              <w:t>人民币合计金额（大写）          （小写</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rPr>
              <w:t>）</w:t>
            </w:r>
          </w:p>
        </w:tc>
      </w:tr>
    </w:tbl>
    <w:p w14:paraId="1CDD5E08">
      <w:pPr>
        <w:snapToGrid w:val="0"/>
        <w:spacing w:line="480" w:lineRule="exact"/>
        <w:ind w:firstLine="560" w:firstLineChars="200"/>
        <w:rPr>
          <w:rFonts w:hint="eastAsia" w:ascii="宋体" w:hAnsi="宋体"/>
          <w:color w:val="auto"/>
          <w:sz w:val="28"/>
          <w:szCs w:val="28"/>
          <w:highlight w:val="none"/>
        </w:rPr>
      </w:pPr>
      <w:r>
        <w:rPr>
          <w:rFonts w:hint="eastAsia" w:ascii="宋体" w:hAnsi="宋体" w:eastAsia="宋体" w:cs="Times New Roman"/>
          <w:color w:val="auto"/>
          <w:sz w:val="28"/>
          <w:szCs w:val="28"/>
          <w:highlight w:val="none"/>
          <w:lang w:val="en-US" w:eastAsia="zh-CN"/>
        </w:rPr>
        <w:t>2.</w:t>
      </w:r>
      <w:r>
        <w:rPr>
          <w:rFonts w:hint="eastAsia" w:ascii="宋体" w:hAnsi="宋体"/>
          <w:color w:val="auto"/>
          <w:sz w:val="28"/>
          <w:szCs w:val="28"/>
          <w:highlight w:val="none"/>
          <w:lang w:val="en-US" w:eastAsia="zh-CN"/>
        </w:rPr>
        <w:t>本合同金额实行中标暂定合同价，</w:t>
      </w:r>
      <w:r>
        <w:rPr>
          <w:rFonts w:hint="eastAsia" w:ascii="宋体" w:hAnsi="宋体"/>
          <w:color w:val="auto"/>
          <w:sz w:val="28"/>
          <w:szCs w:val="28"/>
          <w:highlight w:val="none"/>
        </w:rPr>
        <w:t>合同合计金额包括服务成果价款[（详见</w:t>
      </w:r>
      <w:r>
        <w:rPr>
          <w:rFonts w:hint="eastAsia" w:ascii="宋体" w:hAnsi="宋体"/>
          <w:color w:val="auto"/>
          <w:sz w:val="28"/>
          <w:szCs w:val="28"/>
          <w:highlight w:val="none"/>
          <w:lang w:val="en-US" w:eastAsia="zh-CN"/>
        </w:rPr>
        <w:t>开标一览表</w:t>
      </w:r>
      <w:r>
        <w:rPr>
          <w:rFonts w:hint="eastAsia" w:ascii="宋体" w:hAnsi="宋体"/>
          <w:color w:val="auto"/>
          <w:sz w:val="28"/>
          <w:szCs w:val="28"/>
          <w:highlight w:val="none"/>
        </w:rPr>
        <w:t>），以及为实现服务成果所包括的备件、专用工具、安装、调试、检验、</w:t>
      </w:r>
      <w:r>
        <w:rPr>
          <w:rFonts w:hint="eastAsia" w:ascii="宋体" w:hAnsi="宋体" w:cs="Times New Roman"/>
          <w:color w:val="auto"/>
          <w:sz w:val="28"/>
          <w:szCs w:val="28"/>
          <w:highlight w:val="none"/>
        </w:rPr>
        <w:t>保险、税金、</w:t>
      </w:r>
      <w:r>
        <w:rPr>
          <w:rFonts w:hint="eastAsia" w:ascii="宋体" w:hAnsi="宋体"/>
          <w:color w:val="auto"/>
          <w:sz w:val="28"/>
          <w:szCs w:val="28"/>
          <w:highlight w:val="none"/>
        </w:rPr>
        <w:t>技术培训及技术资料等全部费用]。如</w:t>
      </w:r>
      <w:r>
        <w:rPr>
          <w:rFonts w:hint="eastAsia" w:ascii="宋体" w:hAnsi="宋体"/>
          <w:color w:val="auto"/>
          <w:sz w:val="28"/>
          <w:szCs w:val="28"/>
          <w:highlight w:val="none"/>
          <w:lang w:eastAsia="zh-CN"/>
        </w:rPr>
        <w:t>招标文件</w:t>
      </w:r>
      <w:r>
        <w:rPr>
          <w:rFonts w:hint="eastAsia" w:ascii="宋体" w:hAnsi="宋体"/>
          <w:color w:val="auto"/>
          <w:sz w:val="28"/>
          <w:szCs w:val="28"/>
          <w:highlight w:val="none"/>
        </w:rPr>
        <w:t>、</w:t>
      </w:r>
      <w:r>
        <w:rPr>
          <w:rFonts w:hint="eastAsia" w:ascii="宋体" w:hAnsi="宋体"/>
          <w:color w:val="auto"/>
          <w:sz w:val="28"/>
          <w:szCs w:val="28"/>
          <w:highlight w:val="none"/>
          <w:lang w:eastAsia="zh-CN"/>
        </w:rPr>
        <w:t>投标文件</w:t>
      </w:r>
      <w:r>
        <w:rPr>
          <w:rFonts w:hint="eastAsia" w:ascii="宋体" w:hAnsi="宋体"/>
          <w:color w:val="auto"/>
          <w:sz w:val="28"/>
          <w:szCs w:val="28"/>
          <w:highlight w:val="none"/>
        </w:rPr>
        <w:t>对其另有规定的，从其规定。</w:t>
      </w:r>
    </w:p>
    <w:p w14:paraId="31E8D017">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color w:val="auto"/>
          <w:sz w:val="28"/>
          <w:szCs w:val="28"/>
          <w:highlight w:val="none"/>
        </w:rPr>
      </w:pPr>
      <w:r>
        <w:rPr>
          <w:rFonts w:hint="eastAsia" w:ascii="宋体" w:hAnsi="宋体"/>
          <w:b/>
          <w:color w:val="auto"/>
          <w:sz w:val="28"/>
          <w:szCs w:val="28"/>
          <w:highlight w:val="none"/>
        </w:rPr>
        <w:t>第二条　标的质量</w:t>
      </w:r>
    </w:p>
    <w:p w14:paraId="33E90AD5">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1.乙方所提供标的的名称、商标品牌、生产厂家、规格型号、技术参数等内容必须与乙方</w:t>
      </w:r>
      <w:r>
        <w:rPr>
          <w:rFonts w:hint="eastAsia" w:ascii="宋体" w:hAnsi="宋体"/>
          <w:color w:val="auto"/>
          <w:sz w:val="28"/>
          <w:szCs w:val="28"/>
          <w:highlight w:val="none"/>
          <w:lang w:val="en-US" w:eastAsia="zh-CN"/>
        </w:rPr>
        <w:t>投标</w:t>
      </w:r>
      <w:r>
        <w:rPr>
          <w:rFonts w:hint="eastAsia" w:ascii="宋体" w:hAnsi="宋体"/>
          <w:color w:val="auto"/>
          <w:sz w:val="28"/>
          <w:szCs w:val="28"/>
          <w:highlight w:val="none"/>
        </w:rPr>
        <w:t>文件及有关承诺相一致，且满足项目实施要求。</w:t>
      </w:r>
    </w:p>
    <w:p w14:paraId="74AB1A9C">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2.乙方所提供的货物必须是近两年全新、未使用的原装产品，且在正常安装、使用和保养条件下，其使用寿命期内各项指标均达到</w:t>
      </w:r>
      <w:r>
        <w:rPr>
          <w:rFonts w:hint="eastAsia" w:ascii="宋体" w:hAnsi="宋体"/>
          <w:color w:val="auto"/>
          <w:sz w:val="28"/>
          <w:szCs w:val="28"/>
          <w:highlight w:val="none"/>
          <w:lang w:val="en-US" w:eastAsia="zh-CN"/>
        </w:rPr>
        <w:t>投标</w:t>
      </w:r>
      <w:r>
        <w:rPr>
          <w:rFonts w:hint="eastAsia" w:ascii="宋体" w:hAnsi="宋体"/>
          <w:color w:val="auto"/>
          <w:sz w:val="28"/>
          <w:szCs w:val="28"/>
          <w:highlight w:val="none"/>
        </w:rPr>
        <w:t>文件的承诺。</w:t>
      </w:r>
    </w:p>
    <w:p w14:paraId="656E198F">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color w:val="auto"/>
          <w:sz w:val="28"/>
          <w:szCs w:val="28"/>
          <w:highlight w:val="none"/>
        </w:rPr>
      </w:pPr>
      <w:r>
        <w:rPr>
          <w:rFonts w:hint="eastAsia" w:ascii="宋体" w:hAnsi="宋体"/>
          <w:b/>
          <w:color w:val="auto"/>
          <w:sz w:val="28"/>
          <w:szCs w:val="28"/>
          <w:highlight w:val="none"/>
        </w:rPr>
        <w:t>第三条　</w:t>
      </w:r>
      <w:r>
        <w:rPr>
          <w:rFonts w:hint="eastAsia" w:ascii="宋体" w:hAnsi="宋体"/>
          <w:color w:val="auto"/>
          <w:sz w:val="28"/>
          <w:szCs w:val="28"/>
          <w:highlight w:val="none"/>
        </w:rPr>
        <w:t>履行时间（期限）、地点和方式</w:t>
      </w:r>
    </w:p>
    <w:p w14:paraId="6514EDE5">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u w:val="single"/>
        </w:rPr>
      </w:pPr>
      <w:r>
        <w:rPr>
          <w:rFonts w:hint="eastAsia" w:ascii="宋体" w:hAnsi="宋体" w:cs="宋体"/>
          <w:color w:val="auto"/>
          <w:sz w:val="28"/>
          <w:szCs w:val="28"/>
          <w:highlight w:val="none"/>
        </w:rPr>
        <w:t>1.履行时间（期限）：</w:t>
      </w:r>
      <w:r>
        <w:rPr>
          <w:rFonts w:hint="eastAsia" w:ascii="宋体" w:hAnsi="宋体"/>
          <w:color w:val="auto"/>
          <w:sz w:val="28"/>
          <w:szCs w:val="28"/>
          <w:highlight w:val="none"/>
          <w:u w:val="single"/>
        </w:rPr>
        <w:t>自合同签订之日起</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u w:val="single"/>
        </w:rPr>
        <w:t>日内通过验收并交付使用；</w:t>
      </w:r>
    </w:p>
    <w:p w14:paraId="3A7A2056">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s="宋体"/>
          <w:color w:val="auto"/>
          <w:sz w:val="28"/>
          <w:szCs w:val="28"/>
          <w:highlight w:val="none"/>
          <w:u w:val="none"/>
        </w:rPr>
      </w:pPr>
      <w:r>
        <w:rPr>
          <w:rFonts w:hint="eastAsia" w:ascii="宋体" w:hAnsi="宋体" w:cs="宋体"/>
          <w:color w:val="auto"/>
          <w:sz w:val="28"/>
          <w:szCs w:val="28"/>
          <w:highlight w:val="none"/>
        </w:rPr>
        <w:t>2.履行地点：</w:t>
      </w:r>
      <w:r>
        <w:rPr>
          <w:rFonts w:hint="eastAsia" w:ascii="宋体" w:hAnsi="宋体"/>
          <w:color w:val="auto"/>
          <w:sz w:val="28"/>
          <w:szCs w:val="28"/>
          <w:highlight w:val="none"/>
        </w:rPr>
        <w:t>广西防城金花茶国家级自然保护区范围内采购人指定的地点</w:t>
      </w:r>
      <w:r>
        <w:rPr>
          <w:rFonts w:hint="eastAsia" w:ascii="宋体" w:hAnsi="宋体" w:cs="宋体"/>
          <w:color w:val="auto"/>
          <w:sz w:val="28"/>
          <w:szCs w:val="28"/>
          <w:highlight w:val="none"/>
          <w:u w:val="none"/>
        </w:rPr>
        <w:t>；</w:t>
      </w:r>
    </w:p>
    <w:p w14:paraId="7EDBF804">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3.履行方式</w:t>
      </w:r>
    </w:p>
    <w:p w14:paraId="7CD3C61D">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w:t>
      </w:r>
      <w:r>
        <w:rPr>
          <w:rFonts w:hint="eastAsia" w:ascii="宋体" w:hAnsi="宋体"/>
          <w:color w:val="auto"/>
          <w:sz w:val="28"/>
          <w:szCs w:val="28"/>
          <w:highlight w:val="none"/>
        </w:rPr>
        <w:t>乙方负责货物运输，</w:t>
      </w:r>
      <w:r>
        <w:rPr>
          <w:rFonts w:hint="eastAsia" w:ascii="宋体" w:hAnsi="宋体" w:cs="宋体"/>
          <w:color w:val="auto"/>
          <w:sz w:val="28"/>
          <w:szCs w:val="28"/>
          <w:highlight w:val="none"/>
        </w:rPr>
        <w:t>货物的运输方式：</w:t>
      </w:r>
      <w:r>
        <w:rPr>
          <w:rFonts w:hint="eastAsia" w:ascii="宋体" w:hAnsi="宋体" w:cs="宋体"/>
          <w:color w:val="auto"/>
          <w:sz w:val="28"/>
          <w:szCs w:val="28"/>
          <w:highlight w:val="none"/>
          <w:u w:val="single"/>
        </w:rPr>
        <w:t>陆运等方式</w:t>
      </w:r>
      <w:r>
        <w:rPr>
          <w:rFonts w:hint="eastAsia" w:ascii="宋体" w:hAnsi="宋体" w:cs="宋体"/>
          <w:color w:val="auto"/>
          <w:sz w:val="28"/>
          <w:szCs w:val="28"/>
          <w:highlight w:val="none"/>
        </w:rPr>
        <w:t>。</w:t>
      </w:r>
    </w:p>
    <w:p w14:paraId="6EE4C15C">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sz w:val="28"/>
          <w:szCs w:val="28"/>
          <w:highlight w:val="none"/>
          <w:u w:val="none"/>
        </w:rPr>
      </w:pPr>
      <w:r>
        <w:rPr>
          <w:rFonts w:hint="eastAsia" w:ascii="宋体" w:hAnsi="宋体" w:cs="宋体"/>
          <w:color w:val="auto"/>
          <w:sz w:val="28"/>
          <w:szCs w:val="28"/>
          <w:highlight w:val="none"/>
        </w:rPr>
        <w:t>（2）交货方式：</w:t>
      </w:r>
      <w:r>
        <w:rPr>
          <w:rFonts w:hint="eastAsia" w:ascii="宋体" w:hAnsi="宋体" w:cs="宋体"/>
          <w:color w:val="auto"/>
          <w:sz w:val="28"/>
          <w:szCs w:val="28"/>
          <w:highlight w:val="none"/>
          <w:u w:val="none"/>
        </w:rPr>
        <w:t>乙方将货物送到甲方指定地点。</w:t>
      </w:r>
      <w:r>
        <w:rPr>
          <w:rFonts w:hint="eastAsia" w:ascii="宋体" w:hAnsi="宋体"/>
          <w:color w:val="auto"/>
          <w:sz w:val="28"/>
          <w:szCs w:val="28"/>
          <w:highlight w:val="none"/>
          <w:u w:val="none"/>
        </w:rPr>
        <w:t>乙方提供的</w:t>
      </w:r>
      <w:r>
        <w:rPr>
          <w:rFonts w:hint="eastAsia" w:ascii="宋体" w:hAnsi="宋体"/>
          <w:color w:val="auto"/>
          <w:sz w:val="28"/>
          <w:szCs w:val="28"/>
          <w:highlight w:val="none"/>
          <w:u w:val="none"/>
          <w:lang w:val="en-US" w:eastAsia="zh-CN"/>
        </w:rPr>
        <w:t>区域展示布展</w:t>
      </w:r>
      <w:r>
        <w:rPr>
          <w:rFonts w:hint="eastAsia" w:ascii="宋体" w:hAnsi="宋体"/>
          <w:color w:val="auto"/>
          <w:sz w:val="28"/>
          <w:szCs w:val="28"/>
          <w:highlight w:val="none"/>
          <w:u w:val="none"/>
        </w:rPr>
        <w:t>等成品类设备，经双方开箱清点核对后，存放于甲方科研监测基地。在项目尚未通过验收并移交前，项目所有设备均由乙方负责妥善保管。</w:t>
      </w:r>
    </w:p>
    <w:p w14:paraId="195B39E0">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kern w:val="0"/>
          <w:sz w:val="28"/>
          <w:szCs w:val="28"/>
          <w:highlight w:val="none"/>
        </w:rPr>
      </w:pPr>
      <w:r>
        <w:rPr>
          <w:rFonts w:hint="eastAsia" w:ascii="宋体" w:hAnsi="宋体"/>
          <w:color w:val="auto"/>
          <w:kern w:val="0"/>
          <w:sz w:val="28"/>
          <w:szCs w:val="28"/>
          <w:highlight w:val="none"/>
        </w:rPr>
        <w:t>4.甲乙双方现场代表及联系人</w:t>
      </w:r>
    </w:p>
    <w:p w14:paraId="659FD734">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kern w:val="0"/>
          <w:sz w:val="28"/>
          <w:szCs w:val="28"/>
          <w:highlight w:val="none"/>
        </w:rPr>
      </w:pPr>
      <w:r>
        <w:rPr>
          <w:rFonts w:hint="eastAsia" w:ascii="宋体" w:hAnsi="宋体"/>
          <w:color w:val="auto"/>
          <w:kern w:val="0"/>
          <w:sz w:val="28"/>
          <w:szCs w:val="28"/>
          <w:highlight w:val="none"/>
        </w:rPr>
        <w:t>（1）甲方施工现场代表人及联系方式：</w:t>
      </w:r>
    </w:p>
    <w:p w14:paraId="0547BC37">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eastAsia="宋体"/>
          <w:color w:val="auto"/>
          <w:sz w:val="28"/>
          <w:szCs w:val="28"/>
          <w:highlight w:val="none"/>
          <w:u w:val="single"/>
          <w:shd w:val="clear" w:color="auto" w:fill="FFFF00"/>
          <w:lang w:val="en-US" w:eastAsia="zh-CN"/>
        </w:rPr>
      </w:pPr>
      <w:r>
        <w:rPr>
          <w:rFonts w:hint="eastAsia" w:ascii="宋体" w:hAnsi="宋体"/>
          <w:color w:val="auto"/>
          <w:kern w:val="0"/>
          <w:sz w:val="28"/>
          <w:szCs w:val="28"/>
          <w:highlight w:val="none"/>
        </w:rPr>
        <w:t>（2）乙方施工现场代表人及联系方式：</w:t>
      </w:r>
    </w:p>
    <w:p w14:paraId="4C85E57D">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b/>
          <w:color w:val="auto"/>
          <w:sz w:val="28"/>
          <w:szCs w:val="28"/>
          <w:highlight w:val="none"/>
        </w:rPr>
      </w:pPr>
      <w:r>
        <w:rPr>
          <w:rFonts w:hint="eastAsia" w:ascii="宋体" w:hAnsi="宋体"/>
          <w:b/>
          <w:color w:val="auto"/>
          <w:sz w:val="28"/>
          <w:szCs w:val="28"/>
          <w:highlight w:val="none"/>
        </w:rPr>
        <w:t>第四条　包装方式</w:t>
      </w:r>
    </w:p>
    <w:p w14:paraId="64120DCC">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1.乙方提供的</w:t>
      </w:r>
      <w:r>
        <w:rPr>
          <w:rFonts w:hint="eastAsia" w:ascii="宋体" w:hAnsi="宋体"/>
          <w:color w:val="auto"/>
          <w:sz w:val="28"/>
          <w:szCs w:val="28"/>
          <w:highlight w:val="none"/>
          <w:lang w:val="en-US" w:eastAsia="zh-CN"/>
        </w:rPr>
        <w:t>服务设备</w:t>
      </w:r>
      <w:r>
        <w:rPr>
          <w:rFonts w:hint="eastAsia" w:ascii="宋体" w:hAnsi="宋体"/>
          <w:color w:val="auto"/>
          <w:sz w:val="28"/>
          <w:szCs w:val="28"/>
          <w:highlight w:val="none"/>
        </w:rPr>
        <w:t>均应按</w:t>
      </w:r>
      <w:r>
        <w:rPr>
          <w:rFonts w:hint="eastAsia" w:ascii="宋体" w:hAnsi="宋体"/>
          <w:color w:val="auto"/>
          <w:sz w:val="28"/>
          <w:szCs w:val="28"/>
          <w:highlight w:val="none"/>
          <w:lang w:val="en-US" w:eastAsia="zh-CN"/>
        </w:rPr>
        <w:t>招标</w:t>
      </w:r>
      <w:r>
        <w:rPr>
          <w:rFonts w:hint="eastAsia" w:ascii="宋体" w:hAnsi="宋体"/>
          <w:color w:val="auto"/>
          <w:sz w:val="28"/>
          <w:szCs w:val="28"/>
          <w:highlight w:val="none"/>
        </w:rPr>
        <w:t>文件的规定和</w:t>
      </w:r>
      <w:r>
        <w:rPr>
          <w:rFonts w:hint="eastAsia" w:ascii="宋体" w:hAnsi="宋体"/>
          <w:color w:val="auto"/>
          <w:sz w:val="28"/>
          <w:szCs w:val="28"/>
          <w:highlight w:val="none"/>
          <w:lang w:val="en-US" w:eastAsia="zh-CN"/>
        </w:rPr>
        <w:t>投标</w:t>
      </w:r>
      <w:r>
        <w:rPr>
          <w:rFonts w:hint="eastAsia" w:ascii="宋体" w:hAnsi="宋体"/>
          <w:color w:val="auto"/>
          <w:sz w:val="28"/>
          <w:szCs w:val="28"/>
          <w:highlight w:val="none"/>
        </w:rPr>
        <w:t>文件承诺的要求的包装材料、包装标准、包装方式进行包装。</w:t>
      </w:r>
    </w:p>
    <w:p w14:paraId="1F958806">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2.乙方应在</w:t>
      </w:r>
      <w:r>
        <w:rPr>
          <w:rFonts w:hint="eastAsia" w:ascii="宋体" w:hAnsi="宋体"/>
          <w:color w:val="auto"/>
          <w:kern w:val="0"/>
          <w:sz w:val="28"/>
          <w:szCs w:val="28"/>
          <w:highlight w:val="none"/>
          <w:lang w:val="en-US" w:eastAsia="zh-CN"/>
        </w:rPr>
        <w:t>设备</w:t>
      </w:r>
      <w:r>
        <w:rPr>
          <w:rFonts w:hint="eastAsia" w:ascii="宋体" w:hAnsi="宋体"/>
          <w:color w:val="auto"/>
          <w:kern w:val="0"/>
          <w:sz w:val="28"/>
          <w:szCs w:val="28"/>
          <w:highlight w:val="none"/>
        </w:rPr>
        <w:t>发运前对其进行满足运输距离、防水、防潮、防震、防锈和防破损装卸等要求包装，以保证货物安全运达甲方指定地点。</w:t>
      </w:r>
    </w:p>
    <w:p w14:paraId="377D2442">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ascii="宋体" w:hAnsi="宋体"/>
          <w:color w:val="auto"/>
          <w:sz w:val="28"/>
          <w:szCs w:val="28"/>
          <w:highlight w:val="none"/>
        </w:rPr>
        <w:t>3.</w:t>
      </w:r>
      <w:r>
        <w:rPr>
          <w:rFonts w:hint="eastAsia" w:ascii="宋体" w:hAnsi="宋体"/>
          <w:color w:val="auto"/>
          <w:sz w:val="28"/>
          <w:szCs w:val="28"/>
          <w:highlight w:val="none"/>
        </w:rPr>
        <w:t>货物的使用说明书、质量检验证明书、质量合格证、随配附件和工具以及清单一并附于货物包装内。</w:t>
      </w:r>
    </w:p>
    <w:p w14:paraId="3BED0086">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color w:val="auto"/>
          <w:sz w:val="28"/>
          <w:szCs w:val="28"/>
          <w:highlight w:val="none"/>
        </w:rPr>
      </w:pPr>
      <w:r>
        <w:rPr>
          <w:rFonts w:hint="eastAsia" w:ascii="宋体" w:hAnsi="宋体"/>
          <w:b/>
          <w:color w:val="auto"/>
          <w:sz w:val="28"/>
          <w:szCs w:val="28"/>
          <w:highlight w:val="none"/>
        </w:rPr>
        <w:t>第五条　安装和培训</w:t>
      </w:r>
    </w:p>
    <w:p w14:paraId="7FF18BCF">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eastAsia="宋体"/>
          <w:color w:val="auto"/>
          <w:sz w:val="28"/>
          <w:szCs w:val="28"/>
          <w:highlight w:val="none"/>
          <w:lang w:eastAsia="zh-CN"/>
        </w:rPr>
      </w:pPr>
      <w:r>
        <w:rPr>
          <w:rFonts w:hint="eastAsia" w:ascii="宋体" w:hAnsi="宋体"/>
          <w:color w:val="auto"/>
          <w:sz w:val="28"/>
          <w:szCs w:val="28"/>
          <w:highlight w:val="none"/>
        </w:rPr>
        <w:t>1.安装时间：</w:t>
      </w:r>
      <w:r>
        <w:rPr>
          <w:rFonts w:hint="eastAsia" w:ascii="宋体" w:hAnsi="宋体"/>
          <w:color w:val="auto"/>
          <w:sz w:val="28"/>
          <w:szCs w:val="28"/>
          <w:highlight w:val="none"/>
          <w:u w:val="single"/>
        </w:rPr>
        <w:t xml:space="preserve"> 设备到达后，厂家及乙方将派专业人员到设备安装现场，指导卸货，确保设备完整、安全、正确的卸到设备安装场地</w:t>
      </w:r>
      <w:r>
        <w:rPr>
          <w:rFonts w:hint="eastAsia" w:ascii="宋体" w:hAnsi="宋体"/>
          <w:color w:val="auto"/>
          <w:sz w:val="28"/>
          <w:szCs w:val="28"/>
          <w:highlight w:val="none"/>
          <w:lang w:eastAsia="zh-CN"/>
        </w:rPr>
        <w:t>。</w:t>
      </w:r>
    </w:p>
    <w:p w14:paraId="54F0B733">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安装地点：广西防城金花茶国家级自然保护区范围内</w:t>
      </w:r>
      <w:r>
        <w:rPr>
          <w:rFonts w:hint="eastAsia" w:ascii="宋体" w:hAnsi="宋体"/>
          <w:color w:val="auto"/>
          <w:sz w:val="28"/>
          <w:szCs w:val="28"/>
          <w:highlight w:val="none"/>
          <w:lang w:val="en-US" w:eastAsia="zh-CN"/>
        </w:rPr>
        <w:t>甲方</w:t>
      </w:r>
      <w:r>
        <w:rPr>
          <w:rFonts w:hint="eastAsia" w:ascii="宋体" w:hAnsi="宋体"/>
          <w:color w:val="auto"/>
          <w:sz w:val="28"/>
          <w:szCs w:val="28"/>
          <w:highlight w:val="none"/>
        </w:rPr>
        <w:t>指定的地点。</w:t>
      </w:r>
    </w:p>
    <w:p w14:paraId="45274BFD">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2.安装要求：</w:t>
      </w:r>
      <w:r>
        <w:rPr>
          <w:rFonts w:hint="eastAsia" w:ascii="宋体" w:hAnsi="宋体"/>
          <w:color w:val="auto"/>
          <w:sz w:val="28"/>
          <w:szCs w:val="28"/>
          <w:highlight w:val="none"/>
          <w:u w:val="single"/>
        </w:rPr>
        <w:t>安装之前，乙方应先对用户人员进行现场培训。开始安装时，应让甲方有关人员人员参与安装、检测和排除故障。乙方在施工、安装、调试等全过程中接受甲方的监督。</w:t>
      </w:r>
    </w:p>
    <w:p w14:paraId="61A38AA9">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3.乙方应当按照采购文件的规定和响应文件的承诺对甲方有关人员进行培训。培训时间：</w:t>
      </w:r>
      <w:r>
        <w:rPr>
          <w:rFonts w:hint="eastAsia" w:ascii="宋体" w:hAnsi="宋体"/>
          <w:color w:val="auto"/>
          <w:sz w:val="28"/>
          <w:szCs w:val="28"/>
          <w:highlight w:val="none"/>
          <w:u w:val="single"/>
        </w:rPr>
        <w:t xml:space="preserve"> 由甲方确定具体时间</w:t>
      </w:r>
      <w:r>
        <w:rPr>
          <w:rFonts w:hint="eastAsia" w:ascii="宋体" w:hAnsi="宋体"/>
          <w:color w:val="auto"/>
          <w:sz w:val="28"/>
          <w:szCs w:val="28"/>
          <w:highlight w:val="none"/>
        </w:rPr>
        <w:t>；培训地点：</w:t>
      </w:r>
      <w:r>
        <w:rPr>
          <w:rFonts w:hint="eastAsia" w:ascii="宋体" w:hAnsi="宋体"/>
          <w:color w:val="auto"/>
          <w:sz w:val="28"/>
          <w:szCs w:val="28"/>
          <w:highlight w:val="none"/>
          <w:u w:val="single"/>
        </w:rPr>
        <w:t xml:space="preserve"> 由甲方确定</w:t>
      </w:r>
      <w:r>
        <w:rPr>
          <w:rFonts w:hint="eastAsia" w:ascii="宋体" w:hAnsi="宋体"/>
          <w:color w:val="auto"/>
          <w:sz w:val="28"/>
          <w:szCs w:val="28"/>
          <w:highlight w:val="none"/>
        </w:rPr>
        <w:t>。培训直至甲方人员熟练使用设备为止。</w:t>
      </w:r>
    </w:p>
    <w:p w14:paraId="1C561C01">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4.乙方务必按照安全生产等有关法规、标准和程序，组织开展施工，并对项目施工中产生的一切安全问题负责。</w:t>
      </w:r>
    </w:p>
    <w:p w14:paraId="3F9E0412">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b/>
          <w:color w:val="auto"/>
          <w:sz w:val="28"/>
          <w:szCs w:val="28"/>
          <w:highlight w:val="none"/>
        </w:rPr>
      </w:pPr>
      <w:r>
        <w:rPr>
          <w:rFonts w:hint="eastAsia" w:ascii="宋体" w:hAnsi="宋体"/>
          <w:b/>
          <w:color w:val="auto"/>
          <w:sz w:val="28"/>
          <w:szCs w:val="28"/>
          <w:highlight w:val="none"/>
        </w:rPr>
        <w:t>第六条　合同价款</w:t>
      </w:r>
      <w:r>
        <w:rPr>
          <w:rFonts w:hint="eastAsia" w:ascii="宋体" w:hAnsi="宋体"/>
          <w:color w:val="auto"/>
          <w:kern w:val="0"/>
          <w:sz w:val="28"/>
          <w:szCs w:val="28"/>
          <w:highlight w:val="none"/>
          <w:lang w:eastAsia="zh-CN"/>
        </w:rPr>
        <w:t>（</w:t>
      </w:r>
      <w:r>
        <w:rPr>
          <w:rFonts w:hint="eastAsia" w:ascii="宋体" w:hAnsi="宋体"/>
          <w:color w:val="auto"/>
          <w:kern w:val="0"/>
          <w:sz w:val="28"/>
          <w:szCs w:val="28"/>
          <w:highlight w:val="none"/>
          <w:lang w:val="en-US" w:eastAsia="zh-CN"/>
        </w:rPr>
        <w:t>暂定合同价</w:t>
      </w:r>
      <w:r>
        <w:rPr>
          <w:rFonts w:hint="eastAsia" w:ascii="宋体" w:hAnsi="宋体"/>
          <w:color w:val="auto"/>
          <w:kern w:val="0"/>
          <w:sz w:val="28"/>
          <w:szCs w:val="28"/>
          <w:highlight w:val="none"/>
          <w:lang w:eastAsia="zh-CN"/>
        </w:rPr>
        <w:t>）</w:t>
      </w:r>
      <w:r>
        <w:rPr>
          <w:rFonts w:hint="eastAsia" w:ascii="宋体" w:hAnsi="宋体"/>
          <w:b/>
          <w:color w:val="auto"/>
          <w:sz w:val="28"/>
          <w:szCs w:val="28"/>
          <w:highlight w:val="none"/>
        </w:rPr>
        <w:t>及支付</w:t>
      </w:r>
    </w:p>
    <w:p w14:paraId="340442D1">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1.本合同以人民币付款。</w:t>
      </w:r>
    </w:p>
    <w:p w14:paraId="70AC7098">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eastAsia="宋体"/>
          <w:color w:val="auto"/>
          <w:kern w:val="0"/>
          <w:sz w:val="28"/>
          <w:szCs w:val="28"/>
          <w:highlight w:val="none"/>
          <w:lang w:eastAsia="zh-CN"/>
        </w:rPr>
      </w:pPr>
      <w:r>
        <w:rPr>
          <w:rFonts w:hint="eastAsia" w:ascii="宋体" w:hAnsi="宋体"/>
          <w:color w:val="auto"/>
          <w:kern w:val="0"/>
          <w:sz w:val="28"/>
          <w:szCs w:val="28"/>
          <w:highlight w:val="none"/>
        </w:rPr>
        <w:t>2.合同价款</w:t>
      </w:r>
      <w:r>
        <w:rPr>
          <w:rFonts w:hint="eastAsia" w:ascii="宋体" w:hAnsi="宋体"/>
          <w:color w:val="auto"/>
          <w:kern w:val="0"/>
          <w:sz w:val="28"/>
          <w:szCs w:val="28"/>
          <w:highlight w:val="none"/>
          <w:lang w:eastAsia="zh-CN"/>
        </w:rPr>
        <w:t>（</w:t>
      </w:r>
      <w:r>
        <w:rPr>
          <w:rFonts w:hint="eastAsia" w:ascii="宋体" w:hAnsi="宋体"/>
          <w:color w:val="auto"/>
          <w:kern w:val="0"/>
          <w:sz w:val="28"/>
          <w:szCs w:val="28"/>
          <w:highlight w:val="none"/>
          <w:lang w:val="en-US" w:eastAsia="zh-CN"/>
        </w:rPr>
        <w:t>暂定合同价</w:t>
      </w:r>
      <w:r>
        <w:rPr>
          <w:rFonts w:hint="eastAsia" w:ascii="宋体" w:hAnsi="宋体"/>
          <w:color w:val="auto"/>
          <w:kern w:val="0"/>
          <w:sz w:val="28"/>
          <w:szCs w:val="28"/>
          <w:highlight w:val="none"/>
          <w:lang w:eastAsia="zh-CN"/>
        </w:rPr>
        <w:t>）</w:t>
      </w:r>
      <w:r>
        <w:rPr>
          <w:rFonts w:hint="eastAsia" w:ascii="宋体" w:hAnsi="宋体"/>
          <w:color w:val="auto"/>
          <w:kern w:val="0"/>
          <w:sz w:val="28"/>
          <w:szCs w:val="28"/>
          <w:highlight w:val="none"/>
        </w:rPr>
        <w:t>：</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sz w:val="28"/>
          <w:szCs w:val="28"/>
          <w:highlight w:val="none"/>
          <w:u w:val="single"/>
        </w:rPr>
        <w:t>（¥</w:t>
      </w:r>
      <w:r>
        <w:rPr>
          <w:rFonts w:hint="eastAsia" w:ascii="宋体" w:hAnsi="宋体"/>
          <w:color w:val="auto"/>
          <w:sz w:val="28"/>
          <w:szCs w:val="28"/>
          <w:highlight w:val="none"/>
          <w:u w:val="single"/>
          <w:lang w:val="en-US" w:eastAsia="zh-CN"/>
        </w:rPr>
        <w:t xml:space="preserve">    元</w:t>
      </w:r>
      <w:r>
        <w:rPr>
          <w:rFonts w:hint="eastAsia" w:ascii="宋体" w:hAnsi="宋体"/>
          <w:color w:val="auto"/>
          <w:sz w:val="28"/>
          <w:szCs w:val="28"/>
          <w:highlight w:val="none"/>
          <w:u w:val="single"/>
        </w:rPr>
        <w:t>）</w:t>
      </w:r>
      <w:r>
        <w:rPr>
          <w:rFonts w:hint="eastAsia" w:ascii="宋体" w:hAnsi="宋体"/>
          <w:color w:val="auto"/>
          <w:sz w:val="28"/>
          <w:szCs w:val="28"/>
          <w:highlight w:val="none"/>
          <w:u w:val="none"/>
        </w:rPr>
        <w:t xml:space="preserve"> </w:t>
      </w:r>
      <w:r>
        <w:rPr>
          <w:rFonts w:hint="eastAsia" w:ascii="宋体" w:hAnsi="宋体"/>
          <w:color w:val="auto"/>
          <w:sz w:val="28"/>
          <w:szCs w:val="28"/>
          <w:highlight w:val="none"/>
          <w:u w:val="none"/>
          <w:lang w:eastAsia="zh-CN"/>
        </w:rPr>
        <w:t>。</w:t>
      </w:r>
    </w:p>
    <w:p w14:paraId="2507108C">
      <w:pPr>
        <w:keepNext w:val="0"/>
        <w:keepLines w:val="0"/>
        <w:pageBreakBefore w:val="0"/>
        <w:widowControl w:val="0"/>
        <w:kinsoku/>
        <w:wordWrap/>
        <w:overflowPunct/>
        <w:topLinePunct w:val="0"/>
        <w:bidi w:val="0"/>
        <w:snapToGrid w:val="0"/>
        <w:spacing w:line="480" w:lineRule="exact"/>
        <w:ind w:left="0" w:leftChars="0" w:right="0"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w:t>
      </w:r>
      <w:r>
        <w:rPr>
          <w:rFonts w:hint="eastAsia" w:ascii="宋体" w:hAnsi="宋体" w:cs="宋体"/>
          <w:color w:val="auto"/>
          <w:sz w:val="28"/>
          <w:szCs w:val="28"/>
          <w:highlight w:val="none"/>
          <w:lang w:val="en-US" w:eastAsia="zh-CN"/>
        </w:rPr>
        <w:t>本</w:t>
      </w:r>
      <w:r>
        <w:rPr>
          <w:rFonts w:hint="eastAsia" w:ascii="宋体" w:hAnsi="宋体" w:eastAsia="宋体" w:cs="宋体"/>
          <w:color w:val="auto"/>
          <w:sz w:val="28"/>
          <w:szCs w:val="28"/>
          <w:highlight w:val="none"/>
        </w:rPr>
        <w:t>合同价款</w:t>
      </w:r>
      <w:r>
        <w:rPr>
          <w:rFonts w:hint="eastAsia" w:ascii="宋体" w:hAnsi="宋体" w:cs="宋体"/>
          <w:color w:val="auto"/>
          <w:sz w:val="28"/>
          <w:szCs w:val="28"/>
          <w:highlight w:val="none"/>
          <w:lang w:val="en-US" w:eastAsia="zh-CN"/>
        </w:rPr>
        <w:t>为暂定合同价</w:t>
      </w:r>
      <w:r>
        <w:rPr>
          <w:rFonts w:hint="eastAsia" w:ascii="宋体" w:hAnsi="宋体" w:eastAsia="宋体" w:cs="宋体"/>
          <w:color w:val="auto"/>
          <w:sz w:val="28"/>
          <w:szCs w:val="28"/>
          <w:highlight w:val="none"/>
        </w:rPr>
        <w:t>，</w:t>
      </w:r>
      <w:r>
        <w:rPr>
          <w:rFonts w:hint="eastAsia" w:ascii="宋体" w:hAnsi="宋体" w:cs="宋体"/>
          <w:color w:val="auto"/>
          <w:spacing w:val="0"/>
          <w:sz w:val="28"/>
          <w:szCs w:val="28"/>
          <w:highlight w:val="none"/>
          <w:lang w:val="en-US" w:eastAsia="zh-CN"/>
        </w:rPr>
        <w:t>其中</w:t>
      </w:r>
      <w:r>
        <w:rPr>
          <w:rFonts w:hint="eastAsia" w:ascii="宋体" w:hAnsi="宋体" w:cs="宋体"/>
          <w:color w:val="auto"/>
          <w:spacing w:val="0"/>
          <w:sz w:val="28"/>
          <w:szCs w:val="28"/>
          <w:highlight w:val="none"/>
          <w:lang w:eastAsia="zh-CN"/>
        </w:rPr>
        <w:t>区域环境渲染及装饰</w:t>
      </w:r>
      <w:r>
        <w:rPr>
          <w:rFonts w:hint="eastAsia" w:ascii="宋体" w:hAnsi="宋体" w:cs="宋体"/>
          <w:color w:val="auto"/>
          <w:spacing w:val="0"/>
          <w:sz w:val="28"/>
          <w:szCs w:val="28"/>
          <w:highlight w:val="none"/>
          <w:lang w:val="en-US" w:eastAsia="zh-CN"/>
        </w:rPr>
        <w:t>根据竣工时以实际发生的工程量进行结算（根据业主审定后的施工图纸按规范套取清单定额计价，并按合同约定以实际发生的工程量进行结算）</w:t>
      </w:r>
      <w:r>
        <w:rPr>
          <w:rFonts w:hint="eastAsia" w:ascii="宋体" w:hAnsi="宋体" w:eastAsia="宋体" w:cs="宋体"/>
          <w:color w:val="auto"/>
          <w:spacing w:val="0"/>
          <w:sz w:val="28"/>
          <w:szCs w:val="28"/>
          <w:highlight w:val="none"/>
          <w:u w:val="none"/>
          <w:lang w:eastAsia="zh-CN"/>
        </w:rPr>
        <w:t>，</w:t>
      </w:r>
      <w:r>
        <w:rPr>
          <w:rFonts w:hint="eastAsia" w:ascii="宋体" w:hAnsi="宋体" w:cs="宋体"/>
          <w:color w:val="auto"/>
          <w:spacing w:val="0"/>
          <w:sz w:val="28"/>
          <w:szCs w:val="28"/>
          <w:highlight w:val="none"/>
          <w:lang w:val="en-US" w:eastAsia="zh-CN"/>
        </w:rPr>
        <w:t>本项目最终结算价不得超过招标中标价。</w:t>
      </w:r>
      <w:r>
        <w:rPr>
          <w:rFonts w:hint="eastAsia" w:ascii="宋体" w:hAnsi="宋体" w:eastAsia="宋体" w:cs="宋体"/>
          <w:color w:val="auto"/>
          <w:sz w:val="28"/>
          <w:szCs w:val="28"/>
          <w:highlight w:val="none"/>
        </w:rPr>
        <w:t>包括投标</w:t>
      </w:r>
      <w:r>
        <w:rPr>
          <w:rFonts w:hint="eastAsia" w:ascii="宋体" w:hAnsi="宋体" w:eastAsia="宋体" w:cs="宋体"/>
          <w:color w:val="auto"/>
          <w:sz w:val="28"/>
          <w:szCs w:val="28"/>
          <w:highlight w:val="none"/>
          <w:lang w:val="en-US" w:eastAsia="zh-CN"/>
        </w:rPr>
        <w:t>服务</w:t>
      </w:r>
      <w:r>
        <w:rPr>
          <w:rFonts w:hint="eastAsia" w:ascii="宋体" w:hAnsi="宋体" w:eastAsia="宋体" w:cs="宋体"/>
          <w:color w:val="auto"/>
          <w:sz w:val="28"/>
          <w:szCs w:val="28"/>
          <w:highlight w:val="none"/>
        </w:rPr>
        <w:t>（包括硬件设备及软件、备品备件、专用工具等）的价格，投标货物运输（含保险）、安装、调试、检验、技术服务、培训、招标代理服务费用，验收费用（包含但不限于验收时所产生的相关检测费用、专家验收费等）、合理利润及税费及招标文件要求提供的所有伴随服务、工程等一切费用。</w:t>
      </w:r>
    </w:p>
    <w:p w14:paraId="704E8B08">
      <w:pPr>
        <w:keepNext w:val="0"/>
        <w:keepLines w:val="0"/>
        <w:pageBreakBefore w:val="0"/>
        <w:widowControl w:val="0"/>
        <w:kinsoku/>
        <w:wordWrap/>
        <w:overflowPunct/>
        <w:topLinePunct w:val="0"/>
        <w:bidi w:val="0"/>
        <w:snapToGrid w:val="0"/>
        <w:spacing w:line="480" w:lineRule="exact"/>
        <w:ind w:left="0" w:leftChars="0" w:right="0"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4.付款进度安排：采用分期付款方式分</w:t>
      </w:r>
      <w:r>
        <w:rPr>
          <w:rFonts w:hint="eastAsia" w:ascii="宋体" w:hAnsi="宋体" w:cs="宋体"/>
          <w:color w:val="auto"/>
          <w:sz w:val="28"/>
          <w:szCs w:val="28"/>
          <w:highlight w:val="none"/>
          <w:lang w:val="en-US" w:eastAsia="zh-CN"/>
        </w:rPr>
        <w:t>五</w:t>
      </w:r>
      <w:r>
        <w:rPr>
          <w:rFonts w:hint="eastAsia" w:ascii="宋体" w:hAnsi="宋体" w:eastAsia="宋体" w:cs="宋体"/>
          <w:color w:val="auto"/>
          <w:sz w:val="28"/>
          <w:szCs w:val="28"/>
          <w:highlight w:val="none"/>
        </w:rPr>
        <w:t>次付款。</w:t>
      </w:r>
    </w:p>
    <w:p w14:paraId="2CEBEDCA">
      <w:pPr>
        <w:tabs>
          <w:tab w:val="left" w:pos="180"/>
          <w:tab w:val="left" w:pos="1620"/>
        </w:tabs>
        <w:spacing w:line="360" w:lineRule="auto"/>
        <w:ind w:firstLine="560" w:firstLineChars="200"/>
        <w:contextualSpacing w:val="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1</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在签订合同后，</w:t>
      </w:r>
      <w:r>
        <w:rPr>
          <w:rFonts w:hint="eastAsia" w:ascii="宋体" w:hAnsi="宋体" w:cs="宋体"/>
          <w:color w:val="auto"/>
          <w:sz w:val="28"/>
          <w:szCs w:val="28"/>
          <w:highlight w:val="none"/>
          <w:lang w:val="en-US" w:eastAsia="zh-CN"/>
        </w:rPr>
        <w:t>乙方</w:t>
      </w:r>
      <w:r>
        <w:rPr>
          <w:rFonts w:hint="eastAsia" w:ascii="宋体" w:hAnsi="宋体" w:cs="宋体"/>
          <w:color w:val="auto"/>
          <w:sz w:val="28"/>
          <w:szCs w:val="28"/>
          <w:highlight w:val="none"/>
        </w:rPr>
        <w:t>支付</w:t>
      </w:r>
      <w:r>
        <w:rPr>
          <w:rFonts w:hint="eastAsia" w:ascii="宋体" w:hAnsi="宋体" w:cs="宋体"/>
          <w:color w:val="auto"/>
          <w:sz w:val="28"/>
          <w:szCs w:val="28"/>
          <w:highlight w:val="none"/>
          <w:lang w:val="en-US" w:eastAsia="zh-CN"/>
        </w:rPr>
        <w:t>合同</w:t>
      </w:r>
      <w:r>
        <w:rPr>
          <w:rFonts w:hint="eastAsia" w:ascii="宋体" w:hAnsi="宋体" w:cs="宋体"/>
          <w:color w:val="auto"/>
          <w:sz w:val="28"/>
          <w:szCs w:val="28"/>
          <w:highlight w:val="none"/>
        </w:rPr>
        <w:t>金额的5%作为履约保证金（</w:t>
      </w:r>
      <w:r>
        <w:rPr>
          <w:rFonts w:hint="eastAsia" w:ascii="宋体" w:hAnsi="宋体" w:cs="宋体"/>
          <w:color w:val="auto"/>
          <w:sz w:val="28"/>
          <w:szCs w:val="28"/>
          <w:highlight w:val="none"/>
          <w:lang w:val="en-US" w:eastAsia="zh-CN"/>
        </w:rPr>
        <w:t>乙方</w:t>
      </w:r>
      <w:r>
        <w:rPr>
          <w:rFonts w:hint="eastAsia" w:ascii="宋体" w:hAnsi="宋体" w:cs="宋体"/>
          <w:color w:val="auto"/>
          <w:sz w:val="28"/>
          <w:szCs w:val="28"/>
          <w:highlight w:val="none"/>
        </w:rPr>
        <w:t>如为中小企业的，按</w:t>
      </w:r>
      <w:r>
        <w:rPr>
          <w:rFonts w:hint="eastAsia" w:ascii="宋体" w:hAnsi="宋体" w:cs="宋体"/>
          <w:color w:val="auto"/>
          <w:sz w:val="28"/>
          <w:szCs w:val="28"/>
          <w:highlight w:val="none"/>
          <w:lang w:val="en-US" w:eastAsia="zh-CN"/>
        </w:rPr>
        <w:t>合同</w:t>
      </w:r>
      <w:r>
        <w:rPr>
          <w:rFonts w:hint="eastAsia" w:ascii="宋体" w:hAnsi="宋体" w:cs="宋体"/>
          <w:color w:val="auto"/>
          <w:sz w:val="28"/>
          <w:szCs w:val="28"/>
          <w:highlight w:val="none"/>
        </w:rPr>
        <w:t>金额的2%）</w:t>
      </w:r>
      <w:r>
        <w:rPr>
          <w:rFonts w:hint="eastAsia" w:ascii="宋体" w:hAnsi="宋体" w:cs="宋体"/>
          <w:color w:val="auto"/>
          <w:sz w:val="28"/>
          <w:szCs w:val="28"/>
          <w:highlight w:val="none"/>
          <w:lang w:eastAsia="zh-CN"/>
        </w:rPr>
        <w:t>；</w:t>
      </w:r>
    </w:p>
    <w:p w14:paraId="22A987D4">
      <w:pPr>
        <w:tabs>
          <w:tab w:val="left" w:pos="180"/>
          <w:tab w:val="left" w:pos="1620"/>
        </w:tabs>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第一次付款：甲方</w:t>
      </w:r>
      <w:r>
        <w:rPr>
          <w:rFonts w:hint="eastAsia" w:ascii="宋体" w:hAnsi="宋体" w:cs="宋体"/>
          <w:color w:val="auto"/>
          <w:sz w:val="28"/>
          <w:szCs w:val="28"/>
          <w:highlight w:val="none"/>
        </w:rPr>
        <w:t>收到履约保证金后在</w:t>
      </w:r>
      <w:r>
        <w:rPr>
          <w:rFonts w:hint="eastAsia" w:ascii="宋体" w:hAnsi="宋体" w:cs="宋体"/>
          <w:color w:val="auto"/>
          <w:sz w:val="28"/>
          <w:szCs w:val="28"/>
          <w:highlight w:val="none"/>
          <w:lang w:val="en-US" w:eastAsia="zh-CN"/>
        </w:rPr>
        <w:t>10</w:t>
      </w:r>
      <w:r>
        <w:rPr>
          <w:rFonts w:hint="eastAsia" w:ascii="宋体" w:hAnsi="宋体" w:cs="宋体"/>
          <w:color w:val="auto"/>
          <w:sz w:val="28"/>
          <w:szCs w:val="28"/>
          <w:highlight w:val="none"/>
        </w:rPr>
        <w:t>个工作日内向</w:t>
      </w:r>
      <w:r>
        <w:rPr>
          <w:rFonts w:hint="eastAsia" w:ascii="宋体" w:hAnsi="宋体" w:cs="宋体"/>
          <w:color w:val="auto"/>
          <w:sz w:val="28"/>
          <w:szCs w:val="28"/>
          <w:highlight w:val="none"/>
          <w:lang w:val="en-US" w:eastAsia="zh-CN"/>
        </w:rPr>
        <w:t>乙方</w:t>
      </w:r>
      <w:r>
        <w:rPr>
          <w:rFonts w:hint="eastAsia" w:ascii="宋体" w:hAnsi="宋体" w:cs="宋体"/>
          <w:color w:val="auto"/>
          <w:sz w:val="28"/>
          <w:szCs w:val="28"/>
          <w:highlight w:val="none"/>
        </w:rPr>
        <w:t>支付合同金额的</w:t>
      </w:r>
      <w:r>
        <w:rPr>
          <w:rFonts w:hint="eastAsia" w:ascii="宋体" w:hAnsi="宋体" w:cs="宋体"/>
          <w:color w:val="auto"/>
          <w:sz w:val="28"/>
          <w:szCs w:val="28"/>
          <w:highlight w:val="none"/>
          <w:lang w:val="en-US" w:eastAsia="zh-CN"/>
        </w:rPr>
        <w:t>10</w:t>
      </w:r>
      <w:r>
        <w:rPr>
          <w:rFonts w:hint="eastAsia" w:ascii="宋体" w:hAnsi="宋体" w:cs="宋体"/>
          <w:color w:val="auto"/>
          <w:sz w:val="28"/>
          <w:szCs w:val="28"/>
          <w:highlight w:val="none"/>
        </w:rPr>
        <w:t>％作为预付款；</w:t>
      </w:r>
    </w:p>
    <w:p w14:paraId="5CF172E5">
      <w:pPr>
        <w:tabs>
          <w:tab w:val="left" w:pos="180"/>
          <w:tab w:val="left" w:pos="1620"/>
        </w:tabs>
        <w:spacing w:line="360" w:lineRule="auto"/>
        <w:ind w:firstLine="560" w:firstLineChars="200"/>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3</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第二次付款：乙方提交布展展陈大纲，经甲方确认后，10</w:t>
      </w:r>
      <w:r>
        <w:rPr>
          <w:rFonts w:hint="eastAsia" w:ascii="宋体" w:hAnsi="宋体" w:cs="宋体"/>
          <w:color w:val="auto"/>
          <w:sz w:val="28"/>
          <w:szCs w:val="28"/>
          <w:highlight w:val="none"/>
        </w:rPr>
        <w:t>个工作日内向</w:t>
      </w:r>
      <w:r>
        <w:rPr>
          <w:rFonts w:hint="eastAsia" w:ascii="宋体" w:hAnsi="宋体" w:cs="宋体"/>
          <w:color w:val="auto"/>
          <w:sz w:val="28"/>
          <w:szCs w:val="28"/>
          <w:highlight w:val="none"/>
          <w:lang w:val="en-US" w:eastAsia="zh-CN"/>
        </w:rPr>
        <w:t>乙方</w:t>
      </w:r>
      <w:r>
        <w:rPr>
          <w:rFonts w:hint="eastAsia" w:ascii="宋体" w:hAnsi="宋体" w:cs="宋体"/>
          <w:color w:val="auto"/>
          <w:sz w:val="28"/>
          <w:szCs w:val="28"/>
          <w:highlight w:val="none"/>
        </w:rPr>
        <w:t>支付合同金额的</w:t>
      </w:r>
      <w:r>
        <w:rPr>
          <w:rFonts w:hint="eastAsia" w:ascii="宋体" w:hAnsi="宋体" w:cs="宋体"/>
          <w:color w:val="auto"/>
          <w:sz w:val="28"/>
          <w:szCs w:val="28"/>
          <w:highlight w:val="none"/>
          <w:lang w:val="en-US" w:eastAsia="zh-CN"/>
        </w:rPr>
        <w:t>10</w:t>
      </w:r>
      <w:r>
        <w:rPr>
          <w:rFonts w:hint="eastAsia" w:ascii="宋体" w:hAnsi="宋体" w:cs="宋体"/>
          <w:color w:val="auto"/>
          <w:sz w:val="28"/>
          <w:szCs w:val="28"/>
          <w:highlight w:val="none"/>
        </w:rPr>
        <w:t>％作为</w:t>
      </w:r>
      <w:r>
        <w:rPr>
          <w:rFonts w:hint="eastAsia" w:ascii="宋体" w:hAnsi="宋体" w:cs="宋体"/>
          <w:color w:val="auto"/>
          <w:sz w:val="28"/>
          <w:szCs w:val="28"/>
          <w:highlight w:val="none"/>
          <w:lang w:val="en-US" w:eastAsia="zh-CN"/>
        </w:rPr>
        <w:t>进度</w:t>
      </w:r>
      <w:r>
        <w:rPr>
          <w:rFonts w:hint="eastAsia" w:ascii="宋体" w:hAnsi="宋体" w:cs="宋体"/>
          <w:color w:val="auto"/>
          <w:sz w:val="28"/>
          <w:szCs w:val="28"/>
          <w:highlight w:val="none"/>
        </w:rPr>
        <w:t>款；</w:t>
      </w:r>
    </w:p>
    <w:p w14:paraId="71F5A96E">
      <w:pPr>
        <w:tabs>
          <w:tab w:val="left" w:pos="180"/>
          <w:tab w:val="left" w:pos="1620"/>
        </w:tabs>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4</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第三次付款：乙方</w:t>
      </w:r>
      <w:r>
        <w:rPr>
          <w:rFonts w:hint="eastAsia" w:ascii="宋体" w:hAnsi="宋体" w:cs="宋体"/>
          <w:color w:val="auto"/>
          <w:sz w:val="28"/>
          <w:szCs w:val="28"/>
          <w:highlight w:val="none"/>
        </w:rPr>
        <w:t>完成</w:t>
      </w:r>
      <w:r>
        <w:rPr>
          <w:rFonts w:hint="eastAsia" w:ascii="宋体" w:hAnsi="宋体" w:cs="宋体"/>
          <w:color w:val="auto"/>
          <w:sz w:val="28"/>
          <w:szCs w:val="28"/>
          <w:highlight w:val="none"/>
          <w:lang w:eastAsia="zh-CN"/>
        </w:rPr>
        <w:t>各</w:t>
      </w:r>
      <w:r>
        <w:rPr>
          <w:rFonts w:hint="eastAsia" w:ascii="宋体" w:hAnsi="宋体" w:cs="宋体"/>
          <w:color w:val="auto"/>
          <w:sz w:val="28"/>
          <w:szCs w:val="28"/>
          <w:highlight w:val="none"/>
          <w:lang w:val="en-US" w:eastAsia="zh-CN"/>
        </w:rPr>
        <w:t>区域展示布展部分</w:t>
      </w:r>
      <w:r>
        <w:rPr>
          <w:rFonts w:hint="eastAsia" w:ascii="宋体" w:hAnsi="宋体" w:cs="宋体"/>
          <w:color w:val="auto"/>
          <w:sz w:val="28"/>
          <w:szCs w:val="28"/>
          <w:highlight w:val="none"/>
          <w:lang w:eastAsia="zh-CN"/>
        </w:rPr>
        <w:t>的</w:t>
      </w:r>
      <w:r>
        <w:rPr>
          <w:rFonts w:hint="eastAsia" w:ascii="宋体" w:hAnsi="宋体" w:cs="宋体"/>
          <w:color w:val="auto"/>
          <w:sz w:val="28"/>
          <w:szCs w:val="28"/>
          <w:highlight w:val="none"/>
        </w:rPr>
        <w:t>所有成品类设备采购，并将</w:t>
      </w:r>
      <w:r>
        <w:rPr>
          <w:rFonts w:hint="eastAsia" w:ascii="宋体" w:hAnsi="宋体" w:cs="宋体"/>
          <w:color w:val="auto"/>
          <w:sz w:val="28"/>
          <w:szCs w:val="28"/>
          <w:highlight w:val="none"/>
          <w:lang w:val="en-US" w:eastAsia="zh-CN"/>
        </w:rPr>
        <w:t>设备</w:t>
      </w:r>
      <w:r>
        <w:rPr>
          <w:rFonts w:hint="eastAsia" w:ascii="宋体" w:hAnsi="宋体" w:cs="宋体"/>
          <w:color w:val="auto"/>
          <w:sz w:val="28"/>
          <w:szCs w:val="28"/>
          <w:highlight w:val="none"/>
        </w:rPr>
        <w:t>送到指定地点，经双方开箱清点核对无误后，</w:t>
      </w:r>
      <w:r>
        <w:rPr>
          <w:rFonts w:hint="eastAsia" w:ascii="宋体" w:hAnsi="宋体" w:cs="宋体"/>
          <w:color w:val="auto"/>
          <w:sz w:val="28"/>
          <w:szCs w:val="28"/>
          <w:highlight w:val="none"/>
          <w:lang w:val="en-US" w:eastAsia="zh-CN"/>
        </w:rPr>
        <w:t>甲方</w:t>
      </w:r>
      <w:r>
        <w:rPr>
          <w:rFonts w:hint="eastAsia" w:ascii="宋体" w:hAnsi="宋体" w:cs="宋体"/>
          <w:color w:val="auto"/>
          <w:sz w:val="28"/>
          <w:szCs w:val="28"/>
          <w:highlight w:val="none"/>
        </w:rPr>
        <w:t>在</w:t>
      </w:r>
      <w:r>
        <w:rPr>
          <w:rFonts w:hint="eastAsia" w:ascii="宋体" w:hAnsi="宋体" w:cs="宋体"/>
          <w:color w:val="auto"/>
          <w:sz w:val="28"/>
          <w:szCs w:val="28"/>
          <w:highlight w:val="none"/>
          <w:lang w:val="en-US" w:eastAsia="zh-CN"/>
        </w:rPr>
        <w:t>10</w:t>
      </w:r>
      <w:r>
        <w:rPr>
          <w:rFonts w:hint="eastAsia" w:ascii="宋体" w:hAnsi="宋体" w:cs="宋体"/>
          <w:color w:val="auto"/>
          <w:sz w:val="28"/>
          <w:szCs w:val="28"/>
          <w:highlight w:val="none"/>
        </w:rPr>
        <w:t>个工作日内支付合同金额的</w:t>
      </w:r>
      <w:r>
        <w:rPr>
          <w:rFonts w:hint="eastAsia" w:ascii="宋体" w:hAnsi="宋体" w:cs="宋体"/>
          <w:color w:val="auto"/>
          <w:sz w:val="28"/>
          <w:szCs w:val="28"/>
          <w:highlight w:val="none"/>
          <w:lang w:val="en-US" w:eastAsia="zh-CN"/>
        </w:rPr>
        <w:t>4</w:t>
      </w:r>
      <w:r>
        <w:rPr>
          <w:rFonts w:hint="eastAsia" w:ascii="宋体" w:hAnsi="宋体" w:cs="宋体"/>
          <w:color w:val="auto"/>
          <w:sz w:val="28"/>
          <w:szCs w:val="28"/>
          <w:highlight w:val="none"/>
        </w:rPr>
        <w:t>0％</w:t>
      </w:r>
      <w:r>
        <w:rPr>
          <w:rFonts w:hint="eastAsia" w:ascii="宋体" w:hAnsi="宋体" w:cs="宋体"/>
          <w:color w:val="auto"/>
          <w:sz w:val="28"/>
          <w:szCs w:val="28"/>
          <w:highlight w:val="none"/>
          <w:lang w:val="en-US" w:eastAsia="zh-CN"/>
        </w:rPr>
        <w:t>作为进度款</w:t>
      </w:r>
      <w:r>
        <w:rPr>
          <w:rFonts w:hint="eastAsia" w:ascii="宋体" w:hAnsi="宋体" w:cs="宋体"/>
          <w:color w:val="auto"/>
          <w:sz w:val="28"/>
          <w:szCs w:val="28"/>
          <w:highlight w:val="none"/>
        </w:rPr>
        <w:t>；</w:t>
      </w:r>
    </w:p>
    <w:p w14:paraId="0FB9892D">
      <w:pPr>
        <w:tabs>
          <w:tab w:val="left" w:pos="180"/>
          <w:tab w:val="left" w:pos="1620"/>
        </w:tabs>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5</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第四次付款：乙方完成区域环境渲染及装饰、各区域展示布展、上岳保护站森林体验实践基地布展部分的</w:t>
      </w:r>
      <w:r>
        <w:rPr>
          <w:rFonts w:hint="eastAsia" w:ascii="宋体" w:hAnsi="宋体" w:cs="宋体"/>
          <w:color w:val="auto"/>
          <w:sz w:val="28"/>
          <w:szCs w:val="28"/>
          <w:highlight w:val="none"/>
        </w:rPr>
        <w:t>进度达到9</w:t>
      </w:r>
      <w:r>
        <w:rPr>
          <w:rFonts w:hint="eastAsia" w:ascii="宋体" w:hAnsi="宋体" w:cs="宋体"/>
          <w:color w:val="auto"/>
          <w:sz w:val="28"/>
          <w:szCs w:val="28"/>
          <w:highlight w:val="none"/>
          <w:lang w:val="en-US" w:eastAsia="zh-CN"/>
        </w:rPr>
        <w:t>0</w:t>
      </w:r>
      <w:r>
        <w:rPr>
          <w:rFonts w:hint="eastAsia" w:ascii="宋体" w:hAnsi="宋体" w:cs="宋体"/>
          <w:color w:val="auto"/>
          <w:sz w:val="28"/>
          <w:szCs w:val="28"/>
          <w:highlight w:val="none"/>
        </w:rPr>
        <w:t>%时，</w:t>
      </w:r>
      <w:r>
        <w:rPr>
          <w:rFonts w:hint="eastAsia" w:ascii="宋体" w:hAnsi="宋体" w:cs="宋体"/>
          <w:color w:val="auto"/>
          <w:sz w:val="28"/>
          <w:szCs w:val="28"/>
          <w:highlight w:val="none"/>
          <w:lang w:val="en-US" w:eastAsia="zh-CN"/>
        </w:rPr>
        <w:t>甲方</w:t>
      </w:r>
      <w:r>
        <w:rPr>
          <w:rFonts w:hint="eastAsia" w:ascii="宋体" w:hAnsi="宋体" w:cs="宋体"/>
          <w:color w:val="auto"/>
          <w:sz w:val="28"/>
          <w:szCs w:val="28"/>
          <w:highlight w:val="none"/>
        </w:rPr>
        <w:t>在</w:t>
      </w:r>
      <w:r>
        <w:rPr>
          <w:rFonts w:hint="eastAsia" w:ascii="宋体" w:hAnsi="宋体" w:cs="宋体"/>
          <w:color w:val="auto"/>
          <w:sz w:val="28"/>
          <w:szCs w:val="28"/>
          <w:highlight w:val="none"/>
          <w:lang w:val="en-US" w:eastAsia="zh-CN"/>
        </w:rPr>
        <w:t>10个工作日内</w:t>
      </w:r>
      <w:r>
        <w:rPr>
          <w:rFonts w:hint="eastAsia" w:ascii="宋体" w:hAnsi="宋体" w:cs="宋体"/>
          <w:color w:val="auto"/>
          <w:sz w:val="28"/>
          <w:szCs w:val="28"/>
          <w:highlight w:val="none"/>
        </w:rPr>
        <w:t>支付合同金额的30%</w:t>
      </w:r>
      <w:r>
        <w:rPr>
          <w:rFonts w:hint="eastAsia" w:ascii="宋体" w:hAnsi="宋体" w:cs="宋体"/>
          <w:color w:val="auto"/>
          <w:sz w:val="28"/>
          <w:szCs w:val="28"/>
          <w:highlight w:val="none"/>
          <w:lang w:val="en-US" w:eastAsia="zh-CN"/>
        </w:rPr>
        <w:t>作为进度款；</w:t>
      </w:r>
    </w:p>
    <w:p w14:paraId="5F9A26F8">
      <w:pPr>
        <w:tabs>
          <w:tab w:val="left" w:pos="180"/>
          <w:tab w:val="left" w:pos="1620"/>
        </w:tabs>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6</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第五次付款：</w:t>
      </w:r>
      <w:r>
        <w:rPr>
          <w:rFonts w:hint="eastAsia" w:ascii="宋体" w:hAnsi="宋体" w:cs="宋体"/>
          <w:color w:val="auto"/>
          <w:sz w:val="28"/>
          <w:szCs w:val="28"/>
          <w:highlight w:val="none"/>
        </w:rPr>
        <w:t>项目</w:t>
      </w:r>
      <w:r>
        <w:rPr>
          <w:rFonts w:hint="eastAsia" w:ascii="宋体" w:hAnsi="宋体" w:cs="宋体"/>
          <w:color w:val="auto"/>
          <w:sz w:val="28"/>
          <w:szCs w:val="28"/>
          <w:highlight w:val="none"/>
          <w:lang w:val="en-US" w:eastAsia="zh-CN"/>
        </w:rPr>
        <w:t>服务</w:t>
      </w:r>
      <w:r>
        <w:rPr>
          <w:rFonts w:hint="eastAsia" w:ascii="宋体" w:hAnsi="宋体" w:cs="宋体"/>
          <w:color w:val="auto"/>
          <w:sz w:val="28"/>
          <w:szCs w:val="28"/>
          <w:highlight w:val="none"/>
        </w:rPr>
        <w:t>完成并通过</w:t>
      </w:r>
      <w:r>
        <w:rPr>
          <w:rFonts w:hint="eastAsia" w:ascii="宋体" w:hAnsi="宋体" w:cs="宋体"/>
          <w:color w:val="auto"/>
          <w:sz w:val="28"/>
          <w:szCs w:val="28"/>
          <w:highlight w:val="none"/>
          <w:lang w:val="en-US" w:eastAsia="zh-CN"/>
        </w:rPr>
        <w:t>甲方组织的预</w:t>
      </w:r>
      <w:r>
        <w:rPr>
          <w:rFonts w:hint="eastAsia" w:ascii="宋体" w:hAnsi="宋体" w:cs="宋体"/>
          <w:color w:val="auto"/>
          <w:sz w:val="28"/>
          <w:szCs w:val="28"/>
          <w:highlight w:val="none"/>
        </w:rPr>
        <w:t>验收后，付清合同尾款</w:t>
      </w:r>
      <w:r>
        <w:rPr>
          <w:rFonts w:hint="eastAsia" w:ascii="宋体" w:hAnsi="宋体" w:cs="宋体"/>
          <w:color w:val="auto"/>
          <w:sz w:val="28"/>
          <w:szCs w:val="28"/>
          <w:highlight w:val="none"/>
          <w:lang w:eastAsia="zh-CN"/>
        </w:rPr>
        <w:t>；</w:t>
      </w:r>
    </w:p>
    <w:p w14:paraId="270CC012">
      <w:pPr>
        <w:keepNext w:val="0"/>
        <w:keepLines w:val="0"/>
        <w:pageBreakBefore w:val="0"/>
        <w:widowControl/>
        <w:tabs>
          <w:tab w:val="left" w:pos="180"/>
          <w:tab w:val="left" w:pos="1620"/>
        </w:tabs>
        <w:kinsoku/>
        <w:wordWrap/>
        <w:overflowPunct/>
        <w:topLinePunct w:val="0"/>
        <w:bidi w:val="0"/>
        <w:snapToGrid/>
        <w:spacing w:line="360" w:lineRule="auto"/>
        <w:ind w:left="0" w:leftChars="0" w:right="0" w:firstLine="560" w:firstLineChars="200"/>
        <w:jc w:val="left"/>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7</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从验收之日起到质保期</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从甲方书面确认交付书之日起计算</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过后无质量问题的，</w:t>
      </w:r>
      <w:r>
        <w:rPr>
          <w:rFonts w:hint="eastAsia" w:ascii="宋体" w:hAnsi="宋体" w:cs="宋体"/>
          <w:color w:val="auto"/>
          <w:sz w:val="28"/>
          <w:szCs w:val="28"/>
          <w:highlight w:val="none"/>
          <w:lang w:val="en-US" w:eastAsia="zh-CN"/>
        </w:rPr>
        <w:t>甲方</w:t>
      </w:r>
      <w:r>
        <w:rPr>
          <w:rFonts w:hint="eastAsia" w:ascii="宋体" w:hAnsi="宋体" w:cs="宋体"/>
          <w:color w:val="auto"/>
          <w:sz w:val="28"/>
          <w:szCs w:val="28"/>
          <w:highlight w:val="none"/>
        </w:rPr>
        <w:t>在收到合格材料后</w:t>
      </w:r>
      <w:r>
        <w:rPr>
          <w:rFonts w:hint="eastAsia" w:ascii="宋体" w:hAnsi="宋体" w:cs="宋体"/>
          <w:color w:val="auto"/>
          <w:sz w:val="28"/>
          <w:szCs w:val="28"/>
          <w:highlight w:val="none"/>
          <w:lang w:val="en-US" w:eastAsia="zh-CN"/>
        </w:rPr>
        <w:t>10</w:t>
      </w:r>
      <w:r>
        <w:rPr>
          <w:rFonts w:hint="eastAsia" w:ascii="宋体" w:hAnsi="宋体" w:cs="宋体"/>
          <w:color w:val="auto"/>
          <w:sz w:val="28"/>
          <w:szCs w:val="28"/>
          <w:highlight w:val="none"/>
        </w:rPr>
        <w:t>个工作日内退还履约保证金（不计利息）给</w:t>
      </w:r>
      <w:r>
        <w:rPr>
          <w:rFonts w:hint="eastAsia" w:ascii="宋体" w:hAnsi="宋体" w:cs="宋体"/>
          <w:color w:val="auto"/>
          <w:sz w:val="28"/>
          <w:szCs w:val="28"/>
          <w:highlight w:val="none"/>
          <w:lang w:val="en-US" w:eastAsia="zh-CN"/>
        </w:rPr>
        <w:t>乙方</w:t>
      </w:r>
      <w:r>
        <w:rPr>
          <w:rFonts w:hint="eastAsia" w:ascii="宋体" w:hAnsi="宋体" w:cs="宋体"/>
          <w:color w:val="auto"/>
          <w:sz w:val="24"/>
          <w:szCs w:val="24"/>
          <w:highlight w:val="none"/>
        </w:rPr>
        <w:t>。</w:t>
      </w:r>
    </w:p>
    <w:p w14:paraId="76789DC9">
      <w:pPr>
        <w:keepNext w:val="0"/>
        <w:keepLines w:val="0"/>
        <w:pageBreakBefore w:val="0"/>
        <w:widowControl w:val="0"/>
        <w:kinsoku/>
        <w:wordWrap/>
        <w:overflowPunct/>
        <w:topLinePunct w:val="0"/>
        <w:bidi w:val="0"/>
        <w:snapToGrid w:val="0"/>
        <w:spacing w:line="480" w:lineRule="exact"/>
        <w:ind w:left="0" w:leftChars="0" w:right="0"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5.资金支付方式：银行转账。</w:t>
      </w:r>
    </w:p>
    <w:p w14:paraId="11080EA2">
      <w:pPr>
        <w:keepNext w:val="0"/>
        <w:keepLines w:val="0"/>
        <w:pageBreakBefore w:val="0"/>
        <w:widowControl w:val="0"/>
        <w:kinsoku/>
        <w:wordWrap/>
        <w:overflowPunct/>
        <w:topLinePunct w:val="0"/>
        <w:autoSpaceDE w:val="0"/>
        <w:autoSpaceDN w:val="0"/>
        <w:bidi w:val="0"/>
        <w:snapToGrid w:val="0"/>
        <w:spacing w:line="480" w:lineRule="exact"/>
        <w:ind w:left="0" w:leftChars="0" w:right="0" w:firstLine="560" w:firstLineChars="200"/>
        <w:textAlignment w:val="bottom"/>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lang w:val="en-US" w:eastAsia="zh-CN"/>
        </w:rPr>
        <w:t>6.</w:t>
      </w:r>
      <w:r>
        <w:rPr>
          <w:rFonts w:hint="eastAsia" w:ascii="宋体" w:hAnsi="宋体" w:eastAsia="宋体" w:cs="Times New Roman"/>
          <w:color w:val="auto"/>
          <w:sz w:val="28"/>
          <w:szCs w:val="28"/>
          <w:highlight w:val="none"/>
        </w:rPr>
        <w:t>甲方收取履约保证金的指定账户如下：</w:t>
      </w:r>
    </w:p>
    <w:p w14:paraId="77DC5CD7">
      <w:pPr>
        <w:keepNext w:val="0"/>
        <w:keepLines w:val="0"/>
        <w:pageBreakBefore w:val="0"/>
        <w:widowControl w:val="0"/>
        <w:kinsoku/>
        <w:wordWrap/>
        <w:overflowPunct/>
        <w:topLinePunct w:val="0"/>
        <w:autoSpaceDE w:val="0"/>
        <w:autoSpaceDN w:val="0"/>
        <w:bidi w:val="0"/>
        <w:snapToGrid w:val="0"/>
        <w:spacing w:line="480" w:lineRule="exact"/>
        <w:ind w:left="0" w:leftChars="0" w:right="0" w:firstLine="560" w:firstLineChars="200"/>
        <w:textAlignment w:val="bottom"/>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账户名称：广西壮族自治区防城金花茶国家级自然保护区管理中心</w:t>
      </w:r>
    </w:p>
    <w:p w14:paraId="63E2D38F">
      <w:pPr>
        <w:keepNext w:val="0"/>
        <w:keepLines w:val="0"/>
        <w:pageBreakBefore w:val="0"/>
        <w:widowControl w:val="0"/>
        <w:kinsoku/>
        <w:wordWrap/>
        <w:overflowPunct/>
        <w:topLinePunct w:val="0"/>
        <w:autoSpaceDE w:val="0"/>
        <w:autoSpaceDN w:val="0"/>
        <w:bidi w:val="0"/>
        <w:snapToGrid w:val="0"/>
        <w:spacing w:line="480" w:lineRule="exact"/>
        <w:ind w:left="0" w:leftChars="0" w:right="0" w:firstLine="560" w:firstLineChars="200"/>
        <w:textAlignment w:val="bottom"/>
        <w:rPr>
          <w:rFonts w:hint="eastAsia" w:ascii="宋体" w:hAnsi="宋体" w:eastAsia="宋体" w:cs="Times New Roman"/>
          <w:color w:val="auto"/>
          <w:sz w:val="28"/>
          <w:szCs w:val="28"/>
          <w:highlight w:val="none"/>
          <w:lang w:eastAsia="zh-CN"/>
        </w:rPr>
      </w:pPr>
      <w:r>
        <w:rPr>
          <w:rFonts w:hint="eastAsia" w:ascii="宋体" w:hAnsi="宋体" w:eastAsia="宋体" w:cs="Times New Roman"/>
          <w:color w:val="auto"/>
          <w:sz w:val="28"/>
          <w:szCs w:val="28"/>
          <w:highlight w:val="none"/>
        </w:rPr>
        <w:t>开</w:t>
      </w:r>
      <w:r>
        <w:rPr>
          <w:rFonts w:hint="eastAsia" w:ascii="宋体" w:hAnsi="宋体" w:eastAsia="宋体" w:cs="Times New Roman"/>
          <w:color w:val="auto"/>
          <w:sz w:val="28"/>
          <w:szCs w:val="28"/>
          <w:highlight w:val="none"/>
          <w:lang w:val="en-US" w:eastAsia="zh-CN"/>
        </w:rPr>
        <w:t xml:space="preserve"> </w:t>
      </w:r>
      <w:r>
        <w:rPr>
          <w:rFonts w:hint="eastAsia" w:ascii="宋体" w:hAnsi="宋体" w:eastAsia="宋体" w:cs="Times New Roman"/>
          <w:color w:val="auto"/>
          <w:sz w:val="28"/>
          <w:szCs w:val="28"/>
          <w:highlight w:val="none"/>
        </w:rPr>
        <w:t>户</w:t>
      </w:r>
      <w:r>
        <w:rPr>
          <w:rFonts w:hint="eastAsia" w:ascii="宋体" w:hAnsi="宋体" w:eastAsia="宋体" w:cs="Times New Roman"/>
          <w:color w:val="auto"/>
          <w:sz w:val="28"/>
          <w:szCs w:val="28"/>
          <w:highlight w:val="none"/>
          <w:lang w:val="en-US" w:eastAsia="zh-CN"/>
        </w:rPr>
        <w:t xml:space="preserve"> </w:t>
      </w:r>
      <w:r>
        <w:rPr>
          <w:rFonts w:hint="eastAsia" w:ascii="宋体" w:hAnsi="宋体" w:eastAsia="宋体" w:cs="Times New Roman"/>
          <w:color w:val="auto"/>
          <w:sz w:val="28"/>
          <w:szCs w:val="28"/>
          <w:highlight w:val="none"/>
        </w:rPr>
        <w:t>行：</w:t>
      </w:r>
      <w:r>
        <w:rPr>
          <w:rFonts w:hint="eastAsia" w:ascii="宋体" w:hAnsi="宋体" w:cs="Times New Roman"/>
          <w:color w:val="auto"/>
          <w:sz w:val="28"/>
          <w:szCs w:val="28"/>
          <w:highlight w:val="none"/>
          <w:lang w:val="en-US" w:eastAsia="zh-CN"/>
        </w:rPr>
        <w:t xml:space="preserve"> </w:t>
      </w:r>
    </w:p>
    <w:p w14:paraId="603D2992">
      <w:pPr>
        <w:keepNext w:val="0"/>
        <w:keepLines w:val="0"/>
        <w:pageBreakBefore w:val="0"/>
        <w:widowControl w:val="0"/>
        <w:kinsoku/>
        <w:wordWrap/>
        <w:overflowPunct/>
        <w:topLinePunct w:val="0"/>
        <w:autoSpaceDE w:val="0"/>
        <w:autoSpaceDN w:val="0"/>
        <w:bidi w:val="0"/>
        <w:snapToGrid w:val="0"/>
        <w:spacing w:line="480" w:lineRule="exact"/>
        <w:ind w:left="0" w:leftChars="0" w:right="0" w:firstLine="560" w:firstLineChars="200"/>
        <w:textAlignment w:val="bottom"/>
        <w:rPr>
          <w:rFonts w:hint="eastAsia" w:ascii="宋体" w:hAnsi="宋体" w:eastAsia="宋体"/>
          <w:color w:val="auto"/>
          <w:sz w:val="28"/>
          <w:szCs w:val="28"/>
          <w:highlight w:val="none"/>
          <w:lang w:eastAsia="zh-CN"/>
        </w:rPr>
      </w:pPr>
      <w:r>
        <w:rPr>
          <w:rFonts w:hint="eastAsia" w:ascii="宋体" w:hAnsi="宋体" w:eastAsia="宋体" w:cs="Times New Roman"/>
          <w:color w:val="auto"/>
          <w:sz w:val="28"/>
          <w:szCs w:val="28"/>
          <w:highlight w:val="none"/>
        </w:rPr>
        <w:t>银行账号：</w:t>
      </w:r>
      <w:r>
        <w:rPr>
          <w:rFonts w:hint="eastAsia" w:ascii="宋体" w:hAnsi="宋体" w:cs="Times New Roman"/>
          <w:color w:val="auto"/>
          <w:sz w:val="28"/>
          <w:szCs w:val="28"/>
          <w:highlight w:val="none"/>
          <w:lang w:val="en-US" w:eastAsia="zh-CN"/>
        </w:rPr>
        <w:t xml:space="preserve"> </w:t>
      </w:r>
    </w:p>
    <w:p w14:paraId="7F8327B1">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b/>
          <w:color w:val="auto"/>
          <w:sz w:val="28"/>
          <w:szCs w:val="28"/>
          <w:highlight w:val="none"/>
        </w:rPr>
      </w:pPr>
      <w:r>
        <w:rPr>
          <w:rFonts w:hint="eastAsia" w:ascii="宋体" w:hAnsi="宋体"/>
          <w:b/>
          <w:color w:val="auto"/>
          <w:sz w:val="28"/>
          <w:szCs w:val="28"/>
          <w:highlight w:val="none"/>
        </w:rPr>
        <w:t>第七条　验收、交付标准和方法</w:t>
      </w:r>
    </w:p>
    <w:p w14:paraId="5DB64F16">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bCs/>
          <w:color w:val="auto"/>
          <w:sz w:val="28"/>
          <w:szCs w:val="28"/>
          <w:highlight w:val="none"/>
        </w:rPr>
      </w:pPr>
      <w:r>
        <w:rPr>
          <w:rFonts w:hint="eastAsia" w:ascii="宋体" w:hAnsi="宋体"/>
          <w:bCs/>
          <w:color w:val="auto"/>
          <w:sz w:val="28"/>
          <w:szCs w:val="28"/>
          <w:highlight w:val="none"/>
        </w:rPr>
        <w:t>1.验收依据</w:t>
      </w:r>
    </w:p>
    <w:p w14:paraId="0A0F7E97">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bCs/>
          <w:color w:val="auto"/>
          <w:sz w:val="28"/>
          <w:szCs w:val="28"/>
          <w:highlight w:val="none"/>
        </w:rPr>
      </w:pPr>
      <w:r>
        <w:rPr>
          <w:rFonts w:hint="eastAsia" w:ascii="宋体" w:hAnsi="宋体"/>
          <w:bCs/>
          <w:color w:val="auto"/>
          <w:sz w:val="28"/>
          <w:szCs w:val="28"/>
          <w:highlight w:val="none"/>
        </w:rPr>
        <w:t>按</w:t>
      </w:r>
      <w:r>
        <w:rPr>
          <w:rFonts w:hint="eastAsia" w:ascii="宋体" w:hAnsi="宋体"/>
          <w:bCs/>
          <w:color w:val="auto"/>
          <w:sz w:val="28"/>
          <w:szCs w:val="28"/>
          <w:highlight w:val="none"/>
          <w:lang w:val="en-US" w:eastAsia="zh-CN"/>
        </w:rPr>
        <w:t>招标</w:t>
      </w:r>
      <w:r>
        <w:rPr>
          <w:rFonts w:hint="eastAsia" w:ascii="宋体" w:hAnsi="宋体"/>
          <w:bCs/>
          <w:color w:val="auto"/>
          <w:sz w:val="28"/>
          <w:szCs w:val="28"/>
          <w:highlight w:val="none"/>
        </w:rPr>
        <w:t>文件、投标文件、合同要求及国家标准进行验收。</w:t>
      </w:r>
    </w:p>
    <w:p w14:paraId="76A17D05">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bCs/>
          <w:color w:val="auto"/>
          <w:sz w:val="28"/>
          <w:szCs w:val="28"/>
          <w:highlight w:val="none"/>
        </w:rPr>
      </w:pPr>
      <w:r>
        <w:rPr>
          <w:rFonts w:hint="eastAsia" w:ascii="宋体" w:hAnsi="宋体"/>
          <w:bCs/>
          <w:color w:val="auto"/>
          <w:sz w:val="28"/>
          <w:szCs w:val="28"/>
          <w:highlight w:val="none"/>
        </w:rPr>
        <w:t>2.验收标准</w:t>
      </w:r>
    </w:p>
    <w:p w14:paraId="5942B90D">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bCs/>
          <w:color w:val="auto"/>
          <w:sz w:val="28"/>
          <w:szCs w:val="28"/>
          <w:highlight w:val="none"/>
        </w:rPr>
      </w:pPr>
      <w:r>
        <w:rPr>
          <w:rFonts w:hint="eastAsia" w:ascii="宋体" w:hAnsi="宋体"/>
          <w:bCs/>
          <w:color w:val="auto"/>
          <w:sz w:val="28"/>
          <w:szCs w:val="28"/>
          <w:highlight w:val="none"/>
        </w:rPr>
        <w:t>（1）所供产品的规格、数量、材质、颜色等符合采购文件采购需求及采购合同约定的要求。</w:t>
      </w:r>
    </w:p>
    <w:p w14:paraId="24D63E8B">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bCs/>
          <w:color w:val="auto"/>
          <w:sz w:val="28"/>
          <w:szCs w:val="28"/>
          <w:highlight w:val="none"/>
        </w:rPr>
      </w:pPr>
      <w:r>
        <w:rPr>
          <w:rFonts w:hint="eastAsia" w:ascii="宋体" w:hAnsi="宋体"/>
          <w:bCs/>
          <w:color w:val="auto"/>
          <w:sz w:val="28"/>
          <w:szCs w:val="28"/>
          <w:highlight w:val="none"/>
        </w:rPr>
        <w:t>（</w:t>
      </w:r>
      <w:r>
        <w:rPr>
          <w:rFonts w:ascii="宋体" w:hAnsi="宋体"/>
          <w:bCs/>
          <w:color w:val="auto"/>
          <w:sz w:val="28"/>
          <w:szCs w:val="28"/>
          <w:highlight w:val="none"/>
        </w:rPr>
        <w:t>2</w:t>
      </w:r>
      <w:r>
        <w:rPr>
          <w:rFonts w:hint="eastAsia" w:ascii="宋体" w:hAnsi="宋体"/>
          <w:bCs/>
          <w:color w:val="auto"/>
          <w:sz w:val="28"/>
          <w:szCs w:val="28"/>
          <w:highlight w:val="none"/>
        </w:rPr>
        <w:t>）所供产品的外观完好，无严重碰撞、表皮脱落、五金件生锈等明显瑕疵。</w:t>
      </w:r>
    </w:p>
    <w:p w14:paraId="3EA25F4E">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bCs/>
          <w:color w:val="auto"/>
          <w:sz w:val="28"/>
          <w:szCs w:val="28"/>
          <w:highlight w:val="none"/>
        </w:rPr>
      </w:pPr>
      <w:r>
        <w:rPr>
          <w:rFonts w:hint="eastAsia" w:ascii="宋体" w:hAnsi="宋体"/>
          <w:bCs/>
          <w:color w:val="auto"/>
          <w:sz w:val="28"/>
          <w:szCs w:val="28"/>
          <w:highlight w:val="none"/>
        </w:rPr>
        <w:t>（3）所供产品结构牢固，无安全隐患。</w:t>
      </w:r>
    </w:p>
    <w:p w14:paraId="4D2812AC">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bCs/>
          <w:color w:val="auto"/>
          <w:sz w:val="28"/>
          <w:szCs w:val="28"/>
          <w:highlight w:val="none"/>
        </w:rPr>
      </w:pPr>
      <w:r>
        <w:rPr>
          <w:rFonts w:hint="eastAsia" w:ascii="宋体" w:hAnsi="宋体"/>
          <w:bCs/>
          <w:color w:val="auto"/>
          <w:sz w:val="28"/>
          <w:szCs w:val="28"/>
          <w:highlight w:val="none"/>
        </w:rPr>
        <w:t>（4）如有抽检要求的，检测结果符合采购文件采购需求及采购合同约定的要求。</w:t>
      </w:r>
    </w:p>
    <w:p w14:paraId="0B3D5A50">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bCs/>
          <w:color w:val="auto"/>
          <w:sz w:val="28"/>
          <w:szCs w:val="28"/>
          <w:highlight w:val="none"/>
        </w:rPr>
      </w:pPr>
      <w:r>
        <w:rPr>
          <w:rFonts w:hint="eastAsia" w:ascii="宋体" w:hAnsi="宋体"/>
          <w:bCs/>
          <w:color w:val="auto"/>
          <w:sz w:val="28"/>
          <w:szCs w:val="28"/>
          <w:highlight w:val="none"/>
        </w:rPr>
        <w:t>（5）所有产品均已运输至指定地点，并安装调试完毕。</w:t>
      </w:r>
    </w:p>
    <w:p w14:paraId="56C89BB6">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bCs/>
          <w:color w:val="auto"/>
          <w:sz w:val="28"/>
          <w:szCs w:val="28"/>
          <w:highlight w:val="none"/>
        </w:rPr>
      </w:pPr>
      <w:r>
        <w:rPr>
          <w:rFonts w:hint="eastAsia" w:ascii="宋体" w:hAnsi="宋体"/>
          <w:bCs/>
          <w:color w:val="auto"/>
          <w:sz w:val="28"/>
          <w:szCs w:val="28"/>
          <w:highlight w:val="none"/>
        </w:rPr>
        <w:t>（6）采购文件采购需求及采购合同约定的附件、工具、技术资料等齐全；提供产品使用说明书、合格证。</w:t>
      </w:r>
    </w:p>
    <w:p w14:paraId="5B8E9B2E">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bCs/>
          <w:color w:val="auto"/>
          <w:sz w:val="28"/>
          <w:szCs w:val="28"/>
          <w:highlight w:val="none"/>
        </w:rPr>
      </w:pPr>
      <w:r>
        <w:rPr>
          <w:rFonts w:hint="eastAsia" w:ascii="宋体" w:hAnsi="宋体"/>
          <w:bCs/>
          <w:color w:val="auto"/>
          <w:sz w:val="28"/>
          <w:szCs w:val="28"/>
          <w:highlight w:val="none"/>
        </w:rPr>
        <w:t>（7）项目有关的工程施工、设备安装、软件开发和运维服务竣工须符合国家现行的标准、规范和有关技术文件要求。</w:t>
      </w:r>
    </w:p>
    <w:p w14:paraId="5BECF95F">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bCs/>
          <w:color w:val="auto"/>
          <w:sz w:val="28"/>
          <w:szCs w:val="28"/>
          <w:highlight w:val="none"/>
        </w:rPr>
      </w:pPr>
      <w:r>
        <w:rPr>
          <w:rFonts w:hint="eastAsia" w:ascii="宋体" w:hAnsi="宋体"/>
          <w:bCs/>
          <w:color w:val="auto"/>
          <w:sz w:val="28"/>
          <w:szCs w:val="28"/>
          <w:highlight w:val="none"/>
        </w:rPr>
        <w:t>3</w:t>
      </w:r>
      <w:r>
        <w:rPr>
          <w:rFonts w:hint="eastAsia" w:ascii="宋体" w:hAnsi="宋体"/>
          <w:bCs/>
          <w:color w:val="auto"/>
          <w:sz w:val="28"/>
          <w:szCs w:val="28"/>
          <w:highlight w:val="none"/>
          <w:lang w:val="en-US" w:eastAsia="zh-CN"/>
        </w:rPr>
        <w:t>.</w:t>
      </w:r>
      <w:r>
        <w:rPr>
          <w:rFonts w:hint="eastAsia" w:ascii="宋体" w:hAnsi="宋体"/>
          <w:bCs/>
          <w:color w:val="auto"/>
          <w:sz w:val="28"/>
          <w:szCs w:val="28"/>
          <w:highlight w:val="none"/>
        </w:rPr>
        <w:t>验收要求</w:t>
      </w:r>
    </w:p>
    <w:p w14:paraId="7062ED81">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bCs/>
          <w:color w:val="auto"/>
          <w:sz w:val="28"/>
          <w:szCs w:val="28"/>
          <w:highlight w:val="none"/>
        </w:rPr>
      </w:pPr>
      <w:r>
        <w:rPr>
          <w:rFonts w:hint="eastAsia" w:ascii="宋体" w:hAnsi="宋体"/>
          <w:bCs/>
          <w:color w:val="auto"/>
          <w:sz w:val="28"/>
          <w:szCs w:val="28"/>
          <w:highlight w:val="none"/>
        </w:rPr>
        <w:t>（1）验收过程中所产生的一切费用（</w:t>
      </w:r>
      <w:r>
        <w:rPr>
          <w:rFonts w:hint="eastAsia" w:ascii="Times New Roman" w:hAnsi="Times New Roman"/>
          <w:color w:val="auto"/>
          <w:sz w:val="28"/>
          <w:szCs w:val="28"/>
          <w:highlight w:val="none"/>
        </w:rPr>
        <w:t>包含但不限于验收时所产生的相关检测费用、专家验收费等）</w:t>
      </w:r>
      <w:r>
        <w:rPr>
          <w:rFonts w:hint="eastAsia" w:ascii="宋体" w:hAnsi="宋体"/>
          <w:bCs/>
          <w:color w:val="auto"/>
          <w:sz w:val="28"/>
          <w:szCs w:val="28"/>
          <w:highlight w:val="none"/>
        </w:rPr>
        <w:t>均由中标人承担，单次验收费用不超过合同总金额的2%，报价时须包含在投标费用中。</w:t>
      </w:r>
    </w:p>
    <w:p w14:paraId="3AB81C0E">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bCs/>
          <w:color w:val="auto"/>
          <w:sz w:val="28"/>
          <w:szCs w:val="28"/>
          <w:highlight w:val="none"/>
        </w:rPr>
      </w:pPr>
      <w:r>
        <w:rPr>
          <w:rFonts w:hint="eastAsia" w:ascii="宋体" w:hAnsi="宋体"/>
          <w:bCs/>
          <w:color w:val="auto"/>
          <w:sz w:val="28"/>
          <w:szCs w:val="28"/>
          <w:highlight w:val="none"/>
        </w:rPr>
        <w:t>（2）本项目验收甲方有权委托第三方机构组织实施，由验收小组对照</w:t>
      </w:r>
      <w:r>
        <w:rPr>
          <w:rFonts w:hint="eastAsia" w:ascii="宋体" w:hAnsi="宋体"/>
          <w:bCs/>
          <w:color w:val="auto"/>
          <w:sz w:val="28"/>
          <w:szCs w:val="28"/>
          <w:highlight w:val="none"/>
          <w:lang w:val="en-US" w:eastAsia="zh-CN"/>
        </w:rPr>
        <w:t>招标</w:t>
      </w:r>
      <w:r>
        <w:rPr>
          <w:rFonts w:hint="eastAsia" w:ascii="宋体" w:hAnsi="宋体"/>
          <w:bCs/>
          <w:color w:val="auto"/>
          <w:sz w:val="28"/>
          <w:szCs w:val="28"/>
          <w:highlight w:val="none"/>
        </w:rPr>
        <w:t>文件的技术参数要求核对检验，如不符合</w:t>
      </w:r>
      <w:r>
        <w:rPr>
          <w:rFonts w:hint="eastAsia" w:ascii="宋体" w:hAnsi="宋体"/>
          <w:bCs/>
          <w:color w:val="auto"/>
          <w:sz w:val="28"/>
          <w:szCs w:val="28"/>
          <w:highlight w:val="none"/>
          <w:lang w:val="en-US" w:eastAsia="zh-CN"/>
        </w:rPr>
        <w:t>招标</w:t>
      </w:r>
      <w:r>
        <w:rPr>
          <w:rFonts w:hint="eastAsia" w:ascii="宋体" w:hAnsi="宋体"/>
          <w:bCs/>
          <w:color w:val="auto"/>
          <w:sz w:val="28"/>
          <w:szCs w:val="28"/>
          <w:highlight w:val="none"/>
        </w:rPr>
        <w:t>文件的技术参数要求的，按合同约定执行，</w:t>
      </w:r>
      <w:r>
        <w:rPr>
          <w:rFonts w:hint="eastAsia" w:ascii="宋体" w:hAnsi="宋体"/>
          <w:bCs/>
          <w:color w:val="auto"/>
          <w:sz w:val="28"/>
          <w:szCs w:val="28"/>
          <w:highlight w:val="none"/>
          <w:lang w:val="en-US" w:eastAsia="zh-CN"/>
        </w:rPr>
        <w:t>乙方</w:t>
      </w:r>
      <w:r>
        <w:rPr>
          <w:rFonts w:hint="eastAsia" w:ascii="宋体" w:hAnsi="宋体"/>
          <w:bCs/>
          <w:color w:val="auto"/>
          <w:sz w:val="28"/>
          <w:szCs w:val="28"/>
          <w:highlight w:val="none"/>
        </w:rPr>
        <w:t>承担所有责任和费用。</w:t>
      </w:r>
      <w:r>
        <w:rPr>
          <w:rFonts w:hint="eastAsia" w:ascii="宋体" w:hAnsi="宋体"/>
          <w:bCs/>
          <w:color w:val="auto"/>
          <w:sz w:val="28"/>
          <w:szCs w:val="28"/>
          <w:highlight w:val="none"/>
          <w:lang w:val="en-US" w:eastAsia="zh-CN"/>
        </w:rPr>
        <w:t>甲方</w:t>
      </w:r>
      <w:r>
        <w:rPr>
          <w:rFonts w:hint="eastAsia" w:ascii="宋体" w:hAnsi="宋体"/>
          <w:bCs/>
          <w:color w:val="auto"/>
          <w:sz w:val="28"/>
          <w:szCs w:val="28"/>
          <w:highlight w:val="none"/>
        </w:rPr>
        <w:t>保留进一步追究责任的权利。</w:t>
      </w:r>
    </w:p>
    <w:p w14:paraId="31F66AC7">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bCs/>
          <w:color w:val="auto"/>
          <w:sz w:val="28"/>
          <w:szCs w:val="28"/>
          <w:highlight w:val="none"/>
        </w:rPr>
      </w:pPr>
      <w:r>
        <w:rPr>
          <w:rFonts w:hint="eastAsia" w:ascii="宋体" w:hAnsi="宋体"/>
          <w:bCs/>
          <w:color w:val="auto"/>
          <w:sz w:val="28"/>
          <w:szCs w:val="28"/>
          <w:highlight w:val="none"/>
        </w:rPr>
        <w:t>①验收活动开始前，</w:t>
      </w:r>
      <w:r>
        <w:rPr>
          <w:rFonts w:hint="eastAsia" w:ascii="宋体" w:hAnsi="宋体"/>
          <w:bCs/>
          <w:color w:val="auto"/>
          <w:sz w:val="28"/>
          <w:szCs w:val="28"/>
          <w:highlight w:val="none"/>
          <w:lang w:val="en-US" w:eastAsia="zh-CN"/>
        </w:rPr>
        <w:t>乙方</w:t>
      </w:r>
      <w:r>
        <w:rPr>
          <w:rFonts w:hint="eastAsia" w:ascii="宋体" w:hAnsi="宋体"/>
          <w:bCs/>
          <w:color w:val="auto"/>
          <w:sz w:val="28"/>
          <w:szCs w:val="28"/>
          <w:highlight w:val="none"/>
        </w:rPr>
        <w:t>应对货物作出全面检查和对验收文件进行整理，并列出清单，作为</w:t>
      </w:r>
      <w:r>
        <w:rPr>
          <w:rFonts w:hint="eastAsia" w:ascii="宋体" w:hAnsi="宋体"/>
          <w:bCs/>
          <w:color w:val="auto"/>
          <w:sz w:val="28"/>
          <w:szCs w:val="28"/>
          <w:highlight w:val="none"/>
          <w:lang w:val="en-US" w:eastAsia="zh-CN"/>
        </w:rPr>
        <w:t>甲方</w:t>
      </w:r>
      <w:r>
        <w:rPr>
          <w:rFonts w:hint="eastAsia" w:ascii="宋体" w:hAnsi="宋体"/>
          <w:bCs/>
          <w:color w:val="auto"/>
          <w:sz w:val="28"/>
          <w:szCs w:val="28"/>
          <w:highlight w:val="none"/>
        </w:rPr>
        <w:t>收货验收和使用的技术条件依据。</w:t>
      </w:r>
    </w:p>
    <w:p w14:paraId="132D2065">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bCs/>
          <w:color w:val="auto"/>
          <w:sz w:val="28"/>
          <w:szCs w:val="28"/>
          <w:highlight w:val="none"/>
        </w:rPr>
      </w:pPr>
      <w:r>
        <w:rPr>
          <w:rFonts w:hint="eastAsia" w:ascii="宋体" w:hAnsi="宋体"/>
          <w:bCs/>
          <w:color w:val="auto"/>
          <w:sz w:val="28"/>
          <w:szCs w:val="28"/>
          <w:highlight w:val="none"/>
        </w:rPr>
        <w:t>②因验收不合格的，需要再次组织验收的，由此产生相关成本费用由</w:t>
      </w:r>
      <w:r>
        <w:rPr>
          <w:rFonts w:hint="eastAsia" w:ascii="宋体" w:hAnsi="宋体"/>
          <w:bCs/>
          <w:color w:val="auto"/>
          <w:sz w:val="28"/>
          <w:szCs w:val="28"/>
          <w:highlight w:val="none"/>
          <w:lang w:val="en-US" w:eastAsia="zh-CN"/>
        </w:rPr>
        <w:t>乙方</w:t>
      </w:r>
      <w:r>
        <w:rPr>
          <w:rFonts w:hint="eastAsia" w:ascii="宋体" w:hAnsi="宋体"/>
          <w:bCs/>
          <w:color w:val="auto"/>
          <w:sz w:val="28"/>
          <w:szCs w:val="28"/>
          <w:highlight w:val="none"/>
        </w:rPr>
        <w:t>承担。</w:t>
      </w:r>
    </w:p>
    <w:p w14:paraId="2602B6D1">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bCs/>
          <w:color w:val="auto"/>
          <w:sz w:val="28"/>
          <w:szCs w:val="28"/>
          <w:highlight w:val="none"/>
        </w:rPr>
      </w:pPr>
      <w:r>
        <w:rPr>
          <w:rFonts w:hint="eastAsia" w:ascii="宋体" w:hAnsi="宋体"/>
          <w:bCs/>
          <w:color w:val="auto"/>
          <w:sz w:val="28"/>
          <w:szCs w:val="28"/>
          <w:highlight w:val="none"/>
        </w:rPr>
        <w:t>（3）验收时</w:t>
      </w:r>
      <w:r>
        <w:rPr>
          <w:rFonts w:hint="eastAsia" w:ascii="宋体" w:hAnsi="宋体"/>
          <w:bCs/>
          <w:color w:val="auto"/>
          <w:sz w:val="28"/>
          <w:szCs w:val="28"/>
          <w:highlight w:val="none"/>
          <w:lang w:val="en-US" w:eastAsia="zh-CN"/>
        </w:rPr>
        <w:t>乙方</w:t>
      </w:r>
      <w:r>
        <w:rPr>
          <w:rFonts w:hint="eastAsia" w:ascii="宋体" w:hAnsi="宋体"/>
          <w:bCs/>
          <w:color w:val="auto"/>
          <w:sz w:val="28"/>
          <w:szCs w:val="28"/>
          <w:highlight w:val="none"/>
        </w:rPr>
        <w:t>提供验收文档，具体如下：技术方案、实施方案、售后服务方案、培训方案、系统部署文档、测试文档、使用说明书、电子文档、软件设计开发的源代码等，包括但不限于由以上验收文档产生的原始数据、视频、图片等资料。</w:t>
      </w:r>
    </w:p>
    <w:p w14:paraId="02687937">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bCs/>
          <w:color w:val="auto"/>
          <w:sz w:val="28"/>
          <w:szCs w:val="28"/>
          <w:highlight w:val="none"/>
        </w:rPr>
      </w:pPr>
      <w:r>
        <w:rPr>
          <w:rFonts w:hint="eastAsia" w:ascii="宋体" w:hAnsi="宋体"/>
          <w:bCs/>
          <w:color w:val="auto"/>
          <w:sz w:val="28"/>
          <w:szCs w:val="28"/>
          <w:highlight w:val="none"/>
        </w:rPr>
        <w:t>（4）对所有要求出具的证明文件的原件进行核查，如不符合</w:t>
      </w:r>
      <w:r>
        <w:rPr>
          <w:rFonts w:hint="eastAsia" w:ascii="宋体" w:hAnsi="宋体"/>
          <w:bCs/>
          <w:color w:val="auto"/>
          <w:sz w:val="28"/>
          <w:szCs w:val="28"/>
          <w:highlight w:val="none"/>
          <w:lang w:val="en-US" w:eastAsia="zh-CN"/>
        </w:rPr>
        <w:t>招标</w:t>
      </w:r>
      <w:r>
        <w:rPr>
          <w:rFonts w:hint="eastAsia" w:ascii="宋体" w:hAnsi="宋体"/>
          <w:bCs/>
          <w:color w:val="auto"/>
          <w:sz w:val="28"/>
          <w:szCs w:val="28"/>
          <w:highlight w:val="none"/>
        </w:rPr>
        <w:t>文件的技术需求及要求，以及提供虚假承诺的，按相关规定做退货处理及违约处理，</w:t>
      </w:r>
      <w:r>
        <w:rPr>
          <w:rFonts w:hint="eastAsia" w:ascii="宋体" w:hAnsi="宋体"/>
          <w:bCs/>
          <w:color w:val="auto"/>
          <w:sz w:val="28"/>
          <w:szCs w:val="28"/>
          <w:highlight w:val="none"/>
          <w:lang w:val="en-US" w:eastAsia="zh-CN"/>
        </w:rPr>
        <w:t>乙方</w:t>
      </w:r>
      <w:r>
        <w:rPr>
          <w:rFonts w:hint="eastAsia" w:ascii="宋体" w:hAnsi="宋体"/>
          <w:bCs/>
          <w:color w:val="auto"/>
          <w:sz w:val="28"/>
          <w:szCs w:val="28"/>
          <w:highlight w:val="none"/>
        </w:rPr>
        <w:t>承担所有责任和费用，</w:t>
      </w:r>
      <w:r>
        <w:rPr>
          <w:rFonts w:hint="eastAsia" w:ascii="宋体" w:hAnsi="宋体"/>
          <w:bCs/>
          <w:color w:val="auto"/>
          <w:sz w:val="28"/>
          <w:szCs w:val="28"/>
          <w:highlight w:val="none"/>
          <w:lang w:val="en-US" w:eastAsia="zh-CN"/>
        </w:rPr>
        <w:t>甲方</w:t>
      </w:r>
      <w:r>
        <w:rPr>
          <w:rFonts w:hint="eastAsia" w:ascii="宋体" w:hAnsi="宋体"/>
          <w:bCs/>
          <w:color w:val="auto"/>
          <w:sz w:val="28"/>
          <w:szCs w:val="28"/>
          <w:highlight w:val="none"/>
        </w:rPr>
        <w:t>保留进一步追究责任的权利。</w:t>
      </w:r>
    </w:p>
    <w:p w14:paraId="6DB90E22">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bCs/>
          <w:color w:val="auto"/>
          <w:sz w:val="28"/>
          <w:szCs w:val="28"/>
          <w:highlight w:val="none"/>
        </w:rPr>
      </w:pPr>
      <w:r>
        <w:rPr>
          <w:rFonts w:hint="eastAsia" w:ascii="宋体" w:hAnsi="宋体"/>
          <w:bCs/>
          <w:color w:val="auto"/>
          <w:sz w:val="28"/>
          <w:szCs w:val="28"/>
          <w:highlight w:val="none"/>
        </w:rPr>
        <w:t>（5）项目验收过程中，如委托第三方检测机构介入，费用由</w:t>
      </w:r>
      <w:r>
        <w:rPr>
          <w:rFonts w:hint="eastAsia" w:ascii="宋体" w:hAnsi="宋体"/>
          <w:bCs/>
          <w:color w:val="auto"/>
          <w:sz w:val="28"/>
          <w:szCs w:val="28"/>
          <w:highlight w:val="none"/>
          <w:lang w:val="en-US" w:eastAsia="zh-CN"/>
        </w:rPr>
        <w:t>乙方</w:t>
      </w:r>
      <w:r>
        <w:rPr>
          <w:rFonts w:hint="eastAsia" w:ascii="宋体" w:hAnsi="宋体"/>
          <w:bCs/>
          <w:color w:val="auto"/>
          <w:sz w:val="28"/>
          <w:szCs w:val="28"/>
          <w:highlight w:val="none"/>
        </w:rPr>
        <w:t>另行承担。</w:t>
      </w:r>
    </w:p>
    <w:p w14:paraId="403727F4">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bCs/>
          <w:color w:val="auto"/>
          <w:sz w:val="28"/>
          <w:szCs w:val="28"/>
          <w:highlight w:val="none"/>
        </w:rPr>
      </w:pPr>
      <w:r>
        <w:rPr>
          <w:rFonts w:hint="eastAsia" w:ascii="宋体" w:hAnsi="宋体"/>
          <w:bCs/>
          <w:color w:val="auto"/>
          <w:sz w:val="28"/>
          <w:szCs w:val="28"/>
          <w:highlight w:val="none"/>
        </w:rPr>
        <w:t>（6）</w:t>
      </w:r>
      <w:r>
        <w:rPr>
          <w:rFonts w:hint="eastAsia" w:ascii="宋体" w:hAnsi="宋体"/>
          <w:bCs/>
          <w:color w:val="auto"/>
          <w:sz w:val="28"/>
          <w:szCs w:val="28"/>
          <w:highlight w:val="none"/>
          <w:lang w:val="en-US" w:eastAsia="zh-CN"/>
        </w:rPr>
        <w:t>甲方</w:t>
      </w:r>
      <w:r>
        <w:rPr>
          <w:rFonts w:hint="eastAsia" w:ascii="宋体" w:hAnsi="宋体"/>
          <w:bCs/>
          <w:color w:val="auto"/>
          <w:sz w:val="28"/>
          <w:szCs w:val="28"/>
          <w:highlight w:val="none"/>
        </w:rPr>
        <w:t>在验收时要求</w:t>
      </w:r>
      <w:r>
        <w:rPr>
          <w:rFonts w:hint="eastAsia" w:ascii="宋体" w:hAnsi="宋体"/>
          <w:bCs/>
          <w:color w:val="auto"/>
          <w:sz w:val="28"/>
          <w:szCs w:val="28"/>
          <w:highlight w:val="none"/>
          <w:lang w:val="en-US" w:eastAsia="zh-CN"/>
        </w:rPr>
        <w:t>乙方</w:t>
      </w:r>
      <w:r>
        <w:rPr>
          <w:rFonts w:hint="eastAsia" w:ascii="宋体" w:hAnsi="宋体"/>
          <w:bCs/>
          <w:color w:val="auto"/>
          <w:sz w:val="28"/>
          <w:szCs w:val="28"/>
          <w:highlight w:val="none"/>
        </w:rPr>
        <w:t>对所提供的标的进行功能演示，如不满足采购需求要求的，验收不合格，</w:t>
      </w:r>
      <w:r>
        <w:rPr>
          <w:rFonts w:hint="eastAsia" w:ascii="宋体" w:hAnsi="宋体"/>
          <w:bCs/>
          <w:color w:val="auto"/>
          <w:sz w:val="28"/>
          <w:szCs w:val="28"/>
          <w:highlight w:val="none"/>
          <w:lang w:val="en-US" w:eastAsia="zh-CN"/>
        </w:rPr>
        <w:t>甲方</w:t>
      </w:r>
      <w:r>
        <w:rPr>
          <w:rFonts w:hint="eastAsia" w:ascii="宋体" w:hAnsi="宋体"/>
          <w:bCs/>
          <w:color w:val="auto"/>
          <w:sz w:val="28"/>
          <w:szCs w:val="28"/>
          <w:highlight w:val="none"/>
        </w:rPr>
        <w:t>将依法解除合同，并报采购监督管理部门处理，</w:t>
      </w:r>
      <w:r>
        <w:rPr>
          <w:rFonts w:hint="eastAsia" w:ascii="宋体" w:hAnsi="宋体"/>
          <w:bCs/>
          <w:color w:val="auto"/>
          <w:sz w:val="28"/>
          <w:szCs w:val="28"/>
          <w:highlight w:val="none"/>
          <w:lang w:val="en-US" w:eastAsia="zh-CN"/>
        </w:rPr>
        <w:t>甲方</w:t>
      </w:r>
      <w:r>
        <w:rPr>
          <w:rFonts w:hint="eastAsia" w:ascii="宋体" w:hAnsi="宋体"/>
          <w:bCs/>
          <w:color w:val="auto"/>
          <w:sz w:val="28"/>
          <w:szCs w:val="28"/>
          <w:highlight w:val="none"/>
        </w:rPr>
        <w:t>保留进一步追究其法律责任的权利，由此引发的所有损失由</w:t>
      </w:r>
      <w:r>
        <w:rPr>
          <w:rFonts w:hint="eastAsia" w:ascii="宋体" w:hAnsi="宋体"/>
          <w:bCs/>
          <w:color w:val="auto"/>
          <w:sz w:val="28"/>
          <w:szCs w:val="28"/>
          <w:highlight w:val="none"/>
          <w:lang w:val="en-US" w:eastAsia="zh-CN"/>
        </w:rPr>
        <w:t>乙方</w:t>
      </w:r>
      <w:r>
        <w:rPr>
          <w:rFonts w:hint="eastAsia" w:ascii="宋体" w:hAnsi="宋体"/>
          <w:bCs/>
          <w:color w:val="auto"/>
          <w:sz w:val="28"/>
          <w:szCs w:val="28"/>
          <w:highlight w:val="none"/>
        </w:rPr>
        <w:t>承担。</w:t>
      </w:r>
    </w:p>
    <w:p w14:paraId="7543E3A6">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4</w:t>
      </w:r>
      <w:r>
        <w:rPr>
          <w:rFonts w:hint="eastAsia" w:ascii="宋体" w:hAnsi="宋体"/>
          <w:color w:val="auto"/>
          <w:sz w:val="28"/>
          <w:szCs w:val="28"/>
          <w:highlight w:val="none"/>
          <w:lang w:val="en-US" w:eastAsia="zh-CN"/>
        </w:rPr>
        <w:t>.</w:t>
      </w:r>
      <w:r>
        <w:rPr>
          <w:rFonts w:hint="eastAsia" w:ascii="宋体" w:hAnsi="宋体"/>
          <w:color w:val="auto"/>
          <w:sz w:val="28"/>
          <w:szCs w:val="28"/>
          <w:highlight w:val="none"/>
        </w:rPr>
        <w:t>验收程序及方法：</w:t>
      </w:r>
    </w:p>
    <w:p w14:paraId="0D6B97B1">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1</w:t>
      </w:r>
      <w:r>
        <w:rPr>
          <w:rFonts w:hint="eastAsia" w:ascii="宋体" w:hAnsi="宋体"/>
          <w:color w:val="auto"/>
          <w:sz w:val="28"/>
          <w:szCs w:val="28"/>
          <w:highlight w:val="none"/>
          <w:lang w:eastAsia="zh-CN"/>
        </w:rPr>
        <w:t>）</w:t>
      </w:r>
      <w:r>
        <w:rPr>
          <w:rFonts w:hint="eastAsia" w:ascii="宋体" w:hAnsi="宋体"/>
          <w:color w:val="auto"/>
          <w:sz w:val="28"/>
          <w:szCs w:val="28"/>
          <w:highlight w:val="none"/>
        </w:rPr>
        <w:t>乙方履行完合同义务后，经项目监理审核达到验收条件后，再书面向甲方提交验收申请。</w:t>
      </w:r>
    </w:p>
    <w:p w14:paraId="2AA9CD0A">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2</w:t>
      </w:r>
      <w:r>
        <w:rPr>
          <w:rFonts w:hint="eastAsia" w:ascii="宋体" w:hAnsi="宋体"/>
          <w:color w:val="auto"/>
          <w:sz w:val="28"/>
          <w:szCs w:val="28"/>
          <w:highlight w:val="none"/>
          <w:lang w:eastAsia="zh-CN"/>
        </w:rPr>
        <w:t>）</w:t>
      </w:r>
      <w:r>
        <w:rPr>
          <w:rFonts w:hint="eastAsia" w:ascii="宋体" w:hAnsi="宋体"/>
          <w:color w:val="auto"/>
          <w:sz w:val="28"/>
          <w:szCs w:val="28"/>
          <w:highlight w:val="none"/>
        </w:rPr>
        <w:t>甲方收到乙方验收申请之日起15个工作日内组织验收。甲方有权委托第三方机构组织项目验收，其验收时间以该项目验收方案确定的验收时间为准。</w:t>
      </w:r>
    </w:p>
    <w:p w14:paraId="6EA95360">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3</w:t>
      </w:r>
      <w:r>
        <w:rPr>
          <w:rFonts w:hint="eastAsia" w:ascii="宋体" w:hAnsi="宋体"/>
          <w:color w:val="auto"/>
          <w:sz w:val="28"/>
          <w:szCs w:val="28"/>
          <w:highlight w:val="none"/>
          <w:lang w:eastAsia="zh-CN"/>
        </w:rPr>
        <w:t>）</w:t>
      </w:r>
      <w:r>
        <w:rPr>
          <w:rFonts w:hint="eastAsia" w:ascii="宋体" w:hAnsi="宋体"/>
          <w:color w:val="auto"/>
          <w:sz w:val="28"/>
          <w:szCs w:val="28"/>
          <w:highlight w:val="none"/>
        </w:rPr>
        <w:t>本项目验收由验收小组按照采购合同约定对每一项技术和商务要求的履约情况进行确认。</w:t>
      </w:r>
    </w:p>
    <w:p w14:paraId="1933ECF3">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s="宋体"/>
          <w:color w:val="auto"/>
          <w:kern w:val="0"/>
          <w:sz w:val="28"/>
          <w:szCs w:val="28"/>
          <w:highlight w:val="none"/>
        </w:rPr>
      </w:pP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4</w:t>
      </w:r>
      <w:r>
        <w:rPr>
          <w:rFonts w:hint="eastAsia" w:ascii="宋体" w:hAnsi="宋体"/>
          <w:color w:val="auto"/>
          <w:sz w:val="28"/>
          <w:szCs w:val="28"/>
          <w:highlight w:val="none"/>
          <w:lang w:eastAsia="zh-CN"/>
        </w:rPr>
        <w:t>）</w:t>
      </w:r>
      <w:r>
        <w:rPr>
          <w:rFonts w:hint="eastAsia" w:ascii="宋体" w:hAnsi="宋体"/>
          <w:color w:val="auto"/>
          <w:sz w:val="28"/>
          <w:szCs w:val="28"/>
          <w:highlight w:val="none"/>
        </w:rPr>
        <w:t>验收结束后，验收小组出具采购验收书，验收书应当包括每一项技术和商务要求的履约情况，并列明项目总体评价，由验收小组、甲方和乙方共同签署。甲方委托第三方机构组织项目验收，其验收结果以第三方机构出具验收书结论为准，甲方和乙方共同签署确认。</w:t>
      </w:r>
    </w:p>
    <w:p w14:paraId="5BE9757B">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5</w:t>
      </w:r>
      <w:r>
        <w:rPr>
          <w:rFonts w:hint="eastAsia" w:ascii="宋体" w:hAnsi="宋体"/>
          <w:color w:val="auto"/>
          <w:sz w:val="28"/>
          <w:szCs w:val="28"/>
          <w:highlight w:val="none"/>
          <w:lang w:eastAsia="zh-CN"/>
        </w:rPr>
        <w:t>）</w:t>
      </w:r>
      <w:r>
        <w:rPr>
          <w:rFonts w:hint="eastAsia" w:ascii="宋体" w:hAnsi="宋体"/>
          <w:color w:val="auto"/>
          <w:sz w:val="28"/>
          <w:szCs w:val="28"/>
          <w:highlight w:val="none"/>
        </w:rPr>
        <w:t>验收书一式</w:t>
      </w:r>
      <w:r>
        <w:rPr>
          <w:rFonts w:hint="eastAsia" w:ascii="宋体" w:hAnsi="宋体"/>
          <w:color w:val="auto"/>
          <w:sz w:val="28"/>
          <w:szCs w:val="28"/>
          <w:highlight w:val="none"/>
          <w:u w:val="single"/>
        </w:rPr>
        <w:t>三</w:t>
      </w:r>
      <w:r>
        <w:rPr>
          <w:rFonts w:hint="eastAsia" w:ascii="宋体" w:hAnsi="宋体"/>
          <w:color w:val="auto"/>
          <w:sz w:val="28"/>
          <w:szCs w:val="28"/>
          <w:highlight w:val="none"/>
        </w:rPr>
        <w:t>份，甲乙双方各执</w:t>
      </w:r>
      <w:r>
        <w:rPr>
          <w:rFonts w:hint="eastAsia" w:ascii="宋体" w:hAnsi="宋体"/>
          <w:color w:val="auto"/>
          <w:sz w:val="28"/>
          <w:szCs w:val="28"/>
          <w:highlight w:val="none"/>
          <w:u w:val="single"/>
        </w:rPr>
        <w:t>一</w:t>
      </w:r>
      <w:r>
        <w:rPr>
          <w:rFonts w:hint="eastAsia" w:ascii="宋体" w:hAnsi="宋体"/>
          <w:color w:val="auto"/>
          <w:sz w:val="28"/>
          <w:szCs w:val="28"/>
          <w:highlight w:val="none"/>
        </w:rPr>
        <w:t xml:space="preserve">份、受托第三方机构一份（如有）。 </w:t>
      </w:r>
    </w:p>
    <w:p w14:paraId="3BA23DA5">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lang w:eastAsia="zh-CN"/>
        </w:rPr>
        <w:t>）</w:t>
      </w:r>
      <w:r>
        <w:rPr>
          <w:rFonts w:hint="eastAsia" w:ascii="宋体" w:hAnsi="宋体"/>
          <w:color w:val="auto"/>
          <w:sz w:val="28"/>
          <w:szCs w:val="28"/>
          <w:highlight w:val="none"/>
        </w:rPr>
        <w:t>验收结论不合格的，乙方应自收到验收书后</w:t>
      </w:r>
      <w:r>
        <w:rPr>
          <w:rFonts w:hint="eastAsia" w:ascii="宋体" w:hAnsi="宋体"/>
          <w:color w:val="auto"/>
          <w:sz w:val="28"/>
          <w:szCs w:val="28"/>
          <w:highlight w:val="none"/>
          <w:u w:val="single"/>
        </w:rPr>
        <w:t>7</w:t>
      </w:r>
      <w:r>
        <w:rPr>
          <w:rFonts w:hint="eastAsia" w:ascii="宋体" w:hAnsi="宋体"/>
          <w:color w:val="auto"/>
          <w:sz w:val="28"/>
          <w:szCs w:val="28"/>
          <w:highlight w:val="none"/>
        </w:rPr>
        <w:t>日内及时予以解决。经乙方对验收结论不合格的货物进行整改后，仍然达不到要求的，经双方协商，可按以下办法处理：</w:t>
      </w:r>
    </w:p>
    <w:p w14:paraId="25E5203A">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①更换：由乙方承担所发生的全部费用。</w:t>
      </w:r>
    </w:p>
    <w:p w14:paraId="37EDE932">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②贬值处理：由甲乙双方合议定价。</w:t>
      </w:r>
    </w:p>
    <w:p w14:paraId="6BB7A816">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lang w:val="en-US" w:eastAsia="zh-CN"/>
        </w:rPr>
        <w:t>5.</w:t>
      </w:r>
      <w:r>
        <w:rPr>
          <w:rFonts w:hint="eastAsia" w:ascii="宋体" w:hAnsi="宋体"/>
          <w:color w:val="auto"/>
          <w:sz w:val="28"/>
          <w:szCs w:val="28"/>
          <w:highlight w:val="none"/>
        </w:rPr>
        <w:t>交付标准和方法</w:t>
      </w:r>
    </w:p>
    <w:p w14:paraId="1CFB53C6">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（1）除售后服务验收外，验收结论合格的，乙方应自收到验收书后</w:t>
      </w:r>
      <w:r>
        <w:rPr>
          <w:rFonts w:hint="eastAsia" w:ascii="宋体" w:hAnsi="宋体"/>
          <w:color w:val="auto"/>
          <w:sz w:val="28"/>
          <w:szCs w:val="28"/>
          <w:highlight w:val="none"/>
          <w:u w:val="single"/>
        </w:rPr>
        <w:t>7</w:t>
      </w:r>
      <w:r>
        <w:rPr>
          <w:rFonts w:hint="eastAsia" w:ascii="宋体" w:hAnsi="宋体"/>
          <w:color w:val="auto"/>
          <w:sz w:val="28"/>
          <w:szCs w:val="28"/>
          <w:highlight w:val="none"/>
        </w:rPr>
        <w:t>日内向甲方交付使用。</w:t>
      </w:r>
    </w:p>
    <w:p w14:paraId="15B7ED4C">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b/>
          <w:color w:val="auto"/>
          <w:sz w:val="28"/>
          <w:szCs w:val="28"/>
          <w:highlight w:val="none"/>
        </w:rPr>
      </w:pPr>
      <w:r>
        <w:rPr>
          <w:rFonts w:hint="eastAsia" w:ascii="宋体" w:hAnsi="宋体"/>
          <w:color w:val="auto"/>
          <w:sz w:val="28"/>
          <w:szCs w:val="28"/>
          <w:highlight w:val="none"/>
        </w:rPr>
        <w:t>（2）货物的所有权和风险自交付时起由乙方转移至甲方，货物交付给甲方之前所有风险均由乙方承担。</w:t>
      </w:r>
    </w:p>
    <w:p w14:paraId="163E66AE">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b/>
          <w:color w:val="auto"/>
          <w:sz w:val="28"/>
          <w:szCs w:val="28"/>
          <w:highlight w:val="none"/>
        </w:rPr>
      </w:pPr>
      <w:r>
        <w:rPr>
          <w:rFonts w:hint="eastAsia" w:ascii="宋体" w:hAnsi="宋体"/>
          <w:b/>
          <w:color w:val="auto"/>
          <w:sz w:val="28"/>
          <w:szCs w:val="28"/>
          <w:highlight w:val="none"/>
        </w:rPr>
        <w:t>第八条  售后服务</w:t>
      </w:r>
    </w:p>
    <w:p w14:paraId="5425FE68">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1.乙方应按照国家有关法律法规规定、招标文件要求以及投标文件承诺，为甲方提供质保服务。</w:t>
      </w:r>
    </w:p>
    <w:p w14:paraId="7D12B154">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eastAsia="宋体" w:cs="Times New Roman"/>
          <w:color w:val="auto"/>
          <w:sz w:val="28"/>
          <w:szCs w:val="28"/>
          <w:highlight w:val="none"/>
          <w:u w:val="single"/>
          <w:lang w:val="en-US" w:eastAsia="zh-CN"/>
        </w:rPr>
      </w:pPr>
      <w:r>
        <w:rPr>
          <w:rFonts w:hint="eastAsia" w:ascii="宋体" w:hAnsi="宋体"/>
          <w:color w:val="auto"/>
          <w:sz w:val="28"/>
          <w:szCs w:val="28"/>
          <w:highlight w:val="none"/>
        </w:rPr>
        <w:t>（1）质量保修范围：</w:t>
      </w:r>
      <w:r>
        <w:rPr>
          <w:rFonts w:hint="eastAsia" w:ascii="宋体" w:hAnsi="宋体" w:eastAsia="宋体" w:cs="Times New Roman"/>
          <w:color w:val="auto"/>
          <w:sz w:val="28"/>
          <w:szCs w:val="28"/>
          <w:highlight w:val="none"/>
          <w:u w:val="single"/>
        </w:rPr>
        <w:t>保修范围为</w:t>
      </w:r>
      <w:r>
        <w:rPr>
          <w:rFonts w:hint="eastAsia" w:ascii="宋体" w:hAnsi="宋体" w:eastAsia="宋体" w:cs="Times New Roman"/>
          <w:color w:val="auto"/>
          <w:sz w:val="28"/>
          <w:szCs w:val="28"/>
          <w:highlight w:val="none"/>
          <w:u w:val="single"/>
          <w:lang w:val="en-US" w:eastAsia="zh-CN"/>
        </w:rPr>
        <w:t>投标文件中的项目要求及技术需求</w:t>
      </w:r>
    </w:p>
    <w:p w14:paraId="2C3B1AB8">
      <w:pPr>
        <w:keepNext w:val="0"/>
        <w:keepLines w:val="0"/>
        <w:pageBreakBefore w:val="0"/>
        <w:widowControl w:val="0"/>
        <w:kinsoku/>
        <w:wordWrap/>
        <w:overflowPunct/>
        <w:topLinePunct w:val="0"/>
        <w:bidi w:val="0"/>
        <w:snapToGrid w:val="0"/>
        <w:spacing w:line="480" w:lineRule="exact"/>
        <w:ind w:left="0" w:leftChars="0" w:right="0" w:firstLine="0" w:firstLineChars="0"/>
        <w:rPr>
          <w:rFonts w:ascii="宋体" w:hAnsi="宋体"/>
          <w:color w:val="auto"/>
          <w:sz w:val="28"/>
          <w:szCs w:val="28"/>
          <w:highlight w:val="none"/>
        </w:rPr>
      </w:pPr>
      <w:r>
        <w:rPr>
          <w:rFonts w:hint="eastAsia" w:ascii="宋体" w:hAnsi="宋体" w:eastAsia="宋体" w:cs="Times New Roman"/>
          <w:color w:val="auto"/>
          <w:sz w:val="28"/>
          <w:szCs w:val="28"/>
          <w:highlight w:val="none"/>
          <w:u w:val="single"/>
          <w:lang w:val="en-US" w:eastAsia="zh-CN"/>
        </w:rPr>
        <w:t>、施工及设备设施需求清单全部内容</w:t>
      </w:r>
      <w:r>
        <w:rPr>
          <w:rFonts w:hint="eastAsia" w:ascii="宋体" w:hAnsi="宋体"/>
          <w:color w:val="auto"/>
          <w:sz w:val="28"/>
          <w:szCs w:val="28"/>
          <w:highlight w:val="none"/>
          <w:u w:val="single"/>
        </w:rPr>
        <w:t>。保修期内出现故障，派出技术工程师到达现场处理故障，并承担一切费用。</w:t>
      </w:r>
    </w:p>
    <w:p w14:paraId="4FE3F499">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sz w:val="28"/>
          <w:szCs w:val="28"/>
          <w:highlight w:val="none"/>
          <w:u w:val="single"/>
        </w:rPr>
      </w:pPr>
      <w:r>
        <w:rPr>
          <w:rFonts w:hint="eastAsia" w:ascii="宋体" w:hAnsi="宋体"/>
          <w:color w:val="auto"/>
          <w:sz w:val="28"/>
          <w:szCs w:val="28"/>
          <w:highlight w:val="none"/>
          <w:u w:val="single"/>
        </w:rPr>
        <w:t>（2）质保期：本项目整体质保期</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u w:val="single"/>
        </w:rPr>
        <w:t>年（自验收合格并交付使用之日起计算）。</w:t>
      </w:r>
      <w:r>
        <w:rPr>
          <w:rFonts w:hint="eastAsia" w:ascii="宋体" w:hAnsi="宋体"/>
          <w:color w:val="auto"/>
          <w:sz w:val="28"/>
          <w:szCs w:val="28"/>
          <w:highlight w:val="none"/>
        </w:rPr>
        <w:t>质保期内硬件设备按国家有关产品“三包”规定执行“三包”，质保期内和质保期外均须根据甲方需求提供软件升级服务，升级费用已包含在投标报价中。</w:t>
      </w:r>
    </w:p>
    <w:p w14:paraId="20BCAF10">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（3）有偿提供质保期满后发生的维修服务。</w:t>
      </w:r>
    </w:p>
    <w:p w14:paraId="0B5B2E8D">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sz w:val="28"/>
          <w:szCs w:val="28"/>
          <w:highlight w:val="none"/>
          <w:u w:val="single"/>
        </w:rPr>
      </w:pPr>
      <w:r>
        <w:rPr>
          <w:rFonts w:hint="eastAsia" w:ascii="宋体" w:hAnsi="宋体"/>
          <w:color w:val="auto"/>
          <w:sz w:val="28"/>
          <w:szCs w:val="28"/>
          <w:highlight w:val="none"/>
          <w:u w:val="single"/>
        </w:rPr>
        <w:t>2.乙方应按照国家有关法律法规规定</w:t>
      </w:r>
      <w:r>
        <w:rPr>
          <w:rFonts w:hint="eastAsia" w:ascii="宋体" w:hAnsi="宋体" w:cs="宋体"/>
          <w:color w:val="auto"/>
          <w:sz w:val="28"/>
          <w:szCs w:val="28"/>
          <w:highlight w:val="none"/>
          <w:u w:val="single"/>
        </w:rPr>
        <w:t>、招标文件要求以及投标文件</w:t>
      </w:r>
      <w:r>
        <w:rPr>
          <w:rFonts w:hint="eastAsia" w:ascii="宋体" w:hAnsi="宋体"/>
          <w:color w:val="auto"/>
          <w:sz w:val="28"/>
          <w:szCs w:val="28"/>
          <w:highlight w:val="none"/>
          <w:u w:val="single"/>
        </w:rPr>
        <w:t>承诺，为甲方提供故障处置响应服务。</w:t>
      </w:r>
    </w:p>
    <w:p w14:paraId="280E8E4E">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sz w:val="28"/>
          <w:szCs w:val="28"/>
          <w:highlight w:val="none"/>
          <w:u w:val="single"/>
        </w:rPr>
      </w:pPr>
      <w:r>
        <w:rPr>
          <w:rFonts w:hint="eastAsia" w:ascii="宋体" w:hAnsi="宋体"/>
          <w:color w:val="auto"/>
          <w:sz w:val="28"/>
          <w:szCs w:val="28"/>
          <w:highlight w:val="none"/>
          <w:u w:val="single"/>
        </w:rPr>
        <w:t>乙方在向甲方提供优质产品服务的同时，应提供高效优质的售后保障服务，以确保甲方避免重大损失。</w:t>
      </w:r>
    </w:p>
    <w:p w14:paraId="532911D3">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sz w:val="28"/>
          <w:szCs w:val="28"/>
          <w:highlight w:val="none"/>
          <w:u w:val="single"/>
        </w:rPr>
      </w:pPr>
      <w:r>
        <w:rPr>
          <w:rFonts w:hint="eastAsia" w:ascii="宋体" w:hAnsi="宋体"/>
          <w:color w:val="auto"/>
          <w:sz w:val="28"/>
          <w:szCs w:val="28"/>
          <w:highlight w:val="none"/>
          <w:u w:val="single"/>
        </w:rPr>
        <w:t>（1）故障处置响应服务：指乙方向甲方提供本合同所采购业务内容出现故障，导致甲方不能正常使用乙方所提供的业务内容。</w:t>
      </w:r>
    </w:p>
    <w:p w14:paraId="4CC33577">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sz w:val="28"/>
          <w:szCs w:val="28"/>
          <w:highlight w:val="none"/>
          <w:u w:val="single"/>
        </w:rPr>
      </w:pPr>
      <w:r>
        <w:rPr>
          <w:rFonts w:hint="eastAsia" w:ascii="宋体" w:hAnsi="宋体"/>
          <w:color w:val="auto"/>
          <w:sz w:val="28"/>
          <w:szCs w:val="28"/>
          <w:highlight w:val="none"/>
          <w:u w:val="single"/>
        </w:rPr>
        <w:t>（2）故障处置响应服务包括：</w:t>
      </w:r>
    </w:p>
    <w:p w14:paraId="26AA89CD">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sz w:val="28"/>
          <w:szCs w:val="28"/>
          <w:highlight w:val="none"/>
          <w:u w:val="single"/>
        </w:rPr>
      </w:pPr>
      <w:r>
        <w:rPr>
          <w:rFonts w:hint="eastAsia" w:ascii="宋体" w:hAnsi="宋体"/>
          <w:color w:val="auto"/>
          <w:sz w:val="28"/>
          <w:szCs w:val="28"/>
          <w:highlight w:val="none"/>
          <w:u w:val="single"/>
        </w:rPr>
        <w:t>接到采购人处理问题通知后</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u w:val="single"/>
        </w:rPr>
        <w:t>小时内到达采购人指定现场处理。</w:t>
      </w:r>
    </w:p>
    <w:p w14:paraId="7A1D49AB">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sz w:val="28"/>
          <w:szCs w:val="28"/>
          <w:highlight w:val="none"/>
          <w:u w:val="single"/>
        </w:rPr>
      </w:pPr>
      <w:r>
        <w:rPr>
          <w:rFonts w:hint="eastAsia" w:ascii="宋体" w:hAnsi="宋体"/>
          <w:color w:val="auto"/>
          <w:sz w:val="28"/>
          <w:szCs w:val="28"/>
          <w:highlight w:val="none"/>
          <w:u w:val="single"/>
        </w:rPr>
        <w:t>（3）</w:t>
      </w:r>
      <w:r>
        <w:rPr>
          <w:rFonts w:hint="eastAsia" w:ascii="宋体" w:hAnsi="宋体"/>
          <w:color w:val="auto"/>
          <w:sz w:val="28"/>
          <w:szCs w:val="28"/>
          <w:highlight w:val="none"/>
          <w:u w:val="single"/>
          <w:lang w:val="en-US" w:eastAsia="zh-CN"/>
        </w:rPr>
        <w:t>质保</w:t>
      </w:r>
      <w:r>
        <w:rPr>
          <w:rFonts w:hint="eastAsia" w:ascii="宋体" w:hAnsi="宋体"/>
          <w:color w:val="auto"/>
          <w:sz w:val="28"/>
          <w:szCs w:val="28"/>
          <w:highlight w:val="none"/>
          <w:u w:val="single"/>
        </w:rPr>
        <w:t>期：本项目</w:t>
      </w:r>
      <w:r>
        <w:rPr>
          <w:rFonts w:hint="eastAsia" w:ascii="宋体" w:hAnsi="宋体"/>
          <w:color w:val="auto"/>
          <w:sz w:val="28"/>
          <w:szCs w:val="28"/>
          <w:highlight w:val="none"/>
          <w:u w:val="single"/>
          <w:lang w:val="en-US" w:eastAsia="zh-CN"/>
        </w:rPr>
        <w:t>质保</w:t>
      </w:r>
      <w:r>
        <w:rPr>
          <w:rFonts w:hint="eastAsia" w:ascii="宋体" w:hAnsi="宋体"/>
          <w:color w:val="auto"/>
          <w:sz w:val="28"/>
          <w:szCs w:val="28"/>
          <w:highlight w:val="none"/>
          <w:u w:val="single"/>
        </w:rPr>
        <w:t>期</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u w:val="single"/>
        </w:rPr>
        <w:t>年（自验收合格并移交之日起计算）。</w:t>
      </w:r>
      <w:r>
        <w:rPr>
          <w:rFonts w:hint="eastAsia" w:ascii="宋体" w:hAnsi="宋体"/>
          <w:color w:val="auto"/>
          <w:sz w:val="28"/>
          <w:szCs w:val="28"/>
          <w:highlight w:val="none"/>
          <w:u w:val="single"/>
          <w:lang w:val="en-US" w:eastAsia="zh-CN"/>
        </w:rPr>
        <w:t>质保</w:t>
      </w:r>
      <w:r>
        <w:rPr>
          <w:rFonts w:hint="eastAsia" w:ascii="宋体" w:hAnsi="宋体"/>
          <w:color w:val="auto"/>
          <w:sz w:val="28"/>
          <w:szCs w:val="28"/>
          <w:highlight w:val="none"/>
          <w:u w:val="single"/>
        </w:rPr>
        <w:t>费已含在合同总价内，甲方不再另行支付</w:t>
      </w:r>
      <w:r>
        <w:rPr>
          <w:rFonts w:hint="eastAsia" w:ascii="宋体" w:hAnsi="宋体"/>
          <w:color w:val="auto"/>
          <w:sz w:val="28"/>
          <w:szCs w:val="28"/>
          <w:highlight w:val="none"/>
          <w:u w:val="single"/>
          <w:lang w:val="en-US" w:eastAsia="zh-CN"/>
        </w:rPr>
        <w:t>质保</w:t>
      </w:r>
      <w:r>
        <w:rPr>
          <w:rFonts w:hint="eastAsia" w:ascii="宋体" w:hAnsi="宋体"/>
          <w:color w:val="auto"/>
          <w:sz w:val="28"/>
          <w:szCs w:val="28"/>
          <w:highlight w:val="none"/>
          <w:u w:val="single"/>
        </w:rPr>
        <w:t>费用。</w:t>
      </w:r>
    </w:p>
    <w:p w14:paraId="08B96E99">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u w:val="single"/>
        </w:rPr>
      </w:pPr>
      <w:r>
        <w:rPr>
          <w:rFonts w:hint="eastAsia" w:ascii="宋体" w:hAnsi="宋体"/>
          <w:color w:val="auto"/>
          <w:sz w:val="28"/>
          <w:szCs w:val="28"/>
          <w:highlight w:val="none"/>
          <w:u w:val="single"/>
        </w:rPr>
        <w:t>3.质保期外服务要求：质保期和售后服务期过后，甲方需要继续由原乙方提供售后服务的，乙方应提供电话咨询服务，并应承诺提供产品或服务上门维护，乙方应以优惠价格提供售后服务。</w:t>
      </w:r>
    </w:p>
    <w:p w14:paraId="70B6DF8F">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b/>
          <w:color w:val="auto"/>
          <w:sz w:val="28"/>
          <w:szCs w:val="28"/>
          <w:highlight w:val="none"/>
        </w:rPr>
      </w:pPr>
      <w:r>
        <w:rPr>
          <w:rFonts w:hint="eastAsia" w:ascii="宋体" w:hAnsi="宋体"/>
          <w:b/>
          <w:color w:val="auto"/>
          <w:sz w:val="28"/>
          <w:szCs w:val="28"/>
          <w:highlight w:val="none"/>
        </w:rPr>
        <w:t>第九条　违约责任</w:t>
      </w:r>
    </w:p>
    <w:p w14:paraId="04D593F2">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kern w:val="0"/>
          <w:sz w:val="28"/>
          <w:szCs w:val="28"/>
          <w:highlight w:val="none"/>
        </w:rPr>
      </w:pPr>
      <w:r>
        <w:rPr>
          <w:rFonts w:hint="eastAsia" w:ascii="宋体" w:hAnsi="宋体"/>
          <w:color w:val="auto"/>
          <w:kern w:val="0"/>
          <w:sz w:val="28"/>
          <w:szCs w:val="28"/>
          <w:highlight w:val="none"/>
        </w:rPr>
        <w:t>1.乙方所提供的服务及产品名称、商标品牌、生产厂家、规格型号、技术参数等质量不合格的，应及时更换，更换不及时的按逾期交货处罚；因质量问题甲方不同意接收的或特殊情况甲方同意接收的，乙方应向甲方支付违约货款额5%违约金并赔偿甲方经济损失。</w:t>
      </w:r>
    </w:p>
    <w:p w14:paraId="77CEE974">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2.乙方提供的货物如侵犯了第三方合法权益而引发的任何纠纷或诉讼，均由乙方负责交涉并承担全部责任。</w:t>
      </w:r>
    </w:p>
    <w:p w14:paraId="57263429">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3.因包装、运输引起的货物损坏，按质量不合格处罚。</w:t>
      </w:r>
    </w:p>
    <w:p w14:paraId="37622500">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4.甲方无故延期接收货物、乙方逾期交货的，每天向对方偿付违约货款额万分之二违约金，但违约金累计不得超过违约货款额5%，超过3</w:t>
      </w:r>
      <w:r>
        <w:rPr>
          <w:rFonts w:ascii="宋体" w:hAnsi="宋体"/>
          <w:color w:val="auto"/>
          <w:kern w:val="0"/>
          <w:sz w:val="28"/>
          <w:szCs w:val="28"/>
          <w:highlight w:val="none"/>
        </w:rPr>
        <w:t>0</w:t>
      </w:r>
      <w:r>
        <w:rPr>
          <w:rFonts w:hint="eastAsia" w:ascii="宋体" w:hAnsi="宋体"/>
          <w:color w:val="auto"/>
          <w:kern w:val="0"/>
          <w:sz w:val="28"/>
          <w:szCs w:val="28"/>
          <w:highlight w:val="none"/>
        </w:rPr>
        <w:t>天对方有权解除合同，违约方承担因此给对方造成经济损失。</w:t>
      </w:r>
    </w:p>
    <w:p w14:paraId="4C32CBC5">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5.乙方未按本合同和响应文件中规定的服务承诺提供售后服务的，乙方应按本合同合计金额</w:t>
      </w:r>
      <w:r>
        <w:rPr>
          <w:rFonts w:hint="eastAsia" w:ascii="宋体" w:hAnsi="宋体"/>
          <w:color w:val="auto"/>
          <w:kern w:val="0"/>
          <w:sz w:val="28"/>
          <w:szCs w:val="28"/>
          <w:highlight w:val="none"/>
          <w:u w:val="single"/>
        </w:rPr>
        <w:t xml:space="preserve"> 5%</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rPr>
        <w:t>向甲方支付违约金，并承担连带责任和赔偿相应损失。</w:t>
      </w:r>
    </w:p>
    <w:p w14:paraId="6B4066DE">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kern w:val="0"/>
          <w:sz w:val="28"/>
          <w:szCs w:val="28"/>
          <w:highlight w:val="none"/>
        </w:rPr>
      </w:pPr>
      <w:r>
        <w:rPr>
          <w:rFonts w:hint="eastAsia" w:ascii="宋体" w:hAnsi="宋体"/>
          <w:color w:val="auto"/>
          <w:kern w:val="0"/>
          <w:sz w:val="28"/>
          <w:szCs w:val="28"/>
          <w:highlight w:val="none"/>
        </w:rPr>
        <w:t>6.乙方提供的货物在质保期内，因设计、工艺或材料的缺陷和其它质量原因造成的问题，由乙方负责。</w:t>
      </w:r>
    </w:p>
    <w:p w14:paraId="2C9A8BCB">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kern w:val="0"/>
          <w:sz w:val="28"/>
          <w:szCs w:val="28"/>
          <w:highlight w:val="none"/>
        </w:rPr>
      </w:pPr>
      <w:r>
        <w:rPr>
          <w:rFonts w:hint="eastAsia" w:ascii="宋体" w:hAnsi="宋体"/>
          <w:color w:val="auto"/>
          <w:kern w:val="0"/>
          <w:sz w:val="28"/>
          <w:szCs w:val="28"/>
          <w:highlight w:val="none"/>
        </w:rPr>
        <w:t>7.除不可抗力因素的影响（乙方办理相关准入证件不属于不可抗力因素），因此超过合同工期的，乙方承担违约责任，乙方每天按照合同金额的万分之二支付违约金。</w:t>
      </w:r>
    </w:p>
    <w:p w14:paraId="1E2B74B8">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default" w:ascii="宋体" w:hAnsi="宋体" w:eastAsia="宋体"/>
          <w:color w:val="auto"/>
          <w:kern w:val="0"/>
          <w:sz w:val="28"/>
          <w:szCs w:val="28"/>
          <w:highlight w:val="none"/>
          <w:lang w:val="en-US" w:eastAsia="zh-CN"/>
        </w:rPr>
      </w:pPr>
      <w:r>
        <w:rPr>
          <w:rFonts w:hint="eastAsia" w:ascii="宋体" w:hAnsi="宋体"/>
          <w:color w:val="auto"/>
          <w:kern w:val="0"/>
          <w:sz w:val="28"/>
          <w:szCs w:val="28"/>
          <w:highlight w:val="none"/>
          <w:lang w:val="en-US" w:eastAsia="zh-CN"/>
        </w:rPr>
        <w:t>8.乙方在接到故障信息后1小时内电话响应，在5小时内到达现场，24小时内排除一般故障。重大故障应尽快排除，不能及时排除，用同等或更优质量的材料设备替代使用，保证正常运行并由乙方承担由此产生的费用。如乙方未能按约定的服务响应要求进行响应，甲方有权扣减履约保证金，单次扣减金额为履约保证金总额的0.5%，并且甲方有权使用乙方缴纳的履约保证金进行售后维修相关事项，确保正常运行。</w:t>
      </w:r>
    </w:p>
    <w:p w14:paraId="04161C9A">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lang w:val="en-US" w:eastAsia="zh-CN"/>
        </w:rPr>
        <w:t>9</w:t>
      </w:r>
      <w:r>
        <w:rPr>
          <w:rFonts w:hint="eastAsia" w:ascii="宋体" w:hAnsi="宋体"/>
          <w:color w:val="auto"/>
          <w:kern w:val="0"/>
          <w:sz w:val="28"/>
          <w:szCs w:val="28"/>
          <w:highlight w:val="none"/>
        </w:rPr>
        <w:t>.其它违约责任按《中华人民共和国民法典》处理。</w:t>
      </w:r>
    </w:p>
    <w:p w14:paraId="1CA5A99F">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b/>
          <w:color w:val="auto"/>
          <w:kern w:val="0"/>
          <w:sz w:val="28"/>
          <w:szCs w:val="28"/>
          <w:highlight w:val="none"/>
        </w:rPr>
      </w:pPr>
      <w:r>
        <w:rPr>
          <w:rFonts w:hint="eastAsia" w:ascii="宋体" w:hAnsi="宋体"/>
          <w:b/>
          <w:color w:val="auto"/>
          <w:kern w:val="0"/>
          <w:sz w:val="28"/>
          <w:szCs w:val="28"/>
          <w:highlight w:val="none"/>
        </w:rPr>
        <w:t>第十条  不可抗力事件处理</w:t>
      </w:r>
    </w:p>
    <w:p w14:paraId="42F9E85D">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1.在合同有效期内，任何一方因不可抗力事件导致不能履行合同，则合同履行期可延长，其延长期与不可抗力影响期相同。</w:t>
      </w:r>
    </w:p>
    <w:p w14:paraId="61DADA86">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2.不可抗力事件发生后，应立即通知对方，并寄送有关权威机构出具的证明。</w:t>
      </w:r>
    </w:p>
    <w:p w14:paraId="218875CC">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3.如遇不可抗力事件延</w:t>
      </w:r>
      <w:r>
        <w:rPr>
          <w:rFonts w:hint="eastAsia" w:ascii="宋体" w:hAnsi="宋体" w:eastAsia="宋体" w:cs="Times New Roman"/>
          <w:color w:val="auto"/>
          <w:sz w:val="28"/>
          <w:szCs w:val="28"/>
          <w:highlight w:val="none"/>
        </w:rPr>
        <w:t>续</w:t>
      </w:r>
      <w:r>
        <w:rPr>
          <w:rFonts w:hint="eastAsia" w:ascii="宋体" w:hAnsi="宋体" w:eastAsia="宋体" w:cs="Times New Roman"/>
          <w:color w:val="auto"/>
          <w:sz w:val="28"/>
          <w:szCs w:val="28"/>
          <w:highlight w:val="none"/>
          <w:lang w:eastAsia="zh-CN"/>
        </w:rPr>
        <w:t>的</w:t>
      </w:r>
      <w:r>
        <w:rPr>
          <w:rFonts w:hint="eastAsia" w:ascii="宋体" w:hAnsi="宋体" w:eastAsia="宋体" w:cs="Times New Roman"/>
          <w:color w:val="auto"/>
          <w:sz w:val="28"/>
          <w:szCs w:val="28"/>
          <w:highlight w:val="none"/>
        </w:rPr>
        <w:t>，双</w:t>
      </w:r>
      <w:r>
        <w:rPr>
          <w:rFonts w:hint="eastAsia" w:ascii="宋体" w:hAnsi="宋体"/>
          <w:color w:val="auto"/>
          <w:sz w:val="28"/>
          <w:szCs w:val="28"/>
          <w:highlight w:val="none"/>
        </w:rPr>
        <w:t>方应通过友好协商，确定是否继续履行合同。</w:t>
      </w:r>
    </w:p>
    <w:p w14:paraId="03F33C93">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color w:val="auto"/>
          <w:sz w:val="28"/>
          <w:szCs w:val="28"/>
          <w:highlight w:val="none"/>
        </w:rPr>
      </w:pPr>
      <w:r>
        <w:rPr>
          <w:rFonts w:hint="eastAsia" w:ascii="宋体" w:hAnsi="宋体"/>
          <w:b/>
          <w:color w:val="auto"/>
          <w:sz w:val="28"/>
          <w:szCs w:val="28"/>
          <w:highlight w:val="none"/>
        </w:rPr>
        <w:t>第十一条  合同争议解决</w:t>
      </w:r>
    </w:p>
    <w:p w14:paraId="6D5FBBB0">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1.因货物质量问题发生争议的，应邀请国家认可的质量检测机构对货物质量进行鉴定。货物符合标准的，鉴定费由甲方承担；货物不符合标准的，鉴定费由乙方承担，并承担由于质量问题产生的损失费用。</w:t>
      </w:r>
    </w:p>
    <w:p w14:paraId="7FE6150F">
      <w:pPr>
        <w:keepNext w:val="0"/>
        <w:keepLines w:val="0"/>
        <w:pageBreakBefore w:val="0"/>
        <w:widowControl w:val="0"/>
        <w:kinsoku/>
        <w:wordWrap/>
        <w:overflowPunct/>
        <w:topLinePunct w:val="0"/>
        <w:autoSpaceDE w:val="0"/>
        <w:autoSpaceDN w:val="0"/>
        <w:bidi w:val="0"/>
        <w:adjustRightIn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2.因履行本合同引起的或者与本合同有关的争议，甲乙双方应首先通过友好协商解决，如果协商不能解决，按下列</w:t>
      </w:r>
      <w:r>
        <w:rPr>
          <w:rFonts w:hint="eastAsia" w:ascii="宋体" w:hAnsi="宋体"/>
          <w:color w:val="auto"/>
          <w:sz w:val="28"/>
          <w:szCs w:val="28"/>
          <w:highlight w:val="none"/>
          <w:u w:val="single"/>
        </w:rPr>
        <w:t>（2）</w:t>
      </w:r>
      <w:r>
        <w:rPr>
          <w:rFonts w:hint="eastAsia" w:ascii="宋体" w:hAnsi="宋体"/>
          <w:color w:val="auto"/>
          <w:sz w:val="28"/>
          <w:szCs w:val="28"/>
          <w:highlight w:val="none"/>
        </w:rPr>
        <w:t>方式解决：</w:t>
      </w:r>
    </w:p>
    <w:p w14:paraId="52571947">
      <w:pPr>
        <w:keepNext w:val="0"/>
        <w:keepLines w:val="0"/>
        <w:pageBreakBefore w:val="0"/>
        <w:widowControl w:val="0"/>
        <w:kinsoku/>
        <w:wordWrap/>
        <w:overflowPunct/>
        <w:topLinePunct w:val="0"/>
        <w:autoSpaceDE w:val="0"/>
        <w:autoSpaceDN w:val="0"/>
        <w:bidi w:val="0"/>
        <w:adjustRightIn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（1）向项目所在地仲裁委员会申请仲裁；</w:t>
      </w:r>
    </w:p>
    <w:p w14:paraId="58A902A9">
      <w:pPr>
        <w:keepNext w:val="0"/>
        <w:keepLines w:val="0"/>
        <w:pageBreakBefore w:val="0"/>
        <w:widowControl w:val="0"/>
        <w:kinsoku/>
        <w:wordWrap/>
        <w:overflowPunct/>
        <w:topLinePunct w:val="0"/>
        <w:autoSpaceDE w:val="0"/>
        <w:autoSpaceDN w:val="0"/>
        <w:bidi w:val="0"/>
        <w:adjustRightIn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（2）向甲方所在地人民法院提起诉讼。</w:t>
      </w:r>
    </w:p>
    <w:p w14:paraId="21D4F70A">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b/>
          <w:color w:val="auto"/>
          <w:sz w:val="28"/>
          <w:szCs w:val="28"/>
          <w:highlight w:val="none"/>
        </w:rPr>
      </w:pPr>
      <w:r>
        <w:rPr>
          <w:rFonts w:hint="eastAsia" w:ascii="宋体" w:hAnsi="宋体"/>
          <w:b/>
          <w:color w:val="auto"/>
          <w:sz w:val="28"/>
          <w:szCs w:val="28"/>
          <w:highlight w:val="none"/>
        </w:rPr>
        <w:t>第十二条　合同的变更、中止或者终止</w:t>
      </w:r>
    </w:p>
    <w:p w14:paraId="30E62FD4">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1. 除《中华人民共和国政府采购法》第五十条规定的情形外，本合同一经签订，甲乙双方不得擅自变更、中止或者终止合同。</w:t>
      </w:r>
    </w:p>
    <w:p w14:paraId="6D880543">
      <w:pPr>
        <w:keepNext w:val="0"/>
        <w:keepLines w:val="0"/>
        <w:pageBreakBefore w:val="0"/>
        <w:widowControl w:val="0"/>
        <w:kinsoku/>
        <w:wordWrap/>
        <w:overflowPunct/>
        <w:topLinePunct w:val="0"/>
        <w:bidi w:val="0"/>
        <w:spacing w:line="480" w:lineRule="exact"/>
        <w:ind w:left="0" w:leftChars="0" w:right="0"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2.采购合同继续履行将损害国家利益和社会公共利益的，双方当事人应当变更、中止或者终止合同。有过错的一方应当承担赔偿责任，双方都有过错的，各自承担相应的责任。</w:t>
      </w:r>
    </w:p>
    <w:p w14:paraId="7562EA30">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3.合同解除的约定：乙方施工工期无故超过合同约定工期30天，甲方有权依法解除合同。</w:t>
      </w:r>
    </w:p>
    <w:p w14:paraId="775FF6A6">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b/>
          <w:color w:val="auto"/>
          <w:sz w:val="28"/>
          <w:szCs w:val="28"/>
          <w:highlight w:val="none"/>
        </w:rPr>
      </w:pPr>
      <w:r>
        <w:rPr>
          <w:rFonts w:hint="eastAsia" w:ascii="宋体" w:hAnsi="宋体"/>
          <w:b/>
          <w:color w:val="auto"/>
          <w:sz w:val="28"/>
          <w:szCs w:val="28"/>
          <w:highlight w:val="none"/>
        </w:rPr>
        <w:t>第十三条　</w:t>
      </w:r>
      <w:r>
        <w:rPr>
          <w:rFonts w:hint="eastAsia" w:ascii="宋体" w:hAnsi="宋体" w:cs="微软雅黑"/>
          <w:b/>
          <w:color w:val="auto"/>
          <w:kern w:val="0"/>
          <w:sz w:val="28"/>
          <w:szCs w:val="28"/>
          <w:highlight w:val="none"/>
        </w:rPr>
        <w:t>合</w:t>
      </w:r>
      <w:r>
        <w:rPr>
          <w:rFonts w:hint="eastAsia" w:ascii="宋体" w:hAnsi="宋体" w:cs="微软雅黑"/>
          <w:b/>
          <w:color w:val="auto"/>
          <w:spacing w:val="-2"/>
          <w:kern w:val="0"/>
          <w:sz w:val="28"/>
          <w:szCs w:val="28"/>
          <w:highlight w:val="none"/>
        </w:rPr>
        <w:t>同</w:t>
      </w:r>
      <w:r>
        <w:rPr>
          <w:rFonts w:hint="eastAsia" w:ascii="宋体" w:hAnsi="宋体" w:cs="微软雅黑"/>
          <w:b/>
          <w:color w:val="auto"/>
          <w:kern w:val="0"/>
          <w:sz w:val="28"/>
          <w:szCs w:val="28"/>
          <w:highlight w:val="none"/>
        </w:rPr>
        <w:t>文</w:t>
      </w:r>
      <w:r>
        <w:rPr>
          <w:rFonts w:hint="eastAsia" w:ascii="宋体" w:hAnsi="宋体" w:cs="微软雅黑"/>
          <w:b/>
          <w:color w:val="auto"/>
          <w:spacing w:val="-2"/>
          <w:kern w:val="0"/>
          <w:sz w:val="28"/>
          <w:szCs w:val="28"/>
          <w:highlight w:val="none"/>
        </w:rPr>
        <w:t>件构成</w:t>
      </w:r>
    </w:p>
    <w:p w14:paraId="09D24330">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1.政府采购合同</w:t>
      </w:r>
    </w:p>
    <w:p w14:paraId="2A1AC8AB">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kern w:val="0"/>
          <w:sz w:val="28"/>
          <w:szCs w:val="28"/>
          <w:highlight w:val="none"/>
        </w:rPr>
      </w:pPr>
      <w:r>
        <w:rPr>
          <w:rFonts w:hint="eastAsia" w:ascii="宋体" w:hAnsi="宋体"/>
          <w:color w:val="auto"/>
          <w:kern w:val="0"/>
          <w:sz w:val="28"/>
          <w:szCs w:val="28"/>
          <w:highlight w:val="none"/>
        </w:rPr>
        <w:t>2.安全生产合同</w:t>
      </w:r>
    </w:p>
    <w:p w14:paraId="12143941">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kern w:val="0"/>
          <w:sz w:val="28"/>
          <w:szCs w:val="28"/>
          <w:highlight w:val="none"/>
        </w:rPr>
      </w:pPr>
      <w:r>
        <w:rPr>
          <w:rFonts w:hint="eastAsia" w:ascii="宋体" w:hAnsi="宋体"/>
          <w:color w:val="auto"/>
          <w:kern w:val="0"/>
          <w:sz w:val="28"/>
          <w:szCs w:val="28"/>
          <w:highlight w:val="none"/>
        </w:rPr>
        <w:t>3.廉政合同</w:t>
      </w:r>
    </w:p>
    <w:p w14:paraId="62197594">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4.中标通知书；</w:t>
      </w:r>
    </w:p>
    <w:p w14:paraId="2C0915FF">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5.投标文件中的技术、商务响应表</w:t>
      </w:r>
      <w:r>
        <w:rPr>
          <w:rFonts w:hint="eastAsia" w:ascii="宋体" w:hAnsi="宋体"/>
          <w:color w:val="auto"/>
          <w:kern w:val="0"/>
          <w:sz w:val="28"/>
          <w:szCs w:val="28"/>
          <w:highlight w:val="none"/>
          <w:lang w:eastAsia="zh-CN"/>
        </w:rPr>
        <w:t>；</w:t>
      </w:r>
      <w:r>
        <w:rPr>
          <w:rFonts w:hint="eastAsia" w:ascii="宋体" w:hAnsi="宋体"/>
          <w:color w:val="auto"/>
          <w:kern w:val="0"/>
          <w:sz w:val="28"/>
          <w:szCs w:val="28"/>
          <w:highlight w:val="none"/>
          <w:lang w:val="en-US" w:eastAsia="zh-CN"/>
        </w:rPr>
        <w:t>开标一览表</w:t>
      </w:r>
      <w:r>
        <w:rPr>
          <w:rFonts w:hint="eastAsia" w:ascii="宋体" w:hAnsi="宋体"/>
          <w:color w:val="auto"/>
          <w:kern w:val="0"/>
          <w:sz w:val="28"/>
          <w:szCs w:val="28"/>
          <w:highlight w:val="none"/>
        </w:rPr>
        <w:t>等；</w:t>
      </w:r>
    </w:p>
    <w:p w14:paraId="61180D32">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6.</w:t>
      </w:r>
      <w:r>
        <w:rPr>
          <w:rFonts w:hint="eastAsia" w:ascii="宋体" w:hAnsi="宋体"/>
          <w:color w:val="auto"/>
          <w:kern w:val="0"/>
          <w:sz w:val="28"/>
          <w:szCs w:val="28"/>
          <w:highlight w:val="none"/>
          <w:lang w:val="en-US" w:eastAsia="zh-CN"/>
        </w:rPr>
        <w:t>招标</w:t>
      </w:r>
      <w:r>
        <w:rPr>
          <w:rFonts w:hint="eastAsia" w:ascii="宋体" w:hAnsi="宋体"/>
          <w:color w:val="auto"/>
          <w:kern w:val="0"/>
          <w:sz w:val="28"/>
          <w:szCs w:val="28"/>
          <w:highlight w:val="none"/>
        </w:rPr>
        <w:t>文件及更正公告（澄清或补充通知）（如有）；</w:t>
      </w:r>
    </w:p>
    <w:p w14:paraId="07618F96">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7.标准、规范及有关技术文件；</w:t>
      </w:r>
    </w:p>
    <w:p w14:paraId="511A7E79">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lang w:val="en-US" w:eastAsia="zh-CN"/>
        </w:rPr>
        <w:t>8</w:t>
      </w:r>
      <w:r>
        <w:rPr>
          <w:rFonts w:hint="eastAsia" w:ascii="宋体" w:hAnsi="宋体"/>
          <w:color w:val="auto"/>
          <w:kern w:val="0"/>
          <w:sz w:val="28"/>
          <w:szCs w:val="28"/>
          <w:highlight w:val="none"/>
        </w:rPr>
        <w:t>.双方约定的其他合同文件。</w:t>
      </w:r>
    </w:p>
    <w:p w14:paraId="45AEBFD7">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上述合同文件互相补充和解释。如果合同文件之间存在矛盾或者不一致之处，以上述文件的排列顺序在先者为准。</w:t>
      </w:r>
    </w:p>
    <w:p w14:paraId="512E0370">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color w:val="auto"/>
          <w:sz w:val="28"/>
          <w:szCs w:val="28"/>
          <w:highlight w:val="none"/>
        </w:rPr>
      </w:pPr>
      <w:r>
        <w:rPr>
          <w:rFonts w:hint="eastAsia" w:ascii="宋体" w:hAnsi="宋体"/>
          <w:b/>
          <w:color w:val="auto"/>
          <w:sz w:val="28"/>
          <w:szCs w:val="28"/>
          <w:highlight w:val="none"/>
        </w:rPr>
        <w:t>第十四条　知识产权和保密要求</w:t>
      </w:r>
    </w:p>
    <w:p w14:paraId="3F7EA42D">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1.甲方在履行合同过程中提供给乙方的全部图纸、文件和其他含有数据和信息的资料，其知识产权属于甲方。</w:t>
      </w:r>
    </w:p>
    <w:p w14:paraId="4667310D">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2.除采购文件采购需求另有约定外，甲方不因签署和履行合同而享有乙方在履行合同过程中提供给甲方的图纸、文件、配套软件、电子辅助程序和其他含有数据和信息的资料的知识产权。</w:t>
      </w:r>
    </w:p>
    <w:p w14:paraId="09F719D8">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3285EEA4">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4.如果甲方收到任何第三方有关知识产权的主张、索赔或诉讼，乙方在收到甲方通知后，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235322C6">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5.基于本项目产生的论文、软件著作、专著、专利等一切成果均属于甲方。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35BEDBB5">
      <w:pPr>
        <w:keepNext w:val="0"/>
        <w:keepLines w:val="0"/>
        <w:pageBreakBefore w:val="0"/>
        <w:widowControl w:val="0"/>
        <w:kinsoku/>
        <w:wordWrap/>
        <w:overflowPunct/>
        <w:topLinePunct w:val="0"/>
        <w:bidi w:val="0"/>
        <w:snapToGrid w:val="0"/>
        <w:spacing w:line="480" w:lineRule="exact"/>
        <w:ind w:left="0" w:leftChars="0" w:right="0"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6.乙方保证将要交付的货物的所有权完全属于乙方且无任何抵押、质押、查封等产权瑕疵。</w:t>
      </w:r>
    </w:p>
    <w:p w14:paraId="112480FD">
      <w:pPr>
        <w:keepNext w:val="0"/>
        <w:keepLines w:val="0"/>
        <w:pageBreakBefore w:val="0"/>
        <w:widowControl w:val="0"/>
        <w:kinsoku/>
        <w:wordWrap/>
        <w:overflowPunct/>
        <w:topLinePunct w:val="0"/>
        <w:bidi w:val="0"/>
        <w:snapToGrid w:val="0"/>
        <w:spacing w:line="480" w:lineRule="exact"/>
        <w:ind w:left="0" w:leftChars="0" w:right="0" w:firstLine="562" w:firstLineChars="200"/>
        <w:rPr>
          <w:rFonts w:ascii="宋体" w:hAnsi="宋体"/>
          <w:b/>
          <w:color w:val="auto"/>
          <w:kern w:val="0"/>
          <w:sz w:val="28"/>
          <w:szCs w:val="28"/>
          <w:highlight w:val="none"/>
        </w:rPr>
      </w:pPr>
      <w:r>
        <w:rPr>
          <w:rFonts w:hint="eastAsia" w:ascii="宋体" w:hAnsi="宋体"/>
          <w:b/>
          <w:color w:val="auto"/>
          <w:kern w:val="0"/>
          <w:sz w:val="28"/>
          <w:szCs w:val="28"/>
          <w:highlight w:val="none"/>
        </w:rPr>
        <w:t>第十五条  合同生效及其它</w:t>
      </w:r>
    </w:p>
    <w:p w14:paraId="672CD1A8">
      <w:pPr>
        <w:keepNext w:val="0"/>
        <w:keepLines w:val="0"/>
        <w:pageBreakBefore w:val="0"/>
        <w:widowControl w:val="0"/>
        <w:kinsoku/>
        <w:wordWrap/>
        <w:overflowPunct/>
        <w:topLinePunct w:val="0"/>
        <w:bidi w:val="0"/>
        <w:snapToGrid w:val="0"/>
        <w:spacing w:line="480" w:lineRule="exact"/>
        <w:ind w:left="0" w:leftChars="0" w:right="0" w:firstLine="560" w:firstLineChars="200"/>
        <w:rPr>
          <w:rFonts w:ascii="宋体" w:hAnsi="宋体"/>
          <w:color w:val="auto"/>
          <w:kern w:val="0"/>
          <w:sz w:val="28"/>
          <w:szCs w:val="28"/>
          <w:highlight w:val="none"/>
        </w:rPr>
      </w:pPr>
      <w:r>
        <w:rPr>
          <w:rFonts w:hint="eastAsia" w:ascii="宋体" w:hAnsi="宋体"/>
          <w:color w:val="auto"/>
          <w:kern w:val="0"/>
          <w:sz w:val="28"/>
          <w:szCs w:val="28"/>
          <w:highlight w:val="none"/>
        </w:rPr>
        <w:t>1.合同经双方法定代表人或者</w:t>
      </w:r>
      <w:r>
        <w:rPr>
          <w:rFonts w:hint="eastAsia" w:ascii="宋体" w:hAnsi="宋体"/>
          <w:color w:val="auto"/>
          <w:kern w:val="0"/>
          <w:sz w:val="28"/>
          <w:szCs w:val="28"/>
          <w:highlight w:val="none"/>
          <w:lang w:val="en-US" w:eastAsia="zh-CN"/>
        </w:rPr>
        <w:t>经办人</w:t>
      </w:r>
      <w:r>
        <w:rPr>
          <w:rFonts w:hint="eastAsia" w:ascii="宋体" w:hAnsi="宋体"/>
          <w:color w:val="auto"/>
          <w:kern w:val="0"/>
          <w:sz w:val="28"/>
          <w:szCs w:val="28"/>
          <w:highlight w:val="none"/>
        </w:rPr>
        <w:t>签字并加盖单位公章后生效。</w:t>
      </w:r>
    </w:p>
    <w:p w14:paraId="13544543">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2.合同执行中涉及采购资金和采购内容修改或者补充的，并签书面补充协议报财政部门备案，方可作为主合同不可分割的一部分。</w:t>
      </w:r>
    </w:p>
    <w:p w14:paraId="2DFC9E0E">
      <w:pPr>
        <w:keepNext w:val="0"/>
        <w:keepLines w:val="0"/>
        <w:pageBreakBefore w:val="0"/>
        <w:widowControl w:val="0"/>
        <w:kinsoku/>
        <w:wordWrap/>
        <w:overflowPunct/>
        <w:topLinePunct w:val="0"/>
        <w:bidi w:val="0"/>
        <w:spacing w:line="480" w:lineRule="exact"/>
        <w:ind w:left="0" w:leftChars="0" w:right="0" w:firstLine="560" w:firstLineChars="200"/>
        <w:rPr>
          <w:rFonts w:ascii="宋体" w:hAnsi="宋体"/>
          <w:color w:val="auto"/>
          <w:sz w:val="28"/>
          <w:szCs w:val="28"/>
          <w:highlight w:val="none"/>
        </w:rPr>
      </w:pPr>
      <w:r>
        <w:rPr>
          <w:rFonts w:hint="eastAsia" w:ascii="宋体" w:hAnsi="宋体"/>
          <w:color w:val="auto"/>
          <w:sz w:val="28"/>
          <w:szCs w:val="28"/>
          <w:highlight w:val="none"/>
        </w:rPr>
        <w:t>3.合同生效后，甲乙双方不得因姓名、名称的变更或者法定代表人、负责人、承办人的变动而不履行合同义务。</w:t>
      </w:r>
    </w:p>
    <w:p w14:paraId="491C340A">
      <w:pPr>
        <w:keepNext w:val="0"/>
        <w:keepLines w:val="0"/>
        <w:pageBreakBefore w:val="0"/>
        <w:widowControl w:val="0"/>
        <w:kinsoku/>
        <w:wordWrap/>
        <w:overflowPunct/>
        <w:topLinePunct w:val="0"/>
        <w:bidi w:val="0"/>
        <w:spacing w:line="480" w:lineRule="exact"/>
        <w:ind w:left="0" w:leftChars="0" w:right="0" w:firstLine="560" w:firstLineChars="200"/>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4.本合同未尽事宜，遵照《中华人民共和国民法典》有关条文执行。</w:t>
      </w:r>
    </w:p>
    <w:p w14:paraId="0BDF22C7">
      <w:pPr>
        <w:keepNext w:val="0"/>
        <w:keepLines w:val="0"/>
        <w:pageBreakBefore w:val="0"/>
        <w:widowControl w:val="0"/>
        <w:kinsoku/>
        <w:wordWrap/>
        <w:overflowPunct/>
        <w:topLinePunct w:val="0"/>
        <w:bidi w:val="0"/>
        <w:spacing w:line="480" w:lineRule="exact"/>
        <w:ind w:left="0" w:leftChars="0" w:right="0" w:firstLine="560" w:firstLineChars="200"/>
        <w:rPr>
          <w:rFonts w:hint="eastAsia" w:ascii="宋体" w:hAnsi="宋体"/>
          <w:color w:val="auto"/>
          <w:sz w:val="28"/>
          <w:szCs w:val="28"/>
          <w:highlight w:val="none"/>
        </w:rPr>
      </w:pPr>
      <w:r>
        <w:rPr>
          <w:rFonts w:hint="eastAsia" w:ascii="宋体" w:hAnsi="宋体" w:eastAsia="宋体" w:cs="Times New Roman"/>
          <w:color w:val="auto"/>
          <w:sz w:val="28"/>
          <w:szCs w:val="28"/>
          <w:highlight w:val="none"/>
        </w:rPr>
        <w:t>5.本合同一式五份，具有同等法律效力，甲乙双方各两份（可根据需要另增加），采购代理机构各一份。</w:t>
      </w:r>
    </w:p>
    <w:tbl>
      <w:tblPr>
        <w:tblStyle w:val="24"/>
        <w:tblpPr w:leftFromText="180" w:rightFromText="180" w:vertAnchor="text" w:horzAnchor="margin" w:tblpXSpec="center" w:tblpY="2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785"/>
      </w:tblGrid>
      <w:tr w14:paraId="408D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9" w:hRule="exac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634419A5">
            <w:pPr>
              <w:snapToGrid w:val="0"/>
              <w:spacing w:line="240" w:lineRule="auto"/>
              <w:ind w:left="1960" w:hanging="1960" w:hangingChars="700"/>
              <w:jc w:val="both"/>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rPr>
              <w:t>甲方</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盖章</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广西壮族自治区防城</w:t>
            </w:r>
          </w:p>
          <w:p w14:paraId="37E1ABD3">
            <w:pPr>
              <w:snapToGrid w:val="0"/>
              <w:spacing w:line="240" w:lineRule="auto"/>
              <w:ind w:left="1960" w:hanging="1960" w:hangingChars="700"/>
              <w:jc w:val="both"/>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金花茶国家级自然保护区管理中心</w:t>
            </w:r>
          </w:p>
          <w:p w14:paraId="051C8730">
            <w:pPr>
              <w:wordWrap w:val="0"/>
              <w:snapToGrid w:val="0"/>
              <w:spacing w:line="240" w:lineRule="auto"/>
              <w:ind w:left="1960" w:hanging="1960" w:hangingChars="700"/>
              <w:jc w:val="right"/>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年  月  日</w:t>
            </w:r>
          </w:p>
        </w:tc>
        <w:tc>
          <w:tcPr>
            <w:tcW w:w="4785" w:type="dxa"/>
            <w:tcBorders>
              <w:top w:val="single" w:color="auto" w:sz="4" w:space="0"/>
              <w:left w:val="single" w:color="auto" w:sz="4" w:space="0"/>
              <w:bottom w:val="single" w:color="auto" w:sz="4" w:space="0"/>
              <w:right w:val="single" w:color="auto" w:sz="4" w:space="0"/>
            </w:tcBorders>
            <w:noWrap w:val="0"/>
            <w:vAlign w:val="center"/>
          </w:tcPr>
          <w:p w14:paraId="02D26E7D">
            <w:pPr>
              <w:snapToGrid w:val="0"/>
              <w:spacing w:line="240" w:lineRule="auto"/>
              <w:ind w:left="1960" w:hanging="1960" w:hangingChars="700"/>
              <w:rPr>
                <w:rFonts w:hint="eastAsia" w:ascii="宋体" w:hAnsi="宋体" w:cs="宋体"/>
                <w:color w:val="auto"/>
                <w:sz w:val="28"/>
                <w:szCs w:val="28"/>
                <w:highlight w:val="none"/>
              </w:rPr>
            </w:pPr>
            <w:r>
              <w:rPr>
                <w:rFonts w:hint="eastAsia" w:ascii="宋体" w:hAnsi="宋体" w:cs="宋体"/>
                <w:color w:val="auto"/>
                <w:sz w:val="28"/>
                <w:szCs w:val="28"/>
                <w:highlight w:val="none"/>
              </w:rPr>
              <w:t>乙方</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盖章</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 xml:space="preserve">  </w:t>
            </w:r>
          </w:p>
          <w:p w14:paraId="3055401C">
            <w:pPr>
              <w:snapToGrid w:val="0"/>
              <w:spacing w:line="240" w:lineRule="auto"/>
              <w:ind w:left="1960" w:hanging="1960" w:hangingChars="700"/>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  </w:t>
            </w:r>
          </w:p>
          <w:p w14:paraId="4A098D9F">
            <w:pPr>
              <w:snapToGrid w:val="0"/>
              <w:spacing w:line="240" w:lineRule="auto"/>
              <w:ind w:left="1960" w:hanging="1960" w:hangingChars="700"/>
              <w:jc w:val="right"/>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年  月  日</w:t>
            </w:r>
          </w:p>
          <w:p w14:paraId="6BCBE599">
            <w:pPr>
              <w:rPr>
                <w:color w:val="auto"/>
                <w:highlight w:val="none"/>
              </w:rPr>
            </w:pPr>
            <w:r>
              <w:rPr>
                <w:rFonts w:hint="eastAsia" w:ascii="宋体" w:hAnsi="宋体" w:cs="宋体"/>
                <w:color w:val="auto"/>
                <w:sz w:val="28"/>
                <w:szCs w:val="28"/>
                <w:highlight w:val="none"/>
              </w:rPr>
              <w:t xml:space="preserve">       </w:t>
            </w:r>
          </w:p>
          <w:p w14:paraId="1F7B703E">
            <w:pPr>
              <w:snapToGrid w:val="0"/>
              <w:spacing w:line="360" w:lineRule="auto"/>
              <w:rPr>
                <w:rFonts w:hint="eastAsia" w:ascii="宋体" w:hAnsi="宋体" w:cs="宋体"/>
                <w:color w:val="auto"/>
                <w:sz w:val="28"/>
                <w:szCs w:val="28"/>
                <w:highlight w:val="none"/>
              </w:rPr>
            </w:pPr>
          </w:p>
          <w:p w14:paraId="47DFE84C">
            <w:pPr>
              <w:snapToGrid w:val="0"/>
              <w:spacing w:line="360" w:lineRule="auto"/>
              <w:jc w:val="right"/>
              <w:rPr>
                <w:rFonts w:hint="eastAsia" w:ascii="宋体" w:hAnsi="宋体" w:cs="宋体"/>
                <w:color w:val="auto"/>
                <w:sz w:val="28"/>
                <w:szCs w:val="28"/>
                <w:highlight w:val="none"/>
              </w:rPr>
            </w:pPr>
          </w:p>
          <w:p w14:paraId="103B227C">
            <w:pPr>
              <w:snapToGrid w:val="0"/>
              <w:spacing w:line="360" w:lineRule="auto"/>
              <w:jc w:val="right"/>
              <w:rPr>
                <w:rFonts w:ascii="宋体" w:hAnsi="宋体" w:cs="宋体"/>
                <w:color w:val="auto"/>
                <w:sz w:val="28"/>
                <w:szCs w:val="28"/>
                <w:highlight w:val="none"/>
              </w:rPr>
            </w:pPr>
          </w:p>
        </w:tc>
      </w:tr>
      <w:tr w14:paraId="450B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4B29400F">
            <w:pPr>
              <w:snapToGrid w:val="0"/>
              <w:spacing w:line="300" w:lineRule="exact"/>
              <w:ind w:left="1120" w:hanging="1120" w:hangingChars="400"/>
              <w:jc w:val="both"/>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rPr>
              <w:t>单位地址：</w:t>
            </w:r>
            <w:r>
              <w:rPr>
                <w:rFonts w:hint="eastAsia" w:ascii="宋体" w:hAnsi="宋体" w:cs="宋体"/>
                <w:color w:val="auto"/>
                <w:sz w:val="28"/>
                <w:szCs w:val="28"/>
                <w:highlight w:val="none"/>
                <w:lang w:val="en-US" w:eastAsia="zh-CN"/>
              </w:rPr>
              <w:t>防城港市防城区墨鱼港西</w:t>
            </w:r>
          </w:p>
          <w:p w14:paraId="43609BBE">
            <w:pPr>
              <w:snapToGrid w:val="0"/>
              <w:spacing w:line="300" w:lineRule="exact"/>
              <w:ind w:left="1120" w:hanging="1120" w:hangingChars="400"/>
              <w:jc w:val="both"/>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湾环海大道金花茶保护区科研监测</w:t>
            </w:r>
          </w:p>
          <w:p w14:paraId="541DD44B">
            <w:pPr>
              <w:snapToGrid w:val="0"/>
              <w:spacing w:line="300" w:lineRule="exact"/>
              <w:ind w:left="1120" w:hanging="1120" w:hangingChars="400"/>
              <w:jc w:val="both"/>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基地</w:t>
            </w:r>
          </w:p>
        </w:tc>
        <w:tc>
          <w:tcPr>
            <w:tcW w:w="4785" w:type="dxa"/>
            <w:tcBorders>
              <w:top w:val="single" w:color="auto" w:sz="4" w:space="0"/>
              <w:left w:val="single" w:color="auto" w:sz="4" w:space="0"/>
              <w:bottom w:val="single" w:color="auto" w:sz="4" w:space="0"/>
              <w:right w:val="single" w:color="auto" w:sz="4" w:space="0"/>
            </w:tcBorders>
            <w:noWrap w:val="0"/>
            <w:vAlign w:val="top"/>
          </w:tcPr>
          <w:p w14:paraId="097270E8">
            <w:pPr>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rPr>
              <w:t>单位地址：</w:t>
            </w:r>
            <w:r>
              <w:rPr>
                <w:rFonts w:hint="eastAsia" w:ascii="宋体" w:hAnsi="宋体" w:cs="宋体"/>
                <w:color w:val="auto"/>
                <w:sz w:val="28"/>
                <w:szCs w:val="28"/>
                <w:highlight w:val="none"/>
                <w:lang w:val="en-US" w:eastAsia="zh-CN"/>
              </w:rPr>
              <w:t xml:space="preserve"> </w:t>
            </w:r>
          </w:p>
          <w:p w14:paraId="5D55D647">
            <w:pPr>
              <w:snapToGrid w:val="0"/>
              <w:spacing w:line="300" w:lineRule="exact"/>
              <w:ind w:firstLine="1400" w:firstLineChars="500"/>
              <w:rPr>
                <w:rFonts w:hint="default" w:ascii="宋体" w:hAnsi="宋体" w:eastAsia="宋体" w:cs="宋体"/>
                <w:color w:val="auto"/>
                <w:sz w:val="28"/>
                <w:szCs w:val="28"/>
                <w:highlight w:val="none"/>
                <w:lang w:val="en-US" w:eastAsia="zh-CN"/>
              </w:rPr>
            </w:pPr>
          </w:p>
        </w:tc>
      </w:tr>
      <w:tr w14:paraId="67F2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0"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1EB71D8F">
            <w:pPr>
              <w:snapToGrid w:val="0"/>
              <w:spacing w:line="360" w:lineRule="auto"/>
              <w:rPr>
                <w:rFonts w:ascii="宋体" w:hAnsi="宋体" w:cs="宋体"/>
                <w:color w:val="auto"/>
                <w:sz w:val="28"/>
                <w:szCs w:val="28"/>
                <w:highlight w:val="none"/>
              </w:rPr>
            </w:pPr>
            <w:r>
              <w:rPr>
                <w:rFonts w:hint="eastAsia" w:ascii="宋体" w:hAnsi="宋体" w:cs="宋体"/>
                <w:color w:val="auto"/>
                <w:sz w:val="28"/>
                <w:szCs w:val="28"/>
                <w:highlight w:val="none"/>
              </w:rPr>
              <w:t>法定代表人：</w:t>
            </w:r>
          </w:p>
        </w:tc>
        <w:tc>
          <w:tcPr>
            <w:tcW w:w="4785" w:type="dxa"/>
            <w:tcBorders>
              <w:top w:val="single" w:color="auto" w:sz="4" w:space="0"/>
              <w:left w:val="single" w:color="auto" w:sz="4" w:space="0"/>
              <w:bottom w:val="single" w:color="auto" w:sz="4" w:space="0"/>
              <w:right w:val="single" w:color="auto" w:sz="4" w:space="0"/>
            </w:tcBorders>
            <w:noWrap w:val="0"/>
            <w:vAlign w:val="center"/>
          </w:tcPr>
          <w:p w14:paraId="4320E047">
            <w:pPr>
              <w:snapToGrid w:val="0"/>
              <w:spacing w:line="360" w:lineRule="auto"/>
              <w:rPr>
                <w:rFonts w:ascii="宋体" w:hAnsi="宋体" w:cs="宋体"/>
                <w:color w:val="auto"/>
                <w:sz w:val="28"/>
                <w:szCs w:val="28"/>
                <w:highlight w:val="none"/>
              </w:rPr>
            </w:pPr>
            <w:r>
              <w:rPr>
                <w:rFonts w:hint="eastAsia" w:ascii="宋体" w:hAnsi="宋体" w:cs="宋体"/>
                <w:color w:val="auto"/>
                <w:sz w:val="28"/>
                <w:szCs w:val="28"/>
                <w:highlight w:val="none"/>
              </w:rPr>
              <w:t>法定代表人：</w:t>
            </w:r>
          </w:p>
        </w:tc>
      </w:tr>
      <w:tr w14:paraId="0B7C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exac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298F19FA">
            <w:pPr>
              <w:snapToGrid w:val="0"/>
              <w:spacing w:line="360" w:lineRule="auto"/>
              <w:rPr>
                <w:rFonts w:ascii="宋体" w:hAnsi="宋体" w:cs="宋体"/>
                <w:color w:val="auto"/>
                <w:sz w:val="28"/>
                <w:szCs w:val="28"/>
                <w:highlight w:val="none"/>
              </w:rPr>
            </w:pPr>
            <w:r>
              <w:rPr>
                <w:rFonts w:hint="eastAsia" w:ascii="宋体" w:hAnsi="宋体" w:cs="宋体"/>
                <w:color w:val="auto"/>
                <w:sz w:val="28"/>
                <w:szCs w:val="28"/>
                <w:highlight w:val="none"/>
                <w:lang w:val="en-US" w:eastAsia="zh-CN"/>
              </w:rPr>
              <w:t>经办人</w:t>
            </w:r>
            <w:r>
              <w:rPr>
                <w:rFonts w:hint="eastAsia" w:ascii="宋体" w:hAnsi="宋体" w:cs="宋体"/>
                <w:color w:val="auto"/>
                <w:sz w:val="28"/>
                <w:szCs w:val="28"/>
                <w:highlight w:val="none"/>
              </w:rPr>
              <w:t>：</w:t>
            </w:r>
          </w:p>
        </w:tc>
        <w:tc>
          <w:tcPr>
            <w:tcW w:w="4785" w:type="dxa"/>
            <w:tcBorders>
              <w:top w:val="single" w:color="auto" w:sz="4" w:space="0"/>
              <w:left w:val="single" w:color="auto" w:sz="4" w:space="0"/>
              <w:bottom w:val="single" w:color="auto" w:sz="4" w:space="0"/>
              <w:right w:val="single" w:color="auto" w:sz="4" w:space="0"/>
            </w:tcBorders>
            <w:noWrap w:val="0"/>
            <w:vAlign w:val="center"/>
          </w:tcPr>
          <w:p w14:paraId="7D332D00">
            <w:pPr>
              <w:snapToGrid w:val="0"/>
              <w:spacing w:line="360" w:lineRule="auto"/>
              <w:rPr>
                <w:rFonts w:ascii="宋体" w:hAnsi="宋体" w:cs="宋体"/>
                <w:color w:val="auto"/>
                <w:sz w:val="28"/>
                <w:szCs w:val="28"/>
                <w:highlight w:val="none"/>
              </w:rPr>
            </w:pPr>
            <w:r>
              <w:rPr>
                <w:rFonts w:hint="eastAsia" w:ascii="宋体" w:hAnsi="宋体" w:cs="宋体"/>
                <w:color w:val="auto"/>
                <w:sz w:val="28"/>
                <w:szCs w:val="28"/>
                <w:highlight w:val="none"/>
                <w:lang w:val="en-US" w:eastAsia="zh-CN"/>
              </w:rPr>
              <w:t>经办人</w:t>
            </w:r>
            <w:r>
              <w:rPr>
                <w:rFonts w:hint="eastAsia" w:ascii="宋体" w:hAnsi="宋体" w:cs="宋体"/>
                <w:color w:val="auto"/>
                <w:sz w:val="28"/>
                <w:szCs w:val="28"/>
                <w:highlight w:val="none"/>
              </w:rPr>
              <w:t>：</w:t>
            </w:r>
          </w:p>
        </w:tc>
      </w:tr>
      <w:tr w14:paraId="0C4F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3046D229">
            <w:pPr>
              <w:snapToGrid w:val="0"/>
              <w:spacing w:line="300" w:lineRule="exact"/>
              <w:jc w:val="left"/>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电话：</w:t>
            </w:r>
          </w:p>
        </w:tc>
        <w:tc>
          <w:tcPr>
            <w:tcW w:w="4785" w:type="dxa"/>
            <w:tcBorders>
              <w:top w:val="single" w:color="auto" w:sz="4" w:space="0"/>
              <w:left w:val="single" w:color="auto" w:sz="4" w:space="0"/>
              <w:bottom w:val="single" w:color="auto" w:sz="4" w:space="0"/>
              <w:right w:val="single" w:color="auto" w:sz="4" w:space="0"/>
            </w:tcBorders>
            <w:noWrap w:val="0"/>
            <w:vAlign w:val="center"/>
          </w:tcPr>
          <w:p w14:paraId="54860D1F">
            <w:pPr>
              <w:snapToGrid w:val="0"/>
              <w:spacing w:line="300" w:lineRule="exact"/>
              <w:jc w:val="left"/>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电话：</w:t>
            </w:r>
          </w:p>
        </w:tc>
      </w:tr>
      <w:tr w14:paraId="6697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exac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5EF3C56B">
            <w:pPr>
              <w:snapToGrid w:val="0"/>
              <w:spacing w:line="300" w:lineRule="exact"/>
              <w:rPr>
                <w:rFonts w:hint="eastAsia" w:ascii="宋体" w:hAnsi="宋体" w:cs="宋体"/>
                <w:bCs/>
                <w:color w:val="auto"/>
                <w:sz w:val="28"/>
                <w:szCs w:val="28"/>
                <w:highlight w:val="none"/>
                <w:u w:val="none"/>
              </w:rPr>
            </w:pPr>
            <w:r>
              <w:rPr>
                <w:rFonts w:hint="eastAsia" w:ascii="宋体" w:hAnsi="宋体" w:cs="宋体"/>
                <w:color w:val="auto"/>
                <w:sz w:val="28"/>
                <w:szCs w:val="28"/>
                <w:highlight w:val="none"/>
              </w:rPr>
              <w:t>开户银行：</w:t>
            </w:r>
          </w:p>
          <w:p w14:paraId="57E0AC69">
            <w:pPr>
              <w:snapToGrid w:val="0"/>
              <w:spacing w:line="300" w:lineRule="exact"/>
              <w:rPr>
                <w:rFonts w:ascii="宋体" w:hAnsi="宋体" w:cs="宋体"/>
                <w:color w:val="auto"/>
                <w:sz w:val="28"/>
                <w:szCs w:val="28"/>
                <w:highlight w:val="none"/>
              </w:rPr>
            </w:pPr>
            <w:r>
              <w:rPr>
                <w:rFonts w:hint="eastAsia" w:ascii="宋体" w:hAnsi="宋体" w:cs="宋体"/>
                <w:color w:val="auto"/>
                <w:sz w:val="28"/>
                <w:szCs w:val="28"/>
                <w:highlight w:val="none"/>
              </w:rPr>
              <w:t xml:space="preserve"> </w:t>
            </w:r>
          </w:p>
        </w:tc>
        <w:tc>
          <w:tcPr>
            <w:tcW w:w="4785" w:type="dxa"/>
            <w:tcBorders>
              <w:top w:val="single" w:color="auto" w:sz="4" w:space="0"/>
              <w:left w:val="single" w:color="auto" w:sz="4" w:space="0"/>
              <w:bottom w:val="single" w:color="auto" w:sz="4" w:space="0"/>
              <w:right w:val="single" w:color="auto" w:sz="4" w:space="0"/>
            </w:tcBorders>
            <w:noWrap w:val="0"/>
            <w:vAlign w:val="center"/>
          </w:tcPr>
          <w:p w14:paraId="18A0B843">
            <w:pPr>
              <w:snapToGrid w:val="0"/>
              <w:spacing w:line="300" w:lineRule="exact"/>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开户银行：</w:t>
            </w:r>
          </w:p>
        </w:tc>
      </w:tr>
      <w:tr w14:paraId="6D16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64D7666B">
            <w:pPr>
              <w:snapToGrid w:val="0"/>
              <w:spacing w:line="300" w:lineRule="exact"/>
              <w:rPr>
                <w:rFonts w:ascii="宋体" w:hAnsi="宋体" w:cs="宋体"/>
                <w:color w:val="auto"/>
                <w:sz w:val="28"/>
                <w:szCs w:val="28"/>
                <w:highlight w:val="none"/>
              </w:rPr>
            </w:pPr>
            <w:r>
              <w:rPr>
                <w:rFonts w:hint="eastAsia" w:ascii="宋体" w:hAnsi="宋体" w:cs="宋体"/>
                <w:color w:val="auto"/>
                <w:sz w:val="28"/>
                <w:szCs w:val="28"/>
                <w:highlight w:val="none"/>
              </w:rPr>
              <w:t>账号：</w:t>
            </w:r>
          </w:p>
        </w:tc>
        <w:tc>
          <w:tcPr>
            <w:tcW w:w="4785" w:type="dxa"/>
            <w:tcBorders>
              <w:top w:val="single" w:color="auto" w:sz="4" w:space="0"/>
              <w:left w:val="single" w:color="auto" w:sz="4" w:space="0"/>
              <w:bottom w:val="single" w:color="auto" w:sz="4" w:space="0"/>
              <w:right w:val="single" w:color="auto" w:sz="4" w:space="0"/>
            </w:tcBorders>
            <w:noWrap w:val="0"/>
            <w:vAlign w:val="center"/>
          </w:tcPr>
          <w:p w14:paraId="44581745">
            <w:pPr>
              <w:snapToGrid w:val="0"/>
              <w:spacing w:line="300" w:lineRule="exact"/>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账号：</w:t>
            </w:r>
          </w:p>
        </w:tc>
      </w:tr>
      <w:tr w14:paraId="0754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385F1707">
            <w:pPr>
              <w:snapToGrid w:val="0"/>
              <w:spacing w:line="300" w:lineRule="exact"/>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纳税人识别号：</w:t>
            </w:r>
          </w:p>
        </w:tc>
        <w:tc>
          <w:tcPr>
            <w:tcW w:w="4785" w:type="dxa"/>
            <w:tcBorders>
              <w:top w:val="single" w:color="auto" w:sz="4" w:space="0"/>
              <w:left w:val="single" w:color="auto" w:sz="4" w:space="0"/>
              <w:bottom w:val="single" w:color="auto" w:sz="4" w:space="0"/>
              <w:right w:val="single" w:color="auto" w:sz="4" w:space="0"/>
            </w:tcBorders>
            <w:noWrap w:val="0"/>
            <w:vAlign w:val="center"/>
          </w:tcPr>
          <w:p w14:paraId="3E338691">
            <w:pPr>
              <w:snapToGrid w:val="0"/>
              <w:spacing w:line="300" w:lineRule="exact"/>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纳税人识别号：</w:t>
            </w:r>
          </w:p>
        </w:tc>
      </w:tr>
    </w:tbl>
    <w:p w14:paraId="3F56D172">
      <w:pPr>
        <w:jc w:val="center"/>
        <w:rPr>
          <w:rFonts w:hint="eastAsia" w:ascii="宋体" w:hAnsi="宋体" w:cs="方正小标宋_GBK"/>
          <w:b/>
          <w:color w:val="auto"/>
          <w:sz w:val="40"/>
          <w:szCs w:val="40"/>
          <w:highlight w:val="none"/>
        </w:rPr>
        <w:sectPr>
          <w:footerReference r:id="rId6" w:type="default"/>
          <w:pgSz w:w="11906" w:h="16838"/>
          <w:pgMar w:top="2098" w:right="1474" w:bottom="1984" w:left="1587" w:header="851" w:footer="992" w:gutter="0"/>
          <w:pgNumType w:fmt="decimal" w:start="1"/>
          <w:cols w:space="720" w:num="1"/>
          <w:docGrid w:linePitch="312" w:charSpace="0"/>
        </w:sectPr>
      </w:pPr>
    </w:p>
    <w:p w14:paraId="698D3586">
      <w:pPr>
        <w:jc w:val="center"/>
        <w:outlineLvl w:val="1"/>
        <w:rPr>
          <w:rFonts w:ascii="宋体" w:hAnsi="宋体" w:cs="方正小标宋_GBK"/>
          <w:b/>
          <w:color w:val="auto"/>
          <w:sz w:val="36"/>
          <w:szCs w:val="36"/>
          <w:highlight w:val="none"/>
        </w:rPr>
      </w:pPr>
      <w:r>
        <w:rPr>
          <w:rFonts w:hint="eastAsia" w:ascii="宋体" w:hAnsi="宋体" w:cs="方正小标宋_GBK"/>
          <w:b/>
          <w:color w:val="auto"/>
          <w:sz w:val="36"/>
          <w:szCs w:val="36"/>
          <w:highlight w:val="none"/>
        </w:rPr>
        <w:t>安全生产合同</w:t>
      </w:r>
    </w:p>
    <w:p w14:paraId="18E42924">
      <w:pPr>
        <w:rPr>
          <w:rFonts w:ascii="宋体" w:hAnsi="宋体" w:cs="仿宋"/>
          <w:color w:val="auto"/>
          <w:szCs w:val="21"/>
          <w:highlight w:val="none"/>
        </w:rPr>
      </w:pPr>
    </w:p>
    <w:p w14:paraId="1FA2BE9D">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为在</w:t>
      </w:r>
      <w:r>
        <w:rPr>
          <w:rFonts w:hint="eastAsia" w:ascii="宋体" w:hAnsi="宋体" w:cs="仿宋"/>
          <w:color w:val="auto"/>
          <w:szCs w:val="21"/>
          <w:highlight w:val="none"/>
          <w:u w:val="single"/>
        </w:rPr>
        <w:t xml:space="preserve">           项目</w:t>
      </w:r>
      <w:r>
        <w:rPr>
          <w:rFonts w:hint="eastAsia" w:ascii="宋体" w:hAnsi="宋体" w:cs="仿宋"/>
          <w:color w:val="auto"/>
          <w:szCs w:val="21"/>
          <w:highlight w:val="none"/>
        </w:rPr>
        <w:t>合同的实施过程中创造安全、高效为在的施工环境，切实搞好本项目的安全管理工作，本项目业主</w:t>
      </w:r>
      <w:r>
        <w:rPr>
          <w:rFonts w:hint="eastAsia" w:ascii="宋体" w:hAnsi="宋体" w:cs="仿宋"/>
          <w:color w:val="auto"/>
          <w:szCs w:val="21"/>
          <w:highlight w:val="none"/>
          <w:u w:val="single"/>
        </w:rPr>
        <w:t xml:space="preserve">           </w:t>
      </w:r>
      <w:r>
        <w:rPr>
          <w:rFonts w:hint="eastAsia" w:ascii="宋体" w:hAnsi="宋体" w:cs="仿宋"/>
          <w:color w:val="auto"/>
          <w:szCs w:val="21"/>
          <w:highlight w:val="none"/>
        </w:rPr>
        <w:t xml:space="preserve"> (以下简称“甲方”)与</w:t>
      </w:r>
      <w:r>
        <w:rPr>
          <w:rFonts w:hint="eastAsia" w:ascii="宋体" w:hAnsi="宋体" w:cs="仿宋"/>
          <w:color w:val="auto"/>
          <w:szCs w:val="21"/>
          <w:highlight w:val="none"/>
          <w:u w:val="single"/>
        </w:rPr>
        <w:t xml:space="preserve">             </w:t>
      </w:r>
      <w:r>
        <w:rPr>
          <w:rFonts w:hint="eastAsia" w:ascii="宋体" w:hAnsi="宋体" w:cs="仿宋"/>
          <w:color w:val="auto"/>
          <w:szCs w:val="21"/>
          <w:highlight w:val="none"/>
        </w:rPr>
        <w:t xml:space="preserve"> (以下简称“乙方”)特此签订安全生产合同：</w:t>
      </w:r>
    </w:p>
    <w:p w14:paraId="607FAC37">
      <w:pPr>
        <w:spacing w:line="400" w:lineRule="exact"/>
        <w:ind w:firstLine="422" w:firstLineChars="200"/>
        <w:rPr>
          <w:rFonts w:ascii="宋体" w:hAnsi="宋体" w:cs="方正黑体_GBK"/>
          <w:b/>
          <w:bCs/>
          <w:color w:val="auto"/>
          <w:szCs w:val="21"/>
          <w:highlight w:val="none"/>
        </w:rPr>
      </w:pPr>
      <w:r>
        <w:rPr>
          <w:rFonts w:hint="eastAsia" w:ascii="宋体" w:hAnsi="宋体" w:cs="方正黑体_GBK"/>
          <w:b/>
          <w:bCs/>
          <w:color w:val="auto"/>
          <w:szCs w:val="21"/>
          <w:highlight w:val="none"/>
        </w:rPr>
        <w:t>一、甲方职责</w:t>
      </w:r>
    </w:p>
    <w:p w14:paraId="759ACB73">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（一）严格遵守国家有关安全生产的法律法规，认真执行合同中的有关安全要求。</w:t>
      </w:r>
    </w:p>
    <w:p w14:paraId="3384D5B7">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（二）按照“安全第一、预防为主”和坚持“三管三必须”的原则进行安全生产管理，做到生产与安全工作同时计划、布置、检查、总结和评比。</w:t>
      </w:r>
    </w:p>
    <w:p w14:paraId="376B26B0">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（三）重要的安全设施必须坚持与主体工程“三同时”的原则，即:同时设计、审批，同时施工，同时验收，投入使用。</w:t>
      </w:r>
    </w:p>
    <w:p w14:paraId="2CE95A6E">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（四）定期召开安全生产调度会，及时传达中央及地方有关安全生产的精神。</w:t>
      </w:r>
    </w:p>
    <w:p w14:paraId="755DB5DC">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（五）组织对乙方施工现场安全生产检査，监督乙方及时处理发现的各种安全隐患。</w:t>
      </w:r>
    </w:p>
    <w:p w14:paraId="1AD94250">
      <w:pPr>
        <w:spacing w:line="400" w:lineRule="exact"/>
        <w:ind w:firstLine="422" w:firstLineChars="200"/>
        <w:rPr>
          <w:rFonts w:ascii="宋体" w:hAnsi="宋体" w:cs="方正黑体_GBK"/>
          <w:b/>
          <w:bCs/>
          <w:color w:val="auto"/>
          <w:szCs w:val="21"/>
          <w:highlight w:val="none"/>
        </w:rPr>
      </w:pPr>
      <w:r>
        <w:rPr>
          <w:rFonts w:hint="eastAsia" w:ascii="宋体" w:hAnsi="宋体" w:cs="方正黑体_GBK"/>
          <w:b/>
          <w:bCs/>
          <w:color w:val="auto"/>
          <w:szCs w:val="21"/>
          <w:highlight w:val="none"/>
        </w:rPr>
        <w:t>二、乙方职责</w:t>
      </w:r>
    </w:p>
    <w:p w14:paraId="1E6BF700">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（一）严格遵守国家有关安全生产的法律法规及有关安全生产的规定，认真执行合同中的有关安全要求。</w:t>
      </w:r>
    </w:p>
    <w:p w14:paraId="6B429B8A">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二）坚持“安全第一、预防为主”和“三管三必须”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1F95E811">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三）建立健全安全生产责任制。从派往项目实施的项目负责人到生产工人(包括临时雇请的民工)的安全生产管理系统必须做到纵向到底，一环不缺;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5DD302A0">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（四）乙方在任何时候都应采取各种合理的预防措施，防止其员工发生任何违法、违禁暴力或妨碍治安的行为。</w:t>
      </w:r>
    </w:p>
    <w:p w14:paraId="51D14707">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五）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2B7AC77C">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六）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4EAA2DFE">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（七）操作人员上岗，必须按规定穿戴防护用品。项目经理和安全检查员应随时检查劳动防护用品的穿戴情况，不按规定穿戴防护用品的人员不得上岗。</w:t>
      </w:r>
    </w:p>
    <w:p w14:paraId="5F28018F">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（八）所有施工机械设备和高空作业的设备均应定期检查，并有安全员的签字记录，保证其经常处于完好状态;不合格的机具、设备和劳动保护用品严禁使用。</w:t>
      </w:r>
    </w:p>
    <w:p w14:paraId="55722ECE">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（九）施工中采用新技术、新工艺、新设备、新材料时，必须制定相应的安全技术措施施工现场必须具有相关的安全标志牌。</w:t>
      </w:r>
    </w:p>
    <w:p w14:paraId="3AD16180">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十）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6A19B13D">
      <w:pPr>
        <w:spacing w:line="400" w:lineRule="exact"/>
        <w:ind w:firstLine="422" w:firstLineChars="200"/>
        <w:rPr>
          <w:rFonts w:ascii="宋体" w:hAnsi="宋体" w:cs="方正黑体_GBK"/>
          <w:b/>
          <w:bCs/>
          <w:color w:val="auto"/>
          <w:szCs w:val="21"/>
          <w:highlight w:val="none"/>
        </w:rPr>
      </w:pPr>
      <w:r>
        <w:rPr>
          <w:rFonts w:hint="eastAsia" w:ascii="宋体" w:hAnsi="宋体" w:cs="方正黑体_GBK"/>
          <w:b/>
          <w:bCs/>
          <w:color w:val="auto"/>
          <w:szCs w:val="21"/>
          <w:highlight w:val="none"/>
        </w:rPr>
        <w:t>三、违约责任</w:t>
      </w:r>
    </w:p>
    <w:p w14:paraId="4E29E647">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如因甲方或乙方违约造成安全事故，将依法追究责任。</w:t>
      </w:r>
    </w:p>
    <w:p w14:paraId="58D94DAF">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本合同作为主合同附件，与主合同具有同等的法律效力。由双方法定代表人或其授权的代理人签署与加盖公章后生效，至本项目全部竣工验收后终止。</w:t>
      </w:r>
    </w:p>
    <w:p w14:paraId="526C1F7F">
      <w:pPr>
        <w:spacing w:line="400" w:lineRule="exact"/>
        <w:rPr>
          <w:rFonts w:ascii="宋体" w:hAnsi="宋体" w:cs="仿宋"/>
          <w:color w:val="auto"/>
          <w:szCs w:val="21"/>
          <w:highlight w:val="none"/>
        </w:rPr>
      </w:pPr>
    </w:p>
    <w:p w14:paraId="57F6E5E8">
      <w:pPr>
        <w:spacing w:line="400" w:lineRule="exact"/>
        <w:rPr>
          <w:rFonts w:ascii="宋体" w:hAnsi="宋体" w:cs="仿宋"/>
          <w:color w:val="auto"/>
          <w:szCs w:val="21"/>
          <w:highlight w:val="none"/>
        </w:rPr>
      </w:pPr>
      <w:r>
        <w:rPr>
          <w:rFonts w:hint="eastAsia" w:ascii="宋体" w:hAnsi="宋体" w:cs="仿宋"/>
          <w:color w:val="auto"/>
          <w:szCs w:val="21"/>
          <w:highlight w:val="none"/>
        </w:rPr>
        <w:t xml:space="preserve">甲方：                          </w:t>
      </w:r>
      <w:r>
        <w:rPr>
          <w:rFonts w:hint="eastAsia" w:ascii="宋体" w:hAnsi="宋体" w:cs="仿宋"/>
          <w:color w:val="auto"/>
          <w:szCs w:val="21"/>
          <w:highlight w:val="none"/>
          <w:lang w:val="en-US" w:eastAsia="zh-CN"/>
        </w:rPr>
        <w:t xml:space="preserve">                   </w:t>
      </w:r>
      <w:r>
        <w:rPr>
          <w:rFonts w:hint="eastAsia" w:ascii="宋体" w:hAnsi="宋体" w:cs="仿宋"/>
          <w:color w:val="auto"/>
          <w:szCs w:val="21"/>
          <w:highlight w:val="none"/>
        </w:rPr>
        <w:t>乙方：</w:t>
      </w:r>
    </w:p>
    <w:p w14:paraId="028A4A88">
      <w:pPr>
        <w:spacing w:line="400" w:lineRule="exact"/>
        <w:rPr>
          <w:rFonts w:hint="eastAsia" w:ascii="宋体" w:hAnsi="宋体" w:cs="仿宋"/>
          <w:color w:val="auto"/>
          <w:szCs w:val="21"/>
          <w:highlight w:val="none"/>
        </w:rPr>
      </w:pPr>
      <w:r>
        <w:rPr>
          <w:rFonts w:hint="eastAsia" w:ascii="宋体" w:hAnsi="宋体" w:cs="仿宋"/>
          <w:color w:val="auto"/>
          <w:szCs w:val="21"/>
          <w:highlight w:val="none"/>
        </w:rPr>
        <w:t xml:space="preserve">（公章或合同专用章）          </w:t>
      </w:r>
      <w:r>
        <w:rPr>
          <w:rFonts w:hint="eastAsia" w:ascii="宋体" w:hAnsi="宋体" w:cs="仿宋"/>
          <w:color w:val="auto"/>
          <w:szCs w:val="21"/>
          <w:highlight w:val="none"/>
          <w:lang w:val="en-US" w:eastAsia="zh-CN"/>
        </w:rPr>
        <w:t xml:space="preserve">                  </w:t>
      </w:r>
      <w:r>
        <w:rPr>
          <w:rFonts w:hint="eastAsia" w:ascii="宋体" w:hAnsi="宋体" w:cs="仿宋"/>
          <w:color w:val="auto"/>
          <w:szCs w:val="21"/>
          <w:highlight w:val="none"/>
        </w:rPr>
        <w:t xml:space="preserve"> （公章或合同专用章）</w:t>
      </w:r>
    </w:p>
    <w:p w14:paraId="243D5405">
      <w:pPr>
        <w:spacing w:line="400" w:lineRule="exact"/>
        <w:rPr>
          <w:rFonts w:ascii="宋体" w:hAnsi="宋体" w:cs="仿宋"/>
          <w:color w:val="auto"/>
          <w:szCs w:val="21"/>
          <w:highlight w:val="none"/>
        </w:rPr>
      </w:pPr>
    </w:p>
    <w:p w14:paraId="064669BB">
      <w:pPr>
        <w:spacing w:line="400" w:lineRule="exact"/>
        <w:rPr>
          <w:rFonts w:ascii="宋体" w:hAnsi="宋体" w:cs="仿宋"/>
          <w:color w:val="auto"/>
          <w:szCs w:val="21"/>
          <w:highlight w:val="none"/>
        </w:rPr>
      </w:pPr>
      <w:r>
        <w:rPr>
          <w:rFonts w:hint="eastAsia" w:ascii="宋体" w:hAnsi="宋体" w:cs="仿宋"/>
          <w:color w:val="auto"/>
          <w:szCs w:val="21"/>
          <w:highlight w:val="none"/>
        </w:rPr>
        <w:t xml:space="preserve">法定代表人：                  </w:t>
      </w:r>
      <w:r>
        <w:rPr>
          <w:rFonts w:hint="eastAsia" w:ascii="宋体" w:hAnsi="宋体" w:cs="仿宋"/>
          <w:color w:val="auto"/>
          <w:szCs w:val="21"/>
          <w:highlight w:val="none"/>
          <w:lang w:val="en-US" w:eastAsia="zh-CN"/>
        </w:rPr>
        <w:t xml:space="preserve">                  </w:t>
      </w:r>
      <w:r>
        <w:rPr>
          <w:rFonts w:hint="eastAsia" w:ascii="宋体" w:hAnsi="宋体" w:cs="仿宋"/>
          <w:color w:val="auto"/>
          <w:szCs w:val="21"/>
          <w:highlight w:val="none"/>
        </w:rPr>
        <w:t xml:space="preserve">  法定代表人：</w:t>
      </w:r>
    </w:p>
    <w:p w14:paraId="751C66C8">
      <w:pPr>
        <w:spacing w:line="400" w:lineRule="exact"/>
        <w:rPr>
          <w:rFonts w:hint="eastAsia" w:ascii="宋体" w:hAnsi="宋体" w:cs="仿宋"/>
          <w:color w:val="auto"/>
          <w:szCs w:val="21"/>
          <w:highlight w:val="none"/>
        </w:rPr>
      </w:pPr>
      <w:r>
        <w:rPr>
          <w:rFonts w:hint="eastAsia" w:ascii="宋体" w:hAnsi="宋体" w:cs="仿宋"/>
          <w:color w:val="auto"/>
          <w:szCs w:val="21"/>
          <w:highlight w:val="none"/>
        </w:rPr>
        <w:t xml:space="preserve">(签字或盖章)                  </w:t>
      </w:r>
      <w:r>
        <w:rPr>
          <w:rFonts w:hint="eastAsia" w:ascii="宋体" w:hAnsi="宋体" w:cs="仿宋"/>
          <w:color w:val="auto"/>
          <w:szCs w:val="21"/>
          <w:highlight w:val="none"/>
          <w:lang w:val="en-US" w:eastAsia="zh-CN"/>
        </w:rPr>
        <w:t xml:space="preserve">                   </w:t>
      </w:r>
      <w:r>
        <w:rPr>
          <w:rFonts w:hint="eastAsia" w:ascii="宋体" w:hAnsi="宋体" w:cs="仿宋"/>
          <w:color w:val="auto"/>
          <w:szCs w:val="21"/>
          <w:highlight w:val="none"/>
        </w:rPr>
        <w:t xml:space="preserve"> (签字或盖章)</w:t>
      </w:r>
    </w:p>
    <w:p w14:paraId="519DDA9E">
      <w:pPr>
        <w:spacing w:line="400" w:lineRule="exact"/>
        <w:rPr>
          <w:rFonts w:ascii="宋体" w:hAnsi="宋体" w:cs="仿宋"/>
          <w:color w:val="auto"/>
          <w:szCs w:val="21"/>
          <w:highlight w:val="none"/>
        </w:rPr>
      </w:pPr>
    </w:p>
    <w:p w14:paraId="5E726177">
      <w:pPr>
        <w:spacing w:line="400" w:lineRule="exact"/>
        <w:rPr>
          <w:rFonts w:hint="eastAsia" w:ascii="宋体" w:hAnsi="宋体" w:cs="仿宋"/>
          <w:color w:val="auto"/>
          <w:szCs w:val="21"/>
          <w:highlight w:val="none"/>
        </w:rPr>
      </w:pPr>
      <w:r>
        <w:rPr>
          <w:rFonts w:hint="eastAsia" w:ascii="宋体" w:hAnsi="宋体" w:cs="仿宋"/>
          <w:color w:val="auto"/>
          <w:szCs w:val="21"/>
          <w:highlight w:val="none"/>
        </w:rPr>
        <w:t xml:space="preserve">联系人(签字)：           </w:t>
      </w:r>
      <w:r>
        <w:rPr>
          <w:rFonts w:hint="eastAsia" w:ascii="宋体" w:hAnsi="宋体" w:cs="仿宋"/>
          <w:color w:val="auto"/>
          <w:szCs w:val="21"/>
          <w:highlight w:val="none"/>
          <w:lang w:val="en-US" w:eastAsia="zh-CN"/>
        </w:rPr>
        <w:t xml:space="preserve">                  </w:t>
      </w:r>
      <w:r>
        <w:rPr>
          <w:rFonts w:hint="eastAsia" w:ascii="宋体" w:hAnsi="宋体" w:cs="仿宋"/>
          <w:color w:val="auto"/>
          <w:szCs w:val="21"/>
          <w:highlight w:val="none"/>
        </w:rPr>
        <w:t xml:space="preserve">       联系人(签字)：</w:t>
      </w:r>
    </w:p>
    <w:p w14:paraId="15B9D821">
      <w:pPr>
        <w:spacing w:line="400" w:lineRule="exact"/>
        <w:rPr>
          <w:rFonts w:ascii="宋体" w:hAnsi="宋体" w:cs="仿宋"/>
          <w:color w:val="auto"/>
          <w:szCs w:val="21"/>
          <w:highlight w:val="none"/>
        </w:rPr>
      </w:pPr>
      <w:r>
        <w:rPr>
          <w:rFonts w:hint="eastAsia" w:ascii="宋体" w:hAnsi="宋体" w:cs="仿宋"/>
          <w:color w:val="auto"/>
          <w:szCs w:val="21"/>
          <w:highlight w:val="none"/>
        </w:rPr>
        <w:t xml:space="preserve">联系电话：                     </w:t>
      </w:r>
      <w:r>
        <w:rPr>
          <w:rFonts w:hint="eastAsia" w:ascii="宋体" w:hAnsi="宋体" w:cs="仿宋"/>
          <w:color w:val="auto"/>
          <w:szCs w:val="21"/>
          <w:highlight w:val="none"/>
          <w:lang w:val="en-US" w:eastAsia="zh-CN"/>
        </w:rPr>
        <w:t xml:space="preserve">                  </w:t>
      </w:r>
      <w:r>
        <w:rPr>
          <w:rFonts w:hint="eastAsia" w:ascii="宋体" w:hAnsi="宋体" w:cs="仿宋"/>
          <w:color w:val="auto"/>
          <w:szCs w:val="21"/>
          <w:highlight w:val="none"/>
        </w:rPr>
        <w:t xml:space="preserve"> 联系电话：</w:t>
      </w:r>
    </w:p>
    <w:p w14:paraId="219F73E7">
      <w:pPr>
        <w:spacing w:line="400" w:lineRule="exact"/>
        <w:rPr>
          <w:rFonts w:hint="eastAsia" w:ascii="宋体" w:hAnsi="宋体" w:cs="仿宋"/>
          <w:color w:val="auto"/>
          <w:szCs w:val="21"/>
          <w:highlight w:val="none"/>
        </w:rPr>
      </w:pPr>
      <w:r>
        <w:rPr>
          <w:rFonts w:hint="eastAsia" w:ascii="宋体" w:hAnsi="宋体" w:cs="仿宋"/>
          <w:color w:val="auto"/>
          <w:szCs w:val="21"/>
          <w:highlight w:val="none"/>
        </w:rPr>
        <w:t xml:space="preserve">地址：                      </w:t>
      </w:r>
      <w:r>
        <w:rPr>
          <w:rFonts w:hint="eastAsia" w:ascii="宋体" w:hAnsi="宋体" w:cs="仿宋"/>
          <w:color w:val="auto"/>
          <w:szCs w:val="21"/>
          <w:highlight w:val="none"/>
          <w:lang w:val="en-US" w:eastAsia="zh-CN"/>
        </w:rPr>
        <w:t xml:space="preserve">                  </w:t>
      </w:r>
      <w:r>
        <w:rPr>
          <w:rFonts w:hint="eastAsia" w:ascii="宋体" w:hAnsi="宋体" w:cs="仿宋"/>
          <w:color w:val="auto"/>
          <w:szCs w:val="21"/>
          <w:highlight w:val="none"/>
        </w:rPr>
        <w:t xml:space="preserve">    地址：</w:t>
      </w:r>
    </w:p>
    <w:p w14:paraId="151F94C6">
      <w:pPr>
        <w:spacing w:line="400" w:lineRule="exact"/>
        <w:rPr>
          <w:rFonts w:ascii="宋体" w:hAnsi="宋体" w:cs="仿宋"/>
          <w:color w:val="auto"/>
          <w:szCs w:val="21"/>
          <w:highlight w:val="none"/>
        </w:rPr>
      </w:pPr>
    </w:p>
    <w:p w14:paraId="582C89C8">
      <w:pPr>
        <w:spacing w:line="400" w:lineRule="exact"/>
        <w:rPr>
          <w:rFonts w:ascii="宋体" w:hAnsi="宋体" w:cs="仿宋"/>
          <w:color w:val="auto"/>
          <w:szCs w:val="21"/>
          <w:highlight w:val="none"/>
        </w:rPr>
      </w:pPr>
      <w:r>
        <w:rPr>
          <w:rFonts w:hint="eastAsia" w:ascii="宋体" w:hAnsi="宋体" w:cs="仿宋"/>
          <w:color w:val="auto"/>
          <w:szCs w:val="21"/>
          <w:highlight w:val="none"/>
        </w:rPr>
        <w:t xml:space="preserve">日期：      年  月   日         </w:t>
      </w:r>
      <w:r>
        <w:rPr>
          <w:rFonts w:hint="eastAsia" w:ascii="宋体" w:hAnsi="宋体" w:cs="仿宋"/>
          <w:color w:val="auto"/>
          <w:szCs w:val="21"/>
          <w:highlight w:val="none"/>
          <w:lang w:val="en-US" w:eastAsia="zh-CN"/>
        </w:rPr>
        <w:t xml:space="preserve">                  </w:t>
      </w:r>
      <w:r>
        <w:rPr>
          <w:rFonts w:hint="eastAsia" w:ascii="宋体" w:hAnsi="宋体" w:cs="仿宋"/>
          <w:color w:val="auto"/>
          <w:szCs w:val="21"/>
          <w:highlight w:val="none"/>
        </w:rPr>
        <w:t>日期：      年  月   日</w:t>
      </w:r>
    </w:p>
    <w:p w14:paraId="3FC281B6">
      <w:pPr>
        <w:spacing w:line="380" w:lineRule="exact"/>
        <w:rPr>
          <w:rFonts w:hint="eastAsia" w:ascii="Times New Roman" w:hAnsi="Times New Roman"/>
          <w:color w:val="auto"/>
          <w:kern w:val="0"/>
          <w:sz w:val="24"/>
          <w:szCs w:val="24"/>
          <w:highlight w:val="none"/>
        </w:rPr>
      </w:pPr>
    </w:p>
    <w:p w14:paraId="64103E87">
      <w:pPr>
        <w:spacing w:line="380" w:lineRule="exact"/>
        <w:rPr>
          <w:rFonts w:hint="eastAsia" w:ascii="Times New Roman" w:hAnsi="Times New Roman"/>
          <w:color w:val="auto"/>
          <w:kern w:val="0"/>
          <w:sz w:val="24"/>
          <w:szCs w:val="24"/>
          <w:highlight w:val="none"/>
        </w:rPr>
      </w:pPr>
    </w:p>
    <w:p w14:paraId="378A40A9">
      <w:pPr>
        <w:spacing w:line="380" w:lineRule="exact"/>
        <w:rPr>
          <w:rFonts w:hint="eastAsia" w:ascii="Times New Roman" w:hAnsi="Times New Roman"/>
          <w:color w:val="auto"/>
          <w:kern w:val="0"/>
          <w:sz w:val="24"/>
          <w:szCs w:val="24"/>
          <w:highlight w:val="none"/>
        </w:rPr>
      </w:pPr>
    </w:p>
    <w:p w14:paraId="2FF0F641">
      <w:pPr>
        <w:spacing w:line="380" w:lineRule="exact"/>
        <w:rPr>
          <w:rFonts w:hint="eastAsia" w:ascii="Times New Roman" w:hAnsi="Times New Roman"/>
          <w:color w:val="auto"/>
          <w:kern w:val="0"/>
          <w:sz w:val="24"/>
          <w:szCs w:val="24"/>
          <w:highlight w:val="none"/>
        </w:rPr>
      </w:pPr>
    </w:p>
    <w:p w14:paraId="4B7184D2">
      <w:pPr>
        <w:spacing w:line="380" w:lineRule="exact"/>
        <w:rPr>
          <w:rFonts w:hint="eastAsia" w:ascii="Times New Roman" w:hAnsi="Times New Roman"/>
          <w:color w:val="auto"/>
          <w:kern w:val="0"/>
          <w:sz w:val="24"/>
          <w:szCs w:val="24"/>
          <w:highlight w:val="none"/>
        </w:rPr>
      </w:pPr>
    </w:p>
    <w:p w14:paraId="27D25F67">
      <w:pPr>
        <w:spacing w:line="380" w:lineRule="exact"/>
        <w:rPr>
          <w:rFonts w:hint="eastAsia" w:ascii="Times New Roman" w:hAnsi="Times New Roman"/>
          <w:color w:val="auto"/>
          <w:kern w:val="0"/>
          <w:sz w:val="24"/>
          <w:szCs w:val="24"/>
          <w:highlight w:val="none"/>
        </w:rPr>
      </w:pPr>
    </w:p>
    <w:p w14:paraId="29F62D4B">
      <w:pPr>
        <w:spacing w:line="380" w:lineRule="exact"/>
        <w:rPr>
          <w:rFonts w:hint="eastAsia" w:ascii="Times New Roman" w:hAnsi="Times New Roman"/>
          <w:color w:val="auto"/>
          <w:kern w:val="0"/>
          <w:sz w:val="24"/>
          <w:szCs w:val="24"/>
          <w:highlight w:val="none"/>
        </w:rPr>
      </w:pPr>
    </w:p>
    <w:p w14:paraId="1652B139">
      <w:pPr>
        <w:spacing w:line="380" w:lineRule="exact"/>
        <w:rPr>
          <w:rFonts w:hint="eastAsia" w:ascii="Times New Roman" w:hAnsi="Times New Roman"/>
          <w:color w:val="auto"/>
          <w:kern w:val="0"/>
          <w:sz w:val="24"/>
          <w:szCs w:val="24"/>
          <w:highlight w:val="none"/>
        </w:rPr>
      </w:pPr>
    </w:p>
    <w:p w14:paraId="0CDFC59A">
      <w:pPr>
        <w:spacing w:line="380" w:lineRule="exact"/>
        <w:rPr>
          <w:rFonts w:hint="eastAsia" w:ascii="Times New Roman" w:hAnsi="Times New Roman"/>
          <w:color w:val="auto"/>
          <w:kern w:val="0"/>
          <w:sz w:val="24"/>
          <w:szCs w:val="24"/>
          <w:highlight w:val="none"/>
        </w:rPr>
      </w:pPr>
    </w:p>
    <w:p w14:paraId="643AA760">
      <w:pPr>
        <w:spacing w:line="380" w:lineRule="exact"/>
        <w:rPr>
          <w:rFonts w:hint="eastAsia" w:ascii="Times New Roman" w:hAnsi="Times New Roman"/>
          <w:color w:val="auto"/>
          <w:kern w:val="0"/>
          <w:sz w:val="24"/>
          <w:szCs w:val="24"/>
          <w:highlight w:val="none"/>
        </w:rPr>
      </w:pPr>
    </w:p>
    <w:p w14:paraId="507BF276">
      <w:pPr>
        <w:jc w:val="center"/>
        <w:outlineLvl w:val="1"/>
        <w:rPr>
          <w:rFonts w:ascii="宋体" w:hAnsi="宋体" w:cs="方正小标宋_GBK"/>
          <w:b/>
          <w:color w:val="auto"/>
          <w:sz w:val="36"/>
          <w:szCs w:val="36"/>
          <w:highlight w:val="none"/>
        </w:rPr>
      </w:pPr>
      <w:r>
        <w:rPr>
          <w:rFonts w:hint="eastAsia" w:ascii="宋体" w:hAnsi="宋体" w:cs="方正小标宋_GBK"/>
          <w:b/>
          <w:color w:val="auto"/>
          <w:sz w:val="36"/>
          <w:szCs w:val="36"/>
          <w:highlight w:val="none"/>
        </w:rPr>
        <w:t>廉政合同</w:t>
      </w:r>
    </w:p>
    <w:p w14:paraId="44979738">
      <w:pPr>
        <w:spacing w:line="400" w:lineRule="exact"/>
        <w:ind w:firstLine="420" w:firstLineChars="200"/>
        <w:rPr>
          <w:rFonts w:hint="eastAsia" w:ascii="宋体" w:hAnsi="宋体" w:cs="仿宋"/>
          <w:color w:val="auto"/>
          <w:szCs w:val="21"/>
          <w:highlight w:val="none"/>
        </w:rPr>
      </w:pPr>
    </w:p>
    <w:p w14:paraId="4403F794">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根据国家有关廉政建设的规定，为做好项目建设中的党风廉政建设，保证项目建设高效优质，保证建设资金的安全和有效使用，</w:t>
      </w:r>
      <w:r>
        <w:rPr>
          <w:rFonts w:hint="eastAsia" w:ascii="宋体" w:hAnsi="宋体" w:cs="仿宋"/>
          <w:color w:val="auto"/>
          <w:szCs w:val="21"/>
          <w:highlight w:val="none"/>
          <w:u w:val="single"/>
        </w:rPr>
        <w:t xml:space="preserve">           </w:t>
      </w:r>
      <w:r>
        <w:rPr>
          <w:rFonts w:hint="eastAsia" w:ascii="宋体" w:hAnsi="宋体" w:cs="仿宋"/>
          <w:color w:val="auto"/>
          <w:szCs w:val="21"/>
          <w:highlight w:val="none"/>
        </w:rPr>
        <w:t>(以下简称“甲方”)与</w:t>
      </w:r>
      <w:r>
        <w:rPr>
          <w:rFonts w:hint="eastAsia" w:ascii="宋体" w:hAnsi="宋体" w:cs="仿宋"/>
          <w:color w:val="auto"/>
          <w:szCs w:val="21"/>
          <w:highlight w:val="none"/>
          <w:u w:val="single"/>
        </w:rPr>
        <w:t xml:space="preserve">           </w:t>
      </w:r>
      <w:r>
        <w:rPr>
          <w:rFonts w:hint="eastAsia" w:ascii="宋体" w:hAnsi="宋体" w:cs="仿宋"/>
          <w:color w:val="auto"/>
          <w:szCs w:val="21"/>
          <w:highlight w:val="none"/>
        </w:rPr>
        <w:t xml:space="preserve"> (以下简称“乙方”)就</w:t>
      </w:r>
      <w:r>
        <w:rPr>
          <w:rFonts w:hint="eastAsia" w:ascii="宋体" w:hAnsi="宋体" w:cs="仿宋"/>
          <w:color w:val="auto"/>
          <w:szCs w:val="21"/>
          <w:highlight w:val="none"/>
          <w:u w:val="single"/>
        </w:rPr>
        <w:t xml:space="preserve">                        项目</w:t>
      </w:r>
      <w:r>
        <w:rPr>
          <w:rFonts w:hint="eastAsia" w:ascii="宋体" w:hAnsi="宋体" w:cs="仿宋"/>
          <w:color w:val="auto"/>
          <w:szCs w:val="21"/>
          <w:highlight w:val="none"/>
        </w:rPr>
        <w:t>订立如下廉政合同。</w:t>
      </w:r>
    </w:p>
    <w:p w14:paraId="76DA7925">
      <w:pPr>
        <w:spacing w:line="400" w:lineRule="exact"/>
        <w:ind w:firstLine="422" w:firstLineChars="200"/>
        <w:rPr>
          <w:rFonts w:ascii="宋体" w:hAnsi="宋体" w:cs="仿宋"/>
          <w:b/>
          <w:bCs/>
          <w:color w:val="auto"/>
          <w:szCs w:val="21"/>
          <w:highlight w:val="none"/>
        </w:rPr>
      </w:pPr>
      <w:r>
        <w:rPr>
          <w:rFonts w:hint="eastAsia" w:ascii="宋体" w:hAnsi="宋体" w:cs="仿宋"/>
          <w:b/>
          <w:bCs/>
          <w:color w:val="auto"/>
          <w:szCs w:val="21"/>
          <w:highlight w:val="none"/>
        </w:rPr>
        <w:t>一、甲乙双方的权利和义务</w:t>
      </w:r>
    </w:p>
    <w:p w14:paraId="675368D9">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(一)严格遵守党和国家的有关法律法规及中纪委监察部的有关规定。</w:t>
      </w:r>
    </w:p>
    <w:p w14:paraId="45F6C0BC">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(二)严格执行项目的合同文件，自觉按合同办事。</w:t>
      </w:r>
    </w:p>
    <w:p w14:paraId="52D4EA6F">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(三)双方的业务活动坚持公开、公正、诚信、透明的原则(法律认定的商业秘密和合同文件另有规定除外)，不得损害国家和集体利益，违反工程建设管理规章制度。</w:t>
      </w:r>
    </w:p>
    <w:p w14:paraId="0FCB5468">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(四)建立健全廉政制度，开展廉政教育，设立廉政告示牌，公布举报电话，监督并认真查处违法违纪行为。</w:t>
      </w:r>
    </w:p>
    <w:p w14:paraId="3289E46F">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(五)发现对方在业务活动中有违反廉政规定的行为，有及时提醒对方纠正的权利及义务。</w:t>
      </w:r>
    </w:p>
    <w:p w14:paraId="7E2D44DB">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(六)发现对方严重违反本合同义务条款的行为，有向其上级有关部门举报、建议给予处理并要求告知处理结果的权利。</w:t>
      </w:r>
    </w:p>
    <w:p w14:paraId="4C4284AC">
      <w:pPr>
        <w:spacing w:line="400" w:lineRule="exact"/>
        <w:ind w:firstLine="422" w:firstLineChars="200"/>
        <w:rPr>
          <w:rFonts w:ascii="宋体" w:hAnsi="宋体" w:cs="方正黑体_GBK"/>
          <w:b/>
          <w:bCs/>
          <w:color w:val="auto"/>
          <w:szCs w:val="21"/>
          <w:highlight w:val="none"/>
        </w:rPr>
      </w:pPr>
      <w:r>
        <w:rPr>
          <w:rFonts w:hint="eastAsia" w:ascii="宋体" w:hAnsi="宋体" w:cs="方正黑体_GBK"/>
          <w:b/>
          <w:bCs/>
          <w:color w:val="auto"/>
          <w:szCs w:val="21"/>
          <w:highlight w:val="none"/>
        </w:rPr>
        <w:t>二、甲方的义务</w:t>
      </w:r>
    </w:p>
    <w:p w14:paraId="68DD66A7">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(一)甲方及其工作人员不得索要或接受乙方的礼金、有价证券和贵重物品，不得在乙方报销任何应由甲方或甲方工作人员个人支付的费用等。</w:t>
      </w:r>
    </w:p>
    <w:p w14:paraId="2451C23F">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(二)甲方工作人员不得参加乙方安排的超标准宴请和娱乐活动;不得接受乙方提供的通讯工具、交通工具和高档办公用品等。</w:t>
      </w:r>
    </w:p>
    <w:p w14:paraId="444A5AE9">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(三)甲方及其工作人员不得要求或者接受乙方为其住房装修、婚丧嫁娶活动、配偶子女的工作安排以及出国出境、旅游等提供方便等。</w:t>
      </w:r>
    </w:p>
    <w:p w14:paraId="42964264">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(四)甲方工作人员及其配偶、子女不得从事与甲方工程有关的材料设备供应、工程分包、劳务等经济活动等。</w:t>
      </w:r>
    </w:p>
    <w:p w14:paraId="32FE025D">
      <w:pPr>
        <w:spacing w:line="400" w:lineRule="exact"/>
        <w:ind w:firstLine="420" w:firstLineChars="200"/>
        <w:rPr>
          <w:rFonts w:ascii="宋体" w:hAnsi="宋体" w:cs="仿宋"/>
          <w:color w:val="auto"/>
          <w:szCs w:val="21"/>
          <w:highlight w:val="none"/>
        </w:rPr>
      </w:pPr>
      <w:r>
        <w:rPr>
          <w:rFonts w:hint="eastAsia" w:ascii="宋体" w:hAnsi="宋体" w:cs="仿宋"/>
          <w:color w:val="auto"/>
          <w:szCs w:val="21"/>
          <w:highlight w:val="none"/>
        </w:rPr>
        <w:t>(五)甲方及其工作人员不得以任何理由向乙方推荐分包单位或推销材料，不得要求乙方购买合同规定外的材料和设备。</w:t>
      </w:r>
    </w:p>
    <w:p w14:paraId="27DDAE7C">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(六)甲方工作人员要秉公办事，不准营私舞弊，不准利用职权从事各种个人有偿中中介活动和安排个人施工队伍。</w:t>
      </w:r>
    </w:p>
    <w:p w14:paraId="47867FA7">
      <w:pPr>
        <w:spacing w:line="400" w:lineRule="exact"/>
        <w:ind w:firstLine="422" w:firstLineChars="200"/>
        <w:rPr>
          <w:rFonts w:hint="eastAsia" w:ascii="宋体" w:hAnsi="宋体" w:cs="仿宋"/>
          <w:b/>
          <w:bCs/>
          <w:color w:val="auto"/>
          <w:szCs w:val="21"/>
          <w:highlight w:val="none"/>
        </w:rPr>
      </w:pPr>
      <w:r>
        <w:rPr>
          <w:rFonts w:hint="eastAsia" w:ascii="宋体" w:hAnsi="宋体" w:cs="仿宋"/>
          <w:b/>
          <w:bCs/>
          <w:color w:val="auto"/>
          <w:szCs w:val="21"/>
          <w:highlight w:val="none"/>
        </w:rPr>
        <w:t>三、乙方的义务</w:t>
      </w:r>
    </w:p>
    <w:p w14:paraId="57EFEE0D">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(一)乙方不得以任何理由向甲方及其工作人员行贿或馈赠礼金、有价证券、礼品。</w:t>
      </w:r>
    </w:p>
    <w:p w14:paraId="19904533">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(二)乙方不得以任何名义为甲方及其工作人员报销应由甲方单位或个人支付的任何费用。</w:t>
      </w:r>
    </w:p>
    <w:p w14:paraId="69B5173C">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(三)乙方不得以任何理由安排甲方工作人员参加超标准宴请及娱乐活动。</w:t>
      </w:r>
    </w:p>
    <w:p w14:paraId="1195A93B">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(四)乙方不得为甲方单位和个人购置或提供通讯工具、交通工具和高档办公用品等。</w:t>
      </w:r>
    </w:p>
    <w:p w14:paraId="76BE8959">
      <w:pPr>
        <w:spacing w:line="400" w:lineRule="exact"/>
        <w:ind w:firstLine="422" w:firstLineChars="200"/>
        <w:rPr>
          <w:rFonts w:hint="eastAsia" w:ascii="宋体" w:hAnsi="宋体" w:cs="仿宋"/>
          <w:b/>
          <w:bCs/>
          <w:color w:val="auto"/>
          <w:szCs w:val="21"/>
          <w:highlight w:val="none"/>
        </w:rPr>
      </w:pPr>
      <w:r>
        <w:rPr>
          <w:rFonts w:hint="eastAsia" w:ascii="宋体" w:hAnsi="宋体" w:cs="仿宋"/>
          <w:b/>
          <w:bCs/>
          <w:color w:val="auto"/>
          <w:szCs w:val="21"/>
          <w:highlight w:val="none"/>
        </w:rPr>
        <w:t>四、违约责任</w:t>
      </w:r>
    </w:p>
    <w:p w14:paraId="3AA226C9">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(一)甲方及其工作人员违反本合同第一、二条，按管理权限，依据有关规定给予党纪、政纪或组织处理;涉嫌犯罪的，移交司法机关追究刑事责任;给乙方单位造成经济损失的，应子以赔偿。</w:t>
      </w:r>
    </w:p>
    <w:p w14:paraId="59C30D42">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(二)乙方及其工作人员违反本合同第一、三条，按管理权限，依据有关规定给予党纪、政纪或组织处理;给甲方单位造成经济损失的，应予以赔偿。</w:t>
      </w:r>
    </w:p>
    <w:p w14:paraId="19EBEF5D">
      <w:pPr>
        <w:spacing w:line="400" w:lineRule="exact"/>
        <w:ind w:firstLine="422" w:firstLineChars="200"/>
        <w:rPr>
          <w:rFonts w:hint="eastAsia" w:ascii="宋体" w:hAnsi="宋体" w:cs="仿宋"/>
          <w:color w:val="auto"/>
          <w:szCs w:val="21"/>
          <w:highlight w:val="none"/>
        </w:rPr>
      </w:pPr>
      <w:r>
        <w:rPr>
          <w:rFonts w:hint="eastAsia" w:ascii="宋体" w:hAnsi="宋体" w:cs="仿宋"/>
          <w:b/>
          <w:bCs/>
          <w:color w:val="auto"/>
          <w:szCs w:val="21"/>
          <w:highlight w:val="none"/>
        </w:rPr>
        <w:t>五、双方约定:</w:t>
      </w:r>
      <w:r>
        <w:rPr>
          <w:rFonts w:hint="eastAsia" w:ascii="宋体" w:hAnsi="宋体" w:cs="仿宋"/>
          <w:color w:val="auto"/>
          <w:szCs w:val="21"/>
          <w:highlight w:val="none"/>
        </w:rPr>
        <w:t>本合同由双方负责纪检的组织负责监督执行。</w:t>
      </w:r>
    </w:p>
    <w:p w14:paraId="7BACFA14">
      <w:pPr>
        <w:spacing w:line="400" w:lineRule="exact"/>
        <w:ind w:firstLine="422" w:firstLineChars="200"/>
        <w:rPr>
          <w:rFonts w:ascii="宋体" w:hAnsi="宋体" w:cs="仿宋"/>
          <w:color w:val="auto"/>
          <w:szCs w:val="21"/>
          <w:highlight w:val="none"/>
        </w:rPr>
      </w:pPr>
      <w:r>
        <w:rPr>
          <w:rFonts w:hint="eastAsia" w:ascii="宋体" w:hAnsi="宋体" w:cs="仿宋"/>
          <w:b/>
          <w:bCs/>
          <w:color w:val="auto"/>
          <w:szCs w:val="21"/>
          <w:highlight w:val="none"/>
        </w:rPr>
        <w:t>六、本合同作为主合同的附件，与主合同具有同等的法律效力。</w:t>
      </w:r>
      <w:r>
        <w:rPr>
          <w:rFonts w:hint="eastAsia" w:ascii="宋体" w:hAnsi="宋体" w:cs="仿宋"/>
          <w:color w:val="auto"/>
          <w:szCs w:val="21"/>
          <w:highlight w:val="none"/>
        </w:rPr>
        <w:t>由双方法定代表人或其授权的代理人签署与加盖公章后生效，至本项目全部竣工验收后终止。</w:t>
      </w:r>
    </w:p>
    <w:p w14:paraId="440D068E">
      <w:pPr>
        <w:spacing w:line="400" w:lineRule="exact"/>
        <w:rPr>
          <w:rFonts w:hint="eastAsia" w:ascii="宋体" w:hAnsi="宋体" w:cs="仿宋"/>
          <w:color w:val="auto"/>
          <w:szCs w:val="21"/>
          <w:highlight w:val="none"/>
        </w:rPr>
      </w:pPr>
    </w:p>
    <w:p w14:paraId="01DFA9FB">
      <w:pPr>
        <w:spacing w:line="400" w:lineRule="exact"/>
        <w:rPr>
          <w:rFonts w:ascii="宋体" w:hAnsi="宋体" w:cs="仿宋"/>
          <w:color w:val="auto"/>
          <w:szCs w:val="21"/>
          <w:highlight w:val="none"/>
        </w:rPr>
      </w:pPr>
      <w:r>
        <w:rPr>
          <w:rFonts w:hint="eastAsia" w:ascii="宋体" w:hAnsi="宋体" w:cs="仿宋"/>
          <w:color w:val="auto"/>
          <w:szCs w:val="21"/>
          <w:highlight w:val="none"/>
        </w:rPr>
        <w:t>甲方（公章或合同专用章）：                  乙方（公章或合同专用章）：</w:t>
      </w:r>
    </w:p>
    <w:p w14:paraId="0DB27514">
      <w:pPr>
        <w:spacing w:line="400" w:lineRule="exact"/>
        <w:rPr>
          <w:rFonts w:ascii="宋体" w:hAnsi="宋体" w:cs="仿宋"/>
          <w:color w:val="auto"/>
          <w:szCs w:val="21"/>
          <w:highlight w:val="none"/>
        </w:rPr>
      </w:pPr>
      <w:r>
        <w:rPr>
          <w:rFonts w:hint="eastAsia" w:ascii="宋体" w:hAnsi="宋体" w:cs="仿宋"/>
          <w:color w:val="auto"/>
          <w:szCs w:val="21"/>
          <w:highlight w:val="none"/>
        </w:rPr>
        <w:t xml:space="preserve">                            </w:t>
      </w:r>
    </w:p>
    <w:p w14:paraId="2A91B03F">
      <w:pPr>
        <w:spacing w:line="400" w:lineRule="exact"/>
        <w:rPr>
          <w:rFonts w:hint="eastAsia" w:ascii="宋体" w:hAnsi="宋体" w:cs="仿宋"/>
          <w:color w:val="auto"/>
          <w:szCs w:val="21"/>
          <w:highlight w:val="none"/>
        </w:rPr>
      </w:pPr>
      <w:r>
        <w:rPr>
          <w:rFonts w:hint="eastAsia" w:ascii="宋体" w:hAnsi="宋体" w:cs="仿宋"/>
          <w:color w:val="auto"/>
          <w:szCs w:val="21"/>
          <w:highlight w:val="none"/>
        </w:rPr>
        <w:t xml:space="preserve">法定代表人(签字或盖章)  ：                  法定代表人  (签字或盖章)：               </w:t>
      </w:r>
    </w:p>
    <w:p w14:paraId="3EBDDB6B">
      <w:pPr>
        <w:spacing w:line="400" w:lineRule="exact"/>
        <w:rPr>
          <w:rFonts w:ascii="宋体" w:hAnsi="宋体" w:cs="仿宋"/>
          <w:color w:val="auto"/>
          <w:szCs w:val="21"/>
          <w:highlight w:val="none"/>
        </w:rPr>
      </w:pPr>
    </w:p>
    <w:p w14:paraId="297768D6">
      <w:pPr>
        <w:spacing w:line="400" w:lineRule="exact"/>
        <w:rPr>
          <w:rFonts w:ascii="宋体" w:hAnsi="宋体" w:cs="仿宋"/>
          <w:color w:val="auto"/>
          <w:szCs w:val="21"/>
          <w:highlight w:val="none"/>
        </w:rPr>
      </w:pPr>
      <w:r>
        <w:rPr>
          <w:rFonts w:hint="eastAsia" w:ascii="宋体" w:hAnsi="宋体" w:cs="仿宋"/>
          <w:color w:val="auto"/>
          <w:szCs w:val="21"/>
          <w:highlight w:val="none"/>
        </w:rPr>
        <w:t>联系人(签字)：                              联系人(签字)：</w:t>
      </w:r>
    </w:p>
    <w:p w14:paraId="686C4E96">
      <w:pPr>
        <w:spacing w:line="400" w:lineRule="exact"/>
        <w:rPr>
          <w:rFonts w:ascii="宋体" w:hAnsi="宋体" w:cs="仿宋"/>
          <w:color w:val="auto"/>
          <w:szCs w:val="21"/>
          <w:highlight w:val="none"/>
        </w:rPr>
      </w:pPr>
      <w:r>
        <w:rPr>
          <w:rFonts w:hint="eastAsia" w:ascii="宋体" w:hAnsi="宋体" w:cs="仿宋"/>
          <w:color w:val="auto"/>
          <w:szCs w:val="21"/>
          <w:highlight w:val="none"/>
        </w:rPr>
        <w:t>联系电话：                                  联系电话：</w:t>
      </w:r>
    </w:p>
    <w:p w14:paraId="5152CC50">
      <w:pPr>
        <w:spacing w:line="400" w:lineRule="exact"/>
        <w:rPr>
          <w:rFonts w:ascii="宋体" w:hAnsi="宋体" w:cs="仿宋"/>
          <w:color w:val="auto"/>
          <w:szCs w:val="21"/>
          <w:highlight w:val="none"/>
        </w:rPr>
      </w:pPr>
      <w:r>
        <w:rPr>
          <w:rFonts w:hint="eastAsia" w:ascii="宋体" w:hAnsi="宋体" w:cs="仿宋"/>
          <w:color w:val="auto"/>
          <w:szCs w:val="21"/>
          <w:highlight w:val="none"/>
        </w:rPr>
        <w:t>地址：                                      地址：</w:t>
      </w:r>
    </w:p>
    <w:p w14:paraId="43843E08">
      <w:pPr>
        <w:spacing w:line="400" w:lineRule="exact"/>
        <w:rPr>
          <w:rFonts w:hint="eastAsia" w:ascii="宋体" w:hAnsi="宋体" w:cs="仿宋"/>
          <w:color w:val="auto"/>
          <w:szCs w:val="21"/>
          <w:highlight w:val="none"/>
        </w:rPr>
      </w:pPr>
      <w:r>
        <w:rPr>
          <w:rFonts w:hint="eastAsia" w:ascii="宋体" w:hAnsi="宋体" w:cs="仿宋"/>
          <w:color w:val="auto"/>
          <w:szCs w:val="21"/>
          <w:highlight w:val="none"/>
        </w:rPr>
        <w:t>日期：      年  月   日                     日期：      年  月   日</w:t>
      </w:r>
    </w:p>
    <w:p w14:paraId="4D2392A5">
      <w:pPr>
        <w:numPr>
          <w:ilvl w:val="-1"/>
          <w:numId w:val="0"/>
        </w:numPr>
        <w:spacing w:line="360" w:lineRule="auto"/>
        <w:ind w:firstLine="0" w:firstLineChars="0"/>
        <w:rPr>
          <w:rFonts w:hint="eastAsia" w:ascii="宋体" w:hAnsi="宋体"/>
          <w:color w:val="auto"/>
          <w:sz w:val="22"/>
          <w:szCs w:val="22"/>
          <w:highlight w:val="none"/>
        </w:rPr>
      </w:pPr>
    </w:p>
    <w:p w14:paraId="765290DD">
      <w:pPr>
        <w:outlineLvl w:val="9"/>
        <w:rPr>
          <w:rFonts w:hint="eastAsia"/>
          <w:color w:val="auto"/>
          <w:highlight w:val="none"/>
        </w:rPr>
      </w:pPr>
      <w:bookmarkStart w:id="103" w:name="_Toc25289"/>
    </w:p>
    <w:p w14:paraId="36A83F66">
      <w:pPr>
        <w:rPr>
          <w:rFonts w:hint="eastAsia"/>
          <w:color w:val="auto"/>
          <w:highlight w:val="none"/>
        </w:rPr>
      </w:pPr>
      <w:r>
        <w:rPr>
          <w:rFonts w:hint="eastAsia"/>
          <w:color w:val="auto"/>
          <w:highlight w:val="none"/>
        </w:rPr>
        <w:br w:type="page"/>
      </w:r>
    </w:p>
    <w:p w14:paraId="4CEB94A8">
      <w:pPr>
        <w:pStyle w:val="2"/>
        <w:ind w:firstLine="1767" w:firstLineChars="400"/>
        <w:jc w:val="both"/>
        <w:rPr>
          <w:rFonts w:hint="eastAsia" w:eastAsia="宋体"/>
          <w:color w:val="auto"/>
          <w:highlight w:val="none"/>
          <w:lang w:eastAsia="zh-CN"/>
        </w:rPr>
      </w:pPr>
      <w:r>
        <w:rPr>
          <w:rFonts w:hint="eastAsia"/>
          <w:color w:val="auto"/>
          <w:highlight w:val="none"/>
        </w:rPr>
        <w:t>第六章　投标文件格式</w:t>
      </w:r>
      <w:bookmarkEnd w:id="103"/>
    </w:p>
    <w:p w14:paraId="4ED8B1CF">
      <w:pPr>
        <w:outlineLvl w:val="1"/>
        <w:rPr>
          <w:rFonts w:hint="eastAsia"/>
          <w:b/>
          <w:color w:val="auto"/>
          <w:sz w:val="28"/>
          <w:szCs w:val="28"/>
          <w:highlight w:val="none"/>
        </w:rPr>
      </w:pPr>
      <w:r>
        <w:rPr>
          <w:rFonts w:hint="eastAsia"/>
          <w:b/>
          <w:color w:val="auto"/>
          <w:sz w:val="28"/>
          <w:szCs w:val="28"/>
          <w:highlight w:val="none"/>
        </w:rPr>
        <w:t>一、报价文件格式</w:t>
      </w:r>
    </w:p>
    <w:p w14:paraId="6A0E3149">
      <w:pPr>
        <w:snapToGrid w:val="0"/>
        <w:spacing w:before="120" w:beforeLines="50" w:after="50" w:line="360" w:lineRule="auto"/>
        <w:ind w:left="142"/>
        <w:jc w:val="left"/>
        <w:outlineLvl w:val="2"/>
        <w:rPr>
          <w:rFonts w:hint="eastAsia" w:ascii="宋体" w:hAnsi="宋体" w:eastAsia="宋体"/>
          <w:color w:val="auto"/>
          <w:sz w:val="24"/>
          <w:szCs w:val="20"/>
          <w:highlight w:val="none"/>
          <w:lang w:eastAsia="zh-CN"/>
        </w:rPr>
      </w:pPr>
      <w:r>
        <w:rPr>
          <w:rFonts w:hint="eastAsia" w:ascii="宋体" w:hAnsi="宋体"/>
          <w:b/>
          <w:color w:val="auto"/>
          <w:sz w:val="24"/>
          <w:highlight w:val="none"/>
        </w:rPr>
        <w:t>1.报价文件封面格式：</w:t>
      </w:r>
    </w:p>
    <w:p w14:paraId="6D37496F">
      <w:pPr>
        <w:tabs>
          <w:tab w:val="left" w:pos="1470"/>
        </w:tabs>
        <w:snapToGrid w:val="0"/>
        <w:spacing w:before="120" w:beforeLines="50" w:after="50" w:line="360" w:lineRule="auto"/>
        <w:ind w:left="142"/>
        <w:jc w:val="center"/>
        <w:rPr>
          <w:rFonts w:hint="eastAsia"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3B9CB6ED">
      <w:pPr>
        <w:snapToGrid w:val="0"/>
        <w:spacing w:before="120" w:beforeLines="50" w:after="50" w:line="400" w:lineRule="exact"/>
        <w:rPr>
          <w:rFonts w:hint="eastAsia" w:ascii="宋体" w:hAnsi="宋体" w:eastAsia="宋体"/>
          <w:bCs/>
          <w:color w:val="auto"/>
          <w:sz w:val="32"/>
          <w:szCs w:val="20"/>
          <w:highlight w:val="none"/>
          <w:lang w:eastAsia="zh-CN"/>
        </w:rPr>
      </w:pPr>
    </w:p>
    <w:p w14:paraId="48DEBC81">
      <w:pPr>
        <w:snapToGrid w:val="0"/>
        <w:spacing w:before="120" w:beforeLines="50" w:after="50" w:line="400" w:lineRule="exact"/>
        <w:jc w:val="center"/>
        <w:rPr>
          <w:rFonts w:hint="eastAsia" w:ascii="宋体" w:hAnsi="宋体"/>
          <w:bCs/>
          <w:color w:val="auto"/>
          <w:sz w:val="24"/>
          <w:szCs w:val="20"/>
          <w:highlight w:val="none"/>
        </w:rPr>
      </w:pPr>
    </w:p>
    <w:p w14:paraId="60DC2C5B">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报价文件</w:t>
      </w:r>
    </w:p>
    <w:p w14:paraId="168DDE0C">
      <w:pPr>
        <w:snapToGrid w:val="0"/>
        <w:spacing w:before="120" w:beforeLines="50" w:after="50" w:line="400" w:lineRule="exact"/>
        <w:rPr>
          <w:rFonts w:hint="eastAsia" w:ascii="宋体" w:hAnsi="宋体"/>
          <w:bCs/>
          <w:color w:val="auto"/>
          <w:sz w:val="24"/>
          <w:szCs w:val="20"/>
          <w:highlight w:val="none"/>
        </w:rPr>
      </w:pPr>
    </w:p>
    <w:p w14:paraId="69548967">
      <w:pPr>
        <w:snapToGrid w:val="0"/>
        <w:spacing w:before="120" w:beforeLines="50" w:after="50" w:line="400" w:lineRule="exact"/>
        <w:rPr>
          <w:rFonts w:hint="eastAsia" w:ascii="宋体" w:hAnsi="宋体"/>
          <w:bCs/>
          <w:color w:val="auto"/>
          <w:sz w:val="24"/>
          <w:szCs w:val="20"/>
          <w:highlight w:val="none"/>
        </w:rPr>
      </w:pPr>
    </w:p>
    <w:p w14:paraId="2B5A169F">
      <w:pPr>
        <w:snapToGrid w:val="0"/>
        <w:spacing w:before="120" w:beforeLines="50" w:after="50" w:line="400" w:lineRule="exact"/>
        <w:rPr>
          <w:rFonts w:hint="eastAsia" w:ascii="宋体" w:hAnsi="宋体"/>
          <w:bCs/>
          <w:color w:val="auto"/>
          <w:sz w:val="24"/>
          <w:szCs w:val="20"/>
          <w:highlight w:val="none"/>
        </w:rPr>
      </w:pPr>
    </w:p>
    <w:p w14:paraId="3CFFA000">
      <w:pPr>
        <w:snapToGrid w:val="0"/>
        <w:spacing w:before="120" w:beforeLines="50" w:after="50" w:line="400" w:lineRule="exact"/>
        <w:rPr>
          <w:rFonts w:hint="eastAsia" w:ascii="宋体" w:hAnsi="宋体"/>
          <w:bCs/>
          <w:color w:val="auto"/>
          <w:sz w:val="24"/>
          <w:szCs w:val="20"/>
          <w:highlight w:val="none"/>
        </w:rPr>
      </w:pPr>
    </w:p>
    <w:p w14:paraId="15E503A8">
      <w:pPr>
        <w:snapToGrid w:val="0"/>
        <w:spacing w:before="120" w:beforeLines="50" w:after="50" w:line="400" w:lineRule="exact"/>
        <w:ind w:firstLine="360" w:firstLineChars="150"/>
        <w:rPr>
          <w:rFonts w:hint="eastAsia" w:ascii="宋体" w:hAnsi="宋体" w:eastAsia="宋体"/>
          <w:bCs/>
          <w:color w:val="auto"/>
          <w:sz w:val="24"/>
          <w:highlight w:val="none"/>
          <w:lang w:eastAsia="zh-CN"/>
        </w:rPr>
      </w:pPr>
      <w:r>
        <w:rPr>
          <w:rFonts w:hint="eastAsia" w:ascii="宋体" w:hAnsi="宋体"/>
          <w:bCs/>
          <w:color w:val="auto"/>
          <w:sz w:val="24"/>
          <w:highlight w:val="none"/>
        </w:rPr>
        <w:t>项目名称：</w:t>
      </w:r>
    </w:p>
    <w:p w14:paraId="23CCB7F8">
      <w:pPr>
        <w:snapToGrid w:val="0"/>
        <w:spacing w:before="120" w:beforeLines="50" w:after="50" w:line="400" w:lineRule="exact"/>
        <w:ind w:firstLine="360" w:firstLineChars="150"/>
        <w:rPr>
          <w:rFonts w:hint="eastAsia" w:ascii="宋体" w:hAnsi="宋体"/>
          <w:bCs/>
          <w:color w:val="auto"/>
          <w:sz w:val="24"/>
          <w:highlight w:val="none"/>
        </w:rPr>
      </w:pPr>
    </w:p>
    <w:p w14:paraId="0BDC5AA5">
      <w:pPr>
        <w:snapToGrid w:val="0"/>
        <w:spacing w:before="120" w:beforeLines="50" w:after="50" w:line="400" w:lineRule="exact"/>
        <w:ind w:firstLine="360" w:firstLineChars="150"/>
        <w:rPr>
          <w:rFonts w:hint="eastAsia" w:ascii="宋体" w:hAnsi="宋体" w:eastAsia="宋体"/>
          <w:bCs/>
          <w:color w:val="auto"/>
          <w:sz w:val="24"/>
          <w:highlight w:val="none"/>
          <w:lang w:eastAsia="zh-CN"/>
        </w:rPr>
      </w:pPr>
      <w:r>
        <w:rPr>
          <w:rFonts w:hint="eastAsia" w:ascii="宋体" w:hAnsi="宋体"/>
          <w:bCs/>
          <w:color w:val="auto"/>
          <w:sz w:val="24"/>
          <w:highlight w:val="none"/>
        </w:rPr>
        <w:t>项目编号：</w:t>
      </w:r>
    </w:p>
    <w:p w14:paraId="5D61DB06">
      <w:pPr>
        <w:snapToGrid w:val="0"/>
        <w:spacing w:before="120" w:beforeLines="50" w:after="50" w:line="400" w:lineRule="exact"/>
        <w:ind w:firstLine="360" w:firstLineChars="150"/>
        <w:rPr>
          <w:rFonts w:hint="eastAsia" w:ascii="宋体" w:hAnsi="宋体"/>
          <w:bCs/>
          <w:color w:val="auto"/>
          <w:sz w:val="24"/>
          <w:highlight w:val="none"/>
        </w:rPr>
      </w:pPr>
    </w:p>
    <w:p w14:paraId="6CA7508F">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所投分标：</w:t>
      </w:r>
    </w:p>
    <w:p w14:paraId="06BD39D8">
      <w:pPr>
        <w:snapToGrid w:val="0"/>
        <w:spacing w:before="120" w:beforeLines="50" w:after="50" w:line="400" w:lineRule="exact"/>
        <w:ind w:firstLine="360" w:firstLineChars="150"/>
        <w:rPr>
          <w:rFonts w:hint="eastAsia" w:ascii="宋体" w:hAnsi="宋体"/>
          <w:bCs/>
          <w:color w:val="auto"/>
          <w:sz w:val="24"/>
          <w:highlight w:val="none"/>
        </w:rPr>
      </w:pPr>
    </w:p>
    <w:p w14:paraId="3904ACA1">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3CF910DF">
      <w:pPr>
        <w:snapToGrid w:val="0"/>
        <w:spacing w:before="120" w:beforeLines="50" w:after="50" w:line="400" w:lineRule="exact"/>
        <w:ind w:firstLine="360" w:firstLineChars="150"/>
        <w:rPr>
          <w:rFonts w:hint="eastAsia" w:ascii="宋体" w:hAnsi="宋体"/>
          <w:bCs/>
          <w:color w:val="auto"/>
          <w:sz w:val="24"/>
          <w:highlight w:val="none"/>
        </w:rPr>
      </w:pPr>
    </w:p>
    <w:p w14:paraId="2961ECE3">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4BB17578">
      <w:pPr>
        <w:pStyle w:val="6"/>
        <w:snapToGrid w:val="0"/>
        <w:spacing w:before="50" w:after="50" w:line="400" w:lineRule="exact"/>
        <w:ind w:firstLine="960" w:firstLineChars="400"/>
        <w:rPr>
          <w:rFonts w:hint="eastAsia" w:ascii="宋体" w:hAnsi="宋体"/>
          <w:bCs/>
          <w:color w:val="auto"/>
          <w:sz w:val="24"/>
          <w:szCs w:val="24"/>
          <w:highlight w:val="none"/>
        </w:rPr>
      </w:pPr>
    </w:p>
    <w:p w14:paraId="73855F13">
      <w:pPr>
        <w:snapToGrid w:val="0"/>
        <w:spacing w:before="120" w:beforeLines="50" w:after="50" w:line="400" w:lineRule="exact"/>
        <w:ind w:firstLine="480" w:firstLineChars="200"/>
        <w:rPr>
          <w:rFonts w:hint="eastAsia" w:ascii="宋体" w:hAnsi="宋体"/>
          <w:color w:val="auto"/>
          <w:sz w:val="30"/>
          <w:szCs w:val="20"/>
          <w:highlight w:val="none"/>
        </w:rPr>
      </w:pPr>
      <w:r>
        <w:rPr>
          <w:rFonts w:hint="eastAsia" w:ascii="宋体" w:hAnsi="宋体"/>
          <w:color w:val="auto"/>
          <w:sz w:val="24"/>
          <w:highlight w:val="none"/>
        </w:rPr>
        <w:t>年月日</w:t>
      </w:r>
    </w:p>
    <w:p w14:paraId="092D181C">
      <w:pPr>
        <w:snapToGrid w:val="0"/>
        <w:spacing w:before="120" w:beforeLines="50" w:after="50" w:line="360" w:lineRule="auto"/>
        <w:jc w:val="left"/>
        <w:outlineLvl w:val="2"/>
        <w:rPr>
          <w:rFonts w:hint="eastAsia" w:ascii="宋体" w:hAnsi="宋体"/>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13EEF556">
      <w:pPr>
        <w:snapToGrid w:val="0"/>
        <w:spacing w:before="50" w:after="120" w:afterLines="5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4DBC02A8">
      <w:pPr>
        <w:snapToGrid w:val="0"/>
        <w:spacing w:before="120" w:beforeLines="50" w:after="50"/>
        <w:rPr>
          <w:rFonts w:hint="eastAsia" w:ascii="宋体" w:hAnsi="宋体"/>
          <w:b/>
          <w:color w:val="auto"/>
          <w:sz w:val="24"/>
          <w:highlight w:val="none"/>
        </w:rPr>
      </w:pPr>
    </w:p>
    <w:p w14:paraId="5DE7F87B">
      <w:pPr>
        <w:snapToGrid w:val="0"/>
        <w:spacing w:before="120" w:beforeLines="50" w:after="50"/>
        <w:rPr>
          <w:rFonts w:hint="eastAsia" w:ascii="宋体" w:hAnsi="宋体"/>
          <w:b/>
          <w:color w:val="auto"/>
          <w:sz w:val="24"/>
          <w:highlight w:val="none"/>
        </w:rPr>
      </w:pPr>
    </w:p>
    <w:p w14:paraId="6958E663">
      <w:pPr>
        <w:snapToGrid w:val="0"/>
        <w:spacing w:before="120" w:beforeLines="50" w:after="50"/>
        <w:rPr>
          <w:rFonts w:hint="eastAsia" w:ascii="宋体" w:hAnsi="宋体"/>
          <w:b/>
          <w:color w:val="auto"/>
          <w:sz w:val="24"/>
          <w:highlight w:val="none"/>
        </w:rPr>
      </w:pPr>
    </w:p>
    <w:p w14:paraId="5728B80C">
      <w:pPr>
        <w:snapToGrid w:val="0"/>
        <w:spacing w:before="120" w:beforeLines="50" w:after="50"/>
        <w:rPr>
          <w:rFonts w:hint="eastAsia" w:ascii="宋体" w:hAnsi="宋体"/>
          <w:b/>
          <w:color w:val="auto"/>
          <w:sz w:val="24"/>
          <w:highlight w:val="none"/>
        </w:rPr>
      </w:pPr>
    </w:p>
    <w:p w14:paraId="2B44F9DE">
      <w:pPr>
        <w:snapToGrid w:val="0"/>
        <w:spacing w:before="120" w:beforeLines="50" w:after="50"/>
        <w:rPr>
          <w:rFonts w:hint="eastAsia" w:ascii="宋体" w:hAnsi="宋体"/>
          <w:b/>
          <w:color w:val="auto"/>
          <w:sz w:val="24"/>
          <w:highlight w:val="none"/>
        </w:rPr>
      </w:pPr>
    </w:p>
    <w:p w14:paraId="6792BB36">
      <w:pPr>
        <w:snapToGrid w:val="0"/>
        <w:spacing w:before="120" w:beforeLines="50" w:after="50"/>
        <w:rPr>
          <w:rFonts w:hint="eastAsia" w:ascii="宋体" w:hAnsi="宋体"/>
          <w:b/>
          <w:color w:val="auto"/>
          <w:sz w:val="24"/>
          <w:highlight w:val="none"/>
        </w:rPr>
      </w:pPr>
    </w:p>
    <w:p w14:paraId="6057B874">
      <w:pPr>
        <w:snapToGrid w:val="0"/>
        <w:spacing w:before="120" w:beforeLines="50" w:after="50"/>
        <w:rPr>
          <w:rFonts w:hint="eastAsia" w:ascii="宋体" w:hAnsi="宋体"/>
          <w:b/>
          <w:color w:val="auto"/>
          <w:sz w:val="24"/>
          <w:highlight w:val="none"/>
        </w:rPr>
      </w:pPr>
    </w:p>
    <w:p w14:paraId="628D55ED">
      <w:pPr>
        <w:snapToGrid w:val="0"/>
        <w:spacing w:before="120" w:beforeLines="50" w:after="50"/>
        <w:rPr>
          <w:rFonts w:hint="eastAsia" w:ascii="宋体" w:hAnsi="宋体"/>
          <w:b/>
          <w:color w:val="auto"/>
          <w:sz w:val="24"/>
          <w:highlight w:val="none"/>
        </w:rPr>
      </w:pPr>
    </w:p>
    <w:p w14:paraId="26A8C9FB">
      <w:pPr>
        <w:snapToGrid w:val="0"/>
        <w:spacing w:before="120" w:beforeLines="50" w:after="50"/>
        <w:rPr>
          <w:rFonts w:hint="eastAsia" w:ascii="宋体" w:hAnsi="宋体"/>
          <w:b/>
          <w:color w:val="auto"/>
          <w:sz w:val="24"/>
          <w:highlight w:val="none"/>
        </w:rPr>
      </w:pPr>
    </w:p>
    <w:p w14:paraId="4A942782">
      <w:pPr>
        <w:snapToGrid w:val="0"/>
        <w:spacing w:before="120" w:beforeLines="50" w:after="50"/>
        <w:rPr>
          <w:rFonts w:hint="eastAsia" w:ascii="宋体" w:hAnsi="宋体"/>
          <w:b/>
          <w:color w:val="auto"/>
          <w:sz w:val="24"/>
          <w:highlight w:val="none"/>
        </w:rPr>
      </w:pPr>
    </w:p>
    <w:p w14:paraId="6C237A71">
      <w:pPr>
        <w:snapToGrid w:val="0"/>
        <w:spacing w:before="120" w:beforeLines="50" w:after="50"/>
        <w:rPr>
          <w:rFonts w:hint="eastAsia" w:ascii="宋体" w:hAnsi="宋体"/>
          <w:b/>
          <w:color w:val="auto"/>
          <w:sz w:val="24"/>
          <w:highlight w:val="none"/>
        </w:rPr>
      </w:pPr>
    </w:p>
    <w:p w14:paraId="6F4A12B9">
      <w:pPr>
        <w:snapToGrid w:val="0"/>
        <w:spacing w:before="120" w:beforeLines="50" w:after="50"/>
        <w:rPr>
          <w:rFonts w:hint="eastAsia" w:ascii="宋体" w:hAnsi="宋体"/>
          <w:b/>
          <w:color w:val="auto"/>
          <w:sz w:val="24"/>
          <w:highlight w:val="none"/>
        </w:rPr>
      </w:pPr>
    </w:p>
    <w:p w14:paraId="0457538B">
      <w:pPr>
        <w:snapToGrid w:val="0"/>
        <w:spacing w:before="120" w:beforeLines="50" w:after="50"/>
        <w:rPr>
          <w:rFonts w:hint="eastAsia" w:ascii="宋体" w:hAnsi="宋体"/>
          <w:b/>
          <w:color w:val="auto"/>
          <w:sz w:val="24"/>
          <w:highlight w:val="none"/>
        </w:rPr>
      </w:pPr>
    </w:p>
    <w:p w14:paraId="37AF04D0">
      <w:pPr>
        <w:snapToGrid w:val="0"/>
        <w:spacing w:before="120" w:beforeLines="50" w:after="50"/>
        <w:rPr>
          <w:rFonts w:hint="eastAsia" w:ascii="宋体" w:hAnsi="宋体"/>
          <w:b/>
          <w:color w:val="auto"/>
          <w:sz w:val="24"/>
          <w:highlight w:val="none"/>
        </w:rPr>
      </w:pPr>
    </w:p>
    <w:p w14:paraId="6F156840">
      <w:pPr>
        <w:snapToGrid w:val="0"/>
        <w:spacing w:before="120" w:beforeLines="50" w:after="50"/>
        <w:rPr>
          <w:rFonts w:hint="eastAsia" w:ascii="宋体" w:hAnsi="宋体"/>
          <w:b/>
          <w:color w:val="auto"/>
          <w:sz w:val="24"/>
          <w:highlight w:val="none"/>
        </w:rPr>
      </w:pPr>
    </w:p>
    <w:p w14:paraId="08026A40">
      <w:pPr>
        <w:snapToGrid w:val="0"/>
        <w:spacing w:before="120" w:beforeLines="50" w:after="50"/>
        <w:rPr>
          <w:rFonts w:hint="eastAsia" w:ascii="宋体" w:hAnsi="宋体"/>
          <w:b/>
          <w:color w:val="auto"/>
          <w:sz w:val="24"/>
          <w:highlight w:val="none"/>
        </w:rPr>
      </w:pPr>
    </w:p>
    <w:p w14:paraId="09CFFC18">
      <w:pPr>
        <w:snapToGrid w:val="0"/>
        <w:spacing w:before="120" w:beforeLines="50" w:after="50"/>
        <w:rPr>
          <w:rFonts w:hint="eastAsia" w:ascii="宋体" w:hAnsi="宋体"/>
          <w:b/>
          <w:color w:val="auto"/>
          <w:sz w:val="24"/>
          <w:highlight w:val="none"/>
        </w:rPr>
      </w:pPr>
    </w:p>
    <w:p w14:paraId="7932FE7E">
      <w:pPr>
        <w:snapToGrid w:val="0"/>
        <w:spacing w:before="120" w:beforeLines="50" w:after="50"/>
        <w:rPr>
          <w:rFonts w:hint="eastAsia" w:ascii="宋体" w:hAnsi="宋体"/>
          <w:b/>
          <w:color w:val="auto"/>
          <w:sz w:val="24"/>
          <w:highlight w:val="none"/>
        </w:rPr>
      </w:pPr>
    </w:p>
    <w:p w14:paraId="1B59A867">
      <w:pPr>
        <w:snapToGrid w:val="0"/>
        <w:spacing w:before="120" w:beforeLines="50" w:after="50"/>
        <w:rPr>
          <w:rFonts w:hint="eastAsia" w:ascii="宋体" w:hAnsi="宋体"/>
          <w:b/>
          <w:color w:val="auto"/>
          <w:sz w:val="24"/>
          <w:highlight w:val="none"/>
        </w:rPr>
      </w:pPr>
    </w:p>
    <w:p w14:paraId="0EF3E368">
      <w:pPr>
        <w:snapToGrid w:val="0"/>
        <w:spacing w:before="120" w:beforeLines="50" w:after="50"/>
        <w:rPr>
          <w:rFonts w:hint="eastAsia" w:ascii="宋体" w:hAnsi="宋体"/>
          <w:b/>
          <w:color w:val="auto"/>
          <w:sz w:val="24"/>
          <w:highlight w:val="none"/>
        </w:rPr>
      </w:pPr>
    </w:p>
    <w:p w14:paraId="7CBCF5BE">
      <w:pPr>
        <w:snapToGrid w:val="0"/>
        <w:spacing w:before="120" w:beforeLines="50" w:after="50"/>
        <w:rPr>
          <w:rFonts w:hint="eastAsia" w:ascii="宋体" w:hAnsi="宋体"/>
          <w:b/>
          <w:color w:val="auto"/>
          <w:sz w:val="24"/>
          <w:highlight w:val="none"/>
        </w:rPr>
      </w:pPr>
    </w:p>
    <w:p w14:paraId="53B41C33">
      <w:pPr>
        <w:snapToGrid w:val="0"/>
        <w:spacing w:before="120" w:beforeLines="50" w:after="50"/>
        <w:rPr>
          <w:rFonts w:hint="eastAsia" w:ascii="宋体" w:hAnsi="宋体"/>
          <w:b/>
          <w:color w:val="auto"/>
          <w:sz w:val="24"/>
          <w:highlight w:val="none"/>
        </w:rPr>
      </w:pPr>
    </w:p>
    <w:p w14:paraId="123E7722">
      <w:pPr>
        <w:snapToGrid w:val="0"/>
        <w:spacing w:before="120" w:beforeLines="50" w:after="50"/>
        <w:rPr>
          <w:rFonts w:hint="eastAsia" w:ascii="宋体" w:hAnsi="宋体"/>
          <w:b/>
          <w:color w:val="auto"/>
          <w:sz w:val="24"/>
          <w:highlight w:val="none"/>
        </w:rPr>
      </w:pPr>
    </w:p>
    <w:p w14:paraId="46BA3CE0">
      <w:pPr>
        <w:snapToGrid w:val="0"/>
        <w:spacing w:before="120" w:beforeLines="50" w:after="50"/>
        <w:rPr>
          <w:rFonts w:hint="eastAsia" w:ascii="宋体" w:hAnsi="宋体"/>
          <w:b/>
          <w:color w:val="auto"/>
          <w:sz w:val="24"/>
          <w:highlight w:val="none"/>
        </w:rPr>
      </w:pPr>
    </w:p>
    <w:p w14:paraId="58322A70">
      <w:pPr>
        <w:snapToGrid w:val="0"/>
        <w:spacing w:before="120" w:beforeLines="50" w:after="50"/>
        <w:rPr>
          <w:rFonts w:hint="eastAsia" w:ascii="宋体" w:hAnsi="宋体"/>
          <w:b/>
          <w:color w:val="auto"/>
          <w:sz w:val="24"/>
          <w:highlight w:val="none"/>
        </w:rPr>
      </w:pPr>
    </w:p>
    <w:p w14:paraId="1B59250D">
      <w:pPr>
        <w:snapToGrid w:val="0"/>
        <w:spacing w:before="120" w:beforeLines="50" w:after="50"/>
        <w:rPr>
          <w:rFonts w:hint="eastAsia" w:ascii="宋体" w:hAnsi="宋体"/>
          <w:b/>
          <w:color w:val="auto"/>
          <w:sz w:val="24"/>
          <w:highlight w:val="none"/>
        </w:rPr>
      </w:pPr>
    </w:p>
    <w:p w14:paraId="5342810B">
      <w:pPr>
        <w:snapToGrid w:val="0"/>
        <w:spacing w:before="120" w:beforeLines="50" w:after="50"/>
        <w:rPr>
          <w:rFonts w:hint="eastAsia" w:ascii="宋体" w:hAnsi="宋体"/>
          <w:b/>
          <w:color w:val="auto"/>
          <w:sz w:val="24"/>
          <w:highlight w:val="none"/>
        </w:rPr>
      </w:pPr>
    </w:p>
    <w:p w14:paraId="5B1533A7">
      <w:pPr>
        <w:snapToGrid w:val="0"/>
        <w:spacing w:before="120" w:beforeLines="50" w:after="50"/>
        <w:rPr>
          <w:rFonts w:hint="eastAsia" w:ascii="宋体" w:hAnsi="宋体"/>
          <w:b/>
          <w:color w:val="auto"/>
          <w:sz w:val="24"/>
          <w:highlight w:val="none"/>
        </w:rPr>
      </w:pPr>
    </w:p>
    <w:p w14:paraId="18B37783">
      <w:pPr>
        <w:snapToGrid w:val="0"/>
        <w:spacing w:before="120" w:beforeLines="50" w:after="50"/>
        <w:rPr>
          <w:rFonts w:hint="eastAsia" w:ascii="宋体" w:hAnsi="宋体"/>
          <w:b/>
          <w:color w:val="auto"/>
          <w:sz w:val="24"/>
          <w:highlight w:val="none"/>
        </w:rPr>
      </w:pPr>
    </w:p>
    <w:p w14:paraId="4129B2DE">
      <w:pPr>
        <w:snapToGrid w:val="0"/>
        <w:spacing w:before="120" w:beforeLines="50" w:after="50"/>
        <w:rPr>
          <w:rFonts w:hint="eastAsia" w:ascii="宋体" w:hAnsi="宋体"/>
          <w:b/>
          <w:color w:val="auto"/>
          <w:sz w:val="24"/>
          <w:highlight w:val="none"/>
        </w:rPr>
      </w:pPr>
    </w:p>
    <w:p w14:paraId="4BB1DB65">
      <w:pPr>
        <w:snapToGrid w:val="0"/>
        <w:spacing w:before="120" w:beforeLines="50" w:after="50"/>
        <w:jc w:val="left"/>
        <w:outlineLvl w:val="2"/>
        <w:rPr>
          <w:rFonts w:hint="eastAsia" w:ascii="宋体" w:hAnsi="宋体"/>
          <w:b/>
          <w:color w:val="auto"/>
          <w:sz w:val="24"/>
          <w:highlight w:val="none"/>
        </w:rPr>
      </w:pPr>
      <w:r>
        <w:rPr>
          <w:rFonts w:hint="eastAsia" w:ascii="宋体" w:hAnsi="宋体"/>
          <w:b/>
          <w:color w:val="auto"/>
          <w:sz w:val="24"/>
          <w:highlight w:val="none"/>
          <w:lang w:val="en-US" w:eastAsia="zh-CN"/>
        </w:rPr>
        <w:t>3</w:t>
      </w:r>
      <w:r>
        <w:rPr>
          <w:rFonts w:hint="eastAsia" w:ascii="宋体" w:hAnsi="宋体"/>
          <w:b/>
          <w:color w:val="auto"/>
          <w:sz w:val="24"/>
          <w:highlight w:val="none"/>
        </w:rPr>
        <w:t>.投标函格式：</w:t>
      </w:r>
    </w:p>
    <w:p w14:paraId="02F30B3F">
      <w:pPr>
        <w:snapToGrid w:val="0"/>
        <w:spacing w:before="120" w:beforeLines="50" w:after="50"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投标函</w:t>
      </w:r>
    </w:p>
    <w:p w14:paraId="69BD41FD">
      <w:pPr>
        <w:snapToGrid w:val="0"/>
        <w:spacing w:before="120" w:beforeLines="50" w:after="50" w:line="320" w:lineRule="exact"/>
        <w:jc w:val="center"/>
        <w:rPr>
          <w:rFonts w:ascii="宋体" w:hAnsi="宋体"/>
          <w:b/>
          <w:color w:val="auto"/>
          <w:sz w:val="24"/>
          <w:szCs w:val="20"/>
          <w:highlight w:val="none"/>
        </w:rPr>
      </w:pPr>
    </w:p>
    <w:p w14:paraId="1B2C5DC5">
      <w:pPr>
        <w:snapToGrid w:val="0"/>
        <w:spacing w:before="120" w:beforeLines="50" w:after="50" w:line="320" w:lineRule="exact"/>
        <w:jc w:val="center"/>
        <w:rPr>
          <w:rFonts w:ascii="宋体" w:hAnsi="宋体"/>
          <w:b/>
          <w:color w:val="auto"/>
          <w:sz w:val="24"/>
          <w:szCs w:val="20"/>
          <w:highlight w:val="none"/>
        </w:rPr>
      </w:pPr>
    </w:p>
    <w:p w14:paraId="22A90A53">
      <w:pPr>
        <w:snapToGrid w:val="0"/>
        <w:spacing w:before="120" w:beforeLines="50" w:after="50" w:line="320" w:lineRule="exact"/>
        <w:jc w:val="center"/>
        <w:rPr>
          <w:rFonts w:hint="eastAsia" w:ascii="宋体" w:hAnsi="宋体"/>
          <w:b/>
          <w:color w:val="auto"/>
          <w:sz w:val="24"/>
          <w:szCs w:val="20"/>
          <w:highlight w:val="none"/>
        </w:rPr>
      </w:pPr>
    </w:p>
    <w:p w14:paraId="4260F23F">
      <w:pPr>
        <w:snapToGrid w:val="0"/>
        <w:spacing w:line="360" w:lineRule="auto"/>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3E34CDBC">
      <w:pPr>
        <w:snapToGrid w:val="0"/>
        <w:spacing w:line="360" w:lineRule="auto"/>
        <w:ind w:firstLine="480"/>
        <w:rPr>
          <w:rFonts w:hint="eastAsia"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项目名称</w:t>
      </w:r>
      <w:r>
        <w:rPr>
          <w:rFonts w:hint="eastAsia" w:ascii="宋体" w:hAnsi="宋体"/>
          <w:color w:val="auto"/>
          <w:sz w:val="24"/>
          <w:highlight w:val="none"/>
        </w:rPr>
        <w:t>（项目编号：）的招标公告，签字代表______（姓名）经正式授权并代表投标人（投标人名称）提交投标文件。</w:t>
      </w:r>
    </w:p>
    <w:p w14:paraId="5E9E4693">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据此函，我方宣布同意如下：</w:t>
      </w:r>
    </w:p>
    <w:p w14:paraId="5AE77663">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2D5D3CFC">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6EEEADD0">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3.本投标有效期自投标截止之日起日。</w:t>
      </w:r>
    </w:p>
    <w:p w14:paraId="4C1963BB">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2EBCC686">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193B5C4C">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6FC6628D">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7BDBFAD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56AE99E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内容中</w:t>
      </w:r>
      <w:r>
        <w:rPr>
          <w:rFonts w:hint="eastAsia" w:ascii="宋体" w:hAnsi="宋体"/>
          <w:color w:val="auto"/>
          <w:sz w:val="24"/>
          <w:highlight w:val="none"/>
        </w:rPr>
        <w:t>未</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w:t>
      </w:r>
    </w:p>
    <w:p w14:paraId="754FF5CF">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的</w:t>
      </w:r>
      <w:r>
        <w:rPr>
          <w:rFonts w:ascii="宋体" w:hAnsi="宋体" w:cs="宋体"/>
          <w:color w:val="auto"/>
          <w:kern w:val="0"/>
          <w:sz w:val="24"/>
          <w:highlight w:val="none"/>
        </w:rPr>
        <w:t>内容</w:t>
      </w:r>
      <w:r>
        <w:rPr>
          <w:rFonts w:hint="eastAsia" w:ascii="宋体" w:hAnsi="宋体" w:cs="宋体"/>
          <w:color w:val="auto"/>
          <w:kern w:val="0"/>
          <w:sz w:val="24"/>
          <w:highlight w:val="none"/>
        </w:rPr>
        <w:t>有：；</w:t>
      </w:r>
    </w:p>
    <w:p w14:paraId="187DCA0D">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9.与本投标有关的一切正式往来信函请寄：</w:t>
      </w:r>
    </w:p>
    <w:p w14:paraId="4297B621">
      <w:pPr>
        <w:snapToGri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地址：邮编：</w:t>
      </w:r>
    </w:p>
    <w:p w14:paraId="09966B22">
      <w:pPr>
        <w:snapToGri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电话：传真：电子邮箱：</w:t>
      </w:r>
    </w:p>
    <w:p w14:paraId="7FE51816">
      <w:pPr>
        <w:snapToGri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投标人名称:</w:t>
      </w:r>
    </w:p>
    <w:p w14:paraId="2CBEC180">
      <w:pPr>
        <w:snapToGrid w:val="0"/>
        <w:spacing w:line="360" w:lineRule="auto"/>
        <w:ind w:firstLine="480" w:firstLineChars="200"/>
        <w:jc w:val="left"/>
        <w:rPr>
          <w:rFonts w:hint="eastAsia" w:ascii="宋体" w:hAnsi="宋体" w:eastAsia="宋体"/>
          <w:color w:val="auto"/>
          <w:sz w:val="24"/>
          <w:highlight w:val="none"/>
          <w:lang w:eastAsia="zh-CN"/>
        </w:rPr>
      </w:pPr>
      <w:r>
        <w:rPr>
          <w:rFonts w:hint="eastAsia" w:ascii="宋体" w:hAnsi="宋体"/>
          <w:color w:val="auto"/>
          <w:sz w:val="24"/>
          <w:highlight w:val="none"/>
        </w:rPr>
        <w:t>开户银行：银行账号：</w:t>
      </w:r>
    </w:p>
    <w:p w14:paraId="0C432C04">
      <w:pPr>
        <w:snapToGrid w:val="0"/>
        <w:spacing w:line="360" w:lineRule="auto"/>
        <w:ind w:firstLine="480" w:firstLineChars="200"/>
        <w:jc w:val="left"/>
        <w:rPr>
          <w:rFonts w:hint="eastAsia" w:ascii="宋体" w:hAnsi="宋体"/>
          <w:color w:val="auto"/>
          <w:sz w:val="24"/>
          <w:highlight w:val="none"/>
        </w:rPr>
      </w:pPr>
    </w:p>
    <w:p w14:paraId="5F085C43">
      <w:pPr>
        <w:snapToGrid w:val="0"/>
        <w:spacing w:line="360" w:lineRule="auto"/>
        <w:ind w:firstLine="480" w:firstLineChars="200"/>
        <w:jc w:val="left"/>
        <w:rPr>
          <w:rFonts w:hint="eastAsia" w:ascii="宋体" w:hAnsi="宋体" w:eastAsia="宋体"/>
          <w:color w:val="auto"/>
          <w:sz w:val="24"/>
          <w:highlight w:val="none"/>
          <w:lang w:eastAsia="zh-CN"/>
        </w:rPr>
      </w:pPr>
      <w:r>
        <w:rPr>
          <w:rFonts w:hint="eastAsia" w:ascii="宋体" w:hAnsi="宋体"/>
          <w:color w:val="auto"/>
          <w:sz w:val="24"/>
          <w:highlight w:val="none"/>
        </w:rPr>
        <w:t>法定代表人或者委托代理人（签字或者电子签名）:_______</w:t>
      </w:r>
    </w:p>
    <w:p w14:paraId="75959E19">
      <w:pPr>
        <w:pStyle w:val="15"/>
        <w:snapToGrid w:val="0"/>
        <w:spacing w:before="295" w:after="295" w:line="360" w:lineRule="auto"/>
        <w:jc w:val="center"/>
        <w:rPr>
          <w:rFonts w:hint="eastAsia" w:hAnsi="宋体"/>
          <w:color w:val="auto"/>
          <w:sz w:val="24"/>
          <w:szCs w:val="24"/>
          <w:highlight w:val="none"/>
          <w:u w:val="single"/>
        </w:rPr>
      </w:pPr>
      <w:r>
        <w:rPr>
          <w:rFonts w:hint="eastAsia" w:hAnsi="宋体"/>
          <w:color w:val="auto"/>
          <w:sz w:val="24"/>
          <w:highlight w:val="none"/>
        </w:rPr>
        <w:t>投标人名称（电子签章）：</w:t>
      </w:r>
    </w:p>
    <w:p w14:paraId="11E39E85">
      <w:pPr>
        <w:pStyle w:val="15"/>
        <w:snapToGrid w:val="0"/>
        <w:spacing w:before="295" w:after="295" w:line="360" w:lineRule="auto"/>
        <w:ind w:firstLine="5040" w:firstLineChars="2100"/>
        <w:rPr>
          <w:rFonts w:hint="eastAsia" w:hAnsi="宋体" w:eastAsia="宋体"/>
          <w:color w:val="auto"/>
          <w:sz w:val="24"/>
          <w:highlight w:val="none"/>
          <w:lang w:val="en-US" w:eastAsia="zh-CN"/>
        </w:rPr>
      </w:pPr>
      <w:r>
        <w:rPr>
          <w:rFonts w:hint="eastAsia" w:hAnsi="宋体"/>
          <w:color w:val="auto"/>
          <w:sz w:val="24"/>
          <w:szCs w:val="24"/>
          <w:highlight w:val="none"/>
        </w:rPr>
        <w:t>年</w:t>
      </w:r>
      <w:r>
        <w:rPr>
          <w:rFonts w:hint="eastAsia" w:hAnsi="宋体"/>
          <w:color w:val="auto"/>
          <w:sz w:val="24"/>
          <w:szCs w:val="24"/>
          <w:highlight w:val="none"/>
          <w:lang w:val="en-US" w:eastAsia="zh-CN"/>
        </w:rPr>
        <w:t xml:space="preserve">  </w:t>
      </w:r>
      <w:r>
        <w:rPr>
          <w:rFonts w:hint="eastAsia" w:hAnsi="宋体"/>
          <w:color w:val="auto"/>
          <w:sz w:val="24"/>
          <w:szCs w:val="24"/>
          <w:highlight w:val="none"/>
        </w:rPr>
        <w:t>月</w:t>
      </w:r>
      <w:r>
        <w:rPr>
          <w:rFonts w:hint="eastAsia" w:hAnsi="宋体"/>
          <w:color w:val="auto"/>
          <w:sz w:val="24"/>
          <w:szCs w:val="24"/>
          <w:highlight w:val="none"/>
          <w:lang w:val="en-US" w:eastAsia="zh-CN"/>
        </w:rPr>
        <w:t xml:space="preserve">    </w:t>
      </w:r>
      <w:r>
        <w:rPr>
          <w:rFonts w:hint="eastAsia" w:hAnsi="宋体"/>
          <w:color w:val="auto"/>
          <w:sz w:val="24"/>
          <w:szCs w:val="24"/>
          <w:highlight w:val="none"/>
        </w:rPr>
        <w:t>日</w:t>
      </w:r>
      <w:r>
        <w:rPr>
          <w:rFonts w:hint="eastAsia" w:hAnsi="宋体"/>
          <w:color w:val="auto"/>
          <w:sz w:val="24"/>
          <w:szCs w:val="24"/>
          <w:highlight w:val="none"/>
          <w:lang w:val="en-US" w:eastAsia="zh-CN"/>
        </w:rPr>
        <w:t xml:space="preserve"> </w:t>
      </w:r>
    </w:p>
    <w:p w14:paraId="262095F8">
      <w:pPr>
        <w:snapToGrid w:val="0"/>
        <w:spacing w:before="120" w:beforeLines="50" w:after="50"/>
        <w:jc w:val="left"/>
        <w:outlineLvl w:val="2"/>
        <w:rPr>
          <w:rFonts w:hint="eastAsia" w:ascii="宋体" w:hAnsi="宋体"/>
          <w:b/>
          <w:color w:val="auto"/>
          <w:sz w:val="24"/>
          <w:szCs w:val="20"/>
          <w:highlight w:val="none"/>
        </w:rPr>
      </w:pPr>
      <w:r>
        <w:rPr>
          <w:rFonts w:hAnsi="宋体"/>
          <w:color w:val="auto"/>
          <w:highlight w:val="none"/>
          <w:u w:val="single"/>
        </w:rPr>
        <w:br w:type="page"/>
      </w:r>
      <w:r>
        <w:rPr>
          <w:rFonts w:hint="eastAsia" w:ascii="宋体" w:hAnsi="宋体"/>
          <w:b/>
          <w:color w:val="auto"/>
          <w:sz w:val="24"/>
          <w:highlight w:val="none"/>
          <w:lang w:val="en-US" w:eastAsia="zh-CN"/>
        </w:rPr>
        <w:t>4</w:t>
      </w:r>
      <w:r>
        <w:rPr>
          <w:rFonts w:hint="eastAsia" w:ascii="宋体" w:hAnsi="宋体"/>
          <w:b/>
          <w:color w:val="auto"/>
          <w:sz w:val="24"/>
          <w:highlight w:val="none"/>
        </w:rPr>
        <w:t>.开标一览表（服务类格式）</w:t>
      </w:r>
    </w:p>
    <w:p w14:paraId="5BAD6060">
      <w:pPr>
        <w:snapToGrid w:val="0"/>
        <w:spacing w:before="50" w:after="50"/>
        <w:jc w:val="center"/>
        <w:rPr>
          <w:rFonts w:hint="eastAsia" w:ascii="宋体" w:hAnsi="宋体"/>
          <w:b/>
          <w:color w:val="auto"/>
          <w:sz w:val="30"/>
          <w:highlight w:val="none"/>
        </w:rPr>
      </w:pPr>
      <w:r>
        <w:rPr>
          <w:rFonts w:hint="eastAsia" w:ascii="宋体" w:hAnsi="宋体"/>
          <w:b/>
          <w:color w:val="auto"/>
          <w:sz w:val="30"/>
          <w:highlight w:val="none"/>
        </w:rPr>
        <w:t>开标一览表</w:t>
      </w:r>
    </w:p>
    <w:p w14:paraId="6F048B6D">
      <w:pPr>
        <w:snapToGrid w:val="0"/>
        <w:spacing w:before="50" w:after="50"/>
        <w:jc w:val="center"/>
        <w:rPr>
          <w:rFonts w:hint="eastAsia" w:ascii="宋体" w:hAnsi="宋体"/>
          <w:b/>
          <w:color w:val="auto"/>
          <w:sz w:val="30"/>
          <w:szCs w:val="20"/>
          <w:highlight w:val="none"/>
        </w:rPr>
      </w:pPr>
    </w:p>
    <w:p w14:paraId="36409F34">
      <w:pPr>
        <w:snapToGrid w:val="0"/>
        <w:spacing w:before="50" w:after="50"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项目名称：</w:t>
      </w:r>
    </w:p>
    <w:p w14:paraId="7FD4E35A">
      <w:pPr>
        <w:snapToGrid w:val="0"/>
        <w:spacing w:before="50" w:after="50"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项目编号：</w:t>
      </w:r>
    </w:p>
    <w:p w14:paraId="6AAE7D07">
      <w:pPr>
        <w:snapToGrid w:val="0"/>
        <w:spacing w:before="50" w:after="50" w:line="360" w:lineRule="auto"/>
        <w:jc w:val="right"/>
        <w:rPr>
          <w:rFonts w:hint="eastAsia" w:ascii="宋体" w:hAnsi="宋体"/>
          <w:color w:val="auto"/>
          <w:sz w:val="24"/>
          <w:highlight w:val="none"/>
        </w:rPr>
      </w:pPr>
      <w:r>
        <w:rPr>
          <w:rFonts w:hint="eastAsia" w:ascii="宋体" w:hAnsi="宋体"/>
          <w:color w:val="auto"/>
          <w:sz w:val="24"/>
          <w:highlight w:val="none"/>
        </w:rPr>
        <w:t>单位：元</w:t>
      </w:r>
    </w:p>
    <w:tbl>
      <w:tblPr>
        <w:tblStyle w:val="24"/>
        <w:tblW w:w="952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712"/>
        <w:gridCol w:w="944"/>
        <w:gridCol w:w="1007"/>
        <w:gridCol w:w="988"/>
        <w:gridCol w:w="1884"/>
        <w:gridCol w:w="973"/>
      </w:tblGrid>
      <w:tr w14:paraId="6754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7F270396">
            <w:pPr>
              <w:spacing w:line="360" w:lineRule="auto"/>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269E4B1C">
            <w:pPr>
              <w:spacing w:line="360" w:lineRule="auto"/>
              <w:jc w:val="center"/>
              <w:rPr>
                <w:rFonts w:ascii="宋体" w:hAnsi="宋体" w:cs="仿宋_GB2312"/>
                <w:color w:val="auto"/>
                <w:sz w:val="24"/>
                <w:highlight w:val="none"/>
              </w:rPr>
            </w:pPr>
            <w:r>
              <w:rPr>
                <w:rFonts w:hint="eastAsia" w:ascii="宋体" w:hAnsi="宋体"/>
                <w:b/>
                <w:color w:val="auto"/>
                <w:sz w:val="24"/>
                <w:highlight w:val="none"/>
                <w:lang w:val="en-US" w:eastAsia="zh-CN"/>
              </w:rPr>
              <w:t>项目</w:t>
            </w:r>
            <w:r>
              <w:rPr>
                <w:rFonts w:hint="eastAsia" w:ascii="宋体" w:hAnsi="宋体"/>
                <w:b/>
                <w:color w:val="auto"/>
                <w:sz w:val="24"/>
                <w:highlight w:val="none"/>
              </w:rPr>
              <w:t>名称</w:t>
            </w:r>
          </w:p>
        </w:tc>
        <w:tc>
          <w:tcPr>
            <w:tcW w:w="944" w:type="dxa"/>
            <w:tcBorders>
              <w:top w:val="single" w:color="auto" w:sz="4" w:space="0"/>
              <w:left w:val="single" w:color="auto" w:sz="4" w:space="0"/>
              <w:bottom w:val="single" w:color="auto" w:sz="4" w:space="0"/>
              <w:right w:val="single" w:color="auto" w:sz="4" w:space="0"/>
            </w:tcBorders>
            <w:vAlign w:val="center"/>
          </w:tcPr>
          <w:p w14:paraId="502D30A1">
            <w:pPr>
              <w:spacing w:line="360" w:lineRule="auto"/>
              <w:jc w:val="center"/>
              <w:rPr>
                <w:rFonts w:hint="eastAsia" w:ascii="宋体" w:hAnsi="宋体" w:eastAsia="宋体" w:cs="仿宋_GB2312"/>
                <w:color w:val="auto"/>
                <w:sz w:val="24"/>
                <w:highlight w:val="none"/>
                <w:lang w:val="en-US" w:eastAsia="zh-CN"/>
              </w:rPr>
            </w:pPr>
            <w:r>
              <w:rPr>
                <w:rFonts w:hint="eastAsia" w:ascii="宋体" w:hAnsi="宋体" w:cs="仿宋_GB2312"/>
                <w:color w:val="auto"/>
                <w:sz w:val="24"/>
                <w:highlight w:val="none"/>
              </w:rPr>
              <w:t>数量</w:t>
            </w:r>
            <w:r>
              <w:rPr>
                <w:rFonts w:hint="eastAsia" w:ascii="宋体" w:hAnsi="宋体" w:cs="仿宋_GB2312"/>
                <w:color w:val="auto"/>
                <w:sz w:val="24"/>
                <w:highlight w:val="none"/>
                <w:lang w:val="en-US" w:eastAsia="zh-CN"/>
              </w:rPr>
              <w:t>①</w:t>
            </w:r>
          </w:p>
        </w:tc>
        <w:tc>
          <w:tcPr>
            <w:tcW w:w="1007" w:type="dxa"/>
            <w:tcBorders>
              <w:top w:val="single" w:color="auto" w:sz="4" w:space="0"/>
              <w:left w:val="single" w:color="auto" w:sz="4" w:space="0"/>
              <w:bottom w:val="single" w:color="auto" w:sz="4" w:space="0"/>
              <w:right w:val="single" w:color="auto" w:sz="4" w:space="0"/>
            </w:tcBorders>
            <w:vAlign w:val="center"/>
          </w:tcPr>
          <w:p w14:paraId="288E91D6">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单位</w:t>
            </w:r>
          </w:p>
        </w:tc>
        <w:tc>
          <w:tcPr>
            <w:tcW w:w="988" w:type="dxa"/>
            <w:tcBorders>
              <w:top w:val="single" w:color="auto" w:sz="4" w:space="0"/>
              <w:left w:val="single" w:color="auto" w:sz="4" w:space="0"/>
              <w:bottom w:val="single" w:color="auto" w:sz="4" w:space="0"/>
              <w:right w:val="single" w:color="auto" w:sz="4" w:space="0"/>
            </w:tcBorders>
            <w:vAlign w:val="center"/>
          </w:tcPr>
          <w:p w14:paraId="0E353F7B">
            <w:pPr>
              <w:spacing w:line="360" w:lineRule="auto"/>
              <w:jc w:val="center"/>
              <w:rPr>
                <w:rFonts w:hint="eastAsia" w:ascii="宋体" w:hAnsi="宋体" w:eastAsia="宋体" w:cs="仿宋_GB2312"/>
                <w:color w:val="auto"/>
                <w:sz w:val="24"/>
                <w:highlight w:val="none"/>
                <w:lang w:val="en-US" w:eastAsia="zh-CN"/>
              </w:rPr>
            </w:pPr>
            <w:r>
              <w:rPr>
                <w:rFonts w:hint="eastAsia" w:ascii="宋体" w:hAnsi="宋体" w:cs="仿宋_GB2312"/>
                <w:color w:val="auto"/>
                <w:sz w:val="24"/>
                <w:highlight w:val="none"/>
              </w:rPr>
              <w:t>单价</w:t>
            </w:r>
            <w:r>
              <w:rPr>
                <w:rFonts w:hint="eastAsia" w:ascii="宋体" w:hAnsi="宋体" w:cs="仿宋_GB2312"/>
                <w:color w:val="auto"/>
                <w:sz w:val="24"/>
                <w:highlight w:val="none"/>
                <w:lang w:val="en-US" w:eastAsia="zh-CN"/>
              </w:rPr>
              <w:t>②</w:t>
            </w:r>
          </w:p>
        </w:tc>
        <w:tc>
          <w:tcPr>
            <w:tcW w:w="1884" w:type="dxa"/>
            <w:tcBorders>
              <w:top w:val="single" w:color="auto" w:sz="4" w:space="0"/>
              <w:left w:val="single" w:color="auto" w:sz="4" w:space="0"/>
              <w:bottom w:val="single" w:color="auto" w:sz="4" w:space="0"/>
              <w:right w:val="single" w:color="auto" w:sz="4" w:space="0"/>
            </w:tcBorders>
            <w:vAlign w:val="center"/>
          </w:tcPr>
          <w:p w14:paraId="75CCD1DC">
            <w:pPr>
              <w:spacing w:line="360" w:lineRule="auto"/>
              <w:jc w:val="center"/>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rPr>
              <w:t>总价</w:t>
            </w:r>
            <w:r>
              <w:rPr>
                <w:rFonts w:hint="eastAsia" w:ascii="宋体" w:hAnsi="宋体" w:cs="仿宋_GB2312"/>
                <w:color w:val="auto"/>
                <w:sz w:val="24"/>
                <w:highlight w:val="none"/>
                <w:lang w:val="en-US" w:eastAsia="zh-CN"/>
              </w:rPr>
              <w:t>③=①×②</w:t>
            </w:r>
          </w:p>
        </w:tc>
        <w:tc>
          <w:tcPr>
            <w:tcW w:w="973" w:type="dxa"/>
            <w:tcBorders>
              <w:top w:val="single" w:color="auto" w:sz="4" w:space="0"/>
              <w:left w:val="single" w:color="auto" w:sz="4" w:space="0"/>
              <w:bottom w:val="single" w:color="auto" w:sz="4" w:space="0"/>
              <w:right w:val="single" w:color="auto" w:sz="4" w:space="0"/>
            </w:tcBorders>
            <w:vAlign w:val="center"/>
          </w:tcPr>
          <w:p w14:paraId="2114E9EE">
            <w:pPr>
              <w:spacing w:line="360" w:lineRule="auto"/>
              <w:jc w:val="center"/>
              <w:rPr>
                <w:rFonts w:ascii="宋体" w:hAnsi="宋体" w:cs="仿宋_GB2312"/>
                <w:color w:val="auto"/>
                <w:sz w:val="24"/>
                <w:highlight w:val="none"/>
              </w:rPr>
            </w:pPr>
            <w:r>
              <w:rPr>
                <w:rFonts w:ascii="宋体" w:hAnsi="宋体" w:cs="仿宋_GB2312"/>
                <w:color w:val="auto"/>
                <w:sz w:val="24"/>
                <w:highlight w:val="none"/>
              </w:rPr>
              <w:t>备注</w:t>
            </w:r>
          </w:p>
        </w:tc>
      </w:tr>
      <w:tr w14:paraId="02FC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54DECFBB">
            <w:pPr>
              <w:spacing w:line="360" w:lineRule="auto"/>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6A021567">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广西防城金花茶国家级自然保护区科普宣教展区布展项目</w:t>
            </w:r>
          </w:p>
        </w:tc>
        <w:tc>
          <w:tcPr>
            <w:tcW w:w="944" w:type="dxa"/>
            <w:tcBorders>
              <w:top w:val="single" w:color="auto" w:sz="4" w:space="0"/>
              <w:left w:val="single" w:color="auto" w:sz="4" w:space="0"/>
              <w:bottom w:val="single" w:color="auto" w:sz="4" w:space="0"/>
              <w:right w:val="single" w:color="auto" w:sz="4" w:space="0"/>
            </w:tcBorders>
            <w:vAlign w:val="center"/>
          </w:tcPr>
          <w:p w14:paraId="142ADFA0">
            <w:pPr>
              <w:spacing w:line="360" w:lineRule="auto"/>
              <w:jc w:val="center"/>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1</w:t>
            </w:r>
          </w:p>
        </w:tc>
        <w:tc>
          <w:tcPr>
            <w:tcW w:w="1007" w:type="dxa"/>
            <w:tcBorders>
              <w:top w:val="single" w:color="auto" w:sz="4" w:space="0"/>
              <w:left w:val="single" w:color="auto" w:sz="4" w:space="0"/>
              <w:bottom w:val="single" w:color="auto" w:sz="4" w:space="0"/>
              <w:right w:val="single" w:color="auto" w:sz="4" w:space="0"/>
            </w:tcBorders>
            <w:vAlign w:val="center"/>
          </w:tcPr>
          <w:p w14:paraId="23906670">
            <w:pPr>
              <w:spacing w:line="360" w:lineRule="auto"/>
              <w:jc w:val="center"/>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项</w:t>
            </w:r>
          </w:p>
        </w:tc>
        <w:tc>
          <w:tcPr>
            <w:tcW w:w="988" w:type="dxa"/>
            <w:tcBorders>
              <w:top w:val="single" w:color="auto" w:sz="4" w:space="0"/>
              <w:left w:val="single" w:color="auto" w:sz="4" w:space="0"/>
              <w:bottom w:val="single" w:color="auto" w:sz="4" w:space="0"/>
              <w:right w:val="single" w:color="auto" w:sz="4" w:space="0"/>
            </w:tcBorders>
            <w:vAlign w:val="center"/>
          </w:tcPr>
          <w:p w14:paraId="392E788C">
            <w:pPr>
              <w:spacing w:line="360" w:lineRule="auto"/>
              <w:jc w:val="center"/>
              <w:rPr>
                <w:rFonts w:ascii="宋体" w:hAnsi="宋体" w:cs="仿宋_GB2312"/>
                <w:color w:val="auto"/>
                <w:sz w:val="24"/>
                <w:highlight w:val="none"/>
              </w:rPr>
            </w:pPr>
          </w:p>
        </w:tc>
        <w:tc>
          <w:tcPr>
            <w:tcW w:w="1884" w:type="dxa"/>
            <w:tcBorders>
              <w:top w:val="single" w:color="auto" w:sz="4" w:space="0"/>
              <w:left w:val="single" w:color="auto" w:sz="4" w:space="0"/>
              <w:bottom w:val="single" w:color="auto" w:sz="4" w:space="0"/>
              <w:right w:val="single" w:color="auto" w:sz="4" w:space="0"/>
            </w:tcBorders>
            <w:vAlign w:val="center"/>
          </w:tcPr>
          <w:p w14:paraId="142493D4">
            <w:pPr>
              <w:spacing w:line="360" w:lineRule="auto"/>
              <w:jc w:val="center"/>
              <w:rPr>
                <w:rFonts w:ascii="宋体" w:hAnsi="宋体" w:cs="仿宋_GB2312"/>
                <w:color w:val="auto"/>
                <w:sz w:val="24"/>
                <w:highlight w:val="none"/>
              </w:rPr>
            </w:pPr>
          </w:p>
        </w:tc>
        <w:tc>
          <w:tcPr>
            <w:tcW w:w="973" w:type="dxa"/>
            <w:tcBorders>
              <w:top w:val="single" w:color="auto" w:sz="4" w:space="0"/>
              <w:left w:val="single" w:color="auto" w:sz="4" w:space="0"/>
              <w:bottom w:val="single" w:color="auto" w:sz="4" w:space="0"/>
              <w:right w:val="single" w:color="auto" w:sz="4" w:space="0"/>
            </w:tcBorders>
            <w:vAlign w:val="center"/>
          </w:tcPr>
          <w:p w14:paraId="11C7E13F">
            <w:pPr>
              <w:spacing w:line="360" w:lineRule="auto"/>
              <w:jc w:val="center"/>
              <w:rPr>
                <w:rFonts w:ascii="宋体" w:hAnsi="宋体" w:cs="仿宋_GB2312"/>
                <w:color w:val="auto"/>
                <w:sz w:val="24"/>
                <w:highlight w:val="none"/>
              </w:rPr>
            </w:pPr>
          </w:p>
        </w:tc>
      </w:tr>
      <w:tr w14:paraId="65C5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right"/>
        </w:trPr>
        <w:tc>
          <w:tcPr>
            <w:tcW w:w="9520" w:type="dxa"/>
            <w:gridSpan w:val="7"/>
            <w:tcBorders>
              <w:top w:val="single" w:color="auto" w:sz="4" w:space="0"/>
              <w:left w:val="single" w:color="auto" w:sz="4" w:space="0"/>
              <w:bottom w:val="single" w:color="auto" w:sz="4" w:space="0"/>
              <w:right w:val="single" w:color="auto" w:sz="4" w:space="0"/>
            </w:tcBorders>
            <w:vAlign w:val="center"/>
          </w:tcPr>
          <w:p w14:paraId="78F1D9CE">
            <w:pPr>
              <w:snapToGrid w:val="0"/>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投标总报价(包含税费等所有费用):</w:t>
            </w:r>
            <w:r>
              <w:rPr>
                <w:rFonts w:hint="eastAsia" w:ascii="宋体" w:hAnsi="宋体" w:cs="仿宋_GB2312"/>
                <w:color w:val="auto"/>
                <w:sz w:val="24"/>
                <w:highlight w:val="none"/>
                <w:u w:val="single"/>
              </w:rPr>
              <w:t>(大写)人民币</w:t>
            </w:r>
            <w:r>
              <w:rPr>
                <w:rFonts w:hint="eastAsia" w:ascii="宋体" w:hAnsi="宋体" w:cs="仿宋_GB2312"/>
                <w:color w:val="auto"/>
                <w:sz w:val="24"/>
                <w:highlight w:val="none"/>
                <w:u w:val="single"/>
                <w:lang w:eastAsia="zh-CN"/>
              </w:rPr>
              <w:t>：</w:t>
            </w:r>
            <w:r>
              <w:rPr>
                <w:rFonts w:hint="eastAsia" w:ascii="宋体" w:hAnsi="宋体" w:cs="仿宋_GB2312"/>
                <w:color w:val="auto"/>
                <w:sz w:val="24"/>
                <w:highlight w:val="none"/>
                <w:u w:val="single"/>
              </w:rPr>
              <w:t xml:space="preserve">                   (小写)¥    </w:t>
            </w:r>
          </w:p>
          <w:p w14:paraId="17F761CD">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highlight w:val="none"/>
              </w:rPr>
              <w:t>合同履行期限：</w:t>
            </w:r>
            <w:r>
              <w:rPr>
                <w:rFonts w:hint="eastAsia" w:ascii="宋体" w:hAnsi="宋体" w:cs="仿宋_GB2312"/>
                <w:color w:val="auto"/>
                <w:sz w:val="24"/>
                <w:szCs w:val="24"/>
                <w:highlight w:val="none"/>
              </w:rPr>
              <w:t>合同签订后</w:t>
            </w:r>
            <w:r>
              <w:rPr>
                <w:rFonts w:hint="eastAsia" w:ascii="宋体" w:hAnsi="宋体" w:cs="仿宋_GB2312"/>
                <w:color w:val="auto"/>
                <w:sz w:val="24"/>
                <w:szCs w:val="24"/>
                <w:highlight w:val="none"/>
                <w:u w:val="single"/>
                <w:lang w:val="en-US" w:eastAsia="zh-CN"/>
              </w:rPr>
              <w:t xml:space="preserve">     </w:t>
            </w:r>
            <w:r>
              <w:rPr>
                <w:rFonts w:hint="eastAsia" w:ascii="宋体" w:hAnsi="宋体" w:cs="仿宋_GB2312"/>
                <w:color w:val="auto"/>
                <w:sz w:val="24"/>
                <w:szCs w:val="24"/>
                <w:highlight w:val="none"/>
                <w:lang w:val="en-US" w:eastAsia="zh-CN"/>
              </w:rPr>
              <w:t>天内前</w:t>
            </w:r>
            <w:r>
              <w:rPr>
                <w:rFonts w:hint="eastAsia" w:ascii="宋体" w:hAnsi="宋体" w:cs="仿宋_GB2312"/>
                <w:color w:val="auto"/>
                <w:sz w:val="24"/>
                <w:szCs w:val="24"/>
                <w:highlight w:val="none"/>
              </w:rPr>
              <w:t>通过验收并交付使用。</w:t>
            </w:r>
          </w:p>
          <w:p w14:paraId="4F8ED4D7">
            <w:pPr>
              <w:snapToGrid w:val="0"/>
              <w:spacing w:before="50" w:after="50" w:line="360" w:lineRule="auto"/>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注：1、投标总报价已含完成合同项目过程中所需的劳务、材料、设备、仪器、运输、协调沟通、咨询、管理、保险、税费、利润、培训等费用，以及合同中约定的所有责任、义务和一般风险等的一切费用。</w:t>
            </w:r>
          </w:p>
          <w:p w14:paraId="65685553">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lang w:val="en-US" w:eastAsia="zh-CN"/>
              </w:rPr>
              <w:t xml:space="preserve">    2、开标一览表投标总报价按第二章采购需求对应附件内容完全响应提供。</w:t>
            </w:r>
          </w:p>
        </w:tc>
      </w:tr>
    </w:tbl>
    <w:p w14:paraId="11695FB9">
      <w:pPr>
        <w:snapToGrid w:val="0"/>
        <w:spacing w:line="360" w:lineRule="auto"/>
        <w:jc w:val="left"/>
        <w:rPr>
          <w:rFonts w:hint="eastAsia" w:ascii="宋体" w:hAnsi="宋体" w:eastAsia="宋体"/>
          <w:color w:val="auto"/>
          <w:sz w:val="24"/>
          <w:highlight w:val="none"/>
          <w:lang w:eastAsia="zh-CN"/>
        </w:rPr>
      </w:pPr>
      <w:r>
        <w:rPr>
          <w:rFonts w:hint="eastAsia" w:ascii="宋体" w:hAnsi="宋体"/>
          <w:color w:val="auto"/>
          <w:sz w:val="24"/>
          <w:highlight w:val="none"/>
        </w:rPr>
        <w:t>注:</w:t>
      </w:r>
    </w:p>
    <w:p w14:paraId="3A2F13F7">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1.投标人的开标一览表必须加盖投标人电子签章并由</w:t>
      </w:r>
      <w:r>
        <w:rPr>
          <w:rFonts w:ascii="宋体" w:hAnsi="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b/>
          <w:color w:val="auto"/>
          <w:sz w:val="24"/>
          <w:highlight w:val="none"/>
        </w:rPr>
        <w:t>否则其投标作无效标处理</w:t>
      </w:r>
      <w:r>
        <w:rPr>
          <w:rFonts w:hint="eastAsia" w:ascii="宋体" w:hAnsi="宋体"/>
          <w:color w:val="auto"/>
          <w:sz w:val="24"/>
          <w:highlight w:val="none"/>
        </w:rPr>
        <w:t>。</w:t>
      </w:r>
    </w:p>
    <w:p w14:paraId="4CEE33B5">
      <w:pPr>
        <w:snapToGrid w:val="0"/>
        <w:spacing w:line="360" w:lineRule="auto"/>
        <w:ind w:firstLine="480" w:firstLineChars="200"/>
        <w:jc w:val="left"/>
        <w:rPr>
          <w:rFonts w:hint="eastAsia" w:ascii="宋体" w:hAnsi="宋体"/>
          <w:b/>
          <w:color w:val="auto"/>
          <w:sz w:val="24"/>
          <w:highlight w:val="none"/>
        </w:rPr>
      </w:pPr>
      <w:r>
        <w:rPr>
          <w:rFonts w:hint="eastAsia" w:ascii="宋体" w:hAnsi="宋体"/>
          <w:bCs/>
          <w:color w:val="auto"/>
          <w:sz w:val="24"/>
          <w:highlight w:val="none"/>
        </w:rPr>
        <w:t>2.</w:t>
      </w:r>
      <w:r>
        <w:rPr>
          <w:rFonts w:hint="eastAsia" w:ascii="宋体" w:hAnsi="宋体"/>
          <w:color w:val="auto"/>
          <w:sz w:val="24"/>
          <w:highlight w:val="none"/>
        </w:rPr>
        <w:t>报价一经涂改，应在涂改处加盖投标人公章</w:t>
      </w:r>
      <w:r>
        <w:rPr>
          <w:rFonts w:hint="eastAsia" w:ascii="宋体" w:hAnsi="宋体" w:cs="仿宋_GB2312"/>
          <w:color w:val="auto"/>
          <w:sz w:val="24"/>
          <w:highlight w:val="none"/>
        </w:rPr>
        <w:t>或者加盖电子签章</w:t>
      </w:r>
      <w:r>
        <w:rPr>
          <w:rFonts w:hint="eastAsia" w:ascii="宋体" w:hAnsi="宋体"/>
          <w:color w:val="auto"/>
          <w:sz w:val="24"/>
          <w:highlight w:val="none"/>
        </w:rPr>
        <w:t>或者由法定代表人或者委托代理人签字（或者电子签名）</w:t>
      </w:r>
      <w:r>
        <w:rPr>
          <w:rFonts w:hint="eastAsia" w:ascii="宋体" w:hAnsi="宋体"/>
          <w:b/>
          <w:color w:val="auto"/>
          <w:sz w:val="24"/>
          <w:highlight w:val="none"/>
        </w:rPr>
        <w:t>，否则其投标作无效标处理。</w:t>
      </w:r>
    </w:p>
    <w:p w14:paraId="2B337015">
      <w:pPr>
        <w:snapToGrid w:val="0"/>
        <w:spacing w:line="360" w:lineRule="auto"/>
        <w:ind w:left="-2" w:leftChars="-1" w:right="-817" w:rightChars="-389"/>
        <w:rPr>
          <w:rFonts w:hint="eastAsia" w:ascii="宋体" w:hAnsi="宋体"/>
          <w:color w:val="auto"/>
          <w:sz w:val="24"/>
          <w:highlight w:val="none"/>
        </w:rPr>
      </w:pPr>
    </w:p>
    <w:p w14:paraId="273C562A">
      <w:pPr>
        <w:snapToGrid w:val="0"/>
        <w:spacing w:line="360" w:lineRule="auto"/>
        <w:ind w:left="-2" w:leftChars="-1" w:right="-817" w:rightChars="-389"/>
        <w:rPr>
          <w:rFonts w:hint="eastAsia" w:ascii="宋体" w:hAnsi="宋体"/>
          <w:color w:val="auto"/>
          <w:sz w:val="24"/>
          <w:highlight w:val="none"/>
        </w:rPr>
      </w:pPr>
    </w:p>
    <w:p w14:paraId="7FAACF33">
      <w:pPr>
        <w:snapToGrid w:val="0"/>
        <w:spacing w:line="360" w:lineRule="auto"/>
        <w:ind w:left="-2" w:leftChars="-1" w:right="-817" w:rightChars="-389"/>
        <w:rPr>
          <w:rFonts w:hint="eastAsia" w:ascii="宋体" w:hAnsi="宋体" w:eastAsia="宋体"/>
          <w:color w:val="auto"/>
          <w:sz w:val="24"/>
          <w:highlight w:val="none"/>
          <w:lang w:eastAsia="zh-CN"/>
        </w:rPr>
      </w:pPr>
      <w:r>
        <w:rPr>
          <w:rFonts w:hint="eastAsia" w:ascii="宋体" w:hAnsi="宋体"/>
          <w:color w:val="auto"/>
          <w:sz w:val="24"/>
          <w:highlight w:val="none"/>
        </w:rPr>
        <w:t>法定代表人或者委托代理人（签字或者电子签名）：</w:t>
      </w:r>
    </w:p>
    <w:p w14:paraId="796F466F">
      <w:pPr>
        <w:snapToGrid w:val="0"/>
        <w:spacing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投标人名称（电子签章）：</w:t>
      </w:r>
    </w:p>
    <w:p w14:paraId="736BC3EB">
      <w:pPr>
        <w:snapToGrid w:val="0"/>
        <w:spacing w:line="360" w:lineRule="auto"/>
        <w:ind w:left="-3" w:leftChars="-15" w:right="-817" w:rightChars="-389" w:hanging="28" w:hangingChars="12"/>
        <w:rPr>
          <w:rFonts w:hint="eastAsia" w:ascii="宋体" w:hAnsi="宋体"/>
          <w:color w:val="auto"/>
          <w:szCs w:val="21"/>
          <w:highlight w:val="none"/>
        </w:rPr>
      </w:pPr>
      <w:r>
        <w:rPr>
          <w:rFonts w:hint="eastAsia" w:ascii="宋体" w:hAnsi="宋体"/>
          <w:color w:val="auto"/>
          <w:sz w:val="24"/>
          <w:highlight w:val="none"/>
        </w:rPr>
        <w:t>日期：年月日</w:t>
      </w:r>
    </w:p>
    <w:p w14:paraId="16163B18">
      <w:pPr>
        <w:snapToGrid w:val="0"/>
        <w:spacing w:before="50" w:after="50" w:line="360" w:lineRule="auto"/>
        <w:ind w:left="-6" w:leftChars="-15" w:right="-817" w:rightChars="-389" w:hanging="25" w:hangingChars="12"/>
        <w:rPr>
          <w:rFonts w:hint="eastAsia" w:ascii="宋体" w:hAnsi="宋体"/>
          <w:color w:val="auto"/>
          <w:szCs w:val="21"/>
          <w:highlight w:val="none"/>
        </w:rPr>
      </w:pPr>
    </w:p>
    <w:p w14:paraId="56274C66">
      <w:pPr>
        <w:numPr>
          <w:ilvl w:val="-1"/>
          <w:numId w:val="0"/>
        </w:numPr>
        <w:snapToGrid/>
        <w:spacing w:before="0" w:beforeLines="-2147483648" w:after="0"/>
        <w:ind w:left="0" w:leftChars="0" w:firstLine="0" w:firstLineChars="0"/>
        <w:jc w:val="left"/>
        <w:outlineLvl w:val="9"/>
        <w:rPr>
          <w:rFonts w:hint="eastAsia" w:ascii="宋体" w:hAnsi="宋体" w:cs="Times New Roman"/>
          <w:b/>
          <w:color w:val="auto"/>
          <w:kern w:val="2"/>
          <w:sz w:val="24"/>
          <w:szCs w:val="24"/>
          <w:highlight w:val="none"/>
          <w:lang w:val="en-US" w:eastAsia="zh-CN" w:bidi="ar-SA"/>
        </w:rPr>
      </w:pPr>
      <w:r>
        <w:rPr>
          <w:rFonts w:hint="eastAsia" w:ascii="宋体" w:hAnsi="宋体" w:cs="Times New Roman"/>
          <w:b/>
          <w:color w:val="auto"/>
          <w:kern w:val="2"/>
          <w:sz w:val="24"/>
          <w:szCs w:val="24"/>
          <w:highlight w:val="none"/>
          <w:lang w:val="en-US" w:eastAsia="zh-CN" w:bidi="ar-SA"/>
        </w:rPr>
        <w:br w:type="page"/>
      </w:r>
    </w:p>
    <w:p w14:paraId="2DB697A8">
      <w:pPr>
        <w:widowControl/>
        <w:spacing w:line="400" w:lineRule="exact"/>
        <w:ind w:firstLine="241" w:firstLineChars="100"/>
        <w:outlineLvl w:val="1"/>
        <w:rPr>
          <w:rFonts w:hint="default"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4.1</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开标一览表附件：施工及设备设施响应报价清单</w:t>
      </w:r>
    </w:p>
    <w:tbl>
      <w:tblPr>
        <w:tblStyle w:val="24"/>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988"/>
        <w:gridCol w:w="1550"/>
        <w:gridCol w:w="1062"/>
        <w:gridCol w:w="1444"/>
        <w:gridCol w:w="1982"/>
        <w:gridCol w:w="1962"/>
      </w:tblGrid>
      <w:tr w14:paraId="1016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2" w:type="pct"/>
            <w:noWrap w:val="0"/>
            <w:vAlign w:val="center"/>
          </w:tcPr>
          <w:p w14:paraId="20314CD0">
            <w:pPr>
              <w:widowControl/>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序号</w:t>
            </w:r>
          </w:p>
        </w:tc>
        <w:tc>
          <w:tcPr>
            <w:tcW w:w="498" w:type="pct"/>
            <w:noWrap w:val="0"/>
            <w:vAlign w:val="center"/>
          </w:tcPr>
          <w:p w14:paraId="141AEEE4">
            <w:pPr>
              <w:widowControl/>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名称</w:t>
            </w:r>
          </w:p>
        </w:tc>
        <w:tc>
          <w:tcPr>
            <w:tcW w:w="781" w:type="pct"/>
            <w:noWrap w:val="0"/>
            <w:vAlign w:val="center"/>
          </w:tcPr>
          <w:p w14:paraId="75F4094D">
            <w:pPr>
              <w:widowControl/>
              <w:jc w:val="center"/>
              <w:rPr>
                <w:rFonts w:hint="default"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技术参数[或规格型号、品牌（提供设备则填写）]</w:t>
            </w:r>
          </w:p>
        </w:tc>
        <w:tc>
          <w:tcPr>
            <w:tcW w:w="535" w:type="pct"/>
            <w:noWrap w:val="0"/>
            <w:vAlign w:val="center"/>
          </w:tcPr>
          <w:p w14:paraId="38D9C9F4">
            <w:pPr>
              <w:widowControl/>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数量</w:t>
            </w:r>
          </w:p>
        </w:tc>
        <w:tc>
          <w:tcPr>
            <w:tcW w:w="727" w:type="pct"/>
            <w:noWrap w:val="0"/>
            <w:vAlign w:val="center"/>
          </w:tcPr>
          <w:p w14:paraId="0A23C0C1">
            <w:pPr>
              <w:widowControl/>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单位</w:t>
            </w:r>
          </w:p>
        </w:tc>
        <w:tc>
          <w:tcPr>
            <w:tcW w:w="997" w:type="pct"/>
            <w:noWrap w:val="0"/>
            <w:vAlign w:val="center"/>
          </w:tcPr>
          <w:p w14:paraId="5FA07028">
            <w:pPr>
              <w:widowControl/>
              <w:jc w:val="center"/>
              <w:rPr>
                <w:rFonts w:hint="default"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单价（元）</w:t>
            </w:r>
          </w:p>
        </w:tc>
        <w:tc>
          <w:tcPr>
            <w:tcW w:w="988" w:type="pct"/>
            <w:noWrap w:val="0"/>
            <w:vAlign w:val="center"/>
          </w:tcPr>
          <w:p w14:paraId="725A6590">
            <w:pPr>
              <w:widowControl/>
              <w:jc w:val="center"/>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单项合价（元）</w:t>
            </w:r>
          </w:p>
        </w:tc>
      </w:tr>
      <w:tr w14:paraId="2F2B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2" w:type="pct"/>
            <w:shd w:val="clear" w:color="auto" w:fill="FFFF00"/>
            <w:noWrap w:val="0"/>
            <w:vAlign w:val="center"/>
          </w:tcPr>
          <w:p w14:paraId="7D458BE2">
            <w:pPr>
              <w:widowControl/>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（一）</w:t>
            </w:r>
          </w:p>
        </w:tc>
        <w:tc>
          <w:tcPr>
            <w:tcW w:w="4527" w:type="pct"/>
            <w:gridSpan w:val="6"/>
            <w:shd w:val="clear" w:color="auto" w:fill="FFFF00"/>
            <w:noWrap w:val="0"/>
            <w:vAlign w:val="center"/>
          </w:tcPr>
          <w:p w14:paraId="7D6A9FDA">
            <w:pPr>
              <w:widowControl/>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区域环境渲染及装饰</w:t>
            </w:r>
          </w:p>
        </w:tc>
      </w:tr>
      <w:tr w14:paraId="513E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025C02AF">
            <w:pPr>
              <w:widowControl/>
              <w:ind w:firstLine="0" w:firstLineChars="0"/>
              <w:rPr>
                <w:rFonts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1.1</w:t>
            </w:r>
          </w:p>
        </w:tc>
        <w:tc>
          <w:tcPr>
            <w:tcW w:w="4527" w:type="pct"/>
            <w:gridSpan w:val="6"/>
            <w:noWrap w:val="0"/>
            <w:vAlign w:val="center"/>
          </w:tcPr>
          <w:p w14:paraId="0D862E15">
            <w:pPr>
              <w:widowControl/>
              <w:ind w:firstLine="482" w:firstLineChars="200"/>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“自然之门”区域环境渲染及装饰：</w:t>
            </w:r>
          </w:p>
        </w:tc>
      </w:tr>
      <w:tr w14:paraId="40EB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69A29A3F">
            <w:pPr>
              <w:widowControl/>
              <w:jc w:val="center"/>
              <w:rPr>
                <w:rFonts w:ascii="宋体" w:hAnsi="宋体" w:cs="宋体"/>
                <w:b/>
                <w:bCs/>
                <w:color w:val="auto"/>
                <w:kern w:val="0"/>
                <w:sz w:val="24"/>
                <w:szCs w:val="24"/>
                <w:highlight w:val="none"/>
              </w:rPr>
            </w:pPr>
            <w:r>
              <w:rPr>
                <w:rFonts w:hint="eastAsia" w:ascii="宋体" w:hAnsi="宋体"/>
                <w:color w:val="auto"/>
                <w:sz w:val="24"/>
                <w:szCs w:val="24"/>
                <w:highlight w:val="none"/>
              </w:rPr>
              <w:t>1.1.1</w:t>
            </w:r>
          </w:p>
        </w:tc>
        <w:tc>
          <w:tcPr>
            <w:tcW w:w="498" w:type="pct"/>
            <w:noWrap w:val="0"/>
            <w:vAlign w:val="center"/>
          </w:tcPr>
          <w:p w14:paraId="1E3D9078">
            <w:pPr>
              <w:widowControl/>
              <w:jc w:val="center"/>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rPr>
              <w:t>简介屏</w:t>
            </w:r>
          </w:p>
          <w:p w14:paraId="23425277">
            <w:pPr>
              <w:widowControl/>
              <w:jc w:val="center"/>
              <w:rPr>
                <w:rFonts w:ascii="宋体" w:hAnsi="宋体" w:cs="宋体"/>
                <w:color w:val="auto"/>
                <w:kern w:val="0"/>
                <w:sz w:val="24"/>
                <w:szCs w:val="24"/>
                <w:highlight w:val="none"/>
              </w:rPr>
            </w:pPr>
            <w:r>
              <w:rPr>
                <w:rFonts w:hint="eastAsia" w:ascii="宋体" w:hAnsi="宋体" w:cs="宋体"/>
                <w:b w:val="0"/>
                <w:bCs w:val="0"/>
                <w:color w:val="auto"/>
                <w:kern w:val="0"/>
                <w:sz w:val="24"/>
                <w:szCs w:val="24"/>
                <w:highlight w:val="none"/>
              </w:rPr>
              <w:t>隔墙</w:t>
            </w:r>
          </w:p>
        </w:tc>
        <w:tc>
          <w:tcPr>
            <w:tcW w:w="781" w:type="pct"/>
            <w:noWrap w:val="0"/>
            <w:vAlign w:val="center"/>
          </w:tcPr>
          <w:p w14:paraId="1F4E6F14">
            <w:pPr>
              <w:keepNext w:val="0"/>
              <w:keepLines w:val="0"/>
              <w:widowControl/>
              <w:suppressLineNumbers w:val="0"/>
              <w:jc w:val="center"/>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响应第二章采购需求的要求。</w:t>
            </w:r>
          </w:p>
        </w:tc>
        <w:tc>
          <w:tcPr>
            <w:tcW w:w="535" w:type="pct"/>
            <w:noWrap w:val="0"/>
            <w:vAlign w:val="center"/>
          </w:tcPr>
          <w:p w14:paraId="654F5850">
            <w:pPr>
              <w:keepNext w:val="0"/>
              <w:keepLines w:val="0"/>
              <w:widowControl/>
              <w:suppressLineNumbers w:val="0"/>
              <w:jc w:val="center"/>
              <w:textAlignment w:val="auto"/>
              <w:rPr>
                <w:rFonts w:hint="eastAsia" w:ascii="宋体" w:hAnsi="宋体" w:eastAsia="宋体" w:cs="Times New Roman"/>
                <w:b w:val="0"/>
                <w:bCs w:val="0"/>
                <w:color w:val="auto"/>
                <w:kern w:val="2"/>
                <w:sz w:val="24"/>
                <w:szCs w:val="24"/>
                <w:highlight w:val="none"/>
              </w:rPr>
            </w:pPr>
          </w:p>
        </w:tc>
        <w:tc>
          <w:tcPr>
            <w:tcW w:w="727" w:type="pct"/>
            <w:noWrap w:val="0"/>
            <w:vAlign w:val="center"/>
          </w:tcPr>
          <w:p w14:paraId="40DB533C">
            <w:pPr>
              <w:widowControl/>
              <w:jc w:val="center"/>
              <w:rPr>
                <w:rFonts w:ascii="宋体" w:hAnsi="宋体" w:cs="宋体"/>
                <w:color w:val="auto"/>
                <w:kern w:val="0"/>
                <w:sz w:val="24"/>
                <w:szCs w:val="24"/>
                <w:highlight w:val="none"/>
              </w:rPr>
            </w:pPr>
          </w:p>
        </w:tc>
        <w:tc>
          <w:tcPr>
            <w:tcW w:w="997" w:type="pct"/>
            <w:noWrap w:val="0"/>
            <w:vAlign w:val="center"/>
          </w:tcPr>
          <w:p w14:paraId="3B4A16D5">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c>
          <w:tcPr>
            <w:tcW w:w="988" w:type="pct"/>
            <w:noWrap w:val="0"/>
            <w:vAlign w:val="center"/>
          </w:tcPr>
          <w:p w14:paraId="18EFFD78">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r w14:paraId="7A3B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476BFCE4">
            <w:pPr>
              <w:keepNext w:val="0"/>
              <w:keepLines w:val="0"/>
              <w:widowControl/>
              <w:suppressLineNumbers w:val="0"/>
              <w:jc w:val="center"/>
              <w:textAlignment w:val="center"/>
              <w:rPr>
                <w:rFonts w:hint="default" w:ascii="宋体" w:hAnsi="宋体" w:eastAsia="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1.1.2</w:t>
            </w:r>
          </w:p>
        </w:tc>
        <w:tc>
          <w:tcPr>
            <w:tcW w:w="498" w:type="pct"/>
            <w:noWrap w:val="0"/>
            <w:vAlign w:val="center"/>
          </w:tcPr>
          <w:p w14:paraId="5D386476">
            <w:pPr>
              <w:keepNext w:val="0"/>
              <w:keepLines w:val="0"/>
              <w:widowControl/>
              <w:suppressLineNumbers w:val="0"/>
              <w:jc w:val="center"/>
              <w:textAlignment w:val="center"/>
              <w:rPr>
                <w:rFonts w:hint="eastAsia" w:ascii="宋体" w:hAnsi="宋体" w:cs="宋体"/>
                <w:b w:val="0"/>
                <w:bCs w:val="0"/>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全息屏玻璃基底</w:t>
            </w:r>
          </w:p>
        </w:tc>
        <w:tc>
          <w:tcPr>
            <w:tcW w:w="781" w:type="pct"/>
            <w:noWrap w:val="0"/>
            <w:vAlign w:val="center"/>
          </w:tcPr>
          <w:p w14:paraId="21EE1CC1">
            <w:pPr>
              <w:keepNext w:val="0"/>
              <w:keepLines w:val="0"/>
              <w:widowControl/>
              <w:suppressLineNumbers w:val="0"/>
              <w:jc w:val="center"/>
              <w:textAlignment w:val="center"/>
              <w:rPr>
                <w:rFonts w:hint="eastAsia" w:ascii="宋体" w:hAnsi="宋体" w:eastAsia="宋体" w:cs="Times New Roman"/>
                <w:i w:val="0"/>
                <w:iCs w:val="0"/>
                <w:color w:val="auto"/>
                <w:kern w:val="2"/>
                <w:sz w:val="24"/>
                <w:szCs w:val="24"/>
                <w:highlight w:val="none"/>
                <w:u w:val="none"/>
                <w:lang w:val="en-US" w:eastAsia="zh-CN" w:bidi="ar"/>
              </w:rPr>
            </w:pPr>
            <w:r>
              <w:rPr>
                <w:rFonts w:hint="eastAsia" w:ascii="宋体" w:hAnsi="宋体" w:cs="宋体"/>
                <w:b w:val="0"/>
                <w:bCs w:val="0"/>
                <w:color w:val="auto"/>
                <w:kern w:val="0"/>
                <w:sz w:val="24"/>
                <w:szCs w:val="24"/>
                <w:highlight w:val="none"/>
                <w:lang w:val="en-US" w:eastAsia="zh-CN"/>
              </w:rPr>
              <w:t>响应第二章采购需求的要求。</w:t>
            </w:r>
          </w:p>
        </w:tc>
        <w:tc>
          <w:tcPr>
            <w:tcW w:w="535" w:type="pct"/>
            <w:noWrap w:val="0"/>
            <w:vAlign w:val="center"/>
          </w:tcPr>
          <w:p w14:paraId="7180CF4F">
            <w:pPr>
              <w:keepNext w:val="0"/>
              <w:keepLines w:val="0"/>
              <w:widowControl/>
              <w:suppressLineNumbers w:val="0"/>
              <w:jc w:val="center"/>
              <w:textAlignment w:val="center"/>
              <w:rPr>
                <w:rFonts w:hint="eastAsia" w:ascii="宋体" w:hAnsi="宋体" w:eastAsia="宋体" w:cs="Times New Roman"/>
                <w:i w:val="0"/>
                <w:iCs w:val="0"/>
                <w:color w:val="auto"/>
                <w:kern w:val="2"/>
                <w:sz w:val="24"/>
                <w:szCs w:val="24"/>
                <w:highlight w:val="none"/>
                <w:u w:val="none"/>
                <w:lang w:val="en-US" w:eastAsia="zh-CN" w:bidi="ar"/>
              </w:rPr>
            </w:pPr>
          </w:p>
        </w:tc>
        <w:tc>
          <w:tcPr>
            <w:tcW w:w="727" w:type="pct"/>
            <w:noWrap w:val="0"/>
            <w:vAlign w:val="center"/>
          </w:tcPr>
          <w:p w14:paraId="181E765B">
            <w:pPr>
              <w:widowControl/>
              <w:jc w:val="center"/>
              <w:textAlignment w:val="center"/>
              <w:rPr>
                <w:rFonts w:hint="eastAsia" w:ascii="宋体" w:hAnsi="宋体" w:eastAsia="宋体" w:cs="Times New Roman"/>
                <w:i w:val="0"/>
                <w:iCs w:val="0"/>
                <w:color w:val="auto"/>
                <w:kern w:val="2"/>
                <w:sz w:val="24"/>
                <w:szCs w:val="24"/>
                <w:highlight w:val="none"/>
                <w:u w:val="none"/>
                <w:lang w:val="en-US" w:eastAsia="zh-CN" w:bidi="ar"/>
              </w:rPr>
            </w:pPr>
          </w:p>
        </w:tc>
        <w:tc>
          <w:tcPr>
            <w:tcW w:w="997" w:type="pct"/>
            <w:noWrap w:val="0"/>
            <w:vAlign w:val="center"/>
          </w:tcPr>
          <w:p w14:paraId="233504EC">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c>
          <w:tcPr>
            <w:tcW w:w="988" w:type="pct"/>
            <w:noWrap w:val="0"/>
            <w:vAlign w:val="center"/>
          </w:tcPr>
          <w:p w14:paraId="2CD0F283">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r w14:paraId="05C4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2EA9C0C8">
            <w:pPr>
              <w:widowControl/>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w:t>
            </w:r>
          </w:p>
        </w:tc>
        <w:tc>
          <w:tcPr>
            <w:tcW w:w="498" w:type="pct"/>
            <w:noWrap w:val="0"/>
            <w:vAlign w:val="center"/>
          </w:tcPr>
          <w:p w14:paraId="18A331FC">
            <w:pPr>
              <w:widowControl/>
              <w:jc w:val="center"/>
              <w:rPr>
                <w:rFonts w:hint="eastAsia" w:ascii="宋体" w:hAnsi="宋体" w:cs="宋体"/>
                <w:b w:val="0"/>
                <w:bCs w:val="0"/>
                <w:color w:val="auto"/>
                <w:kern w:val="0"/>
                <w:sz w:val="24"/>
                <w:szCs w:val="24"/>
                <w:highlight w:val="none"/>
              </w:rPr>
            </w:pPr>
          </w:p>
        </w:tc>
        <w:tc>
          <w:tcPr>
            <w:tcW w:w="781" w:type="pct"/>
            <w:noWrap w:val="0"/>
            <w:vAlign w:val="center"/>
          </w:tcPr>
          <w:p w14:paraId="309F156F">
            <w:pPr>
              <w:keepNext w:val="0"/>
              <w:keepLines w:val="0"/>
              <w:widowControl/>
              <w:suppressLineNumbers w:val="0"/>
              <w:jc w:val="center"/>
              <w:textAlignment w:val="auto"/>
              <w:rPr>
                <w:rFonts w:hint="eastAsia" w:ascii="宋体" w:hAnsi="宋体" w:eastAsia="宋体" w:cs="Times New Roman"/>
                <w:i w:val="0"/>
                <w:iCs w:val="0"/>
                <w:color w:val="auto"/>
                <w:kern w:val="2"/>
                <w:sz w:val="24"/>
                <w:szCs w:val="24"/>
                <w:highlight w:val="none"/>
                <w:u w:val="none"/>
                <w:lang w:val="en-US" w:eastAsia="zh-CN" w:bidi="ar"/>
              </w:rPr>
            </w:pPr>
          </w:p>
        </w:tc>
        <w:tc>
          <w:tcPr>
            <w:tcW w:w="535" w:type="pct"/>
            <w:noWrap w:val="0"/>
            <w:vAlign w:val="center"/>
          </w:tcPr>
          <w:p w14:paraId="6C534427">
            <w:pPr>
              <w:keepNext w:val="0"/>
              <w:keepLines w:val="0"/>
              <w:widowControl/>
              <w:suppressLineNumbers w:val="0"/>
              <w:jc w:val="center"/>
              <w:textAlignment w:val="auto"/>
              <w:rPr>
                <w:rFonts w:hint="eastAsia" w:ascii="宋体" w:hAnsi="宋体" w:eastAsia="宋体" w:cs="Times New Roman"/>
                <w:i w:val="0"/>
                <w:iCs w:val="0"/>
                <w:color w:val="auto"/>
                <w:kern w:val="2"/>
                <w:sz w:val="24"/>
                <w:szCs w:val="24"/>
                <w:highlight w:val="none"/>
                <w:u w:val="none"/>
                <w:lang w:val="en-US" w:eastAsia="zh-CN" w:bidi="ar"/>
              </w:rPr>
            </w:pPr>
          </w:p>
        </w:tc>
        <w:tc>
          <w:tcPr>
            <w:tcW w:w="727" w:type="pct"/>
            <w:noWrap w:val="0"/>
            <w:vAlign w:val="center"/>
          </w:tcPr>
          <w:p w14:paraId="557DA649">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c>
          <w:tcPr>
            <w:tcW w:w="997" w:type="pct"/>
            <w:noWrap w:val="0"/>
            <w:vAlign w:val="center"/>
          </w:tcPr>
          <w:p w14:paraId="1E409FD7">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c>
          <w:tcPr>
            <w:tcW w:w="988" w:type="pct"/>
            <w:noWrap w:val="0"/>
            <w:vAlign w:val="center"/>
          </w:tcPr>
          <w:p w14:paraId="6A5DDE87">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r w14:paraId="5B1A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34B9F3C6">
            <w:pPr>
              <w:widowControl/>
              <w:jc w:val="center"/>
              <w:rPr>
                <w:rFonts w:hint="eastAsia" w:ascii="宋体" w:hAnsi="宋体"/>
                <w:color w:val="auto"/>
                <w:sz w:val="24"/>
                <w:szCs w:val="24"/>
                <w:highlight w:val="none"/>
                <w:lang w:val="en-US" w:eastAsia="zh-CN"/>
              </w:rPr>
            </w:pPr>
            <w:r>
              <w:rPr>
                <w:rFonts w:hint="eastAsia" w:ascii="宋体" w:hAnsi="宋体" w:cs="宋体"/>
                <w:b/>
                <w:color w:val="auto"/>
                <w:sz w:val="24"/>
                <w:szCs w:val="24"/>
                <w:highlight w:val="none"/>
              </w:rPr>
              <w:t>（一）</w:t>
            </w:r>
          </w:p>
        </w:tc>
        <w:tc>
          <w:tcPr>
            <w:tcW w:w="3539" w:type="pct"/>
            <w:gridSpan w:val="5"/>
            <w:noWrap w:val="0"/>
            <w:vAlign w:val="center"/>
          </w:tcPr>
          <w:p w14:paraId="1FA812BD">
            <w:pPr>
              <w:widowControl/>
              <w:jc w:val="center"/>
              <w:rPr>
                <w:rFonts w:hint="default" w:ascii="宋体" w:hAnsi="宋体" w:eastAsia="宋体" w:cs="Times New Roman"/>
                <w:i w:val="0"/>
                <w:iCs w:val="0"/>
                <w:color w:val="auto"/>
                <w:kern w:val="2"/>
                <w:sz w:val="24"/>
                <w:szCs w:val="24"/>
                <w:highlight w:val="none"/>
                <w:u w:val="none"/>
                <w:lang w:val="en-US" w:eastAsia="zh-CN" w:bidi="ar"/>
              </w:rPr>
            </w:pPr>
            <w:r>
              <w:rPr>
                <w:rFonts w:hint="eastAsia" w:ascii="宋体" w:hAnsi="宋体" w:cs="宋体"/>
                <w:b/>
                <w:color w:val="auto"/>
                <w:sz w:val="24"/>
                <w:szCs w:val="24"/>
                <w:highlight w:val="none"/>
              </w:rPr>
              <w:t>区域环境渲染及装饰</w:t>
            </w:r>
            <w:r>
              <w:rPr>
                <w:rFonts w:hint="eastAsia" w:ascii="宋体" w:hAnsi="宋体" w:cs="宋体"/>
                <w:b/>
                <w:color w:val="auto"/>
                <w:sz w:val="24"/>
                <w:szCs w:val="24"/>
                <w:highlight w:val="none"/>
                <w:lang w:val="en-US" w:eastAsia="zh-CN"/>
              </w:rPr>
              <w:t>价格合计</w:t>
            </w:r>
          </w:p>
        </w:tc>
        <w:tc>
          <w:tcPr>
            <w:tcW w:w="988" w:type="pct"/>
            <w:noWrap w:val="0"/>
            <w:vAlign w:val="center"/>
          </w:tcPr>
          <w:p w14:paraId="5E1F4B38">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r w14:paraId="1A9F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shd w:val="clear" w:color="auto" w:fill="FFFF00"/>
            <w:noWrap w:val="0"/>
            <w:vAlign w:val="center"/>
          </w:tcPr>
          <w:p w14:paraId="55901A5C">
            <w:pPr>
              <w:keepNext w:val="0"/>
              <w:keepLines w:val="0"/>
              <w:widowControl/>
              <w:suppressLineNumbers w:val="0"/>
              <w:jc w:val="center"/>
              <w:textAlignment w:val="center"/>
              <w:rPr>
                <w:rFonts w:hint="eastAsia" w:ascii="宋体" w:hAnsi="宋体" w:cs="宋体"/>
                <w:b/>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（二）</w:t>
            </w:r>
          </w:p>
        </w:tc>
        <w:tc>
          <w:tcPr>
            <w:tcW w:w="4527" w:type="pct"/>
            <w:gridSpan w:val="6"/>
            <w:shd w:val="clear" w:color="auto" w:fill="FFFF00"/>
            <w:noWrap w:val="0"/>
            <w:vAlign w:val="center"/>
          </w:tcPr>
          <w:p w14:paraId="1FB8050E">
            <w:pPr>
              <w:keepNext w:val="0"/>
              <w:keepLines w:val="0"/>
              <w:widowControl/>
              <w:suppressLineNumbers w:val="0"/>
              <w:jc w:val="center"/>
              <w:textAlignment w:val="center"/>
              <w:rPr>
                <w:rFonts w:hint="eastAsia" w:ascii="宋体" w:hAnsi="宋体" w:eastAsia="宋体" w:cs="Times New Roman"/>
                <w:i w:val="0"/>
                <w:iCs w:val="0"/>
                <w:color w:val="auto"/>
                <w:kern w:val="2"/>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区域展示布展</w:t>
            </w:r>
          </w:p>
        </w:tc>
      </w:tr>
      <w:tr w14:paraId="235C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1684B7E0">
            <w:pPr>
              <w:keepNext w:val="0"/>
              <w:keepLines w:val="0"/>
              <w:widowControl/>
              <w:suppressLineNumbers w:val="0"/>
              <w:jc w:val="center"/>
              <w:textAlignment w:val="center"/>
              <w:rPr>
                <w:rFonts w:hint="eastAsia" w:ascii="宋体" w:hAnsi="宋体" w:cs="宋体"/>
                <w:b/>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527" w:type="pct"/>
            <w:gridSpan w:val="6"/>
            <w:noWrap w:val="0"/>
            <w:vAlign w:val="center"/>
          </w:tcPr>
          <w:p w14:paraId="0667F794">
            <w:pPr>
              <w:widowControl/>
              <w:jc w:val="left"/>
              <w:rPr>
                <w:rFonts w:hint="eastAsia" w:ascii="宋体" w:hAnsi="宋体" w:eastAsia="宋体" w:cs="Times New Roman"/>
                <w:i w:val="0"/>
                <w:iCs w:val="0"/>
                <w:color w:val="auto"/>
                <w:kern w:val="2"/>
                <w:sz w:val="24"/>
                <w:szCs w:val="24"/>
                <w:highlight w:val="none"/>
                <w:u w:val="none"/>
                <w:lang w:val="en-US" w:eastAsia="zh-CN" w:bidi="ar"/>
              </w:rPr>
            </w:pPr>
            <w:r>
              <w:rPr>
                <w:rFonts w:hint="eastAsia" w:ascii="宋体" w:hAnsi="宋体" w:cs="宋体"/>
                <w:b/>
                <w:bCs/>
                <w:color w:val="auto"/>
                <w:kern w:val="0"/>
                <w:sz w:val="24"/>
                <w:szCs w:val="24"/>
                <w:highlight w:val="none"/>
              </w:rPr>
              <w:t>“自然之门”区域展示布展</w:t>
            </w:r>
          </w:p>
        </w:tc>
      </w:tr>
      <w:tr w14:paraId="6425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20793838">
            <w:pPr>
              <w:keepNext w:val="0"/>
              <w:keepLines w:val="0"/>
              <w:widowControl/>
              <w:suppressLineNumbers w:val="0"/>
              <w:jc w:val="center"/>
              <w:textAlignment w:val="center"/>
              <w:rPr>
                <w:rFonts w:hint="eastAsia" w:ascii="宋体" w:hAnsi="宋体" w:cs="宋体"/>
                <w:b/>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2.1.1</w:t>
            </w:r>
          </w:p>
        </w:tc>
        <w:tc>
          <w:tcPr>
            <w:tcW w:w="498" w:type="pct"/>
            <w:noWrap w:val="0"/>
            <w:vAlign w:val="center"/>
          </w:tcPr>
          <w:p w14:paraId="266F3646">
            <w:pPr>
              <w:keepNext w:val="0"/>
              <w:keepLines w:val="0"/>
              <w:widowControl/>
              <w:suppressLineNumbers w:val="0"/>
              <w:jc w:val="center"/>
              <w:textAlignment w:val="center"/>
              <w:rPr>
                <w:rFonts w:hint="eastAsia" w:ascii="宋体" w:hAnsi="宋体" w:cs="宋体"/>
                <w:b/>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科普AI数字人</w:t>
            </w:r>
          </w:p>
        </w:tc>
        <w:tc>
          <w:tcPr>
            <w:tcW w:w="781" w:type="pct"/>
            <w:noWrap w:val="0"/>
            <w:vAlign w:val="center"/>
          </w:tcPr>
          <w:p w14:paraId="195E154C">
            <w:pPr>
              <w:widowControl/>
              <w:jc w:val="center"/>
              <w:rPr>
                <w:rFonts w:hint="eastAsia" w:ascii="宋体" w:hAnsi="宋体" w:cs="宋体"/>
                <w:b/>
                <w:color w:val="auto"/>
                <w:sz w:val="24"/>
                <w:szCs w:val="24"/>
                <w:highlight w:val="none"/>
              </w:rPr>
            </w:pPr>
          </w:p>
        </w:tc>
        <w:tc>
          <w:tcPr>
            <w:tcW w:w="535" w:type="pct"/>
            <w:noWrap w:val="0"/>
            <w:vAlign w:val="center"/>
          </w:tcPr>
          <w:p w14:paraId="6A7B42A5">
            <w:pPr>
              <w:keepNext w:val="0"/>
              <w:keepLines w:val="0"/>
              <w:widowControl/>
              <w:suppressLineNumbers w:val="0"/>
              <w:jc w:val="center"/>
              <w:textAlignment w:val="center"/>
              <w:rPr>
                <w:rFonts w:hint="eastAsia" w:ascii="宋体" w:hAnsi="宋体" w:cs="宋体"/>
                <w:b/>
                <w:color w:val="auto"/>
                <w:sz w:val="24"/>
                <w:szCs w:val="24"/>
                <w:highlight w:val="none"/>
              </w:rPr>
            </w:pPr>
          </w:p>
        </w:tc>
        <w:tc>
          <w:tcPr>
            <w:tcW w:w="727" w:type="pct"/>
            <w:noWrap w:val="0"/>
            <w:vAlign w:val="center"/>
          </w:tcPr>
          <w:p w14:paraId="2FBDA8AC">
            <w:pPr>
              <w:widowControl/>
              <w:jc w:val="center"/>
              <w:rPr>
                <w:rFonts w:hint="eastAsia" w:ascii="宋体" w:hAnsi="宋体" w:cs="宋体"/>
                <w:b/>
                <w:color w:val="auto"/>
                <w:sz w:val="24"/>
                <w:szCs w:val="24"/>
                <w:highlight w:val="none"/>
              </w:rPr>
            </w:pPr>
          </w:p>
        </w:tc>
        <w:tc>
          <w:tcPr>
            <w:tcW w:w="997" w:type="pct"/>
            <w:noWrap w:val="0"/>
            <w:vAlign w:val="center"/>
          </w:tcPr>
          <w:p w14:paraId="77EA6E87">
            <w:pPr>
              <w:widowControl/>
              <w:jc w:val="center"/>
              <w:rPr>
                <w:rFonts w:hint="eastAsia" w:ascii="宋体" w:hAnsi="宋体" w:cs="宋体"/>
                <w:b/>
                <w:color w:val="auto"/>
                <w:sz w:val="24"/>
                <w:szCs w:val="24"/>
                <w:highlight w:val="none"/>
              </w:rPr>
            </w:pPr>
          </w:p>
        </w:tc>
        <w:tc>
          <w:tcPr>
            <w:tcW w:w="988" w:type="pct"/>
            <w:noWrap w:val="0"/>
            <w:vAlign w:val="center"/>
          </w:tcPr>
          <w:p w14:paraId="690B4613">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r w14:paraId="745C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46855026">
            <w:pPr>
              <w:keepNext w:val="0"/>
              <w:keepLines w:val="0"/>
              <w:widowControl/>
              <w:suppressLineNumbers w:val="0"/>
              <w:jc w:val="center"/>
              <w:textAlignment w:val="center"/>
              <w:rPr>
                <w:rFonts w:hint="eastAsia" w:ascii="宋体" w:hAnsi="宋体" w:cs="宋体"/>
                <w:b/>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2.1.2</w:t>
            </w:r>
          </w:p>
        </w:tc>
        <w:tc>
          <w:tcPr>
            <w:tcW w:w="498" w:type="pct"/>
            <w:noWrap w:val="0"/>
            <w:vAlign w:val="center"/>
          </w:tcPr>
          <w:p w14:paraId="592580DF">
            <w:pPr>
              <w:keepNext w:val="0"/>
              <w:keepLines w:val="0"/>
              <w:widowControl/>
              <w:suppressLineNumbers w:val="0"/>
              <w:jc w:val="center"/>
              <w:textAlignment w:val="center"/>
              <w:rPr>
                <w:rFonts w:hint="eastAsia" w:ascii="宋体" w:hAnsi="宋体" w:cs="宋体"/>
                <w:b/>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数字人展示辅助设备</w:t>
            </w:r>
          </w:p>
        </w:tc>
        <w:tc>
          <w:tcPr>
            <w:tcW w:w="781" w:type="pct"/>
            <w:noWrap w:val="0"/>
            <w:vAlign w:val="center"/>
          </w:tcPr>
          <w:p w14:paraId="46E27399">
            <w:pPr>
              <w:widowControl/>
              <w:jc w:val="center"/>
              <w:rPr>
                <w:rFonts w:hint="eastAsia" w:ascii="宋体" w:hAnsi="宋体" w:cs="宋体"/>
                <w:b/>
                <w:color w:val="auto"/>
                <w:sz w:val="24"/>
                <w:szCs w:val="24"/>
                <w:highlight w:val="none"/>
              </w:rPr>
            </w:pPr>
          </w:p>
        </w:tc>
        <w:tc>
          <w:tcPr>
            <w:tcW w:w="535" w:type="pct"/>
            <w:noWrap w:val="0"/>
            <w:vAlign w:val="center"/>
          </w:tcPr>
          <w:p w14:paraId="45F891C7">
            <w:pPr>
              <w:keepNext w:val="0"/>
              <w:keepLines w:val="0"/>
              <w:widowControl/>
              <w:suppressLineNumbers w:val="0"/>
              <w:jc w:val="center"/>
              <w:textAlignment w:val="center"/>
              <w:rPr>
                <w:rFonts w:hint="eastAsia" w:ascii="宋体" w:hAnsi="宋体" w:cs="宋体"/>
                <w:b/>
                <w:color w:val="auto"/>
                <w:sz w:val="24"/>
                <w:szCs w:val="24"/>
                <w:highlight w:val="none"/>
              </w:rPr>
            </w:pPr>
          </w:p>
        </w:tc>
        <w:tc>
          <w:tcPr>
            <w:tcW w:w="727" w:type="pct"/>
            <w:noWrap w:val="0"/>
            <w:vAlign w:val="center"/>
          </w:tcPr>
          <w:p w14:paraId="75EE284A">
            <w:pPr>
              <w:widowControl/>
              <w:jc w:val="center"/>
              <w:rPr>
                <w:rFonts w:hint="eastAsia" w:ascii="宋体" w:hAnsi="宋体" w:cs="宋体"/>
                <w:b/>
                <w:color w:val="auto"/>
                <w:sz w:val="24"/>
                <w:szCs w:val="24"/>
                <w:highlight w:val="none"/>
              </w:rPr>
            </w:pPr>
          </w:p>
        </w:tc>
        <w:tc>
          <w:tcPr>
            <w:tcW w:w="997" w:type="pct"/>
            <w:noWrap w:val="0"/>
            <w:vAlign w:val="center"/>
          </w:tcPr>
          <w:p w14:paraId="45DAB001">
            <w:pPr>
              <w:widowControl/>
              <w:jc w:val="center"/>
              <w:rPr>
                <w:rFonts w:hint="eastAsia" w:ascii="宋体" w:hAnsi="宋体" w:cs="宋体"/>
                <w:b/>
                <w:color w:val="auto"/>
                <w:sz w:val="24"/>
                <w:szCs w:val="24"/>
                <w:highlight w:val="none"/>
              </w:rPr>
            </w:pPr>
          </w:p>
        </w:tc>
        <w:tc>
          <w:tcPr>
            <w:tcW w:w="988" w:type="pct"/>
            <w:noWrap w:val="0"/>
            <w:vAlign w:val="center"/>
          </w:tcPr>
          <w:p w14:paraId="611579AF">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r w14:paraId="5A15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28CEF5AF">
            <w:pPr>
              <w:widowControl/>
              <w:jc w:val="center"/>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w:t>
            </w:r>
          </w:p>
        </w:tc>
        <w:tc>
          <w:tcPr>
            <w:tcW w:w="498" w:type="pct"/>
            <w:noWrap w:val="0"/>
            <w:vAlign w:val="center"/>
          </w:tcPr>
          <w:p w14:paraId="7C18AD4C">
            <w:pPr>
              <w:widowControl/>
              <w:jc w:val="center"/>
              <w:rPr>
                <w:rFonts w:hint="eastAsia" w:ascii="宋体" w:hAnsi="宋体" w:cs="宋体"/>
                <w:b/>
                <w:color w:val="auto"/>
                <w:sz w:val="24"/>
                <w:szCs w:val="24"/>
                <w:highlight w:val="none"/>
              </w:rPr>
            </w:pPr>
          </w:p>
        </w:tc>
        <w:tc>
          <w:tcPr>
            <w:tcW w:w="781" w:type="pct"/>
            <w:noWrap w:val="0"/>
            <w:vAlign w:val="center"/>
          </w:tcPr>
          <w:p w14:paraId="2ECB345E">
            <w:pPr>
              <w:widowControl/>
              <w:jc w:val="center"/>
              <w:rPr>
                <w:rFonts w:hint="eastAsia" w:ascii="宋体" w:hAnsi="宋体" w:cs="宋体"/>
                <w:b/>
                <w:color w:val="auto"/>
                <w:sz w:val="24"/>
                <w:szCs w:val="24"/>
                <w:highlight w:val="none"/>
              </w:rPr>
            </w:pPr>
          </w:p>
        </w:tc>
        <w:tc>
          <w:tcPr>
            <w:tcW w:w="535" w:type="pct"/>
            <w:noWrap w:val="0"/>
            <w:vAlign w:val="center"/>
          </w:tcPr>
          <w:p w14:paraId="4D804E40">
            <w:pPr>
              <w:widowControl/>
              <w:jc w:val="center"/>
              <w:rPr>
                <w:rFonts w:hint="eastAsia" w:ascii="宋体" w:hAnsi="宋体" w:cs="宋体"/>
                <w:b/>
                <w:color w:val="auto"/>
                <w:sz w:val="24"/>
                <w:szCs w:val="24"/>
                <w:highlight w:val="none"/>
              </w:rPr>
            </w:pPr>
          </w:p>
        </w:tc>
        <w:tc>
          <w:tcPr>
            <w:tcW w:w="727" w:type="pct"/>
            <w:noWrap w:val="0"/>
            <w:vAlign w:val="center"/>
          </w:tcPr>
          <w:p w14:paraId="4472239E">
            <w:pPr>
              <w:widowControl/>
              <w:jc w:val="center"/>
              <w:rPr>
                <w:rFonts w:hint="eastAsia" w:ascii="宋体" w:hAnsi="宋体" w:cs="宋体"/>
                <w:b/>
                <w:color w:val="auto"/>
                <w:sz w:val="24"/>
                <w:szCs w:val="24"/>
                <w:highlight w:val="none"/>
              </w:rPr>
            </w:pPr>
          </w:p>
        </w:tc>
        <w:tc>
          <w:tcPr>
            <w:tcW w:w="997" w:type="pct"/>
            <w:noWrap w:val="0"/>
            <w:vAlign w:val="center"/>
          </w:tcPr>
          <w:p w14:paraId="50B249DF">
            <w:pPr>
              <w:widowControl/>
              <w:jc w:val="center"/>
              <w:rPr>
                <w:rFonts w:hint="eastAsia" w:ascii="宋体" w:hAnsi="宋体" w:cs="宋体"/>
                <w:b/>
                <w:color w:val="auto"/>
                <w:sz w:val="24"/>
                <w:szCs w:val="24"/>
                <w:highlight w:val="none"/>
              </w:rPr>
            </w:pPr>
          </w:p>
        </w:tc>
        <w:tc>
          <w:tcPr>
            <w:tcW w:w="988" w:type="pct"/>
            <w:noWrap w:val="0"/>
            <w:vAlign w:val="center"/>
          </w:tcPr>
          <w:p w14:paraId="6930A1E1">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r w14:paraId="408E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1DDBB7F6">
            <w:pPr>
              <w:keepNext w:val="0"/>
              <w:keepLines w:val="0"/>
              <w:widowControl/>
              <w:suppressLineNumbers w:val="0"/>
              <w:jc w:val="center"/>
              <w:textAlignment w:val="center"/>
              <w:rPr>
                <w:rFonts w:hint="eastAsia" w:ascii="宋体" w:hAnsi="宋体" w:cs="宋体"/>
                <w:b/>
                <w:color w:val="auto"/>
                <w:sz w:val="24"/>
                <w:szCs w:val="24"/>
                <w:highlight w:val="none"/>
                <w:lang w:val="en-US" w:eastAsia="zh-CN"/>
              </w:rPr>
            </w:pPr>
            <w:r>
              <w:rPr>
                <w:rFonts w:hint="eastAsia" w:ascii="宋体" w:hAnsi="宋体" w:eastAsia="宋体" w:cs="宋体"/>
                <w:b/>
                <w:bCs/>
                <w:i w:val="0"/>
                <w:iCs w:val="0"/>
                <w:color w:val="auto"/>
                <w:kern w:val="0"/>
                <w:sz w:val="24"/>
                <w:szCs w:val="24"/>
                <w:highlight w:val="none"/>
                <w:u w:val="none"/>
                <w:lang w:val="en-US" w:eastAsia="zh-CN" w:bidi="ar"/>
              </w:rPr>
              <w:t>（二）</w:t>
            </w:r>
          </w:p>
        </w:tc>
        <w:tc>
          <w:tcPr>
            <w:tcW w:w="3539" w:type="pct"/>
            <w:gridSpan w:val="5"/>
            <w:noWrap w:val="0"/>
            <w:vAlign w:val="center"/>
          </w:tcPr>
          <w:p w14:paraId="59404669">
            <w:pPr>
              <w:keepNext w:val="0"/>
              <w:keepLines w:val="0"/>
              <w:widowControl/>
              <w:suppressLineNumbers w:val="0"/>
              <w:jc w:val="center"/>
              <w:textAlignment w:val="center"/>
              <w:rPr>
                <w:rFonts w:hint="eastAsia" w:ascii="宋体" w:hAnsi="宋体" w:cs="宋体"/>
                <w:b/>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区域展示布展价格合计</w:t>
            </w:r>
          </w:p>
        </w:tc>
        <w:tc>
          <w:tcPr>
            <w:tcW w:w="988" w:type="pct"/>
            <w:noWrap w:val="0"/>
            <w:vAlign w:val="center"/>
          </w:tcPr>
          <w:p w14:paraId="553029AA">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r w14:paraId="616D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shd w:val="clear" w:color="auto" w:fill="FFFF00"/>
            <w:noWrap w:val="0"/>
            <w:vAlign w:val="center"/>
          </w:tcPr>
          <w:p w14:paraId="11D760A6">
            <w:pPr>
              <w:keepNext w:val="0"/>
              <w:keepLines w:val="0"/>
              <w:widowControl/>
              <w:suppressLineNumbers w:val="0"/>
              <w:jc w:val="center"/>
              <w:textAlignment w:val="center"/>
              <w:rPr>
                <w:rFonts w:hint="eastAsia" w:ascii="宋体" w:hAnsi="宋体" w:cs="宋体"/>
                <w:b/>
                <w:color w:val="auto"/>
                <w:sz w:val="24"/>
                <w:szCs w:val="24"/>
                <w:highlight w:val="none"/>
                <w:lang w:val="en-US" w:eastAsia="zh-CN"/>
              </w:rPr>
            </w:pPr>
            <w:r>
              <w:rPr>
                <w:rFonts w:hint="eastAsia" w:ascii="宋体" w:hAnsi="宋体" w:eastAsia="宋体" w:cs="宋体"/>
                <w:b/>
                <w:bCs/>
                <w:i w:val="0"/>
                <w:iCs w:val="0"/>
                <w:color w:val="auto"/>
                <w:kern w:val="0"/>
                <w:sz w:val="24"/>
                <w:szCs w:val="24"/>
                <w:highlight w:val="none"/>
                <w:u w:val="none"/>
                <w:lang w:val="en-US" w:eastAsia="zh-CN" w:bidi="ar"/>
              </w:rPr>
              <w:t>（三）</w:t>
            </w:r>
          </w:p>
        </w:tc>
        <w:tc>
          <w:tcPr>
            <w:tcW w:w="4527" w:type="pct"/>
            <w:gridSpan w:val="6"/>
            <w:shd w:val="clear" w:color="auto" w:fill="FFFF00"/>
            <w:noWrap w:val="0"/>
            <w:vAlign w:val="center"/>
          </w:tcPr>
          <w:p w14:paraId="6346D6E0">
            <w:pPr>
              <w:widowControl/>
              <w:jc w:val="center"/>
              <w:rPr>
                <w:rFonts w:hint="eastAsia" w:ascii="宋体" w:hAnsi="宋体" w:eastAsia="宋体" w:cs="Times New Roman"/>
                <w:i w:val="0"/>
                <w:iCs w:val="0"/>
                <w:color w:val="auto"/>
                <w:kern w:val="2"/>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布展上岳保护站森林体验实践基地</w:t>
            </w:r>
          </w:p>
        </w:tc>
      </w:tr>
      <w:tr w14:paraId="6783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3A88AC87">
            <w:pPr>
              <w:keepNext w:val="0"/>
              <w:keepLines w:val="0"/>
              <w:widowControl/>
              <w:suppressLineNumbers w:val="0"/>
              <w:jc w:val="center"/>
              <w:textAlignment w:val="center"/>
              <w:rPr>
                <w:rFonts w:hint="eastAsia" w:ascii="宋体" w:hAnsi="宋体" w:cs="宋体"/>
                <w:b/>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3.1</w:t>
            </w:r>
          </w:p>
        </w:tc>
        <w:tc>
          <w:tcPr>
            <w:tcW w:w="498" w:type="pct"/>
            <w:noWrap w:val="0"/>
            <w:vAlign w:val="center"/>
          </w:tcPr>
          <w:p w14:paraId="6E900748">
            <w:pPr>
              <w:keepNext w:val="0"/>
              <w:keepLines w:val="0"/>
              <w:widowControl/>
              <w:suppressLineNumbers w:val="0"/>
              <w:jc w:val="center"/>
              <w:textAlignment w:val="center"/>
              <w:rPr>
                <w:rFonts w:hint="eastAsia" w:ascii="宋体" w:hAnsi="宋体" w:cs="宋体"/>
                <w:b/>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野外科普长廊布展</w:t>
            </w:r>
          </w:p>
        </w:tc>
        <w:tc>
          <w:tcPr>
            <w:tcW w:w="781" w:type="pct"/>
            <w:noWrap w:val="0"/>
            <w:vAlign w:val="center"/>
          </w:tcPr>
          <w:p w14:paraId="28B3A138">
            <w:pPr>
              <w:widowControl/>
              <w:jc w:val="center"/>
              <w:rPr>
                <w:rFonts w:hint="eastAsia" w:ascii="宋体" w:hAnsi="宋体" w:cs="宋体"/>
                <w:b/>
                <w:color w:val="auto"/>
                <w:sz w:val="24"/>
                <w:szCs w:val="24"/>
                <w:highlight w:val="none"/>
              </w:rPr>
            </w:pPr>
            <w:r>
              <w:rPr>
                <w:rFonts w:hint="eastAsia" w:ascii="宋体" w:hAnsi="宋体" w:cs="宋体"/>
                <w:b w:val="0"/>
                <w:bCs w:val="0"/>
                <w:color w:val="auto"/>
                <w:kern w:val="0"/>
                <w:sz w:val="24"/>
                <w:szCs w:val="24"/>
                <w:highlight w:val="none"/>
                <w:lang w:val="en-US" w:eastAsia="zh-CN"/>
              </w:rPr>
              <w:t>响应第二章采购需求的要求。</w:t>
            </w:r>
          </w:p>
        </w:tc>
        <w:tc>
          <w:tcPr>
            <w:tcW w:w="535" w:type="pct"/>
            <w:noWrap w:val="0"/>
            <w:vAlign w:val="center"/>
          </w:tcPr>
          <w:p w14:paraId="01445D23">
            <w:pPr>
              <w:keepNext w:val="0"/>
              <w:keepLines w:val="0"/>
              <w:widowControl/>
              <w:suppressLineNumbers w:val="0"/>
              <w:jc w:val="center"/>
              <w:textAlignment w:val="center"/>
              <w:rPr>
                <w:rFonts w:hint="eastAsia" w:ascii="宋体" w:hAnsi="宋体" w:cs="宋体"/>
                <w:b/>
                <w:color w:val="auto"/>
                <w:sz w:val="24"/>
                <w:szCs w:val="24"/>
                <w:highlight w:val="none"/>
              </w:rPr>
            </w:pPr>
          </w:p>
        </w:tc>
        <w:tc>
          <w:tcPr>
            <w:tcW w:w="727" w:type="pct"/>
            <w:noWrap w:val="0"/>
            <w:vAlign w:val="center"/>
          </w:tcPr>
          <w:p w14:paraId="0E1E8E39">
            <w:pPr>
              <w:widowControl/>
              <w:jc w:val="center"/>
              <w:rPr>
                <w:rFonts w:hint="eastAsia" w:ascii="宋体" w:hAnsi="宋体" w:cs="宋体"/>
                <w:b/>
                <w:color w:val="auto"/>
                <w:sz w:val="24"/>
                <w:szCs w:val="24"/>
                <w:highlight w:val="none"/>
              </w:rPr>
            </w:pPr>
          </w:p>
        </w:tc>
        <w:tc>
          <w:tcPr>
            <w:tcW w:w="997" w:type="pct"/>
            <w:noWrap w:val="0"/>
            <w:vAlign w:val="center"/>
          </w:tcPr>
          <w:p w14:paraId="0C894AA5">
            <w:pPr>
              <w:widowControl/>
              <w:jc w:val="center"/>
              <w:rPr>
                <w:rFonts w:hint="eastAsia" w:ascii="宋体" w:hAnsi="宋体" w:cs="宋体"/>
                <w:b/>
                <w:color w:val="auto"/>
                <w:sz w:val="24"/>
                <w:szCs w:val="24"/>
                <w:highlight w:val="none"/>
              </w:rPr>
            </w:pPr>
          </w:p>
        </w:tc>
        <w:tc>
          <w:tcPr>
            <w:tcW w:w="988" w:type="pct"/>
            <w:noWrap w:val="0"/>
            <w:vAlign w:val="center"/>
          </w:tcPr>
          <w:p w14:paraId="6B9B4E93">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r w14:paraId="034A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79879B4E">
            <w:pPr>
              <w:keepNext w:val="0"/>
              <w:keepLines w:val="0"/>
              <w:widowControl/>
              <w:suppressLineNumbers w:val="0"/>
              <w:jc w:val="center"/>
              <w:textAlignment w:val="center"/>
              <w:rPr>
                <w:rFonts w:hint="eastAsia" w:ascii="宋体" w:hAnsi="宋体" w:cs="宋体"/>
                <w:b/>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3.2</w:t>
            </w:r>
          </w:p>
        </w:tc>
        <w:tc>
          <w:tcPr>
            <w:tcW w:w="498" w:type="pct"/>
            <w:noWrap w:val="0"/>
            <w:vAlign w:val="center"/>
          </w:tcPr>
          <w:p w14:paraId="405C980A">
            <w:pPr>
              <w:keepNext w:val="0"/>
              <w:keepLines w:val="0"/>
              <w:widowControl/>
              <w:suppressLineNumbers w:val="0"/>
              <w:jc w:val="center"/>
              <w:textAlignment w:val="center"/>
              <w:rPr>
                <w:rFonts w:hint="eastAsia" w:ascii="宋体" w:hAnsi="宋体" w:cs="宋体"/>
                <w:b/>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野外科普研学区布展</w:t>
            </w:r>
          </w:p>
        </w:tc>
        <w:tc>
          <w:tcPr>
            <w:tcW w:w="781" w:type="pct"/>
            <w:noWrap w:val="0"/>
            <w:vAlign w:val="center"/>
          </w:tcPr>
          <w:p w14:paraId="69AC7738">
            <w:pPr>
              <w:widowControl/>
              <w:jc w:val="center"/>
              <w:rPr>
                <w:rFonts w:hint="eastAsia" w:ascii="宋体" w:hAnsi="宋体" w:cs="宋体"/>
                <w:b/>
                <w:color w:val="auto"/>
                <w:sz w:val="24"/>
                <w:szCs w:val="24"/>
                <w:highlight w:val="none"/>
              </w:rPr>
            </w:pPr>
            <w:r>
              <w:rPr>
                <w:rFonts w:hint="eastAsia" w:ascii="宋体" w:hAnsi="宋体" w:cs="宋体"/>
                <w:b w:val="0"/>
                <w:bCs w:val="0"/>
                <w:color w:val="auto"/>
                <w:kern w:val="0"/>
                <w:sz w:val="24"/>
                <w:szCs w:val="24"/>
                <w:highlight w:val="none"/>
                <w:lang w:val="en-US" w:eastAsia="zh-CN"/>
              </w:rPr>
              <w:t>响应第二章采购需求的要求。</w:t>
            </w:r>
          </w:p>
        </w:tc>
        <w:tc>
          <w:tcPr>
            <w:tcW w:w="535" w:type="pct"/>
            <w:noWrap w:val="0"/>
            <w:vAlign w:val="center"/>
          </w:tcPr>
          <w:p w14:paraId="50E5378E">
            <w:pPr>
              <w:keepNext w:val="0"/>
              <w:keepLines w:val="0"/>
              <w:widowControl/>
              <w:suppressLineNumbers w:val="0"/>
              <w:jc w:val="center"/>
              <w:textAlignment w:val="center"/>
              <w:rPr>
                <w:rFonts w:hint="eastAsia" w:ascii="宋体" w:hAnsi="宋体" w:cs="宋体"/>
                <w:b/>
                <w:color w:val="auto"/>
                <w:sz w:val="24"/>
                <w:szCs w:val="24"/>
                <w:highlight w:val="none"/>
              </w:rPr>
            </w:pPr>
          </w:p>
        </w:tc>
        <w:tc>
          <w:tcPr>
            <w:tcW w:w="727" w:type="pct"/>
            <w:noWrap w:val="0"/>
            <w:vAlign w:val="center"/>
          </w:tcPr>
          <w:p w14:paraId="035077E1">
            <w:pPr>
              <w:widowControl/>
              <w:jc w:val="center"/>
              <w:rPr>
                <w:rFonts w:hint="eastAsia" w:ascii="宋体" w:hAnsi="宋体" w:cs="宋体"/>
                <w:b/>
                <w:color w:val="auto"/>
                <w:sz w:val="24"/>
                <w:szCs w:val="24"/>
                <w:highlight w:val="none"/>
              </w:rPr>
            </w:pPr>
          </w:p>
        </w:tc>
        <w:tc>
          <w:tcPr>
            <w:tcW w:w="997" w:type="pct"/>
            <w:noWrap w:val="0"/>
            <w:vAlign w:val="center"/>
          </w:tcPr>
          <w:p w14:paraId="4F0D60EA">
            <w:pPr>
              <w:widowControl/>
              <w:jc w:val="center"/>
              <w:rPr>
                <w:rFonts w:hint="eastAsia" w:ascii="宋体" w:hAnsi="宋体" w:cs="宋体"/>
                <w:b/>
                <w:color w:val="auto"/>
                <w:sz w:val="24"/>
                <w:szCs w:val="24"/>
                <w:highlight w:val="none"/>
              </w:rPr>
            </w:pPr>
          </w:p>
        </w:tc>
        <w:tc>
          <w:tcPr>
            <w:tcW w:w="988" w:type="pct"/>
            <w:noWrap w:val="0"/>
            <w:vAlign w:val="center"/>
          </w:tcPr>
          <w:p w14:paraId="499ABE1B">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r w14:paraId="1F1B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noWrap w:val="0"/>
            <w:vAlign w:val="center"/>
          </w:tcPr>
          <w:p w14:paraId="41142839">
            <w:pPr>
              <w:widowControl/>
              <w:jc w:val="cente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w:t>
            </w:r>
          </w:p>
        </w:tc>
        <w:tc>
          <w:tcPr>
            <w:tcW w:w="498" w:type="pct"/>
            <w:noWrap w:val="0"/>
            <w:vAlign w:val="center"/>
          </w:tcPr>
          <w:p w14:paraId="3A425AE2">
            <w:pPr>
              <w:widowControl/>
              <w:jc w:val="center"/>
              <w:rPr>
                <w:rFonts w:hint="eastAsia" w:ascii="宋体" w:hAnsi="宋体" w:cs="宋体"/>
                <w:b/>
                <w:color w:val="auto"/>
                <w:sz w:val="24"/>
                <w:szCs w:val="24"/>
                <w:highlight w:val="none"/>
              </w:rPr>
            </w:pPr>
          </w:p>
        </w:tc>
        <w:tc>
          <w:tcPr>
            <w:tcW w:w="781" w:type="pct"/>
            <w:noWrap w:val="0"/>
            <w:vAlign w:val="center"/>
          </w:tcPr>
          <w:p w14:paraId="73395F7C">
            <w:pPr>
              <w:widowControl/>
              <w:jc w:val="center"/>
              <w:rPr>
                <w:rFonts w:hint="eastAsia" w:ascii="宋体" w:hAnsi="宋体" w:cs="宋体"/>
                <w:b/>
                <w:color w:val="auto"/>
                <w:sz w:val="24"/>
                <w:szCs w:val="24"/>
                <w:highlight w:val="none"/>
              </w:rPr>
            </w:pPr>
          </w:p>
        </w:tc>
        <w:tc>
          <w:tcPr>
            <w:tcW w:w="535" w:type="pct"/>
            <w:noWrap w:val="0"/>
            <w:vAlign w:val="center"/>
          </w:tcPr>
          <w:p w14:paraId="4D45920D">
            <w:pPr>
              <w:widowControl/>
              <w:jc w:val="center"/>
              <w:rPr>
                <w:rFonts w:hint="eastAsia" w:ascii="宋体" w:hAnsi="宋体" w:cs="宋体"/>
                <w:b/>
                <w:color w:val="auto"/>
                <w:sz w:val="24"/>
                <w:szCs w:val="24"/>
                <w:highlight w:val="none"/>
              </w:rPr>
            </w:pPr>
          </w:p>
        </w:tc>
        <w:tc>
          <w:tcPr>
            <w:tcW w:w="727" w:type="pct"/>
            <w:noWrap w:val="0"/>
            <w:vAlign w:val="center"/>
          </w:tcPr>
          <w:p w14:paraId="4055A5DB">
            <w:pPr>
              <w:widowControl/>
              <w:jc w:val="center"/>
              <w:rPr>
                <w:rFonts w:hint="eastAsia" w:ascii="宋体" w:hAnsi="宋体" w:cs="宋体"/>
                <w:b/>
                <w:color w:val="auto"/>
                <w:sz w:val="24"/>
                <w:szCs w:val="24"/>
                <w:highlight w:val="none"/>
              </w:rPr>
            </w:pPr>
          </w:p>
        </w:tc>
        <w:tc>
          <w:tcPr>
            <w:tcW w:w="997" w:type="pct"/>
            <w:noWrap w:val="0"/>
            <w:vAlign w:val="center"/>
          </w:tcPr>
          <w:p w14:paraId="52D852C9">
            <w:pPr>
              <w:widowControl/>
              <w:jc w:val="center"/>
              <w:rPr>
                <w:rFonts w:hint="eastAsia" w:ascii="宋体" w:hAnsi="宋体" w:cs="宋体"/>
                <w:b/>
                <w:color w:val="auto"/>
                <w:sz w:val="24"/>
                <w:szCs w:val="24"/>
                <w:highlight w:val="none"/>
              </w:rPr>
            </w:pPr>
          </w:p>
        </w:tc>
        <w:tc>
          <w:tcPr>
            <w:tcW w:w="988" w:type="pct"/>
            <w:noWrap w:val="0"/>
            <w:vAlign w:val="center"/>
          </w:tcPr>
          <w:p w14:paraId="5F9F1F76">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r w14:paraId="4B91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pct"/>
            <w:shd w:val="clear" w:color="auto" w:fill="auto"/>
            <w:noWrap w:val="0"/>
            <w:vAlign w:val="center"/>
          </w:tcPr>
          <w:p w14:paraId="7D4C4AA7">
            <w:pPr>
              <w:keepNext w:val="0"/>
              <w:keepLines w:val="0"/>
              <w:widowControl/>
              <w:suppressLineNumbers w:val="0"/>
              <w:jc w:val="center"/>
              <w:textAlignment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bCs/>
                <w:i w:val="0"/>
                <w:iCs w:val="0"/>
                <w:color w:val="auto"/>
                <w:kern w:val="0"/>
                <w:sz w:val="24"/>
                <w:szCs w:val="24"/>
                <w:highlight w:val="none"/>
                <w:u w:val="none"/>
                <w:lang w:val="en-US" w:eastAsia="zh-CN" w:bidi="ar"/>
              </w:rPr>
              <w:t>（三）</w:t>
            </w:r>
          </w:p>
        </w:tc>
        <w:tc>
          <w:tcPr>
            <w:tcW w:w="3539" w:type="pct"/>
            <w:gridSpan w:val="5"/>
            <w:shd w:val="clear" w:color="auto" w:fill="auto"/>
            <w:noWrap w:val="0"/>
            <w:vAlign w:val="center"/>
          </w:tcPr>
          <w:p w14:paraId="042702F8">
            <w:pPr>
              <w:widowControl/>
              <w:jc w:val="center"/>
              <w:rPr>
                <w:rFonts w:hint="eastAsia" w:ascii="宋体" w:hAnsi="宋体" w:cs="宋体"/>
                <w:b/>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布展上岳保护站森林体验实践基地</w:t>
            </w:r>
            <w:r>
              <w:rPr>
                <w:rFonts w:hint="eastAsia" w:ascii="宋体" w:hAnsi="宋体" w:cs="宋体"/>
                <w:b/>
                <w:color w:val="auto"/>
                <w:sz w:val="24"/>
                <w:szCs w:val="24"/>
                <w:highlight w:val="none"/>
                <w:lang w:val="en-US" w:eastAsia="zh-CN"/>
              </w:rPr>
              <w:t>价格合计</w:t>
            </w:r>
          </w:p>
        </w:tc>
        <w:tc>
          <w:tcPr>
            <w:tcW w:w="988" w:type="pct"/>
            <w:shd w:val="clear" w:color="auto" w:fill="auto"/>
            <w:noWrap w:val="0"/>
            <w:vAlign w:val="center"/>
          </w:tcPr>
          <w:p w14:paraId="54C4F735">
            <w:pPr>
              <w:widowControl/>
              <w:jc w:val="center"/>
              <w:rPr>
                <w:rFonts w:hint="eastAsia" w:ascii="宋体" w:hAnsi="宋体" w:eastAsia="宋体" w:cs="Times New Roman"/>
                <w:i w:val="0"/>
                <w:iCs w:val="0"/>
                <w:color w:val="auto"/>
                <w:kern w:val="2"/>
                <w:sz w:val="24"/>
                <w:szCs w:val="24"/>
                <w:highlight w:val="none"/>
                <w:u w:val="none"/>
                <w:lang w:val="en-US" w:eastAsia="zh-CN" w:bidi="ar"/>
              </w:rPr>
            </w:pPr>
          </w:p>
        </w:tc>
      </w:tr>
    </w:tbl>
    <w:p w14:paraId="7B5E6026">
      <w:pPr>
        <w:numPr>
          <w:ilvl w:val="-1"/>
          <w:numId w:val="0"/>
        </w:numPr>
        <w:snapToGrid/>
        <w:spacing w:before="0" w:beforeLines="-2147483648" w:after="0"/>
        <w:ind w:left="0" w:leftChars="0" w:firstLine="0" w:firstLineChars="0"/>
        <w:jc w:val="left"/>
        <w:outlineLvl w:val="9"/>
        <w:rPr>
          <w:rFonts w:hint="eastAsia" w:ascii="宋体" w:hAnsi="宋体" w:cs="Times New Roman"/>
          <w:b/>
          <w:color w:val="auto"/>
          <w:kern w:val="2"/>
          <w:sz w:val="24"/>
          <w:szCs w:val="24"/>
          <w:highlight w:val="none"/>
          <w:lang w:val="en-US" w:eastAsia="zh-CN" w:bidi="ar-SA"/>
        </w:rPr>
      </w:pPr>
    </w:p>
    <w:p w14:paraId="54FC32D0">
      <w:pPr>
        <w:numPr>
          <w:ilvl w:val="-1"/>
          <w:numId w:val="0"/>
        </w:numPr>
        <w:snapToGrid/>
        <w:spacing w:before="0" w:beforeLines="-2147483648" w:after="0"/>
        <w:ind w:left="0" w:leftChars="0" w:firstLine="0" w:firstLineChars="0"/>
        <w:jc w:val="left"/>
        <w:outlineLvl w:val="9"/>
        <w:rPr>
          <w:rFonts w:hint="eastAsia" w:ascii="宋体" w:hAnsi="宋体" w:cs="Times New Roman"/>
          <w:b/>
          <w:color w:val="auto"/>
          <w:kern w:val="2"/>
          <w:sz w:val="24"/>
          <w:szCs w:val="24"/>
          <w:highlight w:val="none"/>
          <w:lang w:val="en-US" w:eastAsia="zh-CN" w:bidi="ar-SA"/>
        </w:rPr>
      </w:pPr>
    </w:p>
    <w:p w14:paraId="400BAAC7">
      <w:pPr>
        <w:snapToGrid w:val="0"/>
        <w:spacing w:line="360" w:lineRule="auto"/>
        <w:ind w:left="-2" w:leftChars="-1" w:right="-817" w:rightChars="-389"/>
        <w:rPr>
          <w:rFonts w:hint="eastAsia" w:ascii="宋体" w:hAnsi="宋体" w:eastAsia="宋体"/>
          <w:color w:val="auto"/>
          <w:sz w:val="24"/>
          <w:highlight w:val="none"/>
          <w:lang w:eastAsia="zh-CN"/>
        </w:rPr>
      </w:pPr>
      <w:r>
        <w:rPr>
          <w:rFonts w:hint="eastAsia" w:ascii="宋体" w:hAnsi="宋体"/>
          <w:color w:val="auto"/>
          <w:sz w:val="24"/>
          <w:highlight w:val="none"/>
        </w:rPr>
        <w:t>法定代表人或者委托代理人（签字或者电子签名）：</w:t>
      </w:r>
    </w:p>
    <w:p w14:paraId="4B0562A7">
      <w:pPr>
        <w:snapToGrid w:val="0"/>
        <w:spacing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投标人名称（电子签章）：</w:t>
      </w:r>
    </w:p>
    <w:p w14:paraId="2DA5C136">
      <w:pPr>
        <w:snapToGrid w:val="0"/>
        <w:spacing w:line="360" w:lineRule="auto"/>
        <w:ind w:left="-3" w:leftChars="-15" w:right="-817" w:rightChars="-389" w:hanging="28" w:hangingChars="12"/>
        <w:rPr>
          <w:rFonts w:hint="eastAsia" w:ascii="宋体" w:hAnsi="宋体"/>
          <w:color w:val="auto"/>
          <w:szCs w:val="21"/>
          <w:highlight w:val="none"/>
        </w:rPr>
      </w:pPr>
      <w:r>
        <w:rPr>
          <w:rFonts w:hint="eastAsia" w:ascii="宋体" w:hAnsi="宋体"/>
          <w:color w:val="auto"/>
          <w:sz w:val="24"/>
          <w:highlight w:val="none"/>
        </w:rPr>
        <w:t>日期：年月日</w:t>
      </w:r>
    </w:p>
    <w:p w14:paraId="20013063">
      <w:pPr>
        <w:numPr>
          <w:ilvl w:val="-1"/>
          <w:numId w:val="0"/>
        </w:numPr>
        <w:snapToGrid/>
        <w:spacing w:before="0" w:beforeLines="-2147483648" w:after="0"/>
        <w:ind w:left="0" w:leftChars="0" w:firstLine="0" w:firstLineChars="0"/>
        <w:jc w:val="left"/>
        <w:outlineLvl w:val="9"/>
        <w:rPr>
          <w:rFonts w:hint="eastAsia" w:ascii="宋体" w:hAnsi="宋体" w:cs="Times New Roman"/>
          <w:b/>
          <w:color w:val="auto"/>
          <w:kern w:val="2"/>
          <w:sz w:val="24"/>
          <w:szCs w:val="24"/>
          <w:highlight w:val="none"/>
          <w:lang w:val="en-US" w:eastAsia="zh-CN" w:bidi="ar-SA"/>
        </w:rPr>
      </w:pPr>
      <w:r>
        <w:rPr>
          <w:rFonts w:hint="eastAsia" w:ascii="宋体" w:hAnsi="宋体" w:cs="Times New Roman"/>
          <w:b/>
          <w:color w:val="auto"/>
          <w:kern w:val="2"/>
          <w:sz w:val="24"/>
          <w:szCs w:val="24"/>
          <w:highlight w:val="none"/>
          <w:lang w:val="en-US" w:eastAsia="zh-CN" w:bidi="ar-SA"/>
        </w:rPr>
        <w:br w:type="page"/>
      </w:r>
    </w:p>
    <w:p w14:paraId="240C1508">
      <w:pPr>
        <w:numPr>
          <w:ilvl w:val="2"/>
          <w:numId w:val="0"/>
        </w:numPr>
        <w:snapToGrid w:val="0"/>
        <w:spacing w:before="120" w:beforeLines="50" w:after="50"/>
        <w:ind w:left="0" w:leftChars="0" w:firstLine="0" w:firstLineChars="0"/>
        <w:jc w:val="left"/>
        <w:outlineLvl w:val="2"/>
        <w:rPr>
          <w:rFonts w:hint="eastAsia" w:ascii="宋体" w:hAnsi="宋体"/>
          <w:b/>
          <w:color w:val="auto"/>
          <w:sz w:val="24"/>
          <w:highlight w:val="none"/>
        </w:rPr>
      </w:pPr>
      <w:r>
        <w:rPr>
          <w:rFonts w:hint="eastAsia" w:ascii="宋体" w:hAnsi="宋体" w:cs="Times New Roman"/>
          <w:b/>
          <w:color w:val="auto"/>
          <w:kern w:val="2"/>
          <w:sz w:val="24"/>
          <w:szCs w:val="24"/>
          <w:highlight w:val="none"/>
          <w:lang w:val="en-US" w:eastAsia="zh-CN" w:bidi="ar-SA"/>
        </w:rPr>
        <w:t>5</w:t>
      </w:r>
      <w:r>
        <w:rPr>
          <w:rFonts w:hint="default" w:ascii="宋体" w:hAnsi="宋体" w:eastAsia="宋体" w:cs="Times New Roman"/>
          <w:b/>
          <w:color w:val="auto"/>
          <w:kern w:val="2"/>
          <w:sz w:val="24"/>
          <w:szCs w:val="24"/>
          <w:highlight w:val="none"/>
          <w:lang w:val="en-US" w:eastAsia="zh-CN" w:bidi="ar-SA"/>
        </w:rPr>
        <w:t>.</w:t>
      </w:r>
      <w:r>
        <w:rPr>
          <w:rFonts w:hint="eastAsia" w:ascii="宋体" w:hAnsi="宋体"/>
          <w:b/>
          <w:color w:val="auto"/>
          <w:sz w:val="24"/>
          <w:highlight w:val="none"/>
        </w:rPr>
        <w:t>中小企业声明函（服务）</w:t>
      </w:r>
    </w:p>
    <w:p w14:paraId="0D489FFF">
      <w:pPr>
        <w:snapToGrid w:val="0"/>
        <w:spacing w:before="120" w:beforeLines="50" w:after="50"/>
        <w:jc w:val="left"/>
        <w:rPr>
          <w:rFonts w:ascii="宋体" w:hAnsi="宋体"/>
          <w:b/>
          <w:color w:val="auto"/>
          <w:sz w:val="24"/>
          <w:highlight w:val="none"/>
        </w:rPr>
      </w:pPr>
    </w:p>
    <w:p w14:paraId="1EAD8621">
      <w:pPr>
        <w:spacing w:line="588" w:lineRule="exact"/>
        <w:jc w:val="center"/>
        <w:rPr>
          <w:rFonts w:hint="eastAsia" w:ascii="方正小标宋简体" w:hAnsi="方正小标宋简体" w:eastAsia="方正小标宋简体" w:cs="方正小标宋简体"/>
          <w:bCs/>
          <w:color w:val="auto"/>
          <w:spacing w:val="6"/>
          <w:sz w:val="44"/>
          <w:szCs w:val="44"/>
          <w:highlight w:val="none"/>
        </w:rPr>
      </w:pPr>
      <w:r>
        <w:rPr>
          <w:rFonts w:hint="eastAsia" w:ascii="方正小标宋简体" w:hAnsi="方正小标宋简体" w:eastAsia="方正小标宋简体" w:cs="方正小标宋简体"/>
          <w:bCs/>
          <w:color w:val="auto"/>
          <w:spacing w:val="6"/>
          <w:sz w:val="44"/>
          <w:szCs w:val="44"/>
          <w:highlight w:val="none"/>
        </w:rPr>
        <w:t>中小企业声明函（服务）</w:t>
      </w:r>
    </w:p>
    <w:p w14:paraId="7B3C68B8">
      <w:pPr>
        <w:spacing w:after="120"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服务全部由符合政策要求的中小企业承接。相关企业（含联合体中的中小企业、签订分包意向协议的中小企业）的具体情况如下：</w:t>
      </w:r>
    </w:p>
    <w:p w14:paraId="2406877F">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DFC9D90">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24A743D">
      <w:pPr>
        <w:spacing w:before="34" w:after="120" w:line="500" w:lineRule="exact"/>
        <w:ind w:right="142" w:firstLine="705" w:firstLineChars="294"/>
        <w:rPr>
          <w:rFonts w:hint="eastAsia" w:ascii="宋体" w:hAnsi="宋体" w:eastAsia="宋体"/>
          <w:color w:val="auto"/>
          <w:sz w:val="24"/>
          <w:highlight w:val="none"/>
          <w:lang w:eastAsia="zh-CN"/>
        </w:rPr>
      </w:pPr>
      <w:r>
        <w:rPr>
          <w:rFonts w:ascii="宋体" w:hAnsi="宋体"/>
          <w:color w:val="auto"/>
          <w:sz w:val="24"/>
          <w:highlight w:val="none"/>
        </w:rPr>
        <w:t>……</w:t>
      </w:r>
    </w:p>
    <w:p w14:paraId="0978BF73">
      <w:pPr>
        <w:spacing w:before="34" w:after="120"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015ACCE2">
      <w:pPr>
        <w:spacing w:before="25" w:after="120"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337E70E6">
      <w:pPr>
        <w:spacing w:before="56" w:after="120" w:line="500" w:lineRule="exact"/>
        <w:ind w:right="1808" w:firstLine="705" w:firstLineChars="294"/>
        <w:rPr>
          <w:rFonts w:ascii="宋体" w:hAnsi="宋体"/>
          <w:color w:val="auto"/>
          <w:sz w:val="24"/>
          <w:highlight w:val="none"/>
        </w:rPr>
      </w:pPr>
    </w:p>
    <w:p w14:paraId="4E886C96">
      <w:pPr>
        <w:spacing w:before="56" w:after="120" w:line="500" w:lineRule="exact"/>
        <w:ind w:right="650" w:firstLine="5625" w:firstLineChars="2344"/>
        <w:rPr>
          <w:rFonts w:hint="eastAsia" w:ascii="宋体" w:hAnsi="宋体" w:eastAsia="宋体"/>
          <w:color w:val="auto"/>
          <w:sz w:val="24"/>
          <w:highlight w:val="none"/>
          <w:lang w:eastAsia="zh-CN"/>
        </w:rPr>
      </w:pPr>
      <w:r>
        <w:rPr>
          <w:rFonts w:ascii="宋体" w:hAnsi="宋体"/>
          <w:color w:val="auto"/>
          <w:sz w:val="24"/>
          <w:highlight w:val="none"/>
        </w:rPr>
        <w:t>企业名称（章）：</w:t>
      </w:r>
    </w:p>
    <w:p w14:paraId="2EADA74F">
      <w:pPr>
        <w:spacing w:before="56" w:after="120" w:line="500" w:lineRule="exact"/>
        <w:ind w:right="1808" w:firstLine="5625" w:firstLineChars="2344"/>
        <w:rPr>
          <w:rFonts w:ascii="宋体" w:hAnsi="宋体"/>
          <w:color w:val="auto"/>
          <w:sz w:val="24"/>
          <w:highlight w:val="none"/>
        </w:rPr>
      </w:pPr>
      <w:r>
        <w:rPr>
          <w:rFonts w:ascii="宋体" w:hAnsi="宋体"/>
          <w:color w:val="auto"/>
          <w:sz w:val="24"/>
          <w:highlight w:val="none"/>
        </w:rPr>
        <w:t>日期：</w:t>
      </w:r>
    </w:p>
    <w:p w14:paraId="46DFA879">
      <w:pPr>
        <w:spacing w:line="520" w:lineRule="exact"/>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4A428EE">
      <w:pPr>
        <w:spacing w:line="520" w:lineRule="exact"/>
        <w:jc w:val="left"/>
        <w:rPr>
          <w:rFonts w:hint="eastAsia" w:ascii="宋体" w:hAnsi="宋体" w:cs="仿宋_GB2312"/>
          <w:color w:val="auto"/>
          <w:sz w:val="24"/>
          <w:highlight w:val="none"/>
        </w:rPr>
      </w:pPr>
    </w:p>
    <w:p w14:paraId="092C4A6D">
      <w:pPr>
        <w:spacing w:line="520" w:lineRule="exact"/>
        <w:jc w:val="left"/>
        <w:rPr>
          <w:rFonts w:hint="eastAsia" w:ascii="宋体" w:hAnsi="宋体" w:cs="仿宋_GB2312"/>
          <w:color w:val="auto"/>
          <w:sz w:val="24"/>
          <w:highlight w:val="none"/>
        </w:rPr>
      </w:pPr>
    </w:p>
    <w:p w14:paraId="5D666D8A">
      <w:pPr>
        <w:pStyle w:val="23"/>
        <w:rPr>
          <w:rFonts w:hint="eastAsia" w:ascii="宋体" w:hAnsi="宋体" w:cs="仿宋_GB2312"/>
          <w:color w:val="auto"/>
          <w:sz w:val="24"/>
          <w:highlight w:val="none"/>
        </w:rPr>
      </w:pPr>
    </w:p>
    <w:p w14:paraId="062DB336">
      <w:pPr>
        <w:pStyle w:val="23"/>
        <w:rPr>
          <w:rFonts w:hint="eastAsia" w:ascii="宋体" w:hAnsi="宋体" w:cs="仿宋_GB2312"/>
          <w:color w:val="auto"/>
          <w:sz w:val="24"/>
          <w:highlight w:val="none"/>
        </w:rPr>
      </w:pPr>
    </w:p>
    <w:p w14:paraId="546FB396">
      <w:pPr>
        <w:spacing w:line="520" w:lineRule="exact"/>
        <w:jc w:val="left"/>
        <w:rPr>
          <w:rFonts w:hint="eastAsia" w:ascii="宋体" w:hAnsi="宋体" w:cs="仿宋_GB2312"/>
          <w:color w:val="auto"/>
          <w:sz w:val="24"/>
          <w:highlight w:val="none"/>
        </w:rPr>
      </w:pPr>
    </w:p>
    <w:p w14:paraId="713579A2">
      <w:pPr>
        <w:kinsoku/>
        <w:topLinePunct/>
        <w:autoSpaceDE/>
        <w:autoSpaceDN/>
        <w:spacing w:line="528" w:lineRule="exact"/>
        <w:ind w:left="1871" w:right="86" w:rightChars="41" w:firstLine="800" w:firstLineChars="200"/>
        <w:rPr>
          <w:rFonts w:asci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4"/>
        <w:tblW w:w="9482" w:type="dxa"/>
        <w:tblInd w:w="250" w:type="dxa"/>
        <w:tblLayout w:type="fixed"/>
        <w:tblCellMar>
          <w:top w:w="0" w:type="dxa"/>
          <w:left w:w="108" w:type="dxa"/>
          <w:bottom w:w="0" w:type="dxa"/>
          <w:right w:w="108" w:type="dxa"/>
        </w:tblCellMar>
      </w:tblPr>
      <w:tblGrid>
        <w:gridCol w:w="1701"/>
        <w:gridCol w:w="2340"/>
        <w:gridCol w:w="996"/>
        <w:gridCol w:w="1677"/>
        <w:gridCol w:w="1664"/>
        <w:gridCol w:w="1104"/>
      </w:tblGrid>
      <w:tr w14:paraId="450F18B6">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ign w:val="center"/>
          </w:tcPr>
          <w:p w14:paraId="449861A3">
            <w:pPr>
              <w:kinsoku/>
              <w:topLinePunct/>
              <w:autoSpaceDE/>
              <w:autoSpaceDN/>
              <w:ind w:right="86" w:rightChars="41"/>
              <w:rPr>
                <w:rFonts w:ascii="宋体" w:cs="宋体"/>
                <w:b/>
                <w:color w:val="auto"/>
                <w:sz w:val="24"/>
                <w:highlight w:val="none"/>
              </w:rPr>
            </w:pPr>
            <w:r>
              <w:rPr>
                <w:rFonts w:hint="eastAsia" w:ascii="宋体" w:hAnsi="宋体" w:cs="宋体"/>
                <w:b/>
                <w:color w:val="auto"/>
                <w:sz w:val="24"/>
                <w:highlight w:val="none"/>
              </w:rPr>
              <w:t>行业名称</w:t>
            </w:r>
          </w:p>
        </w:tc>
        <w:tc>
          <w:tcPr>
            <w:tcW w:w="2340" w:type="dxa"/>
            <w:tcBorders>
              <w:top w:val="single" w:color="auto" w:sz="4" w:space="0"/>
              <w:left w:val="nil"/>
              <w:bottom w:val="single" w:color="auto" w:sz="4" w:space="0"/>
              <w:right w:val="single" w:color="auto" w:sz="4" w:space="0"/>
            </w:tcBorders>
            <w:noWrap/>
            <w:vAlign w:val="center"/>
          </w:tcPr>
          <w:p w14:paraId="5E4B81D5">
            <w:pPr>
              <w:kinsoku/>
              <w:topLinePunct/>
              <w:autoSpaceDE/>
              <w:autoSpaceDN/>
              <w:ind w:right="86" w:rightChars="41"/>
              <w:rPr>
                <w:rFonts w:ascii="宋体" w:cs="宋体"/>
                <w:b/>
                <w:color w:val="auto"/>
                <w:sz w:val="24"/>
                <w:highlight w:val="none"/>
              </w:rPr>
            </w:pPr>
            <w:r>
              <w:rPr>
                <w:rFonts w:hint="eastAsia" w:ascii="宋体" w:hAnsi="宋体" w:cs="宋体"/>
                <w:b/>
                <w:color w:val="auto"/>
                <w:sz w:val="24"/>
                <w:highlight w:val="none"/>
              </w:rPr>
              <w:t>指标名称</w:t>
            </w:r>
          </w:p>
        </w:tc>
        <w:tc>
          <w:tcPr>
            <w:tcW w:w="996" w:type="dxa"/>
            <w:tcBorders>
              <w:top w:val="single" w:color="auto" w:sz="4" w:space="0"/>
              <w:left w:val="nil"/>
              <w:bottom w:val="single" w:color="auto" w:sz="4" w:space="0"/>
              <w:right w:val="single" w:color="auto" w:sz="4" w:space="0"/>
            </w:tcBorders>
            <w:noWrap/>
            <w:vAlign w:val="center"/>
          </w:tcPr>
          <w:p w14:paraId="019A0225">
            <w:pPr>
              <w:kinsoku/>
              <w:topLinePunct/>
              <w:autoSpaceDE/>
              <w:autoSpaceDN/>
              <w:ind w:right="86" w:rightChars="41"/>
              <w:rPr>
                <w:rFonts w:ascii="宋体" w:cs="宋体"/>
                <w:b/>
                <w:color w:val="auto"/>
                <w:sz w:val="24"/>
                <w:highlight w:val="none"/>
              </w:rPr>
            </w:pPr>
            <w:r>
              <w:rPr>
                <w:rFonts w:hint="eastAsia" w:ascii="宋体" w:hAnsi="宋体" w:cs="宋体"/>
                <w:b/>
                <w:color w:val="auto"/>
                <w:sz w:val="24"/>
                <w:highlight w:val="none"/>
              </w:rPr>
              <w:t>计量单位</w:t>
            </w:r>
          </w:p>
        </w:tc>
        <w:tc>
          <w:tcPr>
            <w:tcW w:w="1677" w:type="dxa"/>
            <w:tcBorders>
              <w:top w:val="single" w:color="auto" w:sz="4" w:space="0"/>
              <w:left w:val="nil"/>
              <w:bottom w:val="single" w:color="auto" w:sz="4" w:space="0"/>
              <w:right w:val="single" w:color="auto" w:sz="4" w:space="0"/>
            </w:tcBorders>
            <w:noWrap/>
            <w:vAlign w:val="center"/>
          </w:tcPr>
          <w:p w14:paraId="4103FA5C">
            <w:pPr>
              <w:kinsoku/>
              <w:topLinePunct/>
              <w:autoSpaceDE/>
              <w:autoSpaceDN/>
              <w:ind w:right="86" w:rightChars="41"/>
              <w:rPr>
                <w:rFonts w:ascii="宋体" w:cs="宋体"/>
                <w:b/>
                <w:color w:val="auto"/>
                <w:sz w:val="24"/>
                <w:highlight w:val="none"/>
              </w:rPr>
            </w:pPr>
            <w:r>
              <w:rPr>
                <w:rFonts w:hint="eastAsia" w:ascii="宋体" w:hAnsi="宋体" w:cs="宋体"/>
                <w:b/>
                <w:color w:val="auto"/>
                <w:sz w:val="24"/>
                <w:highlight w:val="none"/>
              </w:rPr>
              <w:t>中型</w:t>
            </w:r>
          </w:p>
        </w:tc>
        <w:tc>
          <w:tcPr>
            <w:tcW w:w="1664" w:type="dxa"/>
            <w:tcBorders>
              <w:top w:val="single" w:color="auto" w:sz="4" w:space="0"/>
              <w:left w:val="nil"/>
              <w:bottom w:val="single" w:color="auto" w:sz="4" w:space="0"/>
              <w:right w:val="single" w:color="auto" w:sz="4" w:space="0"/>
            </w:tcBorders>
            <w:noWrap/>
            <w:vAlign w:val="center"/>
          </w:tcPr>
          <w:p w14:paraId="5AB82620">
            <w:pPr>
              <w:kinsoku/>
              <w:topLinePunct/>
              <w:autoSpaceDE/>
              <w:autoSpaceDN/>
              <w:ind w:right="86" w:rightChars="41"/>
              <w:rPr>
                <w:rFonts w:ascii="宋体" w:cs="宋体"/>
                <w:b/>
                <w:color w:val="auto"/>
                <w:sz w:val="24"/>
                <w:highlight w:val="none"/>
              </w:rPr>
            </w:pPr>
            <w:r>
              <w:rPr>
                <w:rFonts w:hint="eastAsia" w:ascii="宋体" w:hAnsi="宋体" w:cs="宋体"/>
                <w:b/>
                <w:color w:val="auto"/>
                <w:sz w:val="24"/>
                <w:highlight w:val="none"/>
              </w:rPr>
              <w:t>小型</w:t>
            </w:r>
          </w:p>
        </w:tc>
        <w:tc>
          <w:tcPr>
            <w:tcW w:w="1104" w:type="dxa"/>
            <w:tcBorders>
              <w:top w:val="single" w:color="auto" w:sz="4" w:space="0"/>
              <w:left w:val="nil"/>
              <w:bottom w:val="single" w:color="auto" w:sz="4" w:space="0"/>
              <w:right w:val="single" w:color="auto" w:sz="4" w:space="0"/>
            </w:tcBorders>
            <w:noWrap/>
            <w:vAlign w:val="center"/>
          </w:tcPr>
          <w:p w14:paraId="0B29D2D4">
            <w:pPr>
              <w:kinsoku/>
              <w:topLinePunct/>
              <w:autoSpaceDE/>
              <w:autoSpaceDN/>
              <w:ind w:right="86" w:rightChars="41"/>
              <w:rPr>
                <w:rFonts w:ascii="宋体" w:cs="宋体"/>
                <w:b/>
                <w:color w:val="auto"/>
                <w:sz w:val="24"/>
                <w:highlight w:val="none"/>
              </w:rPr>
            </w:pPr>
            <w:r>
              <w:rPr>
                <w:rFonts w:hint="eastAsia" w:ascii="宋体" w:hAnsi="宋体" w:cs="宋体"/>
                <w:b/>
                <w:color w:val="auto"/>
                <w:sz w:val="24"/>
                <w:highlight w:val="none"/>
              </w:rPr>
              <w:t>微型</w:t>
            </w:r>
          </w:p>
        </w:tc>
      </w:tr>
      <w:tr w14:paraId="5EA67195">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ign w:val="bottom"/>
          </w:tcPr>
          <w:p w14:paraId="07D1BC81">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农、林、牧、渔</w:t>
            </w:r>
          </w:p>
        </w:tc>
        <w:tc>
          <w:tcPr>
            <w:tcW w:w="2340" w:type="dxa"/>
            <w:tcBorders>
              <w:top w:val="nil"/>
              <w:left w:val="nil"/>
              <w:bottom w:val="single" w:color="auto" w:sz="4" w:space="0"/>
              <w:right w:val="single" w:color="auto" w:sz="4" w:space="0"/>
            </w:tcBorders>
            <w:noWrap/>
            <w:vAlign w:val="center"/>
          </w:tcPr>
          <w:p w14:paraId="31200C13">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0B1285C4">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1AAFD22D">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500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20000</w:t>
            </w:r>
          </w:p>
        </w:tc>
        <w:tc>
          <w:tcPr>
            <w:tcW w:w="1664" w:type="dxa"/>
            <w:tcBorders>
              <w:top w:val="nil"/>
              <w:left w:val="nil"/>
              <w:bottom w:val="single" w:color="auto" w:sz="4" w:space="0"/>
              <w:right w:val="single" w:color="auto" w:sz="4" w:space="0"/>
            </w:tcBorders>
            <w:noWrap/>
            <w:vAlign w:val="center"/>
          </w:tcPr>
          <w:p w14:paraId="1FA3C3E8">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50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500</w:t>
            </w:r>
          </w:p>
        </w:tc>
        <w:tc>
          <w:tcPr>
            <w:tcW w:w="1104" w:type="dxa"/>
            <w:tcBorders>
              <w:top w:val="nil"/>
              <w:left w:val="nil"/>
              <w:bottom w:val="single" w:color="auto" w:sz="4" w:space="0"/>
              <w:right w:val="single" w:color="auto" w:sz="4" w:space="0"/>
            </w:tcBorders>
            <w:noWrap/>
            <w:vAlign w:val="center"/>
          </w:tcPr>
          <w:p w14:paraId="2E365ACA">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50</w:t>
            </w:r>
          </w:p>
        </w:tc>
      </w:tr>
      <w:tr w14:paraId="4479B4E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2A86403D">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工业</w:t>
            </w:r>
          </w:p>
        </w:tc>
        <w:tc>
          <w:tcPr>
            <w:tcW w:w="2340" w:type="dxa"/>
            <w:tcBorders>
              <w:top w:val="nil"/>
              <w:left w:val="nil"/>
              <w:bottom w:val="single" w:color="auto" w:sz="4" w:space="0"/>
              <w:right w:val="single" w:color="auto" w:sz="4" w:space="0"/>
            </w:tcBorders>
            <w:noWrap/>
            <w:vAlign w:val="center"/>
          </w:tcPr>
          <w:p w14:paraId="156AF8A3">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17C4C805">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1E364677">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300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1000</w:t>
            </w:r>
          </w:p>
        </w:tc>
        <w:tc>
          <w:tcPr>
            <w:tcW w:w="1664" w:type="dxa"/>
            <w:tcBorders>
              <w:top w:val="nil"/>
              <w:left w:val="nil"/>
              <w:bottom w:val="single" w:color="auto" w:sz="4" w:space="0"/>
              <w:right w:val="single" w:color="auto" w:sz="4" w:space="0"/>
            </w:tcBorders>
            <w:noWrap/>
            <w:vAlign w:val="center"/>
          </w:tcPr>
          <w:p w14:paraId="2CFFB50A">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20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c>
          <w:tcPr>
            <w:tcW w:w="1104" w:type="dxa"/>
            <w:tcBorders>
              <w:top w:val="nil"/>
              <w:left w:val="nil"/>
              <w:bottom w:val="single" w:color="auto" w:sz="4" w:space="0"/>
              <w:right w:val="single" w:color="auto" w:sz="4" w:space="0"/>
            </w:tcBorders>
            <w:noWrap/>
            <w:vAlign w:val="center"/>
          </w:tcPr>
          <w:p w14:paraId="6C625835">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20</w:t>
            </w:r>
          </w:p>
        </w:tc>
      </w:tr>
      <w:tr w14:paraId="00F5833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5B81A7FA">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0DEB2C1A">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6154CEE8">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4EF806B6">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2000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40000</w:t>
            </w:r>
          </w:p>
        </w:tc>
        <w:tc>
          <w:tcPr>
            <w:tcW w:w="1664" w:type="dxa"/>
            <w:tcBorders>
              <w:top w:val="nil"/>
              <w:left w:val="nil"/>
              <w:bottom w:val="single" w:color="auto" w:sz="4" w:space="0"/>
              <w:right w:val="single" w:color="auto" w:sz="4" w:space="0"/>
            </w:tcBorders>
            <w:noWrap/>
            <w:vAlign w:val="center"/>
          </w:tcPr>
          <w:p w14:paraId="0B2F9F66">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300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2000</w:t>
            </w:r>
          </w:p>
        </w:tc>
        <w:tc>
          <w:tcPr>
            <w:tcW w:w="1104" w:type="dxa"/>
            <w:tcBorders>
              <w:top w:val="nil"/>
              <w:left w:val="nil"/>
              <w:bottom w:val="single" w:color="auto" w:sz="4" w:space="0"/>
              <w:right w:val="single" w:color="auto" w:sz="4" w:space="0"/>
            </w:tcBorders>
            <w:noWrap/>
            <w:vAlign w:val="center"/>
          </w:tcPr>
          <w:p w14:paraId="39538A61">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r>
      <w:tr w14:paraId="6DA5D00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0DE808B6">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建筑业</w:t>
            </w:r>
          </w:p>
        </w:tc>
        <w:tc>
          <w:tcPr>
            <w:tcW w:w="2340" w:type="dxa"/>
            <w:tcBorders>
              <w:top w:val="nil"/>
              <w:left w:val="nil"/>
              <w:bottom w:val="single" w:color="auto" w:sz="4" w:space="0"/>
              <w:right w:val="single" w:color="auto" w:sz="4" w:space="0"/>
            </w:tcBorders>
            <w:noWrap/>
            <w:vAlign w:val="center"/>
          </w:tcPr>
          <w:p w14:paraId="6A2477E0">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62B493AB">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487AB9EB">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6000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80000</w:t>
            </w:r>
          </w:p>
        </w:tc>
        <w:tc>
          <w:tcPr>
            <w:tcW w:w="1664" w:type="dxa"/>
            <w:tcBorders>
              <w:top w:val="nil"/>
              <w:left w:val="nil"/>
              <w:bottom w:val="single" w:color="auto" w:sz="4" w:space="0"/>
              <w:right w:val="single" w:color="auto" w:sz="4" w:space="0"/>
            </w:tcBorders>
            <w:noWrap/>
            <w:vAlign w:val="center"/>
          </w:tcPr>
          <w:p w14:paraId="2010D8F2">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300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6000</w:t>
            </w:r>
          </w:p>
        </w:tc>
        <w:tc>
          <w:tcPr>
            <w:tcW w:w="1104" w:type="dxa"/>
            <w:tcBorders>
              <w:top w:val="nil"/>
              <w:left w:val="nil"/>
              <w:bottom w:val="single" w:color="auto" w:sz="4" w:space="0"/>
              <w:right w:val="single" w:color="auto" w:sz="4" w:space="0"/>
            </w:tcBorders>
            <w:noWrap/>
            <w:vAlign w:val="center"/>
          </w:tcPr>
          <w:p w14:paraId="628AD846">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r>
      <w:tr w14:paraId="0BB3945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28B3A021">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19B43DDB">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资产总额（</w:t>
            </w:r>
            <w:r>
              <w:rPr>
                <w:rFonts w:ascii="宋体" w:hAnsi="宋体" w:cs="宋体"/>
                <w:color w:val="auto"/>
                <w:sz w:val="18"/>
                <w:szCs w:val="18"/>
                <w:highlight w:val="none"/>
              </w:rPr>
              <w:t>Z</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5DA9910E">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5AE3C44E">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5000</w:t>
            </w:r>
            <w:r>
              <w:rPr>
                <w:rFonts w:hint="eastAsia" w:ascii="宋体" w:hAnsi="宋体" w:cs="宋体"/>
                <w:color w:val="auto"/>
                <w:sz w:val="18"/>
                <w:szCs w:val="18"/>
                <w:highlight w:val="none"/>
              </w:rPr>
              <w:t>≤</w:t>
            </w:r>
            <w:r>
              <w:rPr>
                <w:rFonts w:ascii="宋体" w:hAnsi="宋体" w:cs="宋体"/>
                <w:color w:val="auto"/>
                <w:sz w:val="18"/>
                <w:szCs w:val="18"/>
                <w:highlight w:val="none"/>
              </w:rPr>
              <w:t>Z</w:t>
            </w:r>
            <w:r>
              <w:rPr>
                <w:rFonts w:hint="eastAsia" w:ascii="宋体" w:hAnsi="宋体" w:cs="宋体"/>
                <w:color w:val="auto"/>
                <w:sz w:val="18"/>
                <w:szCs w:val="18"/>
                <w:highlight w:val="none"/>
              </w:rPr>
              <w:t>＜</w:t>
            </w:r>
            <w:r>
              <w:rPr>
                <w:rFonts w:ascii="宋体" w:hAnsi="宋体" w:cs="宋体"/>
                <w:color w:val="auto"/>
                <w:sz w:val="18"/>
                <w:szCs w:val="18"/>
                <w:highlight w:val="none"/>
              </w:rPr>
              <w:t>80000</w:t>
            </w:r>
          </w:p>
        </w:tc>
        <w:tc>
          <w:tcPr>
            <w:tcW w:w="1664" w:type="dxa"/>
            <w:tcBorders>
              <w:top w:val="nil"/>
              <w:left w:val="nil"/>
              <w:bottom w:val="single" w:color="auto" w:sz="4" w:space="0"/>
              <w:right w:val="single" w:color="auto" w:sz="4" w:space="0"/>
            </w:tcBorders>
            <w:noWrap/>
            <w:vAlign w:val="center"/>
          </w:tcPr>
          <w:p w14:paraId="287E92E8">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300</w:t>
            </w:r>
            <w:r>
              <w:rPr>
                <w:rFonts w:hint="eastAsia" w:ascii="宋体" w:hAnsi="宋体" w:cs="宋体"/>
                <w:color w:val="auto"/>
                <w:sz w:val="18"/>
                <w:szCs w:val="18"/>
                <w:highlight w:val="none"/>
              </w:rPr>
              <w:t>≤</w:t>
            </w:r>
            <w:r>
              <w:rPr>
                <w:rFonts w:ascii="宋体" w:hAnsi="宋体" w:cs="宋体"/>
                <w:color w:val="auto"/>
                <w:sz w:val="18"/>
                <w:szCs w:val="18"/>
                <w:highlight w:val="none"/>
              </w:rPr>
              <w:t>Z</w:t>
            </w:r>
            <w:r>
              <w:rPr>
                <w:rFonts w:hint="eastAsia" w:ascii="宋体" w:hAnsi="宋体" w:cs="宋体"/>
                <w:color w:val="auto"/>
                <w:sz w:val="18"/>
                <w:szCs w:val="18"/>
                <w:highlight w:val="none"/>
              </w:rPr>
              <w:t>＜</w:t>
            </w:r>
            <w:r>
              <w:rPr>
                <w:rFonts w:ascii="宋体" w:hAnsi="宋体" w:cs="宋体"/>
                <w:color w:val="auto"/>
                <w:sz w:val="18"/>
                <w:szCs w:val="18"/>
                <w:highlight w:val="none"/>
              </w:rPr>
              <w:t>5000</w:t>
            </w:r>
          </w:p>
        </w:tc>
        <w:tc>
          <w:tcPr>
            <w:tcW w:w="1104" w:type="dxa"/>
            <w:tcBorders>
              <w:top w:val="nil"/>
              <w:left w:val="nil"/>
              <w:bottom w:val="single" w:color="auto" w:sz="4" w:space="0"/>
              <w:right w:val="single" w:color="auto" w:sz="4" w:space="0"/>
            </w:tcBorders>
            <w:noWrap/>
            <w:vAlign w:val="center"/>
          </w:tcPr>
          <w:p w14:paraId="07EC0794">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Z</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r>
      <w:tr w14:paraId="108722A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64108680">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批发业</w:t>
            </w:r>
          </w:p>
        </w:tc>
        <w:tc>
          <w:tcPr>
            <w:tcW w:w="2340" w:type="dxa"/>
            <w:tcBorders>
              <w:top w:val="nil"/>
              <w:left w:val="nil"/>
              <w:bottom w:val="single" w:color="auto" w:sz="4" w:space="0"/>
              <w:right w:val="single" w:color="auto" w:sz="4" w:space="0"/>
            </w:tcBorders>
            <w:noWrap/>
            <w:vAlign w:val="center"/>
          </w:tcPr>
          <w:p w14:paraId="7800344D">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32F5BD31">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45E14CBD">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20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200</w:t>
            </w:r>
          </w:p>
        </w:tc>
        <w:tc>
          <w:tcPr>
            <w:tcW w:w="1664" w:type="dxa"/>
            <w:tcBorders>
              <w:top w:val="nil"/>
              <w:left w:val="nil"/>
              <w:bottom w:val="single" w:color="auto" w:sz="4" w:space="0"/>
              <w:right w:val="single" w:color="auto" w:sz="4" w:space="0"/>
            </w:tcBorders>
            <w:noWrap/>
            <w:vAlign w:val="center"/>
          </w:tcPr>
          <w:p w14:paraId="674415F6">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5</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20</w:t>
            </w:r>
          </w:p>
        </w:tc>
        <w:tc>
          <w:tcPr>
            <w:tcW w:w="1104" w:type="dxa"/>
            <w:tcBorders>
              <w:top w:val="nil"/>
              <w:left w:val="nil"/>
              <w:bottom w:val="single" w:color="auto" w:sz="4" w:space="0"/>
              <w:right w:val="single" w:color="auto" w:sz="4" w:space="0"/>
            </w:tcBorders>
            <w:noWrap/>
            <w:vAlign w:val="center"/>
          </w:tcPr>
          <w:p w14:paraId="72D3CB34">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5</w:t>
            </w:r>
          </w:p>
        </w:tc>
      </w:tr>
      <w:tr w14:paraId="5B0A4C1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6C8FCA19">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39BEBCB6">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0A7F6410">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6818B5F9">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5000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40000</w:t>
            </w:r>
          </w:p>
        </w:tc>
        <w:tc>
          <w:tcPr>
            <w:tcW w:w="1664" w:type="dxa"/>
            <w:tcBorders>
              <w:top w:val="nil"/>
              <w:left w:val="nil"/>
              <w:bottom w:val="single" w:color="auto" w:sz="4" w:space="0"/>
              <w:right w:val="single" w:color="auto" w:sz="4" w:space="0"/>
            </w:tcBorders>
            <w:noWrap/>
            <w:vAlign w:val="center"/>
          </w:tcPr>
          <w:p w14:paraId="2400C250">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5000</w:t>
            </w:r>
          </w:p>
        </w:tc>
        <w:tc>
          <w:tcPr>
            <w:tcW w:w="1104" w:type="dxa"/>
            <w:tcBorders>
              <w:top w:val="nil"/>
              <w:left w:val="nil"/>
              <w:bottom w:val="single" w:color="auto" w:sz="4" w:space="0"/>
              <w:right w:val="single" w:color="auto" w:sz="4" w:space="0"/>
            </w:tcBorders>
            <w:noWrap/>
            <w:vAlign w:val="center"/>
          </w:tcPr>
          <w:p w14:paraId="386473DD">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1000</w:t>
            </w:r>
          </w:p>
        </w:tc>
      </w:tr>
      <w:tr w14:paraId="1F290A3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4DBAB4C">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零售业</w:t>
            </w:r>
          </w:p>
        </w:tc>
        <w:tc>
          <w:tcPr>
            <w:tcW w:w="2340" w:type="dxa"/>
            <w:tcBorders>
              <w:top w:val="nil"/>
              <w:left w:val="nil"/>
              <w:bottom w:val="single" w:color="auto" w:sz="4" w:space="0"/>
              <w:right w:val="single" w:color="auto" w:sz="4" w:space="0"/>
            </w:tcBorders>
            <w:noWrap/>
            <w:vAlign w:val="center"/>
          </w:tcPr>
          <w:p w14:paraId="46FDF804">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2217014B">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1A69753B">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50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c>
          <w:tcPr>
            <w:tcW w:w="1664" w:type="dxa"/>
            <w:tcBorders>
              <w:top w:val="nil"/>
              <w:left w:val="nil"/>
              <w:bottom w:val="single" w:color="auto" w:sz="4" w:space="0"/>
              <w:right w:val="single" w:color="auto" w:sz="4" w:space="0"/>
            </w:tcBorders>
            <w:noWrap/>
            <w:vAlign w:val="center"/>
          </w:tcPr>
          <w:p w14:paraId="55E45542">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50</w:t>
            </w:r>
          </w:p>
        </w:tc>
        <w:tc>
          <w:tcPr>
            <w:tcW w:w="1104" w:type="dxa"/>
            <w:tcBorders>
              <w:top w:val="nil"/>
              <w:left w:val="nil"/>
              <w:bottom w:val="single" w:color="auto" w:sz="4" w:space="0"/>
              <w:right w:val="single" w:color="auto" w:sz="4" w:space="0"/>
            </w:tcBorders>
            <w:noWrap/>
            <w:vAlign w:val="center"/>
          </w:tcPr>
          <w:p w14:paraId="4F3C662E">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w:t>
            </w:r>
          </w:p>
        </w:tc>
      </w:tr>
      <w:tr w14:paraId="6A8CFD8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31622E59">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35BFBCA4">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1B144E49">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7C650C20">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500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20000</w:t>
            </w:r>
          </w:p>
        </w:tc>
        <w:tc>
          <w:tcPr>
            <w:tcW w:w="1664" w:type="dxa"/>
            <w:tcBorders>
              <w:top w:val="nil"/>
              <w:left w:val="nil"/>
              <w:bottom w:val="single" w:color="auto" w:sz="4" w:space="0"/>
              <w:right w:val="single" w:color="auto" w:sz="4" w:space="0"/>
            </w:tcBorders>
            <w:noWrap/>
            <w:vAlign w:val="center"/>
          </w:tcPr>
          <w:p w14:paraId="360F0D12">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500</w:t>
            </w:r>
          </w:p>
        </w:tc>
        <w:tc>
          <w:tcPr>
            <w:tcW w:w="1104" w:type="dxa"/>
            <w:tcBorders>
              <w:top w:val="nil"/>
              <w:left w:val="nil"/>
              <w:bottom w:val="single" w:color="auto" w:sz="4" w:space="0"/>
              <w:right w:val="single" w:color="auto" w:sz="4" w:space="0"/>
            </w:tcBorders>
            <w:noWrap/>
            <w:vAlign w:val="center"/>
          </w:tcPr>
          <w:p w14:paraId="44425492">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r>
      <w:tr w14:paraId="2491AA4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151871AB">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交通运输业</w:t>
            </w:r>
          </w:p>
        </w:tc>
        <w:tc>
          <w:tcPr>
            <w:tcW w:w="2340" w:type="dxa"/>
            <w:tcBorders>
              <w:top w:val="nil"/>
              <w:left w:val="nil"/>
              <w:bottom w:val="single" w:color="auto" w:sz="4" w:space="0"/>
              <w:right w:val="single" w:color="auto" w:sz="4" w:space="0"/>
            </w:tcBorders>
            <w:noWrap/>
            <w:vAlign w:val="center"/>
          </w:tcPr>
          <w:p w14:paraId="04F562C8">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1CE4550A">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1748059C">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300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1000</w:t>
            </w:r>
          </w:p>
        </w:tc>
        <w:tc>
          <w:tcPr>
            <w:tcW w:w="1664" w:type="dxa"/>
            <w:tcBorders>
              <w:top w:val="nil"/>
              <w:left w:val="nil"/>
              <w:bottom w:val="single" w:color="auto" w:sz="4" w:space="0"/>
              <w:right w:val="single" w:color="auto" w:sz="4" w:space="0"/>
            </w:tcBorders>
            <w:noWrap/>
            <w:vAlign w:val="center"/>
          </w:tcPr>
          <w:p w14:paraId="5C226082">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20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c>
          <w:tcPr>
            <w:tcW w:w="1104" w:type="dxa"/>
            <w:tcBorders>
              <w:top w:val="nil"/>
              <w:left w:val="nil"/>
              <w:bottom w:val="single" w:color="auto" w:sz="4" w:space="0"/>
              <w:right w:val="single" w:color="auto" w:sz="4" w:space="0"/>
            </w:tcBorders>
            <w:noWrap/>
            <w:vAlign w:val="center"/>
          </w:tcPr>
          <w:p w14:paraId="7887A871">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20</w:t>
            </w:r>
          </w:p>
        </w:tc>
      </w:tr>
      <w:tr w14:paraId="217E6A0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38B4F393">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5B0E35AE">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0CE5D7B4">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2F7A3CAD">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3000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30000</w:t>
            </w:r>
          </w:p>
        </w:tc>
        <w:tc>
          <w:tcPr>
            <w:tcW w:w="1664" w:type="dxa"/>
            <w:tcBorders>
              <w:top w:val="nil"/>
              <w:left w:val="nil"/>
              <w:bottom w:val="single" w:color="auto" w:sz="4" w:space="0"/>
              <w:right w:val="single" w:color="auto" w:sz="4" w:space="0"/>
            </w:tcBorders>
            <w:noWrap/>
            <w:vAlign w:val="center"/>
          </w:tcPr>
          <w:p w14:paraId="74AA8140">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200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3000</w:t>
            </w:r>
          </w:p>
        </w:tc>
        <w:tc>
          <w:tcPr>
            <w:tcW w:w="1104" w:type="dxa"/>
            <w:tcBorders>
              <w:top w:val="nil"/>
              <w:left w:val="nil"/>
              <w:bottom w:val="single" w:color="auto" w:sz="4" w:space="0"/>
              <w:right w:val="single" w:color="auto" w:sz="4" w:space="0"/>
            </w:tcBorders>
            <w:noWrap/>
            <w:vAlign w:val="center"/>
          </w:tcPr>
          <w:p w14:paraId="0F6D4DCE">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200</w:t>
            </w:r>
          </w:p>
        </w:tc>
      </w:tr>
      <w:tr w14:paraId="07DFFB9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4AE3FEA">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仓储业</w:t>
            </w:r>
          </w:p>
        </w:tc>
        <w:tc>
          <w:tcPr>
            <w:tcW w:w="2340" w:type="dxa"/>
            <w:tcBorders>
              <w:top w:val="nil"/>
              <w:left w:val="nil"/>
              <w:bottom w:val="single" w:color="auto" w:sz="4" w:space="0"/>
              <w:right w:val="single" w:color="auto" w:sz="4" w:space="0"/>
            </w:tcBorders>
            <w:noWrap/>
            <w:vAlign w:val="center"/>
          </w:tcPr>
          <w:p w14:paraId="6D9E99FB">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63366065">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14099800">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200</w:t>
            </w:r>
          </w:p>
        </w:tc>
        <w:tc>
          <w:tcPr>
            <w:tcW w:w="1664" w:type="dxa"/>
            <w:tcBorders>
              <w:top w:val="nil"/>
              <w:left w:val="nil"/>
              <w:bottom w:val="single" w:color="auto" w:sz="4" w:space="0"/>
              <w:right w:val="single" w:color="auto" w:sz="4" w:space="0"/>
            </w:tcBorders>
            <w:noWrap/>
            <w:vAlign w:val="center"/>
          </w:tcPr>
          <w:p w14:paraId="19F206B0">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20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c>
          <w:tcPr>
            <w:tcW w:w="1104" w:type="dxa"/>
            <w:tcBorders>
              <w:top w:val="nil"/>
              <w:left w:val="nil"/>
              <w:bottom w:val="single" w:color="auto" w:sz="4" w:space="0"/>
              <w:right w:val="single" w:color="auto" w:sz="4" w:space="0"/>
            </w:tcBorders>
            <w:noWrap/>
            <w:vAlign w:val="center"/>
          </w:tcPr>
          <w:p w14:paraId="77C75741">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20</w:t>
            </w:r>
          </w:p>
        </w:tc>
      </w:tr>
      <w:tr w14:paraId="2B8033A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265CD2D8">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06139633">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39C122F2">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6627F0BE">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30000</w:t>
            </w:r>
          </w:p>
        </w:tc>
        <w:tc>
          <w:tcPr>
            <w:tcW w:w="1664" w:type="dxa"/>
            <w:tcBorders>
              <w:top w:val="nil"/>
              <w:left w:val="nil"/>
              <w:bottom w:val="single" w:color="auto" w:sz="4" w:space="0"/>
              <w:right w:val="single" w:color="auto" w:sz="4" w:space="0"/>
            </w:tcBorders>
            <w:noWrap/>
            <w:vAlign w:val="center"/>
          </w:tcPr>
          <w:p w14:paraId="390DB143">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1000</w:t>
            </w:r>
          </w:p>
        </w:tc>
        <w:tc>
          <w:tcPr>
            <w:tcW w:w="1104" w:type="dxa"/>
            <w:tcBorders>
              <w:top w:val="nil"/>
              <w:left w:val="nil"/>
              <w:bottom w:val="single" w:color="auto" w:sz="4" w:space="0"/>
              <w:right w:val="single" w:color="auto" w:sz="4" w:space="0"/>
            </w:tcBorders>
            <w:noWrap/>
            <w:vAlign w:val="center"/>
          </w:tcPr>
          <w:p w14:paraId="43A28AF1">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r>
      <w:tr w14:paraId="6E5EFA2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CF4E2CE">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邮政业</w:t>
            </w:r>
          </w:p>
        </w:tc>
        <w:tc>
          <w:tcPr>
            <w:tcW w:w="2340" w:type="dxa"/>
            <w:tcBorders>
              <w:top w:val="nil"/>
              <w:left w:val="nil"/>
              <w:bottom w:val="single" w:color="auto" w:sz="4" w:space="0"/>
              <w:right w:val="single" w:color="auto" w:sz="4" w:space="0"/>
            </w:tcBorders>
            <w:noWrap/>
            <w:vAlign w:val="center"/>
          </w:tcPr>
          <w:p w14:paraId="39A1F19A">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320AD872">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5AAA96A7">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300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1000</w:t>
            </w:r>
          </w:p>
        </w:tc>
        <w:tc>
          <w:tcPr>
            <w:tcW w:w="1664" w:type="dxa"/>
            <w:tcBorders>
              <w:top w:val="nil"/>
              <w:left w:val="nil"/>
              <w:bottom w:val="single" w:color="auto" w:sz="4" w:space="0"/>
              <w:right w:val="single" w:color="auto" w:sz="4" w:space="0"/>
            </w:tcBorders>
            <w:noWrap/>
            <w:vAlign w:val="center"/>
          </w:tcPr>
          <w:p w14:paraId="0B7E3BB4">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20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c>
          <w:tcPr>
            <w:tcW w:w="1104" w:type="dxa"/>
            <w:tcBorders>
              <w:top w:val="nil"/>
              <w:left w:val="nil"/>
              <w:bottom w:val="single" w:color="auto" w:sz="4" w:space="0"/>
              <w:right w:val="single" w:color="auto" w:sz="4" w:space="0"/>
            </w:tcBorders>
            <w:noWrap/>
            <w:vAlign w:val="center"/>
          </w:tcPr>
          <w:p w14:paraId="76466EF0">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20</w:t>
            </w:r>
          </w:p>
        </w:tc>
      </w:tr>
      <w:tr w14:paraId="6EC71B3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37E28A27">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5A14EF75">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523BB6FF">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6781BCB9">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2000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30000</w:t>
            </w:r>
          </w:p>
        </w:tc>
        <w:tc>
          <w:tcPr>
            <w:tcW w:w="1664" w:type="dxa"/>
            <w:tcBorders>
              <w:top w:val="nil"/>
              <w:left w:val="nil"/>
              <w:bottom w:val="single" w:color="auto" w:sz="4" w:space="0"/>
              <w:right w:val="single" w:color="auto" w:sz="4" w:space="0"/>
            </w:tcBorders>
            <w:noWrap/>
            <w:vAlign w:val="center"/>
          </w:tcPr>
          <w:p w14:paraId="7AB08875">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2000</w:t>
            </w:r>
          </w:p>
        </w:tc>
        <w:tc>
          <w:tcPr>
            <w:tcW w:w="1104" w:type="dxa"/>
            <w:tcBorders>
              <w:top w:val="nil"/>
              <w:left w:val="nil"/>
              <w:bottom w:val="single" w:color="auto" w:sz="4" w:space="0"/>
              <w:right w:val="single" w:color="auto" w:sz="4" w:space="0"/>
            </w:tcBorders>
            <w:noWrap/>
            <w:vAlign w:val="center"/>
          </w:tcPr>
          <w:p w14:paraId="2140BA26">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r>
      <w:tr w14:paraId="39327E4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4F08E02D">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住宿业</w:t>
            </w:r>
          </w:p>
        </w:tc>
        <w:tc>
          <w:tcPr>
            <w:tcW w:w="2340" w:type="dxa"/>
            <w:tcBorders>
              <w:top w:val="nil"/>
              <w:left w:val="nil"/>
              <w:bottom w:val="single" w:color="auto" w:sz="4" w:space="0"/>
              <w:right w:val="single" w:color="auto" w:sz="4" w:space="0"/>
            </w:tcBorders>
            <w:noWrap/>
            <w:vAlign w:val="center"/>
          </w:tcPr>
          <w:p w14:paraId="268DAACB">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6D0D6EED">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40BE9188">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c>
          <w:tcPr>
            <w:tcW w:w="1664" w:type="dxa"/>
            <w:tcBorders>
              <w:top w:val="nil"/>
              <w:left w:val="nil"/>
              <w:bottom w:val="single" w:color="auto" w:sz="4" w:space="0"/>
              <w:right w:val="single" w:color="auto" w:sz="4" w:space="0"/>
            </w:tcBorders>
            <w:noWrap/>
            <w:vAlign w:val="center"/>
          </w:tcPr>
          <w:p w14:paraId="7575DC7E">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c>
          <w:tcPr>
            <w:tcW w:w="1104" w:type="dxa"/>
            <w:tcBorders>
              <w:top w:val="nil"/>
              <w:left w:val="nil"/>
              <w:bottom w:val="single" w:color="auto" w:sz="4" w:space="0"/>
              <w:right w:val="single" w:color="auto" w:sz="4" w:space="0"/>
            </w:tcBorders>
            <w:noWrap/>
            <w:vAlign w:val="center"/>
          </w:tcPr>
          <w:p w14:paraId="7132331F">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w:t>
            </w:r>
          </w:p>
        </w:tc>
      </w:tr>
      <w:tr w14:paraId="7539D53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4DAFB99F">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006FDC9A">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67611D88">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53E8A6CC">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2000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10000</w:t>
            </w:r>
          </w:p>
        </w:tc>
        <w:tc>
          <w:tcPr>
            <w:tcW w:w="1664" w:type="dxa"/>
            <w:tcBorders>
              <w:top w:val="nil"/>
              <w:left w:val="nil"/>
              <w:bottom w:val="single" w:color="auto" w:sz="4" w:space="0"/>
              <w:right w:val="single" w:color="auto" w:sz="4" w:space="0"/>
            </w:tcBorders>
            <w:noWrap/>
            <w:vAlign w:val="center"/>
          </w:tcPr>
          <w:p w14:paraId="44E96242">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2000</w:t>
            </w:r>
          </w:p>
        </w:tc>
        <w:tc>
          <w:tcPr>
            <w:tcW w:w="1104" w:type="dxa"/>
            <w:tcBorders>
              <w:top w:val="nil"/>
              <w:left w:val="nil"/>
              <w:bottom w:val="single" w:color="auto" w:sz="4" w:space="0"/>
              <w:right w:val="single" w:color="auto" w:sz="4" w:space="0"/>
            </w:tcBorders>
            <w:noWrap/>
            <w:vAlign w:val="center"/>
          </w:tcPr>
          <w:p w14:paraId="34658B9F">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r>
      <w:tr w14:paraId="5EA21C8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2F99FCD">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餐饮业</w:t>
            </w:r>
          </w:p>
        </w:tc>
        <w:tc>
          <w:tcPr>
            <w:tcW w:w="2340" w:type="dxa"/>
            <w:tcBorders>
              <w:top w:val="nil"/>
              <w:left w:val="nil"/>
              <w:bottom w:val="single" w:color="auto" w:sz="4" w:space="0"/>
              <w:right w:val="single" w:color="auto" w:sz="4" w:space="0"/>
            </w:tcBorders>
            <w:noWrap/>
            <w:vAlign w:val="center"/>
          </w:tcPr>
          <w:p w14:paraId="19EDAA0F">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57199E38">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708D1776">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c>
          <w:tcPr>
            <w:tcW w:w="1664" w:type="dxa"/>
            <w:tcBorders>
              <w:top w:val="nil"/>
              <w:left w:val="nil"/>
              <w:bottom w:val="single" w:color="auto" w:sz="4" w:space="0"/>
              <w:right w:val="single" w:color="auto" w:sz="4" w:space="0"/>
            </w:tcBorders>
            <w:noWrap/>
            <w:vAlign w:val="center"/>
          </w:tcPr>
          <w:p w14:paraId="5AF25893">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c>
          <w:tcPr>
            <w:tcW w:w="1104" w:type="dxa"/>
            <w:tcBorders>
              <w:top w:val="nil"/>
              <w:left w:val="nil"/>
              <w:bottom w:val="single" w:color="auto" w:sz="4" w:space="0"/>
              <w:right w:val="single" w:color="auto" w:sz="4" w:space="0"/>
            </w:tcBorders>
            <w:noWrap/>
            <w:vAlign w:val="center"/>
          </w:tcPr>
          <w:p w14:paraId="4D3A6435">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w:t>
            </w:r>
          </w:p>
        </w:tc>
      </w:tr>
      <w:tr w14:paraId="7CFCBC1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305C9570">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2F7BC13A">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20197884">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42D1A913">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2000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10000</w:t>
            </w:r>
          </w:p>
        </w:tc>
        <w:tc>
          <w:tcPr>
            <w:tcW w:w="1664" w:type="dxa"/>
            <w:tcBorders>
              <w:top w:val="nil"/>
              <w:left w:val="nil"/>
              <w:bottom w:val="single" w:color="auto" w:sz="4" w:space="0"/>
              <w:right w:val="single" w:color="auto" w:sz="4" w:space="0"/>
            </w:tcBorders>
            <w:noWrap/>
            <w:vAlign w:val="center"/>
          </w:tcPr>
          <w:p w14:paraId="7E90151A">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2000</w:t>
            </w:r>
          </w:p>
        </w:tc>
        <w:tc>
          <w:tcPr>
            <w:tcW w:w="1104" w:type="dxa"/>
            <w:tcBorders>
              <w:top w:val="nil"/>
              <w:left w:val="nil"/>
              <w:bottom w:val="single" w:color="auto" w:sz="4" w:space="0"/>
              <w:right w:val="single" w:color="auto" w:sz="4" w:space="0"/>
            </w:tcBorders>
            <w:noWrap/>
            <w:vAlign w:val="center"/>
          </w:tcPr>
          <w:p w14:paraId="1FEF54DA">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r>
      <w:tr w14:paraId="5017954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287741C">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信息传输业</w:t>
            </w:r>
          </w:p>
        </w:tc>
        <w:tc>
          <w:tcPr>
            <w:tcW w:w="2340" w:type="dxa"/>
            <w:tcBorders>
              <w:top w:val="nil"/>
              <w:left w:val="nil"/>
              <w:bottom w:val="single" w:color="auto" w:sz="4" w:space="0"/>
              <w:right w:val="single" w:color="auto" w:sz="4" w:space="0"/>
            </w:tcBorders>
            <w:noWrap/>
            <w:vAlign w:val="center"/>
          </w:tcPr>
          <w:p w14:paraId="762B9BC3">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357818A8">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3DFD5690">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2000</w:t>
            </w:r>
          </w:p>
        </w:tc>
        <w:tc>
          <w:tcPr>
            <w:tcW w:w="1664" w:type="dxa"/>
            <w:tcBorders>
              <w:top w:val="nil"/>
              <w:left w:val="nil"/>
              <w:bottom w:val="single" w:color="auto" w:sz="4" w:space="0"/>
              <w:right w:val="single" w:color="auto" w:sz="4" w:space="0"/>
            </w:tcBorders>
            <w:noWrap/>
            <w:vAlign w:val="center"/>
          </w:tcPr>
          <w:p w14:paraId="38182CBD">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c>
          <w:tcPr>
            <w:tcW w:w="1104" w:type="dxa"/>
            <w:tcBorders>
              <w:top w:val="nil"/>
              <w:left w:val="nil"/>
              <w:bottom w:val="single" w:color="auto" w:sz="4" w:space="0"/>
              <w:right w:val="single" w:color="auto" w:sz="4" w:space="0"/>
            </w:tcBorders>
            <w:noWrap/>
            <w:vAlign w:val="center"/>
          </w:tcPr>
          <w:p w14:paraId="222ACE8B">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w:t>
            </w:r>
          </w:p>
        </w:tc>
      </w:tr>
      <w:tr w14:paraId="76C0DA3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26F86BC3">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4C82610F">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6064169D">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77666A53">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100000</w:t>
            </w:r>
          </w:p>
        </w:tc>
        <w:tc>
          <w:tcPr>
            <w:tcW w:w="1664" w:type="dxa"/>
            <w:tcBorders>
              <w:top w:val="nil"/>
              <w:left w:val="nil"/>
              <w:bottom w:val="single" w:color="auto" w:sz="4" w:space="0"/>
              <w:right w:val="single" w:color="auto" w:sz="4" w:space="0"/>
            </w:tcBorders>
            <w:noWrap/>
            <w:vAlign w:val="center"/>
          </w:tcPr>
          <w:p w14:paraId="3CECC197">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1000</w:t>
            </w:r>
          </w:p>
        </w:tc>
        <w:tc>
          <w:tcPr>
            <w:tcW w:w="1104" w:type="dxa"/>
            <w:tcBorders>
              <w:top w:val="nil"/>
              <w:left w:val="nil"/>
              <w:bottom w:val="single" w:color="auto" w:sz="4" w:space="0"/>
              <w:right w:val="single" w:color="auto" w:sz="4" w:space="0"/>
            </w:tcBorders>
            <w:noWrap/>
            <w:vAlign w:val="center"/>
          </w:tcPr>
          <w:p w14:paraId="58B05EB0">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r>
      <w:tr w14:paraId="7190C17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46B6C9C3">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软件和信息技术服务业</w:t>
            </w:r>
          </w:p>
        </w:tc>
        <w:tc>
          <w:tcPr>
            <w:tcW w:w="2340" w:type="dxa"/>
            <w:tcBorders>
              <w:top w:val="nil"/>
              <w:left w:val="nil"/>
              <w:bottom w:val="single" w:color="auto" w:sz="4" w:space="0"/>
              <w:right w:val="single" w:color="auto" w:sz="4" w:space="0"/>
            </w:tcBorders>
            <w:noWrap/>
            <w:vAlign w:val="center"/>
          </w:tcPr>
          <w:p w14:paraId="7173B4E1">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7BF20C5F">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5F5D0DC7">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c>
          <w:tcPr>
            <w:tcW w:w="1664" w:type="dxa"/>
            <w:tcBorders>
              <w:top w:val="nil"/>
              <w:left w:val="nil"/>
              <w:bottom w:val="single" w:color="auto" w:sz="4" w:space="0"/>
              <w:right w:val="single" w:color="auto" w:sz="4" w:space="0"/>
            </w:tcBorders>
            <w:noWrap/>
            <w:vAlign w:val="center"/>
          </w:tcPr>
          <w:p w14:paraId="588F0901">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c>
          <w:tcPr>
            <w:tcW w:w="1104" w:type="dxa"/>
            <w:tcBorders>
              <w:top w:val="nil"/>
              <w:left w:val="nil"/>
              <w:bottom w:val="single" w:color="auto" w:sz="4" w:space="0"/>
              <w:right w:val="single" w:color="auto" w:sz="4" w:space="0"/>
            </w:tcBorders>
            <w:noWrap/>
            <w:vAlign w:val="center"/>
          </w:tcPr>
          <w:p w14:paraId="74FFD116">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w:t>
            </w:r>
          </w:p>
        </w:tc>
      </w:tr>
      <w:tr w14:paraId="5A44569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1A7B17F2">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0AE45B0A">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632601B7">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13CB7C0B">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10000</w:t>
            </w:r>
          </w:p>
        </w:tc>
        <w:tc>
          <w:tcPr>
            <w:tcW w:w="1664" w:type="dxa"/>
            <w:tcBorders>
              <w:top w:val="nil"/>
              <w:left w:val="nil"/>
              <w:bottom w:val="single" w:color="auto" w:sz="4" w:space="0"/>
              <w:right w:val="single" w:color="auto" w:sz="4" w:space="0"/>
            </w:tcBorders>
            <w:noWrap/>
            <w:vAlign w:val="center"/>
          </w:tcPr>
          <w:p w14:paraId="04439856">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50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1000</w:t>
            </w:r>
          </w:p>
        </w:tc>
        <w:tc>
          <w:tcPr>
            <w:tcW w:w="1104" w:type="dxa"/>
            <w:tcBorders>
              <w:top w:val="nil"/>
              <w:left w:val="nil"/>
              <w:bottom w:val="single" w:color="auto" w:sz="4" w:space="0"/>
              <w:right w:val="single" w:color="auto" w:sz="4" w:space="0"/>
            </w:tcBorders>
            <w:noWrap/>
            <w:vAlign w:val="center"/>
          </w:tcPr>
          <w:p w14:paraId="54BA8819">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50</w:t>
            </w:r>
          </w:p>
        </w:tc>
      </w:tr>
      <w:tr w14:paraId="577DC9C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10F90CAE">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房地产开发经营</w:t>
            </w:r>
          </w:p>
        </w:tc>
        <w:tc>
          <w:tcPr>
            <w:tcW w:w="2340" w:type="dxa"/>
            <w:tcBorders>
              <w:top w:val="nil"/>
              <w:left w:val="nil"/>
              <w:bottom w:val="single" w:color="auto" w:sz="4" w:space="0"/>
              <w:right w:val="single" w:color="auto" w:sz="4" w:space="0"/>
            </w:tcBorders>
            <w:noWrap/>
            <w:vAlign w:val="center"/>
          </w:tcPr>
          <w:p w14:paraId="37805753">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4E9628B3">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64AD303D">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200000</w:t>
            </w:r>
          </w:p>
        </w:tc>
        <w:tc>
          <w:tcPr>
            <w:tcW w:w="1664" w:type="dxa"/>
            <w:tcBorders>
              <w:top w:val="nil"/>
              <w:left w:val="nil"/>
              <w:bottom w:val="single" w:color="auto" w:sz="4" w:space="0"/>
              <w:right w:val="single" w:color="auto" w:sz="4" w:space="0"/>
            </w:tcBorders>
            <w:noWrap/>
            <w:vAlign w:val="center"/>
          </w:tcPr>
          <w:p w14:paraId="7741B396">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1000</w:t>
            </w:r>
          </w:p>
        </w:tc>
        <w:tc>
          <w:tcPr>
            <w:tcW w:w="1104" w:type="dxa"/>
            <w:tcBorders>
              <w:top w:val="nil"/>
              <w:left w:val="nil"/>
              <w:bottom w:val="single" w:color="auto" w:sz="4" w:space="0"/>
              <w:right w:val="single" w:color="auto" w:sz="4" w:space="0"/>
            </w:tcBorders>
            <w:noWrap/>
            <w:vAlign w:val="center"/>
          </w:tcPr>
          <w:p w14:paraId="47275C66">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r>
      <w:tr w14:paraId="46173E0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1B3BB4C0">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3F5E0159">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资产总额（</w:t>
            </w:r>
            <w:r>
              <w:rPr>
                <w:rFonts w:ascii="宋体" w:hAnsi="宋体" w:cs="宋体"/>
                <w:color w:val="auto"/>
                <w:sz w:val="18"/>
                <w:szCs w:val="18"/>
                <w:highlight w:val="none"/>
              </w:rPr>
              <w:t>Z</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344AAD0B">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76017619">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5000</w:t>
            </w:r>
            <w:r>
              <w:rPr>
                <w:rFonts w:hint="eastAsia" w:ascii="宋体" w:hAnsi="宋体" w:cs="宋体"/>
                <w:color w:val="auto"/>
                <w:sz w:val="18"/>
                <w:szCs w:val="18"/>
                <w:highlight w:val="none"/>
              </w:rPr>
              <w:t>≤</w:t>
            </w:r>
            <w:r>
              <w:rPr>
                <w:rFonts w:ascii="宋体" w:hAnsi="宋体" w:cs="宋体"/>
                <w:color w:val="auto"/>
                <w:sz w:val="18"/>
                <w:szCs w:val="18"/>
                <w:highlight w:val="none"/>
              </w:rPr>
              <w:t>Z</w:t>
            </w:r>
            <w:r>
              <w:rPr>
                <w:rFonts w:hint="eastAsia" w:ascii="宋体" w:hAnsi="宋体" w:cs="宋体"/>
                <w:color w:val="auto"/>
                <w:sz w:val="18"/>
                <w:szCs w:val="18"/>
                <w:highlight w:val="none"/>
              </w:rPr>
              <w:t>＜</w:t>
            </w:r>
            <w:r>
              <w:rPr>
                <w:rFonts w:ascii="宋体" w:hAnsi="宋体" w:cs="宋体"/>
                <w:color w:val="auto"/>
                <w:sz w:val="18"/>
                <w:szCs w:val="18"/>
                <w:highlight w:val="none"/>
              </w:rPr>
              <w:t>10000</w:t>
            </w:r>
          </w:p>
        </w:tc>
        <w:tc>
          <w:tcPr>
            <w:tcW w:w="1664" w:type="dxa"/>
            <w:tcBorders>
              <w:top w:val="nil"/>
              <w:left w:val="nil"/>
              <w:bottom w:val="single" w:color="auto" w:sz="4" w:space="0"/>
              <w:right w:val="single" w:color="auto" w:sz="4" w:space="0"/>
            </w:tcBorders>
            <w:noWrap/>
            <w:vAlign w:val="center"/>
          </w:tcPr>
          <w:p w14:paraId="1D6BD4AB">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2000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5000</w:t>
            </w:r>
          </w:p>
        </w:tc>
        <w:tc>
          <w:tcPr>
            <w:tcW w:w="1104" w:type="dxa"/>
            <w:tcBorders>
              <w:top w:val="nil"/>
              <w:left w:val="nil"/>
              <w:bottom w:val="single" w:color="auto" w:sz="4" w:space="0"/>
              <w:right w:val="single" w:color="auto" w:sz="4" w:space="0"/>
            </w:tcBorders>
            <w:noWrap/>
            <w:vAlign w:val="center"/>
          </w:tcPr>
          <w:p w14:paraId="4DEE4F2B">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2000</w:t>
            </w:r>
          </w:p>
        </w:tc>
      </w:tr>
      <w:tr w14:paraId="035714B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02265160">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物业管理</w:t>
            </w:r>
          </w:p>
        </w:tc>
        <w:tc>
          <w:tcPr>
            <w:tcW w:w="2340" w:type="dxa"/>
            <w:tcBorders>
              <w:top w:val="nil"/>
              <w:left w:val="nil"/>
              <w:bottom w:val="single" w:color="auto" w:sz="4" w:space="0"/>
              <w:right w:val="single" w:color="auto" w:sz="4" w:space="0"/>
            </w:tcBorders>
            <w:noWrap/>
            <w:vAlign w:val="center"/>
          </w:tcPr>
          <w:p w14:paraId="1A5FC74C">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47D75258">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3B6D49AE">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300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1000</w:t>
            </w:r>
          </w:p>
        </w:tc>
        <w:tc>
          <w:tcPr>
            <w:tcW w:w="1664" w:type="dxa"/>
            <w:tcBorders>
              <w:top w:val="nil"/>
              <w:left w:val="nil"/>
              <w:bottom w:val="single" w:color="auto" w:sz="4" w:space="0"/>
              <w:right w:val="single" w:color="auto" w:sz="4" w:space="0"/>
            </w:tcBorders>
            <w:noWrap/>
            <w:vAlign w:val="center"/>
          </w:tcPr>
          <w:p w14:paraId="0E86C1A1">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c>
          <w:tcPr>
            <w:tcW w:w="1104" w:type="dxa"/>
            <w:tcBorders>
              <w:top w:val="nil"/>
              <w:left w:val="nil"/>
              <w:bottom w:val="single" w:color="auto" w:sz="4" w:space="0"/>
              <w:right w:val="single" w:color="auto" w:sz="4" w:space="0"/>
            </w:tcBorders>
            <w:noWrap/>
            <w:vAlign w:val="center"/>
          </w:tcPr>
          <w:p w14:paraId="2E242C00">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r>
      <w:tr w14:paraId="582E4A6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418F0229">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4B06C9B0">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营业收入（</w:t>
            </w:r>
            <w:r>
              <w:rPr>
                <w:rFonts w:ascii="宋体" w:hAnsi="宋体" w:cs="宋体"/>
                <w:color w:val="auto"/>
                <w:sz w:val="18"/>
                <w:szCs w:val="18"/>
                <w:highlight w:val="none"/>
              </w:rPr>
              <w:t>Y</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67F5FF48">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47F941EB">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5000</w:t>
            </w:r>
          </w:p>
        </w:tc>
        <w:tc>
          <w:tcPr>
            <w:tcW w:w="1664" w:type="dxa"/>
            <w:tcBorders>
              <w:top w:val="nil"/>
              <w:left w:val="nil"/>
              <w:bottom w:val="single" w:color="auto" w:sz="4" w:space="0"/>
              <w:right w:val="single" w:color="auto" w:sz="4" w:space="0"/>
            </w:tcBorders>
            <w:noWrap/>
            <w:vAlign w:val="center"/>
          </w:tcPr>
          <w:p w14:paraId="14B4494C">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500</w:t>
            </w:r>
            <w:r>
              <w:rPr>
                <w:rFonts w:hint="eastAsia" w:ascii="宋体" w:hAnsi="宋体" w:cs="宋体"/>
                <w:color w:val="auto"/>
                <w:sz w:val="18"/>
                <w:szCs w:val="18"/>
                <w:highlight w:val="none"/>
              </w:rPr>
              <w:t>≤</w:t>
            </w: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1000</w:t>
            </w:r>
          </w:p>
        </w:tc>
        <w:tc>
          <w:tcPr>
            <w:tcW w:w="1104" w:type="dxa"/>
            <w:tcBorders>
              <w:top w:val="nil"/>
              <w:left w:val="nil"/>
              <w:bottom w:val="single" w:color="auto" w:sz="4" w:space="0"/>
              <w:right w:val="single" w:color="auto" w:sz="4" w:space="0"/>
            </w:tcBorders>
            <w:noWrap/>
            <w:vAlign w:val="center"/>
          </w:tcPr>
          <w:p w14:paraId="7B2EA1A4">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500</w:t>
            </w:r>
          </w:p>
        </w:tc>
      </w:tr>
      <w:tr w14:paraId="48F8339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1D94825F">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租赁和商务服务业</w:t>
            </w:r>
          </w:p>
        </w:tc>
        <w:tc>
          <w:tcPr>
            <w:tcW w:w="2340" w:type="dxa"/>
            <w:tcBorders>
              <w:top w:val="nil"/>
              <w:left w:val="nil"/>
              <w:bottom w:val="single" w:color="auto" w:sz="4" w:space="0"/>
              <w:right w:val="single" w:color="auto" w:sz="4" w:space="0"/>
            </w:tcBorders>
            <w:noWrap/>
            <w:vAlign w:val="center"/>
          </w:tcPr>
          <w:p w14:paraId="30E321F7">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251D5EC3">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79CA7F96">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c>
          <w:tcPr>
            <w:tcW w:w="1664" w:type="dxa"/>
            <w:tcBorders>
              <w:top w:val="nil"/>
              <w:left w:val="nil"/>
              <w:bottom w:val="single" w:color="auto" w:sz="4" w:space="0"/>
              <w:right w:val="single" w:color="auto" w:sz="4" w:space="0"/>
            </w:tcBorders>
            <w:noWrap/>
            <w:vAlign w:val="center"/>
          </w:tcPr>
          <w:p w14:paraId="7B47606C">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c>
          <w:tcPr>
            <w:tcW w:w="1104" w:type="dxa"/>
            <w:tcBorders>
              <w:top w:val="nil"/>
              <w:left w:val="nil"/>
              <w:bottom w:val="single" w:color="auto" w:sz="4" w:space="0"/>
              <w:right w:val="single" w:color="auto" w:sz="4" w:space="0"/>
            </w:tcBorders>
            <w:noWrap/>
            <w:vAlign w:val="center"/>
          </w:tcPr>
          <w:p w14:paraId="49EA12D8">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w:t>
            </w:r>
          </w:p>
        </w:tc>
      </w:tr>
      <w:tr w14:paraId="1530826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096137F1">
            <w:pPr>
              <w:kinsoku/>
              <w:topLinePunct/>
              <w:autoSpaceDE/>
              <w:autoSpaceDN/>
              <w:ind w:right="86" w:rightChars="41"/>
              <w:rPr>
                <w:rFonts w:ascii="宋体" w:cs="宋体"/>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5F647839">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资产总额（</w:t>
            </w:r>
            <w:r>
              <w:rPr>
                <w:rFonts w:ascii="宋体" w:hAnsi="宋体" w:cs="宋体"/>
                <w:color w:val="auto"/>
                <w:sz w:val="18"/>
                <w:szCs w:val="18"/>
                <w:highlight w:val="none"/>
              </w:rPr>
              <w:t>Z</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7115D384">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197D5023">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8000</w:t>
            </w:r>
            <w:r>
              <w:rPr>
                <w:rFonts w:hint="eastAsia" w:ascii="宋体" w:hAnsi="宋体" w:cs="宋体"/>
                <w:color w:val="auto"/>
                <w:sz w:val="18"/>
                <w:szCs w:val="18"/>
                <w:highlight w:val="none"/>
              </w:rPr>
              <w:t>≤</w:t>
            </w:r>
            <w:r>
              <w:rPr>
                <w:rFonts w:ascii="宋体" w:hAnsi="宋体" w:cs="宋体"/>
                <w:color w:val="auto"/>
                <w:sz w:val="18"/>
                <w:szCs w:val="18"/>
                <w:highlight w:val="none"/>
              </w:rPr>
              <w:t>Z</w:t>
            </w:r>
            <w:r>
              <w:rPr>
                <w:rFonts w:hint="eastAsia" w:ascii="宋体" w:hAnsi="宋体" w:cs="宋体"/>
                <w:color w:val="auto"/>
                <w:sz w:val="18"/>
                <w:szCs w:val="18"/>
                <w:highlight w:val="none"/>
              </w:rPr>
              <w:t>＜</w:t>
            </w:r>
            <w:r>
              <w:rPr>
                <w:rFonts w:ascii="宋体" w:hAnsi="宋体" w:cs="宋体"/>
                <w:color w:val="auto"/>
                <w:sz w:val="18"/>
                <w:szCs w:val="18"/>
                <w:highlight w:val="none"/>
              </w:rPr>
              <w:t>120000</w:t>
            </w:r>
          </w:p>
        </w:tc>
        <w:tc>
          <w:tcPr>
            <w:tcW w:w="1664" w:type="dxa"/>
            <w:tcBorders>
              <w:top w:val="nil"/>
              <w:left w:val="nil"/>
              <w:bottom w:val="single" w:color="auto" w:sz="4" w:space="0"/>
              <w:right w:val="single" w:color="auto" w:sz="4" w:space="0"/>
            </w:tcBorders>
            <w:noWrap/>
            <w:vAlign w:val="center"/>
          </w:tcPr>
          <w:p w14:paraId="7D5E0AE1">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Z</w:t>
            </w:r>
            <w:r>
              <w:rPr>
                <w:rFonts w:hint="eastAsia" w:ascii="宋体" w:hAnsi="宋体" w:cs="宋体"/>
                <w:color w:val="auto"/>
                <w:sz w:val="18"/>
                <w:szCs w:val="18"/>
                <w:highlight w:val="none"/>
              </w:rPr>
              <w:t>＜</w:t>
            </w:r>
            <w:r>
              <w:rPr>
                <w:rFonts w:ascii="宋体" w:hAnsi="宋体" w:cs="宋体"/>
                <w:color w:val="auto"/>
                <w:sz w:val="18"/>
                <w:szCs w:val="18"/>
                <w:highlight w:val="none"/>
              </w:rPr>
              <w:t>8000</w:t>
            </w:r>
          </w:p>
        </w:tc>
        <w:tc>
          <w:tcPr>
            <w:tcW w:w="1104" w:type="dxa"/>
            <w:tcBorders>
              <w:top w:val="nil"/>
              <w:left w:val="nil"/>
              <w:bottom w:val="single" w:color="auto" w:sz="4" w:space="0"/>
              <w:right w:val="single" w:color="auto" w:sz="4" w:space="0"/>
            </w:tcBorders>
            <w:noWrap/>
            <w:vAlign w:val="center"/>
          </w:tcPr>
          <w:p w14:paraId="0B136FA5">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Y</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r>
      <w:tr w14:paraId="76AC7C4A">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ign w:val="bottom"/>
          </w:tcPr>
          <w:p w14:paraId="38381704">
            <w:pPr>
              <w:kinsoku/>
              <w:topLinePunct/>
              <w:autoSpaceDE/>
              <w:autoSpaceDN/>
              <w:ind w:right="86" w:rightChars="41"/>
              <w:jc w:val="center"/>
              <w:rPr>
                <w:rFonts w:ascii="宋体" w:cs="宋体"/>
                <w:b/>
                <w:bCs/>
                <w:color w:val="auto"/>
                <w:sz w:val="18"/>
                <w:szCs w:val="18"/>
                <w:highlight w:val="none"/>
              </w:rPr>
            </w:pPr>
            <w:r>
              <w:rPr>
                <w:rFonts w:hint="eastAsia" w:ascii="宋体" w:hAnsi="宋体" w:cs="宋体"/>
                <w:b/>
                <w:bCs/>
                <w:color w:val="auto"/>
                <w:sz w:val="18"/>
                <w:szCs w:val="18"/>
                <w:highlight w:val="none"/>
              </w:rPr>
              <w:t>其他未列明行业</w:t>
            </w:r>
          </w:p>
        </w:tc>
        <w:tc>
          <w:tcPr>
            <w:tcW w:w="2340" w:type="dxa"/>
            <w:tcBorders>
              <w:top w:val="nil"/>
              <w:left w:val="nil"/>
              <w:bottom w:val="single" w:color="auto" w:sz="4" w:space="0"/>
              <w:right w:val="single" w:color="auto" w:sz="4" w:space="0"/>
            </w:tcBorders>
            <w:noWrap/>
            <w:vAlign w:val="center"/>
          </w:tcPr>
          <w:p w14:paraId="2FA678F6">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从业人员（</w:t>
            </w:r>
            <w:r>
              <w:rPr>
                <w:rFonts w:ascii="宋体" w:hAnsi="宋体" w:cs="宋体"/>
                <w:color w:val="auto"/>
                <w:sz w:val="18"/>
                <w:szCs w:val="18"/>
                <w:highlight w:val="none"/>
              </w:rPr>
              <w:t>X</w:t>
            </w:r>
            <w:r>
              <w:rPr>
                <w:rFonts w:hint="eastAsia" w:ascii="宋体" w:hAnsi="宋体" w:cs="宋体"/>
                <w:color w:val="auto"/>
                <w:sz w:val="18"/>
                <w:szCs w:val="18"/>
                <w:highlight w:val="none"/>
              </w:rPr>
              <w:t>）</w:t>
            </w:r>
          </w:p>
        </w:tc>
        <w:tc>
          <w:tcPr>
            <w:tcW w:w="996" w:type="dxa"/>
            <w:tcBorders>
              <w:top w:val="nil"/>
              <w:left w:val="nil"/>
              <w:bottom w:val="single" w:color="auto" w:sz="4" w:space="0"/>
              <w:right w:val="single" w:color="auto" w:sz="4" w:space="0"/>
            </w:tcBorders>
            <w:noWrap/>
            <w:vAlign w:val="center"/>
          </w:tcPr>
          <w:p w14:paraId="7513C454">
            <w:pPr>
              <w:kinsoku/>
              <w:topLinePunct/>
              <w:autoSpaceDE/>
              <w:autoSpaceDN/>
              <w:ind w:right="86" w:rightChars="41"/>
              <w:rPr>
                <w:rFonts w:ascii="宋体" w:cs="宋体"/>
                <w:color w:val="auto"/>
                <w:sz w:val="18"/>
                <w:szCs w:val="18"/>
                <w:highlight w:val="none"/>
              </w:rPr>
            </w:pPr>
            <w:r>
              <w:rPr>
                <w:rFonts w:hint="eastAsia" w:ascii="宋体" w:hAnsi="宋体" w:cs="宋体"/>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26F4ECF4">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300</w:t>
            </w:r>
          </w:p>
        </w:tc>
        <w:tc>
          <w:tcPr>
            <w:tcW w:w="1664" w:type="dxa"/>
            <w:tcBorders>
              <w:top w:val="nil"/>
              <w:left w:val="nil"/>
              <w:bottom w:val="single" w:color="auto" w:sz="4" w:space="0"/>
              <w:right w:val="single" w:color="auto" w:sz="4" w:space="0"/>
            </w:tcBorders>
            <w:noWrap/>
            <w:vAlign w:val="center"/>
          </w:tcPr>
          <w:p w14:paraId="19301C6E">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10</w:t>
            </w:r>
            <w:r>
              <w:rPr>
                <w:rFonts w:hint="eastAsia" w:ascii="宋体" w:hAnsi="宋体" w:cs="宋体"/>
                <w:color w:val="auto"/>
                <w:sz w:val="18"/>
                <w:szCs w:val="18"/>
                <w:highlight w:val="none"/>
              </w:rPr>
              <w:t>≤</w:t>
            </w: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100</w:t>
            </w:r>
          </w:p>
        </w:tc>
        <w:tc>
          <w:tcPr>
            <w:tcW w:w="1104" w:type="dxa"/>
            <w:tcBorders>
              <w:top w:val="nil"/>
              <w:left w:val="nil"/>
              <w:bottom w:val="single" w:color="auto" w:sz="4" w:space="0"/>
              <w:right w:val="single" w:color="auto" w:sz="4" w:space="0"/>
            </w:tcBorders>
            <w:noWrap/>
            <w:vAlign w:val="center"/>
          </w:tcPr>
          <w:p w14:paraId="76B6D6FD">
            <w:pPr>
              <w:kinsoku/>
              <w:topLinePunct/>
              <w:autoSpaceDE/>
              <w:autoSpaceDN/>
              <w:ind w:right="86" w:rightChars="41"/>
              <w:rPr>
                <w:rFonts w:ascii="宋体" w:hAnsi="宋体" w:cs="宋体"/>
                <w:color w:val="auto"/>
                <w:sz w:val="18"/>
                <w:szCs w:val="18"/>
                <w:highlight w:val="none"/>
              </w:rPr>
            </w:pPr>
            <w:r>
              <w:rPr>
                <w:rFonts w:ascii="宋体" w:hAnsi="宋体" w:cs="宋体"/>
                <w:color w:val="auto"/>
                <w:sz w:val="18"/>
                <w:szCs w:val="18"/>
                <w:highlight w:val="none"/>
              </w:rPr>
              <w:t>X</w:t>
            </w:r>
            <w:r>
              <w:rPr>
                <w:rFonts w:hint="eastAsia" w:ascii="宋体" w:hAnsi="宋体" w:cs="宋体"/>
                <w:color w:val="auto"/>
                <w:sz w:val="18"/>
                <w:szCs w:val="18"/>
                <w:highlight w:val="none"/>
              </w:rPr>
              <w:t>＜</w:t>
            </w:r>
            <w:r>
              <w:rPr>
                <w:rFonts w:ascii="宋体" w:hAnsi="宋体" w:cs="宋体"/>
                <w:color w:val="auto"/>
                <w:sz w:val="18"/>
                <w:szCs w:val="18"/>
                <w:highlight w:val="none"/>
              </w:rPr>
              <w:t>10</w:t>
            </w:r>
          </w:p>
        </w:tc>
      </w:tr>
    </w:tbl>
    <w:p w14:paraId="447D0720">
      <w:pPr>
        <w:kinsoku/>
        <w:topLinePunct/>
        <w:autoSpaceDE/>
        <w:autoSpaceDN/>
        <w:spacing w:line="360" w:lineRule="auto"/>
        <w:ind w:right="86" w:rightChars="41" w:firstLine="525" w:firstLineChars="250"/>
        <w:rPr>
          <w:rFonts w:ascii="宋体" w:cs="宋体"/>
          <w:color w:val="auto"/>
          <w:highlight w:val="none"/>
        </w:rPr>
      </w:pPr>
    </w:p>
    <w:p w14:paraId="01E11B3E">
      <w:pPr>
        <w:kinsoku/>
        <w:topLinePunct/>
        <w:autoSpaceDE/>
        <w:autoSpaceDN/>
        <w:spacing w:line="360" w:lineRule="auto"/>
        <w:ind w:right="86" w:rightChars="41" w:firstLine="525" w:firstLineChars="250"/>
        <w:rPr>
          <w:rFonts w:hint="eastAsia" w:ascii="宋体" w:hAnsi="宋体" w:cs="宋体"/>
          <w:color w:val="auto"/>
          <w:highlight w:val="none"/>
        </w:rPr>
        <w:sectPr>
          <w:headerReference r:id="rId7" w:type="default"/>
          <w:footerReference r:id="rId8" w:type="default"/>
          <w:pgSz w:w="11907" w:h="16839"/>
          <w:pgMar w:top="1440" w:right="1080" w:bottom="1440" w:left="1080" w:header="879" w:footer="988" w:gutter="0"/>
          <w:pgBorders>
            <w:top w:val="none" w:sz="0" w:space="0"/>
            <w:left w:val="none" w:sz="0" w:space="0"/>
            <w:bottom w:val="none" w:sz="0" w:space="0"/>
            <w:right w:val="none" w:sz="0" w:space="0"/>
          </w:pgBorders>
          <w:pgNumType w:fmt="decimal"/>
          <w:cols w:space="720" w:num="1"/>
        </w:sectPr>
      </w:pPr>
      <w:r>
        <w:rPr>
          <w:rFonts w:hint="eastAsia" w:ascii="宋体" w:hAnsi="宋体" w:cs="宋体"/>
          <w:color w:val="auto"/>
          <w:highlight w:val="none"/>
        </w:rPr>
        <w:t>说明：上述标准参照《关于印发中小企业划型标准规定的通知》（工信部联企业</w:t>
      </w:r>
      <w:r>
        <w:rPr>
          <w:rFonts w:ascii="宋体" w:hAnsi="宋体" w:cs="宋体"/>
          <w:color w:val="auto"/>
          <w:highlight w:val="none"/>
        </w:rPr>
        <w:t>[2011]300</w:t>
      </w:r>
      <w:r>
        <w:rPr>
          <w:rFonts w:hint="eastAsia" w:ascii="宋体" w:hAnsi="宋体" w:cs="宋体"/>
          <w:color w:val="auto"/>
          <w:highlight w:val="none"/>
        </w:rPr>
        <w:t>号），大型、中型和小型企业须同时满足所列指标的下限，否则下划一档；微型企业只</w:t>
      </w:r>
      <w:r>
        <w:rPr>
          <w:rFonts w:hint="eastAsia" w:ascii="宋体" w:hAnsi="宋体" w:cs="宋体"/>
          <w:color w:val="auto"/>
          <w:highlight w:val="none"/>
          <w:lang w:eastAsia="zh-CN"/>
        </w:rPr>
        <w:t>需</w:t>
      </w:r>
      <w:r>
        <w:rPr>
          <w:rFonts w:hint="eastAsia" w:ascii="宋体" w:hAnsi="宋体" w:cs="宋体"/>
          <w:color w:val="auto"/>
          <w:highlight w:val="none"/>
        </w:rPr>
        <w:t>满足所列指标中的一项即可。</w:t>
      </w:r>
    </w:p>
    <w:p w14:paraId="37D58F84">
      <w:pPr>
        <w:numPr>
          <w:ilvl w:val="2"/>
          <w:numId w:val="0"/>
        </w:numPr>
        <w:snapToGrid w:val="0"/>
        <w:spacing w:before="120" w:beforeLines="50" w:after="50"/>
        <w:ind w:left="0" w:leftChars="0" w:firstLine="0" w:firstLineChars="0"/>
        <w:jc w:val="left"/>
        <w:outlineLvl w:val="2"/>
        <w:rPr>
          <w:rFonts w:hint="eastAsia" w:ascii="宋体" w:hAnsi="宋体"/>
          <w:b/>
          <w:color w:val="auto"/>
          <w:sz w:val="24"/>
          <w:highlight w:val="none"/>
        </w:rPr>
      </w:pPr>
      <w:r>
        <w:rPr>
          <w:rFonts w:hint="eastAsia" w:ascii="宋体" w:hAnsi="宋体" w:cs="Times New Roman"/>
          <w:b/>
          <w:color w:val="auto"/>
          <w:kern w:val="2"/>
          <w:sz w:val="24"/>
          <w:szCs w:val="24"/>
          <w:highlight w:val="none"/>
          <w:lang w:val="en-US" w:eastAsia="zh-CN" w:bidi="ar-SA"/>
        </w:rPr>
        <w:t>6</w:t>
      </w:r>
      <w:r>
        <w:rPr>
          <w:rFonts w:hint="default" w:ascii="宋体" w:hAnsi="宋体" w:eastAsia="宋体" w:cs="Times New Roman"/>
          <w:b/>
          <w:color w:val="auto"/>
          <w:kern w:val="2"/>
          <w:sz w:val="24"/>
          <w:szCs w:val="24"/>
          <w:highlight w:val="none"/>
          <w:lang w:val="en-US" w:eastAsia="zh-CN" w:bidi="ar-SA"/>
        </w:rPr>
        <w:t>.</w:t>
      </w:r>
      <w:r>
        <w:rPr>
          <w:rFonts w:hint="eastAsia" w:ascii="宋体" w:hAnsi="宋体"/>
          <w:b/>
          <w:color w:val="auto"/>
          <w:sz w:val="24"/>
          <w:highlight w:val="none"/>
        </w:rPr>
        <w:t>残疾人福利性单位声明函格式</w:t>
      </w:r>
    </w:p>
    <w:p w14:paraId="7D95F926">
      <w:pPr>
        <w:spacing w:line="588" w:lineRule="exact"/>
        <w:jc w:val="center"/>
        <w:rPr>
          <w:rFonts w:hint="eastAsia" w:ascii="仿宋_GB2312" w:eastAsia="仿宋_GB2312"/>
          <w:b/>
          <w:color w:val="auto"/>
          <w:spacing w:val="6"/>
          <w:sz w:val="32"/>
          <w:szCs w:val="32"/>
          <w:highlight w:val="none"/>
        </w:rPr>
      </w:pPr>
    </w:p>
    <w:p w14:paraId="7FF82436">
      <w:pPr>
        <w:spacing w:line="588" w:lineRule="exact"/>
        <w:jc w:val="center"/>
        <w:rPr>
          <w:rFonts w:hint="eastAsia" w:ascii="方正小标宋简体" w:hAnsi="方正小标宋简体" w:eastAsia="方正小标宋简体" w:cs="方正小标宋简体"/>
          <w:bCs/>
          <w:color w:val="auto"/>
          <w:spacing w:val="6"/>
          <w:sz w:val="44"/>
          <w:szCs w:val="44"/>
          <w:highlight w:val="none"/>
        </w:rPr>
      </w:pPr>
      <w:r>
        <w:rPr>
          <w:rFonts w:hint="eastAsia" w:ascii="方正小标宋简体" w:hAnsi="方正小标宋简体" w:eastAsia="方正小标宋简体" w:cs="方正小标宋简体"/>
          <w:bCs/>
          <w:color w:val="auto"/>
          <w:spacing w:val="6"/>
          <w:sz w:val="44"/>
          <w:szCs w:val="44"/>
          <w:highlight w:val="none"/>
        </w:rPr>
        <w:t>残疾人福利性单位声明函</w:t>
      </w:r>
    </w:p>
    <w:p w14:paraId="194799E3">
      <w:pPr>
        <w:spacing w:line="588" w:lineRule="exact"/>
        <w:rPr>
          <w:rFonts w:ascii="仿宋_GB2312" w:eastAsia="仿宋_GB2312"/>
          <w:b/>
          <w:color w:val="auto"/>
          <w:spacing w:val="6"/>
          <w:sz w:val="30"/>
          <w:szCs w:val="30"/>
          <w:highlight w:val="none"/>
        </w:rPr>
      </w:pPr>
    </w:p>
    <w:p w14:paraId="763547E7">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本单位郑重声明，根据《财政部民政部中国残疾人联合会关于促进残疾人就业政府采购政策的通知》（财库</w:t>
      </w:r>
      <w:r>
        <w:rPr>
          <w:rFonts w:hint="eastAsia" w:ascii="宋体" w:hAnsi="宋体"/>
          <w:color w:val="auto"/>
          <w:sz w:val="24"/>
          <w:highlight w:val="none"/>
        </w:rPr>
        <w:t>〔2017〕141</w:t>
      </w:r>
      <w:r>
        <w:rPr>
          <w:rFonts w:hint="eastAsia" w:ascii="宋体" w:hAnsi="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37D75C6A">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48C9892C">
      <w:pPr>
        <w:spacing w:line="360" w:lineRule="auto"/>
        <w:ind w:firstLine="504" w:firstLineChars="200"/>
        <w:contextualSpacing/>
        <w:rPr>
          <w:rFonts w:ascii="宋体" w:hAnsi="宋体"/>
          <w:color w:val="auto"/>
          <w:spacing w:val="6"/>
          <w:sz w:val="24"/>
          <w:highlight w:val="none"/>
        </w:rPr>
      </w:pPr>
    </w:p>
    <w:p w14:paraId="42D37A67">
      <w:pPr>
        <w:spacing w:line="360" w:lineRule="auto"/>
        <w:ind w:firstLine="504" w:firstLineChars="200"/>
        <w:contextualSpacing/>
        <w:rPr>
          <w:rFonts w:ascii="宋体" w:hAnsi="宋体"/>
          <w:color w:val="auto"/>
          <w:spacing w:val="6"/>
          <w:sz w:val="24"/>
          <w:highlight w:val="none"/>
        </w:rPr>
      </w:pPr>
    </w:p>
    <w:p w14:paraId="0642197C">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单位名称（电子签章）：</w:t>
      </w:r>
    </w:p>
    <w:p w14:paraId="6F7EFD21">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日期：</w:t>
      </w:r>
    </w:p>
    <w:p w14:paraId="775CA7ED">
      <w:pPr>
        <w:spacing w:line="360" w:lineRule="auto"/>
        <w:contextualSpacing/>
        <w:rPr>
          <w:rFonts w:ascii="宋体" w:hAnsi="宋体"/>
          <w:color w:val="auto"/>
          <w:sz w:val="24"/>
          <w:highlight w:val="none"/>
        </w:rPr>
      </w:pPr>
    </w:p>
    <w:p w14:paraId="525C7BB2">
      <w:pPr>
        <w:spacing w:line="360" w:lineRule="auto"/>
        <w:contextualSpacing/>
        <w:rPr>
          <w:rFonts w:hint="eastAsia" w:ascii="宋体" w:hAnsi="宋体"/>
          <w:color w:val="auto"/>
          <w:sz w:val="24"/>
          <w:highlight w:val="none"/>
        </w:rPr>
      </w:pPr>
    </w:p>
    <w:p w14:paraId="1E77E73D">
      <w:pPr>
        <w:spacing w:line="360" w:lineRule="auto"/>
        <w:contextualSpacing/>
        <w:rPr>
          <w:rFonts w:ascii="宋体" w:hAnsi="宋体"/>
          <w:color w:val="auto"/>
          <w:sz w:val="24"/>
          <w:highlight w:val="none"/>
        </w:rPr>
      </w:pPr>
    </w:p>
    <w:p w14:paraId="62FEC5A8">
      <w:pPr>
        <w:spacing w:line="360" w:lineRule="auto"/>
        <w:contextualSpacing/>
        <w:rPr>
          <w:rFonts w:hint="eastAsia"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0B605F9D">
      <w:pPr>
        <w:spacing w:line="360" w:lineRule="auto"/>
        <w:contextualSpacing/>
        <w:rPr>
          <w:rFonts w:hint="eastAsia" w:ascii="宋体" w:hAnsi="宋体"/>
          <w:color w:val="auto"/>
          <w:sz w:val="24"/>
          <w:highlight w:val="none"/>
        </w:rPr>
      </w:pPr>
    </w:p>
    <w:p w14:paraId="13CE2739">
      <w:pPr>
        <w:spacing w:line="360" w:lineRule="auto"/>
        <w:contextualSpacing/>
        <w:rPr>
          <w:rFonts w:hint="eastAsia" w:ascii="宋体" w:hAnsi="宋体"/>
          <w:color w:val="auto"/>
          <w:sz w:val="24"/>
          <w:highlight w:val="none"/>
        </w:rPr>
      </w:pPr>
    </w:p>
    <w:p w14:paraId="36BE81E6">
      <w:pPr>
        <w:spacing w:line="360" w:lineRule="auto"/>
        <w:contextualSpacing/>
        <w:rPr>
          <w:rFonts w:hint="eastAsia" w:ascii="宋体" w:hAnsi="宋体"/>
          <w:color w:val="auto"/>
          <w:sz w:val="24"/>
          <w:highlight w:val="none"/>
        </w:rPr>
      </w:pPr>
    </w:p>
    <w:p w14:paraId="7D269113">
      <w:pPr>
        <w:spacing w:line="360" w:lineRule="auto"/>
        <w:contextualSpacing/>
        <w:rPr>
          <w:rFonts w:hint="eastAsia" w:ascii="宋体" w:hAnsi="宋体"/>
          <w:color w:val="auto"/>
          <w:sz w:val="24"/>
          <w:highlight w:val="none"/>
        </w:rPr>
      </w:pPr>
    </w:p>
    <w:p w14:paraId="1D3F6817">
      <w:pPr>
        <w:spacing w:line="360" w:lineRule="auto"/>
        <w:contextualSpacing/>
        <w:rPr>
          <w:rFonts w:hint="eastAsia" w:ascii="宋体" w:hAnsi="宋体"/>
          <w:color w:val="auto"/>
          <w:sz w:val="24"/>
          <w:highlight w:val="none"/>
        </w:rPr>
      </w:pPr>
    </w:p>
    <w:p w14:paraId="72D8F569">
      <w:pPr>
        <w:spacing w:line="360" w:lineRule="auto"/>
        <w:contextualSpacing/>
        <w:rPr>
          <w:rFonts w:hint="eastAsia" w:ascii="宋体" w:hAnsi="宋体"/>
          <w:color w:val="auto"/>
          <w:sz w:val="24"/>
          <w:highlight w:val="none"/>
        </w:rPr>
      </w:pPr>
    </w:p>
    <w:p w14:paraId="23EBCCF6">
      <w:pPr>
        <w:spacing w:line="360" w:lineRule="auto"/>
        <w:contextualSpacing/>
        <w:rPr>
          <w:rFonts w:hint="eastAsia" w:ascii="宋体" w:hAnsi="宋体"/>
          <w:color w:val="auto"/>
          <w:sz w:val="24"/>
          <w:highlight w:val="none"/>
        </w:rPr>
      </w:pPr>
    </w:p>
    <w:p w14:paraId="0C32A12B">
      <w:pPr>
        <w:spacing w:line="360" w:lineRule="auto"/>
        <w:contextualSpacing/>
        <w:rPr>
          <w:rFonts w:hint="eastAsia" w:ascii="宋体" w:hAnsi="宋体"/>
          <w:color w:val="auto"/>
          <w:sz w:val="24"/>
          <w:highlight w:val="none"/>
        </w:rPr>
      </w:pPr>
    </w:p>
    <w:p w14:paraId="53AAC897">
      <w:pPr>
        <w:pStyle w:val="23"/>
        <w:rPr>
          <w:rFonts w:hint="eastAsia"/>
          <w:color w:val="auto"/>
          <w:highlight w:val="none"/>
        </w:rPr>
      </w:pPr>
    </w:p>
    <w:p w14:paraId="6D4E6739">
      <w:pPr>
        <w:spacing w:before="0" w:line="240" w:lineRule="auto"/>
        <w:ind w:left="0"/>
        <w:outlineLvl w:val="9"/>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lang w:val="en-US" w:eastAsia="zh-CN"/>
        </w:rPr>
        <w:br w:type="page"/>
      </w:r>
    </w:p>
    <w:p w14:paraId="7D97AAB4">
      <w:pPr>
        <w:spacing w:before="78" w:line="219" w:lineRule="auto"/>
        <w:ind w:left="167"/>
        <w:outlineLvl w:val="2"/>
        <w:rPr>
          <w:rFonts w:hint="eastAsia" w:ascii="宋体" w:hAnsi="宋体" w:eastAsia="宋体" w:cs="宋体"/>
          <w:b/>
          <w:bCs/>
          <w:color w:val="auto"/>
          <w:spacing w:val="-3"/>
          <w:sz w:val="24"/>
          <w:szCs w:val="24"/>
          <w:highlight w:val="none"/>
        </w:rPr>
      </w:pPr>
      <w:r>
        <w:rPr>
          <w:rFonts w:hint="eastAsia" w:ascii="宋体" w:hAnsi="宋体" w:cs="宋体"/>
          <w:b/>
          <w:bCs/>
          <w:color w:val="auto"/>
          <w:spacing w:val="-3"/>
          <w:sz w:val="24"/>
          <w:szCs w:val="24"/>
          <w:highlight w:val="none"/>
          <w:lang w:val="en-US" w:eastAsia="zh-CN"/>
        </w:rPr>
        <w:t>7</w:t>
      </w:r>
      <w:r>
        <w:rPr>
          <w:rFonts w:hint="default" w:ascii="宋体" w:hAnsi="宋体" w:eastAsia="宋体" w:cs="宋体"/>
          <w:b/>
          <w:bCs/>
          <w:color w:val="auto"/>
          <w:spacing w:val="-3"/>
          <w:sz w:val="24"/>
          <w:szCs w:val="24"/>
          <w:highlight w:val="none"/>
          <w:lang w:val="en-US" w:eastAsia="zh-CN"/>
        </w:rPr>
        <w:t>.</w:t>
      </w:r>
      <w:r>
        <w:rPr>
          <w:rFonts w:hint="eastAsia" w:ascii="宋体" w:hAnsi="宋体" w:eastAsia="宋体" w:cs="宋体"/>
          <w:b/>
          <w:bCs/>
          <w:color w:val="auto"/>
          <w:spacing w:val="-3"/>
          <w:sz w:val="24"/>
          <w:szCs w:val="24"/>
          <w:highlight w:val="none"/>
        </w:rPr>
        <w:t>关于符合本国产品标准的声明函</w:t>
      </w:r>
    </w:p>
    <w:p w14:paraId="21C841B0">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jc w:val="center"/>
        <w:textAlignment w:val="baseline"/>
        <w:rPr>
          <w:rFonts w:hint="eastAsia" w:ascii="宋体" w:hAnsi="宋体" w:eastAsia="宋体" w:cs="宋体"/>
          <w:b/>
          <w:bCs/>
          <w:i w:val="0"/>
          <w:iCs w:val="0"/>
          <w:caps w:val="0"/>
          <w:color w:val="auto"/>
          <w:spacing w:val="6"/>
          <w:kern w:val="2"/>
          <w:sz w:val="28"/>
          <w:szCs w:val="28"/>
          <w:highlight w:val="none"/>
        </w:rPr>
      </w:pPr>
      <w:r>
        <w:rPr>
          <w:rFonts w:hint="eastAsia" w:ascii="宋体" w:hAnsi="宋体" w:eastAsia="宋体" w:cs="宋体"/>
          <w:b/>
          <w:bCs/>
          <w:i w:val="0"/>
          <w:iCs w:val="0"/>
          <w:caps w:val="0"/>
          <w:color w:val="auto"/>
          <w:spacing w:val="6"/>
          <w:kern w:val="2"/>
          <w:sz w:val="28"/>
          <w:szCs w:val="28"/>
          <w:highlight w:val="none"/>
          <w:shd w:val="clear" w:color="auto" w:fill="auto"/>
          <w:vertAlign w:val="baseline"/>
        </w:rPr>
        <w:t>关于符合本国产品标准的声明函</w:t>
      </w:r>
    </w:p>
    <w:p w14:paraId="1F398C73">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auto"/>
          <w:spacing w:val="6"/>
          <w:kern w:val="2"/>
          <w:sz w:val="24"/>
          <w:szCs w:val="24"/>
          <w:highlight w:val="none"/>
        </w:rPr>
      </w:pPr>
      <w:r>
        <w:rPr>
          <w:rFonts w:hint="eastAsia" w:ascii="宋体" w:hAnsi="宋体" w:eastAsia="宋体" w:cs="宋体"/>
          <w:i w:val="0"/>
          <w:iCs w:val="0"/>
          <w:caps w:val="0"/>
          <w:color w:val="auto"/>
          <w:spacing w:val="6"/>
          <w:kern w:val="2"/>
          <w:sz w:val="24"/>
          <w:szCs w:val="24"/>
          <w:highlight w:val="none"/>
          <w:shd w:val="clear" w:color="auto" w:fill="auto"/>
          <w:vertAlign w:val="baseline"/>
        </w:rPr>
        <w:t>本公司（单位）郑重声明，根据《国务院办公厅关于在政府采购中实施本国产品标准及相关政策的通知》（国办发〔2025〕34号）的规定，本公司（单位）提供的以下产品属于本国产品。具体情况如下：</w:t>
      </w:r>
    </w:p>
    <w:p w14:paraId="6B6F0DF8">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auto"/>
          <w:spacing w:val="6"/>
          <w:kern w:val="2"/>
          <w:sz w:val="24"/>
          <w:szCs w:val="24"/>
          <w:highlight w:val="none"/>
        </w:rPr>
      </w:pPr>
      <w:r>
        <w:rPr>
          <w:rFonts w:hint="eastAsia" w:ascii="宋体" w:hAnsi="宋体" w:eastAsia="宋体" w:cs="宋体"/>
          <w:i w:val="0"/>
          <w:iCs w:val="0"/>
          <w:caps w:val="0"/>
          <w:color w:val="auto"/>
          <w:spacing w:val="6"/>
          <w:kern w:val="2"/>
          <w:sz w:val="24"/>
          <w:szCs w:val="24"/>
          <w:highlight w:val="none"/>
          <w:shd w:val="clear" w:color="auto" w:fill="auto"/>
          <w:vertAlign w:val="baseline"/>
        </w:rPr>
        <w:t>1.</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（产品名称1）</w:t>
      </w:r>
      <w:r>
        <w:rPr>
          <w:rFonts w:hint="eastAsia" w:ascii="宋体" w:hAnsi="宋体" w:eastAsia="宋体" w:cs="宋体"/>
          <w:i w:val="0"/>
          <w:iCs w:val="0"/>
          <w:caps w:val="0"/>
          <w:color w:val="auto"/>
          <w:spacing w:val="6"/>
          <w:kern w:val="2"/>
          <w:sz w:val="24"/>
          <w:szCs w:val="24"/>
          <w:highlight w:val="none"/>
          <w:shd w:val="clear" w:color="auto" w:fill="auto"/>
          <w:vertAlign w:val="baseline"/>
        </w:rPr>
        <w:t>1，生产厂为</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（厂名）</w:t>
      </w:r>
      <w:r>
        <w:rPr>
          <w:rFonts w:hint="eastAsia" w:ascii="宋体" w:hAnsi="宋体" w:eastAsia="宋体" w:cs="宋体"/>
          <w:i w:val="0"/>
          <w:iCs w:val="0"/>
          <w:caps w:val="0"/>
          <w:color w:val="auto"/>
          <w:spacing w:val="6"/>
          <w:kern w:val="2"/>
          <w:sz w:val="24"/>
          <w:szCs w:val="24"/>
          <w:highlight w:val="none"/>
          <w:shd w:val="clear" w:color="auto" w:fill="auto"/>
          <w:vertAlign w:val="baseline"/>
        </w:rPr>
        <w:t>2，厂址为</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（生产厂址）</w:t>
      </w:r>
      <w:r>
        <w:rPr>
          <w:rFonts w:hint="eastAsia" w:ascii="宋体" w:hAnsi="宋体" w:eastAsia="宋体" w:cs="宋体"/>
          <w:i w:val="0"/>
          <w:iCs w:val="0"/>
          <w:caps w:val="0"/>
          <w:color w:val="auto"/>
          <w:spacing w:val="6"/>
          <w:kern w:val="2"/>
          <w:sz w:val="24"/>
          <w:szCs w:val="24"/>
          <w:highlight w:val="none"/>
          <w:shd w:val="clear" w:color="auto" w:fill="auto"/>
          <w:vertAlign w:val="baseline"/>
        </w:rPr>
        <w:t>。</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（产品名称1）</w:t>
      </w:r>
      <w:r>
        <w:rPr>
          <w:rFonts w:hint="eastAsia" w:ascii="宋体" w:hAnsi="宋体" w:eastAsia="宋体" w:cs="宋体"/>
          <w:i w:val="0"/>
          <w:iCs w:val="0"/>
          <w:caps w:val="0"/>
          <w:color w:val="auto"/>
          <w:spacing w:val="6"/>
          <w:kern w:val="2"/>
          <w:sz w:val="24"/>
          <w:szCs w:val="24"/>
          <w:highlight w:val="none"/>
          <w:shd w:val="clear" w:color="auto" w:fill="auto"/>
          <w:vertAlign w:val="baseline"/>
        </w:rPr>
        <w:t>的中国境内生产的组件成本占比</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≥（规定比例）</w:t>
      </w:r>
      <w:r>
        <w:rPr>
          <w:rFonts w:hint="eastAsia" w:ascii="宋体" w:hAnsi="宋体" w:eastAsia="宋体" w:cs="宋体"/>
          <w:i w:val="0"/>
          <w:iCs w:val="0"/>
          <w:caps w:val="0"/>
          <w:color w:val="auto"/>
          <w:spacing w:val="6"/>
          <w:kern w:val="2"/>
          <w:sz w:val="24"/>
          <w:szCs w:val="24"/>
          <w:highlight w:val="none"/>
          <w:shd w:val="clear" w:color="auto" w:fill="auto"/>
          <w:vertAlign w:val="baseline"/>
        </w:rPr>
        <w:t>3。</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（产品名称1）</w:t>
      </w:r>
      <w:r>
        <w:rPr>
          <w:rFonts w:hint="eastAsia" w:ascii="宋体" w:hAnsi="宋体" w:eastAsia="宋体" w:cs="宋体"/>
          <w:i w:val="0"/>
          <w:iCs w:val="0"/>
          <w:caps w:val="0"/>
          <w:color w:val="auto"/>
          <w:spacing w:val="6"/>
          <w:kern w:val="2"/>
          <w:sz w:val="24"/>
          <w:szCs w:val="24"/>
          <w:highlight w:val="none"/>
          <w:shd w:val="clear" w:color="auto" w:fill="auto"/>
          <w:vertAlign w:val="baseline"/>
        </w:rPr>
        <w:t>的</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（关键组件）</w:t>
      </w:r>
      <w:r>
        <w:rPr>
          <w:rFonts w:hint="eastAsia" w:ascii="宋体" w:hAnsi="宋体" w:eastAsia="宋体" w:cs="宋体"/>
          <w:i w:val="0"/>
          <w:iCs w:val="0"/>
          <w:caps w:val="0"/>
          <w:color w:val="auto"/>
          <w:spacing w:val="6"/>
          <w:kern w:val="2"/>
          <w:sz w:val="24"/>
          <w:szCs w:val="24"/>
          <w:highlight w:val="none"/>
          <w:shd w:val="clear" w:color="auto" w:fill="auto"/>
          <w:vertAlign w:val="baseline"/>
        </w:rPr>
        <w:t>4在中国境内生产。</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（产品名称1）</w:t>
      </w:r>
      <w:r>
        <w:rPr>
          <w:rFonts w:hint="eastAsia" w:ascii="宋体" w:hAnsi="宋体" w:eastAsia="宋体" w:cs="宋体"/>
          <w:i w:val="0"/>
          <w:iCs w:val="0"/>
          <w:caps w:val="0"/>
          <w:color w:val="auto"/>
          <w:spacing w:val="6"/>
          <w:kern w:val="2"/>
          <w:sz w:val="24"/>
          <w:szCs w:val="24"/>
          <w:highlight w:val="none"/>
          <w:shd w:val="clear" w:color="auto" w:fill="auto"/>
          <w:vertAlign w:val="baseline"/>
        </w:rPr>
        <w:t>的</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（关键工序）</w:t>
      </w:r>
      <w:r>
        <w:rPr>
          <w:rFonts w:hint="eastAsia" w:ascii="宋体" w:hAnsi="宋体" w:eastAsia="宋体" w:cs="宋体"/>
          <w:i w:val="0"/>
          <w:iCs w:val="0"/>
          <w:caps w:val="0"/>
          <w:color w:val="auto"/>
          <w:spacing w:val="6"/>
          <w:kern w:val="2"/>
          <w:sz w:val="24"/>
          <w:szCs w:val="24"/>
          <w:highlight w:val="none"/>
          <w:shd w:val="clear" w:color="auto" w:fill="auto"/>
          <w:vertAlign w:val="baseline"/>
        </w:rPr>
        <w:t>5在中国境内完成。</w:t>
      </w:r>
    </w:p>
    <w:p w14:paraId="6B83E4FA">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auto"/>
          <w:spacing w:val="6"/>
          <w:kern w:val="2"/>
          <w:sz w:val="24"/>
          <w:szCs w:val="24"/>
          <w:highlight w:val="none"/>
        </w:rPr>
      </w:pPr>
      <w:r>
        <w:rPr>
          <w:rFonts w:hint="eastAsia" w:ascii="宋体" w:hAnsi="宋体" w:eastAsia="宋体" w:cs="宋体"/>
          <w:i w:val="0"/>
          <w:iCs w:val="0"/>
          <w:caps w:val="0"/>
          <w:color w:val="auto"/>
          <w:spacing w:val="6"/>
          <w:kern w:val="2"/>
          <w:sz w:val="24"/>
          <w:szCs w:val="24"/>
          <w:highlight w:val="none"/>
          <w:shd w:val="clear" w:color="auto" w:fill="auto"/>
          <w:vertAlign w:val="baseline"/>
        </w:rPr>
        <w:t>2.</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（产品名称2）</w:t>
      </w:r>
      <w:r>
        <w:rPr>
          <w:rFonts w:hint="eastAsia" w:ascii="宋体" w:hAnsi="宋体" w:eastAsia="宋体" w:cs="宋体"/>
          <w:i w:val="0"/>
          <w:iCs w:val="0"/>
          <w:caps w:val="0"/>
          <w:color w:val="auto"/>
          <w:spacing w:val="6"/>
          <w:kern w:val="2"/>
          <w:sz w:val="24"/>
          <w:szCs w:val="24"/>
          <w:highlight w:val="none"/>
          <w:shd w:val="clear" w:color="auto" w:fill="auto"/>
          <w:vertAlign w:val="baseline"/>
        </w:rPr>
        <w:t>，生产厂为</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（厂名）</w:t>
      </w:r>
      <w:r>
        <w:rPr>
          <w:rFonts w:hint="eastAsia" w:ascii="宋体" w:hAnsi="宋体" w:eastAsia="宋体" w:cs="宋体"/>
          <w:i w:val="0"/>
          <w:iCs w:val="0"/>
          <w:caps w:val="0"/>
          <w:color w:val="auto"/>
          <w:spacing w:val="6"/>
          <w:kern w:val="2"/>
          <w:sz w:val="24"/>
          <w:szCs w:val="24"/>
          <w:highlight w:val="none"/>
          <w:shd w:val="clear" w:color="auto" w:fill="auto"/>
          <w:vertAlign w:val="baseline"/>
        </w:rPr>
        <w:t>，厂址为</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（生产厂址）</w:t>
      </w:r>
      <w:r>
        <w:rPr>
          <w:rFonts w:hint="eastAsia" w:ascii="宋体" w:hAnsi="宋体" w:eastAsia="宋体" w:cs="宋体"/>
          <w:i w:val="0"/>
          <w:iCs w:val="0"/>
          <w:caps w:val="0"/>
          <w:color w:val="auto"/>
          <w:spacing w:val="6"/>
          <w:kern w:val="2"/>
          <w:sz w:val="24"/>
          <w:szCs w:val="24"/>
          <w:highlight w:val="none"/>
          <w:shd w:val="clear" w:color="auto" w:fill="auto"/>
          <w:vertAlign w:val="baseline"/>
        </w:rPr>
        <w:t>。</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（产品名称2）</w:t>
      </w:r>
      <w:r>
        <w:rPr>
          <w:rFonts w:hint="eastAsia" w:ascii="宋体" w:hAnsi="宋体" w:eastAsia="宋体" w:cs="宋体"/>
          <w:i w:val="0"/>
          <w:iCs w:val="0"/>
          <w:caps w:val="0"/>
          <w:color w:val="auto"/>
          <w:spacing w:val="6"/>
          <w:kern w:val="2"/>
          <w:sz w:val="24"/>
          <w:szCs w:val="24"/>
          <w:highlight w:val="none"/>
          <w:shd w:val="clear" w:color="auto" w:fill="auto"/>
          <w:vertAlign w:val="baseline"/>
        </w:rPr>
        <w:t>的中国境内生产的组件成本占比</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≥（规定比例）</w:t>
      </w:r>
      <w:r>
        <w:rPr>
          <w:rFonts w:hint="eastAsia" w:ascii="宋体" w:hAnsi="宋体" w:eastAsia="宋体" w:cs="宋体"/>
          <w:i w:val="0"/>
          <w:iCs w:val="0"/>
          <w:caps w:val="0"/>
          <w:color w:val="auto"/>
          <w:spacing w:val="6"/>
          <w:kern w:val="2"/>
          <w:sz w:val="24"/>
          <w:szCs w:val="24"/>
          <w:highlight w:val="none"/>
          <w:shd w:val="clear" w:color="auto" w:fill="auto"/>
          <w:vertAlign w:val="baseline"/>
        </w:rPr>
        <w:t>。</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（产品名称2）</w:t>
      </w:r>
      <w:r>
        <w:rPr>
          <w:rFonts w:hint="eastAsia" w:ascii="宋体" w:hAnsi="宋体" w:eastAsia="宋体" w:cs="宋体"/>
          <w:i w:val="0"/>
          <w:iCs w:val="0"/>
          <w:caps w:val="0"/>
          <w:color w:val="auto"/>
          <w:spacing w:val="6"/>
          <w:kern w:val="2"/>
          <w:sz w:val="24"/>
          <w:szCs w:val="24"/>
          <w:highlight w:val="none"/>
          <w:shd w:val="clear" w:color="auto" w:fill="auto"/>
          <w:vertAlign w:val="baseline"/>
        </w:rPr>
        <w:t>的</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（关键组件）</w:t>
      </w:r>
      <w:r>
        <w:rPr>
          <w:rFonts w:hint="eastAsia" w:ascii="宋体" w:hAnsi="宋体" w:eastAsia="宋体" w:cs="宋体"/>
          <w:i w:val="0"/>
          <w:iCs w:val="0"/>
          <w:caps w:val="0"/>
          <w:color w:val="auto"/>
          <w:spacing w:val="6"/>
          <w:kern w:val="2"/>
          <w:sz w:val="24"/>
          <w:szCs w:val="24"/>
          <w:highlight w:val="none"/>
          <w:shd w:val="clear" w:color="auto" w:fill="auto"/>
          <w:vertAlign w:val="baseline"/>
        </w:rPr>
        <w:t>在中国境内生产。</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（产品名称2）</w:t>
      </w:r>
      <w:r>
        <w:rPr>
          <w:rFonts w:hint="eastAsia" w:ascii="宋体" w:hAnsi="宋体" w:eastAsia="宋体" w:cs="宋体"/>
          <w:i w:val="0"/>
          <w:iCs w:val="0"/>
          <w:caps w:val="0"/>
          <w:color w:val="auto"/>
          <w:spacing w:val="6"/>
          <w:kern w:val="2"/>
          <w:sz w:val="24"/>
          <w:szCs w:val="24"/>
          <w:highlight w:val="none"/>
          <w:shd w:val="clear" w:color="auto" w:fill="auto"/>
          <w:vertAlign w:val="baseline"/>
        </w:rPr>
        <w:t>的</w:t>
      </w:r>
      <w:r>
        <w:rPr>
          <w:rFonts w:hint="eastAsia" w:ascii="宋体" w:hAnsi="宋体" w:eastAsia="宋体" w:cs="宋体"/>
          <w:i w:val="0"/>
          <w:iCs w:val="0"/>
          <w:caps w:val="0"/>
          <w:color w:val="auto"/>
          <w:spacing w:val="6"/>
          <w:kern w:val="2"/>
          <w:sz w:val="24"/>
          <w:szCs w:val="24"/>
          <w:highlight w:val="none"/>
          <w:u w:val="single"/>
          <w:shd w:val="clear" w:color="auto" w:fill="auto"/>
          <w:vertAlign w:val="baseline"/>
        </w:rPr>
        <w:t>（关键工序）</w:t>
      </w:r>
      <w:r>
        <w:rPr>
          <w:rFonts w:hint="eastAsia" w:ascii="宋体" w:hAnsi="宋体" w:eastAsia="宋体" w:cs="宋体"/>
          <w:i w:val="0"/>
          <w:iCs w:val="0"/>
          <w:caps w:val="0"/>
          <w:color w:val="auto"/>
          <w:spacing w:val="6"/>
          <w:kern w:val="2"/>
          <w:sz w:val="24"/>
          <w:szCs w:val="24"/>
          <w:highlight w:val="none"/>
          <w:shd w:val="clear" w:color="auto" w:fill="auto"/>
          <w:vertAlign w:val="baseline"/>
        </w:rPr>
        <w:t>在中国境内完成</w:t>
      </w:r>
    </w:p>
    <w:p w14:paraId="7C30C066">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auto"/>
          <w:spacing w:val="6"/>
          <w:kern w:val="2"/>
          <w:sz w:val="24"/>
          <w:szCs w:val="24"/>
          <w:highlight w:val="none"/>
        </w:rPr>
      </w:pPr>
      <w:r>
        <w:rPr>
          <w:rFonts w:hint="eastAsia" w:ascii="宋体" w:hAnsi="宋体" w:eastAsia="宋体" w:cs="宋体"/>
          <w:i w:val="0"/>
          <w:iCs w:val="0"/>
          <w:caps w:val="0"/>
          <w:color w:val="auto"/>
          <w:spacing w:val="6"/>
          <w:kern w:val="2"/>
          <w:sz w:val="24"/>
          <w:szCs w:val="24"/>
          <w:highlight w:val="none"/>
          <w:shd w:val="clear" w:color="auto" w:fill="auto"/>
          <w:vertAlign w:val="baseline"/>
        </w:rPr>
        <w:t>……</w:t>
      </w:r>
    </w:p>
    <w:p w14:paraId="6DD7EE01">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auto"/>
          <w:spacing w:val="6"/>
          <w:kern w:val="2"/>
          <w:sz w:val="24"/>
          <w:szCs w:val="24"/>
          <w:highlight w:val="none"/>
        </w:rPr>
      </w:pPr>
      <w:r>
        <w:rPr>
          <w:rFonts w:hint="eastAsia" w:ascii="宋体" w:hAnsi="宋体" w:eastAsia="宋体" w:cs="宋体"/>
          <w:i w:val="0"/>
          <w:iCs w:val="0"/>
          <w:caps w:val="0"/>
          <w:color w:val="auto"/>
          <w:spacing w:val="6"/>
          <w:kern w:val="2"/>
          <w:sz w:val="24"/>
          <w:szCs w:val="24"/>
          <w:highlight w:val="none"/>
          <w:shd w:val="clear" w:color="auto" w:fill="auto"/>
          <w:vertAlign w:val="baseline"/>
        </w:rPr>
        <w:t>本公司（单位）对上述声明内容的真实性负责。如有虚假，愿承担相应法律责任。</w:t>
      </w:r>
    </w:p>
    <w:p w14:paraId="0FBD6AA2">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textAlignment w:val="baseline"/>
        <w:rPr>
          <w:rFonts w:hint="eastAsia" w:ascii="仿宋" w:hAnsi="仿宋" w:eastAsia="仿宋" w:cs="仿宋"/>
          <w:i w:val="0"/>
          <w:iCs w:val="0"/>
          <w:caps w:val="0"/>
          <w:color w:val="auto"/>
          <w:spacing w:val="0"/>
          <w:sz w:val="28"/>
          <w:szCs w:val="28"/>
          <w:highlight w:val="none"/>
        </w:rPr>
      </w:pPr>
    </w:p>
    <w:p w14:paraId="21EC4BD2">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30" w:beforeAutospacing="0" w:after="30" w:afterAutospacing="0" w:line="480" w:lineRule="atLeast"/>
        <w:ind w:left="0" w:right="0" w:firstLine="420"/>
        <w:jc w:val="right"/>
        <w:textAlignment w:val="baseline"/>
        <w:rPr>
          <w:rFonts w:hint="default" w:ascii="宋体" w:hAnsi="宋体" w:eastAsia="宋体" w:cs="宋体"/>
          <w:i w:val="0"/>
          <w:iCs w:val="0"/>
          <w:caps w:val="0"/>
          <w:color w:val="auto"/>
          <w:spacing w:val="6"/>
          <w:kern w:val="2"/>
          <w:sz w:val="24"/>
          <w:szCs w:val="24"/>
          <w:highlight w:val="none"/>
          <w:lang w:val="en-US" w:eastAsia="zh-CN"/>
        </w:rPr>
      </w:pPr>
      <w:r>
        <w:rPr>
          <w:rFonts w:hint="eastAsia" w:ascii="宋体" w:hAnsi="宋体" w:eastAsia="宋体" w:cs="宋体"/>
          <w:i w:val="0"/>
          <w:iCs w:val="0"/>
          <w:caps w:val="0"/>
          <w:color w:val="auto"/>
          <w:spacing w:val="6"/>
          <w:kern w:val="2"/>
          <w:sz w:val="24"/>
          <w:szCs w:val="24"/>
          <w:highlight w:val="none"/>
          <w:shd w:val="clear" w:color="auto" w:fill="auto"/>
          <w:vertAlign w:val="baseline"/>
        </w:rPr>
        <w:t>公司（单位）名称（盖章）：</w:t>
      </w:r>
      <w:r>
        <w:rPr>
          <w:rFonts w:hint="eastAsia" w:eastAsia="宋体" w:cs="宋体"/>
          <w:i w:val="0"/>
          <w:iCs w:val="0"/>
          <w:caps w:val="0"/>
          <w:color w:val="auto"/>
          <w:spacing w:val="6"/>
          <w:kern w:val="2"/>
          <w:sz w:val="24"/>
          <w:szCs w:val="24"/>
          <w:highlight w:val="none"/>
          <w:shd w:val="clear" w:color="auto" w:fill="auto"/>
          <w:vertAlign w:val="baseline"/>
          <w:lang w:val="en-US" w:eastAsia="zh-CN"/>
        </w:rPr>
        <w:t xml:space="preserve">         </w:t>
      </w:r>
    </w:p>
    <w:p w14:paraId="1C46C54F">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jc w:val="right"/>
        <w:textAlignment w:val="baseline"/>
        <w:rPr>
          <w:rFonts w:hint="eastAsia" w:ascii="宋体" w:hAnsi="宋体" w:eastAsia="宋体" w:cs="宋体"/>
          <w:i w:val="0"/>
          <w:iCs w:val="0"/>
          <w:caps w:val="0"/>
          <w:color w:val="auto"/>
          <w:spacing w:val="6"/>
          <w:kern w:val="2"/>
          <w:sz w:val="24"/>
          <w:szCs w:val="24"/>
          <w:highlight w:val="none"/>
          <w:lang w:eastAsia="zh-CN"/>
        </w:rPr>
      </w:pPr>
      <w:r>
        <w:rPr>
          <w:rFonts w:hint="eastAsia" w:ascii="宋体" w:hAnsi="宋体" w:eastAsia="宋体" w:cs="宋体"/>
          <w:i w:val="0"/>
          <w:iCs w:val="0"/>
          <w:caps w:val="0"/>
          <w:color w:val="auto"/>
          <w:spacing w:val="6"/>
          <w:kern w:val="2"/>
          <w:sz w:val="24"/>
          <w:szCs w:val="24"/>
          <w:highlight w:val="none"/>
          <w:shd w:val="clear" w:color="auto" w:fill="auto"/>
          <w:vertAlign w:val="baseline"/>
        </w:rPr>
        <w:t>日期：</w:t>
      </w:r>
      <w:r>
        <w:rPr>
          <w:rFonts w:hint="eastAsia" w:eastAsia="宋体" w:cs="宋体"/>
          <w:i w:val="0"/>
          <w:iCs w:val="0"/>
          <w:caps w:val="0"/>
          <w:color w:val="auto"/>
          <w:spacing w:val="6"/>
          <w:kern w:val="2"/>
          <w:sz w:val="24"/>
          <w:szCs w:val="24"/>
          <w:highlight w:val="none"/>
          <w:shd w:val="clear" w:color="auto" w:fill="auto"/>
          <w:vertAlign w:val="baseline"/>
          <w:lang w:val="en-US" w:eastAsia="zh-CN"/>
        </w:rPr>
        <w:t xml:space="preserve">     </w:t>
      </w:r>
      <w:r>
        <w:rPr>
          <w:rFonts w:hint="eastAsia" w:ascii="宋体" w:hAnsi="宋体" w:eastAsia="宋体" w:cs="宋体"/>
          <w:i w:val="0"/>
          <w:iCs w:val="0"/>
          <w:caps w:val="0"/>
          <w:color w:val="auto"/>
          <w:spacing w:val="6"/>
          <w:kern w:val="2"/>
          <w:sz w:val="24"/>
          <w:szCs w:val="24"/>
          <w:highlight w:val="none"/>
          <w:shd w:val="clear" w:color="auto" w:fill="auto"/>
          <w:vertAlign w:val="baseline"/>
        </w:rPr>
        <w:t>年</w:t>
      </w:r>
      <w:r>
        <w:rPr>
          <w:rFonts w:hint="eastAsia" w:eastAsia="宋体" w:cs="宋体"/>
          <w:i w:val="0"/>
          <w:iCs w:val="0"/>
          <w:caps w:val="0"/>
          <w:color w:val="auto"/>
          <w:spacing w:val="6"/>
          <w:kern w:val="2"/>
          <w:sz w:val="24"/>
          <w:szCs w:val="24"/>
          <w:highlight w:val="none"/>
          <w:shd w:val="clear" w:color="auto" w:fill="auto"/>
          <w:vertAlign w:val="baseline"/>
          <w:lang w:val="en-US" w:eastAsia="zh-CN"/>
        </w:rPr>
        <w:t xml:space="preserve">    </w:t>
      </w:r>
      <w:r>
        <w:rPr>
          <w:rFonts w:hint="eastAsia" w:ascii="宋体" w:hAnsi="宋体" w:eastAsia="宋体" w:cs="宋体"/>
          <w:i w:val="0"/>
          <w:iCs w:val="0"/>
          <w:caps w:val="0"/>
          <w:color w:val="auto"/>
          <w:spacing w:val="6"/>
          <w:kern w:val="2"/>
          <w:sz w:val="24"/>
          <w:szCs w:val="24"/>
          <w:highlight w:val="none"/>
          <w:shd w:val="clear" w:color="auto" w:fill="auto"/>
          <w:vertAlign w:val="baseline"/>
        </w:rPr>
        <w:t>月</w:t>
      </w:r>
      <w:r>
        <w:rPr>
          <w:rFonts w:hint="eastAsia" w:eastAsia="宋体" w:cs="宋体"/>
          <w:i w:val="0"/>
          <w:iCs w:val="0"/>
          <w:caps w:val="0"/>
          <w:color w:val="auto"/>
          <w:spacing w:val="6"/>
          <w:kern w:val="2"/>
          <w:sz w:val="24"/>
          <w:szCs w:val="24"/>
          <w:highlight w:val="none"/>
          <w:shd w:val="clear" w:color="auto" w:fill="auto"/>
          <w:vertAlign w:val="baseline"/>
          <w:lang w:val="en-US" w:eastAsia="zh-CN"/>
        </w:rPr>
        <w:t xml:space="preserve">    </w:t>
      </w:r>
      <w:r>
        <w:rPr>
          <w:rFonts w:hint="eastAsia" w:ascii="宋体" w:hAnsi="宋体" w:eastAsia="宋体" w:cs="宋体"/>
          <w:i w:val="0"/>
          <w:iCs w:val="0"/>
          <w:caps w:val="0"/>
          <w:color w:val="auto"/>
          <w:spacing w:val="6"/>
          <w:kern w:val="2"/>
          <w:sz w:val="24"/>
          <w:szCs w:val="24"/>
          <w:highlight w:val="none"/>
          <w:shd w:val="clear" w:color="auto" w:fill="auto"/>
          <w:vertAlign w:val="baseline"/>
        </w:rPr>
        <w:t>日</w:t>
      </w:r>
      <w:r>
        <w:rPr>
          <w:rFonts w:hint="eastAsia" w:eastAsia="宋体" w:cs="宋体"/>
          <w:i w:val="0"/>
          <w:iCs w:val="0"/>
          <w:caps w:val="0"/>
          <w:color w:val="auto"/>
          <w:spacing w:val="6"/>
          <w:kern w:val="2"/>
          <w:sz w:val="24"/>
          <w:szCs w:val="24"/>
          <w:highlight w:val="none"/>
          <w:shd w:val="clear" w:color="auto" w:fill="auto"/>
          <w:vertAlign w:val="baseline"/>
          <w:lang w:val="en-US" w:eastAsia="zh-CN"/>
        </w:rPr>
        <w:t xml:space="preserve"> </w:t>
      </w:r>
    </w:p>
    <w:p w14:paraId="72BA187C">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textAlignment w:val="baseline"/>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vertAlign w:val="baseline"/>
        </w:rPr>
        <w:t>__________________</w:t>
      </w:r>
    </w:p>
    <w:p w14:paraId="7FA165F6">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b/>
          <w:bCs/>
          <w:i w:val="0"/>
          <w:iCs w:val="0"/>
          <w:caps w:val="0"/>
          <w:color w:val="auto"/>
          <w:spacing w:val="6"/>
          <w:kern w:val="2"/>
          <w:sz w:val="21"/>
          <w:szCs w:val="21"/>
          <w:highlight w:val="none"/>
        </w:rPr>
      </w:pPr>
      <w:r>
        <w:rPr>
          <w:rFonts w:hint="eastAsia" w:ascii="宋体" w:hAnsi="宋体" w:eastAsia="宋体" w:cs="宋体"/>
          <w:b/>
          <w:bCs/>
          <w:i w:val="0"/>
          <w:iCs w:val="0"/>
          <w:caps w:val="0"/>
          <w:color w:val="auto"/>
          <w:spacing w:val="6"/>
          <w:kern w:val="2"/>
          <w:sz w:val="21"/>
          <w:szCs w:val="21"/>
          <w:highlight w:val="none"/>
          <w:shd w:val="clear" w:color="auto" w:fill="auto"/>
          <w:vertAlign w:val="baseline"/>
          <w:lang w:eastAsia="zh-CN"/>
        </w:rPr>
        <w:t>注：</w:t>
      </w:r>
      <w:r>
        <w:rPr>
          <w:rFonts w:hint="eastAsia" w:ascii="宋体" w:hAnsi="宋体" w:eastAsia="宋体" w:cs="宋体"/>
          <w:b/>
          <w:bCs/>
          <w:i w:val="0"/>
          <w:iCs w:val="0"/>
          <w:caps w:val="0"/>
          <w:color w:val="auto"/>
          <w:spacing w:val="6"/>
          <w:kern w:val="2"/>
          <w:sz w:val="21"/>
          <w:szCs w:val="21"/>
          <w:highlight w:val="none"/>
          <w:shd w:val="clear" w:color="auto" w:fill="auto"/>
          <w:vertAlign w:val="baseline"/>
        </w:rPr>
        <w:t>1.产品如有型号，请在“产品名称”栏一并填写。</w:t>
      </w:r>
    </w:p>
    <w:p w14:paraId="2BF3942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891" w:firstLineChars="400"/>
        <w:textAlignment w:val="baseline"/>
        <w:rPr>
          <w:rFonts w:hint="eastAsia" w:ascii="宋体" w:hAnsi="宋体" w:eastAsia="宋体" w:cs="宋体"/>
          <w:b/>
          <w:bCs/>
          <w:i w:val="0"/>
          <w:iCs w:val="0"/>
          <w:caps w:val="0"/>
          <w:color w:val="auto"/>
          <w:spacing w:val="6"/>
          <w:kern w:val="2"/>
          <w:sz w:val="21"/>
          <w:szCs w:val="21"/>
          <w:highlight w:val="none"/>
        </w:rPr>
      </w:pPr>
      <w:r>
        <w:rPr>
          <w:rFonts w:hint="eastAsia" w:ascii="宋体" w:hAnsi="宋体" w:eastAsia="宋体" w:cs="宋体"/>
          <w:b/>
          <w:bCs/>
          <w:i w:val="0"/>
          <w:iCs w:val="0"/>
          <w:caps w:val="0"/>
          <w:color w:val="auto"/>
          <w:spacing w:val="6"/>
          <w:kern w:val="2"/>
          <w:sz w:val="21"/>
          <w:szCs w:val="21"/>
          <w:highlight w:val="none"/>
          <w:shd w:val="clear" w:color="auto" w:fill="auto"/>
          <w:vertAlign w:val="baseline"/>
        </w:rPr>
        <w:t>2.生产厂名与厂址应与生产厂营业执照载明的相关信息保持一致。</w:t>
      </w:r>
    </w:p>
    <w:p w14:paraId="3AFE64F4">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891" w:firstLineChars="400"/>
        <w:textAlignment w:val="baseline"/>
        <w:rPr>
          <w:rFonts w:hint="eastAsia" w:ascii="宋体" w:hAnsi="宋体" w:eastAsia="宋体" w:cs="宋体"/>
          <w:b/>
          <w:bCs/>
          <w:i w:val="0"/>
          <w:iCs w:val="0"/>
          <w:caps w:val="0"/>
          <w:color w:val="auto"/>
          <w:spacing w:val="6"/>
          <w:kern w:val="2"/>
          <w:sz w:val="21"/>
          <w:szCs w:val="21"/>
          <w:highlight w:val="none"/>
        </w:rPr>
      </w:pPr>
      <w:r>
        <w:rPr>
          <w:rFonts w:hint="eastAsia" w:ascii="宋体" w:hAnsi="宋体" w:eastAsia="宋体" w:cs="宋体"/>
          <w:b/>
          <w:bCs/>
          <w:i w:val="0"/>
          <w:iCs w:val="0"/>
          <w:caps w:val="0"/>
          <w:color w:val="auto"/>
          <w:spacing w:val="6"/>
          <w:kern w:val="2"/>
          <w:sz w:val="21"/>
          <w:szCs w:val="21"/>
          <w:highlight w:val="none"/>
          <w:shd w:val="clear" w:color="auto" w:fill="auto"/>
          <w:vertAlign w:val="baseline"/>
        </w:rPr>
        <w:t>3.该产品的中国境内生产的组件成本占比相关要求实施前，“规定比例”栏可不填，下同。</w:t>
      </w:r>
    </w:p>
    <w:p w14:paraId="1EE5941C">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891" w:firstLineChars="400"/>
        <w:textAlignment w:val="baseline"/>
        <w:rPr>
          <w:rFonts w:hint="eastAsia" w:ascii="宋体" w:hAnsi="宋体" w:eastAsia="宋体" w:cs="宋体"/>
          <w:b/>
          <w:bCs/>
          <w:i w:val="0"/>
          <w:iCs w:val="0"/>
          <w:caps w:val="0"/>
          <w:color w:val="auto"/>
          <w:spacing w:val="6"/>
          <w:kern w:val="2"/>
          <w:sz w:val="21"/>
          <w:szCs w:val="21"/>
          <w:highlight w:val="none"/>
        </w:rPr>
      </w:pPr>
      <w:r>
        <w:rPr>
          <w:rFonts w:hint="eastAsia" w:ascii="宋体" w:hAnsi="宋体" w:eastAsia="宋体" w:cs="宋体"/>
          <w:b/>
          <w:bCs/>
          <w:i w:val="0"/>
          <w:iCs w:val="0"/>
          <w:caps w:val="0"/>
          <w:color w:val="auto"/>
          <w:spacing w:val="6"/>
          <w:kern w:val="2"/>
          <w:sz w:val="21"/>
          <w:szCs w:val="21"/>
          <w:highlight w:val="none"/>
          <w:shd w:val="clear" w:color="auto" w:fill="auto"/>
          <w:vertAlign w:val="baseline"/>
        </w:rPr>
        <w:t>4.该产品的关键组件要求实施前，“关键组件”栏可不填，下同。</w:t>
      </w:r>
    </w:p>
    <w:p w14:paraId="63B9C2A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891" w:firstLineChars="400"/>
        <w:textAlignment w:val="baseline"/>
        <w:rPr>
          <w:rFonts w:hint="eastAsia" w:ascii="宋体" w:hAnsi="宋体" w:eastAsia="宋体" w:cs="宋体"/>
          <w:b/>
          <w:bCs/>
          <w:i w:val="0"/>
          <w:iCs w:val="0"/>
          <w:caps w:val="0"/>
          <w:color w:val="auto"/>
          <w:spacing w:val="6"/>
          <w:kern w:val="2"/>
          <w:sz w:val="21"/>
          <w:szCs w:val="21"/>
          <w:highlight w:val="none"/>
        </w:rPr>
      </w:pPr>
      <w:r>
        <w:rPr>
          <w:rFonts w:hint="eastAsia" w:ascii="宋体" w:hAnsi="宋体" w:eastAsia="宋体" w:cs="宋体"/>
          <w:b/>
          <w:bCs/>
          <w:i w:val="0"/>
          <w:iCs w:val="0"/>
          <w:caps w:val="0"/>
          <w:color w:val="auto"/>
          <w:spacing w:val="6"/>
          <w:kern w:val="2"/>
          <w:sz w:val="21"/>
          <w:szCs w:val="21"/>
          <w:highlight w:val="none"/>
          <w:shd w:val="clear" w:color="auto" w:fill="auto"/>
          <w:vertAlign w:val="baseline"/>
        </w:rPr>
        <w:t>5.该产品的关键工序要求实施前，“关键工序”栏可不填，下同。</w:t>
      </w:r>
    </w:p>
    <w:p w14:paraId="66B97725">
      <w:pPr>
        <w:outlineLvl w:val="9"/>
        <w:rPr>
          <w:rFonts w:hint="eastAsia" w:ascii="宋体" w:hAnsi="宋体" w:cs="宋体"/>
          <w:b/>
          <w:bCs/>
          <w:color w:val="auto"/>
          <w:sz w:val="28"/>
          <w:szCs w:val="28"/>
          <w:highlight w:val="none"/>
          <w:lang w:val="en-US" w:eastAsia="zh-CN"/>
        </w:rPr>
      </w:pPr>
    </w:p>
    <w:p w14:paraId="68C9AAB4">
      <w:pPr>
        <w:outlineLvl w:val="9"/>
        <w:rPr>
          <w:rFonts w:hint="eastAsia" w:ascii="宋体" w:hAnsi="宋体" w:cs="宋体"/>
          <w:b/>
          <w:bCs/>
          <w:color w:val="auto"/>
          <w:sz w:val="28"/>
          <w:szCs w:val="28"/>
          <w:highlight w:val="none"/>
          <w:lang w:val="en-US" w:eastAsia="zh-CN"/>
        </w:rPr>
      </w:pPr>
    </w:p>
    <w:p w14:paraId="69D4F78C">
      <w:pPr>
        <w:spacing w:before="78" w:line="219" w:lineRule="auto"/>
        <w:ind w:left="167"/>
        <w:outlineLvl w:val="1"/>
        <w:rPr>
          <w:rFonts w:hint="eastAsia" w:ascii="宋体" w:hAnsi="宋体" w:eastAsia="宋体" w:cs="宋体"/>
          <w:b/>
          <w:bCs/>
          <w:color w:val="auto"/>
          <w:spacing w:val="-3"/>
          <w:sz w:val="24"/>
          <w:szCs w:val="24"/>
          <w:highlight w:val="none"/>
        </w:rPr>
        <w:sectPr>
          <w:footerReference r:id="rId9" w:type="default"/>
          <w:pgSz w:w="11906" w:h="16839"/>
          <w:pgMar w:top="1310" w:right="1785" w:bottom="1362" w:left="1785" w:header="828" w:footer="777" w:gutter="0"/>
          <w:pgNumType w:fmt="decimal"/>
          <w:cols w:space="720" w:num="1"/>
        </w:sectPr>
      </w:pPr>
    </w:p>
    <w:p w14:paraId="6F291C7B">
      <w:pPr>
        <w:spacing w:before="135" w:line="186" w:lineRule="auto"/>
        <w:ind w:left="46"/>
        <w:rPr>
          <w:rFonts w:hint="default" w:ascii="Arial Unicode MS" w:hAnsi="Arial Unicode MS" w:eastAsia="Arial Unicode MS" w:cs="Arial Unicode MS"/>
          <w:color w:val="auto"/>
          <w:spacing w:val="-3"/>
          <w:sz w:val="31"/>
          <w:szCs w:val="31"/>
          <w:highlight w:val="none"/>
          <w:lang w:val="en-US" w:eastAsia="zh-CN"/>
        </w:rPr>
      </w:pPr>
      <w:r>
        <w:rPr>
          <w:rFonts w:hint="default" w:ascii="Arial Unicode MS" w:hAnsi="Arial Unicode MS" w:eastAsia="Arial Unicode MS" w:cs="Arial Unicode MS"/>
          <w:color w:val="auto"/>
          <w:spacing w:val="-3"/>
          <w:sz w:val="31"/>
          <w:szCs w:val="31"/>
          <w:highlight w:val="none"/>
          <w:lang w:val="en-US" w:eastAsia="zh-CN"/>
        </w:rPr>
        <w:t>附：</w:t>
      </w:r>
    </w:p>
    <w:p w14:paraId="488258BA">
      <w:pPr>
        <w:spacing w:before="0" w:line="240" w:lineRule="auto"/>
        <w:ind w:left="0"/>
        <w:jc w:val="center"/>
        <w:outlineLvl w:val="9"/>
        <w:rPr>
          <w:rStyle w:val="27"/>
          <w:rFonts w:ascii="仿宋" w:hAnsi="仿宋" w:eastAsia="仿宋" w:cs="仿宋"/>
          <w:i w:val="0"/>
          <w:iCs w:val="0"/>
          <w:caps w:val="0"/>
          <w:color w:val="auto"/>
          <w:spacing w:val="0"/>
          <w:sz w:val="36"/>
          <w:szCs w:val="36"/>
          <w:highlight w:val="none"/>
          <w:shd w:val="clear" w:color="auto" w:fill="FFFFFF"/>
          <w:vertAlign w:val="baseline"/>
        </w:rPr>
      </w:pPr>
    </w:p>
    <w:p w14:paraId="06FC38B8">
      <w:pPr>
        <w:spacing w:before="0" w:line="240" w:lineRule="auto"/>
        <w:ind w:left="0"/>
        <w:jc w:val="center"/>
        <w:outlineLvl w:val="9"/>
        <w:rPr>
          <w:rStyle w:val="27"/>
          <w:rFonts w:ascii="仿宋" w:hAnsi="仿宋" w:eastAsia="仿宋" w:cs="仿宋"/>
          <w:i w:val="0"/>
          <w:iCs w:val="0"/>
          <w:caps w:val="0"/>
          <w:color w:val="auto"/>
          <w:spacing w:val="0"/>
          <w:sz w:val="36"/>
          <w:szCs w:val="36"/>
          <w:highlight w:val="none"/>
          <w:shd w:val="clear" w:color="auto" w:fill="FFFFFF"/>
          <w:vertAlign w:val="baseline"/>
        </w:rPr>
      </w:pPr>
      <w:r>
        <w:rPr>
          <w:rStyle w:val="27"/>
          <w:rFonts w:ascii="仿宋" w:hAnsi="仿宋" w:eastAsia="仿宋" w:cs="仿宋"/>
          <w:i w:val="0"/>
          <w:iCs w:val="0"/>
          <w:caps w:val="0"/>
          <w:color w:val="auto"/>
          <w:spacing w:val="0"/>
          <w:sz w:val="36"/>
          <w:szCs w:val="36"/>
          <w:highlight w:val="none"/>
          <w:shd w:val="clear" w:color="auto" w:fill="FFFFFF"/>
          <w:vertAlign w:val="baseline"/>
        </w:rPr>
        <w:t>中国境内生产的组件成本核算基本规则</w:t>
      </w:r>
    </w:p>
    <w:p w14:paraId="5799AE3D">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vertAlign w:val="baseli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D7C19B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vertAlign w:val="baseline"/>
        </w:rPr>
        <w:t>一、产品的一级组件是指直接组成产品的组件。产品的二级组件是指直接组成产品一级组件的组件。一级组件不可分解的，视同二级组件。</w:t>
      </w:r>
    </w:p>
    <w:p w14:paraId="59BB48B1">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vertAlign w:val="baseline"/>
        </w:rPr>
        <w:t>二、二级组件在中国境内生产的，其全部成本计入中国境内生产的组件成本；二级组件不在中国境内生产的，其成本不计入中国境内生产的组件成本。</w:t>
      </w:r>
    </w:p>
    <w:p w14:paraId="5A135E2F">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vertAlign w:val="baseline"/>
        </w:rPr>
        <w:t>三、产品总成本和组件成本以相关会计核算数据、采购合同、进货记录等为基础进行计算。</w:t>
      </w:r>
    </w:p>
    <w:p w14:paraId="7DC1A81D">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vertAlign w:val="baseline"/>
        </w:rPr>
        <w:t>四、需要对成本核算规则予以进一步明确的其他有关事项，由财政部会同有关部门另行规定。</w:t>
      </w:r>
    </w:p>
    <w:p w14:paraId="78B4B45A">
      <w:pPr>
        <w:spacing w:before="78" w:line="219" w:lineRule="auto"/>
        <w:ind w:left="167"/>
        <w:outlineLvl w:val="2"/>
        <w:rPr>
          <w:rFonts w:hint="eastAsia" w:ascii="宋体" w:hAnsi="宋体" w:eastAsia="宋体" w:cs="宋体"/>
          <w:b/>
          <w:bCs/>
          <w:color w:val="auto"/>
          <w:spacing w:val="-3"/>
          <w:sz w:val="24"/>
          <w:szCs w:val="24"/>
          <w:highlight w:val="none"/>
        </w:rPr>
      </w:pPr>
      <w:r>
        <w:rPr>
          <w:rFonts w:hint="default" w:ascii="宋体" w:hAnsi="宋体" w:eastAsia="宋体" w:cs="宋体"/>
          <w:b/>
          <w:bCs/>
          <w:color w:val="auto"/>
          <w:spacing w:val="-4"/>
          <w:sz w:val="24"/>
          <w:szCs w:val="24"/>
          <w:highlight w:val="none"/>
          <w:lang w:val="en-US"/>
        </w:rPr>
        <w:br w:type="page"/>
      </w:r>
      <w:r>
        <w:rPr>
          <w:rFonts w:hint="eastAsia" w:ascii="宋体" w:hAnsi="宋体" w:eastAsia="宋体" w:cs="宋体"/>
          <w:b/>
          <w:bCs/>
          <w:color w:val="auto"/>
          <w:spacing w:val="-3"/>
          <w:sz w:val="24"/>
          <w:szCs w:val="24"/>
          <w:highlight w:val="none"/>
          <w:lang w:val="en-US" w:eastAsia="zh-CN"/>
        </w:rPr>
        <w:t>8.</w:t>
      </w:r>
      <w:r>
        <w:rPr>
          <w:rFonts w:hint="eastAsia" w:ascii="宋体" w:hAnsi="宋体" w:eastAsia="宋体" w:cs="宋体"/>
          <w:b/>
          <w:bCs/>
          <w:color w:val="auto"/>
          <w:spacing w:val="-3"/>
          <w:sz w:val="24"/>
          <w:szCs w:val="24"/>
          <w:highlight w:val="none"/>
        </w:rPr>
        <w:t>关于符合本国产品成本占比的声明函</w:t>
      </w:r>
    </w:p>
    <w:p w14:paraId="3A3A7F9C">
      <w:pPr>
        <w:spacing w:line="272" w:lineRule="auto"/>
        <w:rPr>
          <w:rFonts w:ascii="Arial"/>
          <w:color w:val="auto"/>
          <w:sz w:val="21"/>
          <w:highlight w:val="none"/>
        </w:rPr>
      </w:pPr>
    </w:p>
    <w:p w14:paraId="1F83AA90">
      <w:pPr>
        <w:spacing w:before="103" w:line="183" w:lineRule="auto"/>
        <w:ind w:left="2860"/>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
          <w:sz w:val="24"/>
          <w:szCs w:val="24"/>
          <w:highlight w:val="none"/>
        </w:rPr>
        <w:t>关于符合本国产品成本占比的声明函</w:t>
      </w:r>
    </w:p>
    <w:p w14:paraId="62C84BC5">
      <w:pPr>
        <w:pStyle w:val="12"/>
        <w:spacing w:before="313" w:line="361" w:lineRule="auto"/>
        <w:ind w:left="13" w:firstLine="474"/>
        <w:jc w:val="both"/>
        <w:rPr>
          <w:color w:val="auto"/>
          <w:sz w:val="24"/>
          <w:szCs w:val="24"/>
          <w:highlight w:val="none"/>
        </w:rPr>
      </w:pPr>
      <w:r>
        <w:rPr>
          <w:color w:val="auto"/>
          <w:spacing w:val="-1"/>
          <w:sz w:val="24"/>
          <w:szCs w:val="24"/>
          <w:highlight w:val="none"/>
        </w:rPr>
        <w:t>本公司(单位)郑重声明，根据《国务院办公厅关于</w:t>
      </w:r>
      <w:r>
        <w:rPr>
          <w:color w:val="auto"/>
          <w:spacing w:val="-2"/>
          <w:sz w:val="24"/>
          <w:szCs w:val="24"/>
          <w:highlight w:val="none"/>
        </w:rPr>
        <w:t>在政府采购中实施本国产品标准及相</w:t>
      </w:r>
      <w:r>
        <w:rPr>
          <w:color w:val="auto"/>
          <w:spacing w:val="-1"/>
          <w:sz w:val="24"/>
          <w:szCs w:val="24"/>
          <w:highlight w:val="none"/>
        </w:rPr>
        <w:t>关政策的通知》</w:t>
      </w:r>
      <w:r>
        <w:rPr>
          <w:color w:val="auto"/>
          <w:spacing w:val="-69"/>
          <w:sz w:val="24"/>
          <w:szCs w:val="24"/>
          <w:highlight w:val="none"/>
        </w:rPr>
        <w:t xml:space="preserve"> </w:t>
      </w:r>
      <w:r>
        <w:rPr>
          <w:color w:val="auto"/>
          <w:spacing w:val="-1"/>
          <w:sz w:val="24"/>
          <w:szCs w:val="24"/>
          <w:highlight w:val="none"/>
        </w:rPr>
        <w:t>(国办发〔2025〕34 号)的规</w:t>
      </w:r>
      <w:r>
        <w:rPr>
          <w:color w:val="auto"/>
          <w:spacing w:val="-2"/>
          <w:sz w:val="24"/>
          <w:szCs w:val="24"/>
          <w:highlight w:val="none"/>
        </w:rPr>
        <w:t>定，本公司(单位)提供的以下产品属于本国产品。具体情况如下：</w:t>
      </w:r>
    </w:p>
    <w:p w14:paraId="6C762D96">
      <w:pPr>
        <w:pStyle w:val="12"/>
        <w:spacing w:before="273" w:line="219" w:lineRule="auto"/>
        <w:ind w:left="42"/>
        <w:rPr>
          <w:color w:val="auto"/>
          <w:sz w:val="24"/>
          <w:szCs w:val="24"/>
          <w:highlight w:val="none"/>
        </w:rPr>
      </w:pPr>
      <w:r>
        <w:rPr>
          <w:color w:val="auto"/>
          <w:spacing w:val="-4"/>
          <w:sz w:val="24"/>
          <w:szCs w:val="24"/>
          <w:highlight w:val="none"/>
        </w:rPr>
        <w:t>1.</w:t>
      </w:r>
      <w:r>
        <w:rPr>
          <w:color w:val="auto"/>
          <w:spacing w:val="-52"/>
          <w:sz w:val="24"/>
          <w:szCs w:val="24"/>
          <w:highlight w:val="none"/>
        </w:rPr>
        <w:t xml:space="preserve"> </w:t>
      </w:r>
      <w:r>
        <w:rPr>
          <w:color w:val="auto"/>
          <w:spacing w:val="-4"/>
          <w:sz w:val="24"/>
          <w:szCs w:val="24"/>
          <w:highlight w:val="none"/>
        </w:rPr>
        <w:t>(产品名称</w:t>
      </w:r>
      <w:r>
        <w:rPr>
          <w:color w:val="auto"/>
          <w:spacing w:val="-33"/>
          <w:sz w:val="24"/>
          <w:szCs w:val="24"/>
          <w:highlight w:val="none"/>
        </w:rPr>
        <w:t xml:space="preserve"> </w:t>
      </w:r>
      <w:r>
        <w:rPr>
          <w:color w:val="auto"/>
          <w:spacing w:val="-4"/>
          <w:sz w:val="24"/>
          <w:szCs w:val="24"/>
          <w:highlight w:val="none"/>
        </w:rPr>
        <w:t>1)1，生产厂为(厂名)2，厂址为(生产厂址)。</w:t>
      </w:r>
    </w:p>
    <w:p w14:paraId="18FD992B">
      <w:pPr>
        <w:spacing w:line="363" w:lineRule="auto"/>
        <w:rPr>
          <w:rFonts w:ascii="Arial"/>
          <w:color w:val="auto"/>
          <w:sz w:val="21"/>
          <w:highlight w:val="none"/>
        </w:rPr>
      </w:pPr>
    </w:p>
    <w:p w14:paraId="4A8829D7">
      <w:pPr>
        <w:pStyle w:val="12"/>
        <w:spacing w:before="79" w:line="239" w:lineRule="auto"/>
        <w:ind w:left="12"/>
        <w:rPr>
          <w:color w:val="auto"/>
          <w:sz w:val="24"/>
          <w:szCs w:val="24"/>
          <w:highlight w:val="none"/>
        </w:rPr>
      </w:pPr>
      <w:r>
        <w:rPr>
          <w:color w:val="auto"/>
          <w:spacing w:val="-4"/>
          <w:sz w:val="24"/>
          <w:szCs w:val="24"/>
          <w:highlight w:val="none"/>
        </w:rPr>
        <w:t>2.……</w:t>
      </w:r>
    </w:p>
    <w:p w14:paraId="252AA489">
      <w:pPr>
        <w:spacing w:line="307" w:lineRule="auto"/>
        <w:rPr>
          <w:rFonts w:ascii="Arial"/>
          <w:color w:val="auto"/>
          <w:sz w:val="21"/>
          <w:highlight w:val="none"/>
        </w:rPr>
      </w:pPr>
    </w:p>
    <w:p w14:paraId="368C08E7">
      <w:pPr>
        <w:spacing w:line="308" w:lineRule="auto"/>
        <w:rPr>
          <w:rFonts w:ascii="Arial"/>
          <w:color w:val="auto"/>
          <w:sz w:val="21"/>
          <w:highlight w:val="none"/>
        </w:rPr>
      </w:pPr>
    </w:p>
    <w:p w14:paraId="19FD7318">
      <w:pPr>
        <w:pStyle w:val="12"/>
        <w:spacing w:before="79" w:line="362" w:lineRule="auto"/>
        <w:ind w:left="11" w:right="194" w:firstLine="479"/>
        <w:rPr>
          <w:color w:val="auto"/>
          <w:sz w:val="24"/>
          <w:szCs w:val="24"/>
          <w:highlight w:val="none"/>
        </w:rPr>
      </w:pPr>
      <w:r>
        <w:rPr>
          <w:color w:val="auto"/>
          <w:sz w:val="24"/>
          <w:szCs w:val="24"/>
          <w:highlight w:val="none"/>
        </w:rPr>
        <w:t>本公司(单位)提供的上述符合本国产品标准的产品成本之</w:t>
      </w:r>
      <w:r>
        <w:rPr>
          <w:color w:val="auto"/>
          <w:spacing w:val="-1"/>
          <w:sz w:val="24"/>
          <w:szCs w:val="24"/>
          <w:highlight w:val="none"/>
        </w:rPr>
        <w:t>和占所提供的全部产品成本</w:t>
      </w:r>
      <w:r>
        <w:rPr>
          <w:color w:val="auto"/>
          <w:spacing w:val="2"/>
          <w:sz w:val="24"/>
          <w:szCs w:val="24"/>
          <w:highlight w:val="none"/>
        </w:rPr>
        <w:t>之和的比例达到80%以上，计算公式为：</w:t>
      </w:r>
    </w:p>
    <w:p w14:paraId="54B8D82D">
      <w:pPr>
        <w:pStyle w:val="12"/>
        <w:spacing w:before="273" w:line="219" w:lineRule="auto"/>
        <w:ind w:left="11"/>
        <w:rPr>
          <w:color w:val="auto"/>
          <w:sz w:val="24"/>
          <w:szCs w:val="24"/>
          <w:highlight w:val="none"/>
        </w:rPr>
      </w:pPr>
      <w:r>
        <w:rPr>
          <w:color w:val="auto"/>
          <w:spacing w:val="-1"/>
          <w:sz w:val="24"/>
          <w:szCs w:val="24"/>
          <w:highlight w:val="none"/>
        </w:rPr>
        <w:t>符合本国产品标准的产品成本之和/全部产品成本之和≥80%</w:t>
      </w:r>
    </w:p>
    <w:p w14:paraId="66BEF519">
      <w:pPr>
        <w:pStyle w:val="12"/>
        <w:spacing w:before="308" w:line="219" w:lineRule="auto"/>
        <w:ind w:left="10"/>
        <w:rPr>
          <w:color w:val="auto"/>
          <w:sz w:val="24"/>
          <w:szCs w:val="24"/>
          <w:highlight w:val="none"/>
        </w:rPr>
      </w:pPr>
      <w:r>
        <w:rPr>
          <w:color w:val="auto"/>
          <w:sz w:val="24"/>
          <w:szCs w:val="24"/>
          <w:highlight w:val="none"/>
        </w:rPr>
        <w:t>本公司(单位)对上述声明内容的真实性负责。如有虚</w:t>
      </w:r>
      <w:r>
        <w:rPr>
          <w:color w:val="auto"/>
          <w:spacing w:val="-1"/>
          <w:sz w:val="24"/>
          <w:szCs w:val="24"/>
          <w:highlight w:val="none"/>
        </w:rPr>
        <w:t>假，愿承担相应法律责任。</w:t>
      </w:r>
    </w:p>
    <w:p w14:paraId="2D38D396">
      <w:pPr>
        <w:pStyle w:val="12"/>
        <w:spacing w:before="305" w:line="219" w:lineRule="auto"/>
        <w:jc w:val="right"/>
        <w:rPr>
          <w:color w:val="auto"/>
          <w:sz w:val="24"/>
          <w:szCs w:val="24"/>
          <w:highlight w:val="none"/>
        </w:rPr>
      </w:pPr>
      <w:r>
        <w:rPr>
          <w:color w:val="auto"/>
          <w:spacing w:val="-2"/>
          <w:sz w:val="24"/>
          <w:szCs w:val="24"/>
          <w:highlight w:val="none"/>
        </w:rPr>
        <w:t>公司(单位)名称(盖章)：</w:t>
      </w:r>
    </w:p>
    <w:p w14:paraId="78236C32">
      <w:pPr>
        <w:pStyle w:val="12"/>
        <w:spacing w:before="307" w:line="219" w:lineRule="auto"/>
        <w:jc w:val="right"/>
        <w:rPr>
          <w:color w:val="auto"/>
          <w:sz w:val="24"/>
          <w:szCs w:val="24"/>
          <w:highlight w:val="none"/>
        </w:rPr>
      </w:pPr>
      <w:r>
        <w:rPr>
          <w:color w:val="auto"/>
          <w:spacing w:val="-22"/>
          <w:sz w:val="24"/>
          <w:szCs w:val="24"/>
          <w:highlight w:val="none"/>
        </w:rPr>
        <w:t>日期：</w:t>
      </w:r>
      <w:r>
        <w:rPr>
          <w:color w:val="auto"/>
          <w:spacing w:val="14"/>
          <w:sz w:val="24"/>
          <w:szCs w:val="24"/>
          <w:highlight w:val="none"/>
        </w:rPr>
        <w:t xml:space="preserve"> </w:t>
      </w:r>
      <w:r>
        <w:rPr>
          <w:color w:val="auto"/>
          <w:spacing w:val="-22"/>
          <w:sz w:val="24"/>
          <w:szCs w:val="24"/>
          <w:highlight w:val="none"/>
        </w:rPr>
        <w:t>年</w:t>
      </w:r>
      <w:r>
        <w:rPr>
          <w:color w:val="auto"/>
          <w:spacing w:val="15"/>
          <w:sz w:val="24"/>
          <w:szCs w:val="24"/>
          <w:highlight w:val="none"/>
        </w:rPr>
        <w:t xml:space="preserve"> </w:t>
      </w:r>
      <w:r>
        <w:rPr>
          <w:color w:val="auto"/>
          <w:spacing w:val="-22"/>
          <w:sz w:val="24"/>
          <w:szCs w:val="24"/>
          <w:highlight w:val="none"/>
        </w:rPr>
        <w:t>月</w:t>
      </w:r>
      <w:r>
        <w:rPr>
          <w:color w:val="auto"/>
          <w:spacing w:val="51"/>
          <w:sz w:val="24"/>
          <w:szCs w:val="24"/>
          <w:highlight w:val="none"/>
        </w:rPr>
        <w:t xml:space="preserve"> </w:t>
      </w:r>
      <w:r>
        <w:rPr>
          <w:color w:val="auto"/>
          <w:spacing w:val="-22"/>
          <w:sz w:val="24"/>
          <w:szCs w:val="24"/>
          <w:highlight w:val="none"/>
        </w:rPr>
        <w:t>日</w:t>
      </w:r>
    </w:p>
    <w:p w14:paraId="335438A6">
      <w:pPr>
        <w:pStyle w:val="12"/>
        <w:spacing w:before="308" w:line="219" w:lineRule="auto"/>
        <w:ind w:left="42"/>
        <w:rPr>
          <w:color w:val="auto"/>
          <w:sz w:val="24"/>
          <w:szCs w:val="24"/>
          <w:highlight w:val="none"/>
        </w:rPr>
      </w:pPr>
      <w:r>
        <w:rPr>
          <w:color w:val="auto"/>
          <w:spacing w:val="-3"/>
          <w:sz w:val="24"/>
          <w:szCs w:val="24"/>
          <w:highlight w:val="none"/>
        </w:rPr>
        <w:t>1.产品如有型号，请在“产品名称</w:t>
      </w:r>
      <w:r>
        <w:rPr>
          <w:color w:val="auto"/>
          <w:spacing w:val="-80"/>
          <w:sz w:val="24"/>
          <w:szCs w:val="24"/>
          <w:highlight w:val="none"/>
        </w:rPr>
        <w:t xml:space="preserve"> </w:t>
      </w:r>
      <w:r>
        <w:rPr>
          <w:color w:val="auto"/>
          <w:spacing w:val="-3"/>
          <w:sz w:val="24"/>
          <w:szCs w:val="24"/>
          <w:highlight w:val="none"/>
        </w:rPr>
        <w:t>”栏一并填写。</w:t>
      </w:r>
    </w:p>
    <w:p w14:paraId="22173CCC">
      <w:pPr>
        <w:pStyle w:val="12"/>
        <w:spacing w:before="128" w:line="219" w:lineRule="auto"/>
        <w:ind w:left="12"/>
        <w:rPr>
          <w:color w:val="auto"/>
          <w:sz w:val="24"/>
          <w:szCs w:val="24"/>
          <w:highlight w:val="none"/>
        </w:rPr>
      </w:pPr>
      <w:r>
        <w:rPr>
          <w:color w:val="auto"/>
          <w:spacing w:val="-1"/>
          <w:sz w:val="24"/>
          <w:szCs w:val="24"/>
          <w:highlight w:val="none"/>
        </w:rPr>
        <w:t>2.生产厂名与厂址应与生产厂营业执照载明的相关信息保持一致。</w:t>
      </w:r>
    </w:p>
    <w:p w14:paraId="6663B86E">
      <w:pPr>
        <w:spacing w:line="219" w:lineRule="auto"/>
        <w:rPr>
          <w:color w:val="auto"/>
          <w:sz w:val="24"/>
          <w:szCs w:val="24"/>
          <w:highlight w:val="none"/>
        </w:rPr>
        <w:sectPr>
          <w:footerReference r:id="rId10" w:type="default"/>
          <w:pgSz w:w="11907" w:h="16840"/>
          <w:pgMar w:top="1015" w:right="1275" w:bottom="1110" w:left="1076" w:header="648" w:footer="938" w:gutter="0"/>
          <w:cols w:space="720" w:num="1"/>
        </w:sectPr>
      </w:pPr>
    </w:p>
    <w:p w14:paraId="16AB668D">
      <w:pPr>
        <w:outlineLvl w:val="1"/>
        <w:rPr>
          <w:rFonts w:hint="eastAsia"/>
          <w:b/>
          <w:color w:val="auto"/>
          <w:sz w:val="28"/>
          <w:szCs w:val="28"/>
          <w:highlight w:val="none"/>
        </w:rPr>
      </w:pPr>
      <w:r>
        <w:rPr>
          <w:rFonts w:hint="eastAsia"/>
          <w:b/>
          <w:color w:val="auto"/>
          <w:sz w:val="28"/>
          <w:szCs w:val="28"/>
          <w:highlight w:val="none"/>
        </w:rPr>
        <w:t>二、资格证明文件格式</w:t>
      </w:r>
    </w:p>
    <w:p w14:paraId="5F3240F4">
      <w:pPr>
        <w:numPr>
          <w:ilvl w:val="2"/>
          <w:numId w:val="0"/>
        </w:numPr>
        <w:snapToGrid w:val="0"/>
        <w:spacing w:before="120" w:beforeLines="50" w:after="50" w:line="360" w:lineRule="auto"/>
        <w:ind w:left="0" w:leftChars="0" w:firstLine="0" w:firstLineChars="0"/>
        <w:jc w:val="left"/>
        <w:outlineLvl w:val="2"/>
        <w:rPr>
          <w:rFonts w:hint="eastAsia" w:ascii="宋体" w:hAnsi="宋体" w:eastAsia="宋体"/>
          <w:b/>
          <w:color w:val="auto"/>
          <w:sz w:val="24"/>
          <w:highlight w:val="none"/>
          <w:lang w:eastAsia="zh-CN"/>
        </w:rPr>
      </w:pPr>
      <w:r>
        <w:rPr>
          <w:rFonts w:hint="eastAsia" w:ascii="宋体" w:hAnsi="宋体" w:cs="Times New Roman"/>
          <w:b/>
          <w:color w:val="auto"/>
          <w:kern w:val="2"/>
          <w:sz w:val="24"/>
          <w:szCs w:val="24"/>
          <w:highlight w:val="none"/>
          <w:lang w:val="en-US" w:eastAsia="zh-CN" w:bidi="ar-SA"/>
        </w:rPr>
        <w:t>1</w:t>
      </w:r>
      <w:r>
        <w:rPr>
          <w:rFonts w:hint="default" w:ascii="宋体" w:hAnsi="宋体" w:eastAsia="宋体" w:cs="Times New Roman"/>
          <w:b/>
          <w:color w:val="auto"/>
          <w:kern w:val="2"/>
          <w:sz w:val="24"/>
          <w:szCs w:val="24"/>
          <w:highlight w:val="none"/>
          <w:lang w:val="en-US" w:eastAsia="zh-CN" w:bidi="ar-SA"/>
        </w:rPr>
        <w:t>.</w:t>
      </w:r>
      <w:r>
        <w:rPr>
          <w:rFonts w:hint="eastAsia" w:ascii="宋体" w:hAnsi="宋体"/>
          <w:b/>
          <w:color w:val="auto"/>
          <w:sz w:val="24"/>
          <w:highlight w:val="none"/>
        </w:rPr>
        <w:t>资格证明文件封面格式：</w:t>
      </w:r>
    </w:p>
    <w:p w14:paraId="0345D526">
      <w:pPr>
        <w:snapToGrid w:val="0"/>
        <w:spacing w:before="120" w:beforeLines="50" w:after="50"/>
        <w:jc w:val="center"/>
        <w:rPr>
          <w:rFonts w:hint="eastAsia"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121070CB">
      <w:pPr>
        <w:snapToGrid w:val="0"/>
        <w:spacing w:before="120" w:beforeLines="50" w:after="50"/>
        <w:rPr>
          <w:rFonts w:hint="eastAsia" w:ascii="宋体" w:hAnsi="宋体" w:eastAsia="宋体"/>
          <w:color w:val="auto"/>
          <w:sz w:val="24"/>
          <w:szCs w:val="20"/>
          <w:highlight w:val="none"/>
          <w:lang w:eastAsia="zh-CN"/>
        </w:rPr>
      </w:pPr>
    </w:p>
    <w:p w14:paraId="7102AC48">
      <w:pPr>
        <w:snapToGrid w:val="0"/>
        <w:spacing w:before="120" w:beforeLines="50" w:after="50"/>
        <w:jc w:val="center"/>
        <w:rPr>
          <w:rFonts w:hint="eastAsia" w:ascii="宋体" w:hAnsi="宋体"/>
          <w:b/>
          <w:color w:val="auto"/>
          <w:sz w:val="24"/>
          <w:szCs w:val="20"/>
          <w:highlight w:val="none"/>
        </w:rPr>
      </w:pPr>
      <w:r>
        <w:rPr>
          <w:rFonts w:hint="eastAsia" w:ascii="宋体" w:hAnsi="宋体"/>
          <w:b/>
          <w:color w:val="auto"/>
          <w:sz w:val="32"/>
          <w:szCs w:val="32"/>
          <w:highlight w:val="none"/>
        </w:rPr>
        <w:t>资格证明文件</w:t>
      </w:r>
    </w:p>
    <w:p w14:paraId="303C0E71">
      <w:pPr>
        <w:snapToGrid w:val="0"/>
        <w:spacing w:before="120" w:beforeLines="50" w:after="50"/>
        <w:rPr>
          <w:rFonts w:ascii="宋体" w:hAnsi="宋体"/>
          <w:bCs/>
          <w:color w:val="auto"/>
          <w:sz w:val="24"/>
          <w:szCs w:val="20"/>
          <w:highlight w:val="none"/>
        </w:rPr>
      </w:pPr>
    </w:p>
    <w:p w14:paraId="41967740">
      <w:pPr>
        <w:snapToGrid w:val="0"/>
        <w:spacing w:before="120" w:beforeLines="50" w:after="50"/>
        <w:rPr>
          <w:rFonts w:ascii="宋体" w:hAnsi="宋体"/>
          <w:bCs/>
          <w:color w:val="auto"/>
          <w:sz w:val="24"/>
          <w:szCs w:val="20"/>
          <w:highlight w:val="none"/>
        </w:rPr>
      </w:pPr>
    </w:p>
    <w:p w14:paraId="14918D31">
      <w:pPr>
        <w:snapToGrid w:val="0"/>
        <w:spacing w:before="120" w:beforeLines="50" w:after="50"/>
        <w:rPr>
          <w:rFonts w:ascii="宋体" w:hAnsi="宋体"/>
          <w:bCs/>
          <w:color w:val="auto"/>
          <w:sz w:val="24"/>
          <w:szCs w:val="20"/>
          <w:highlight w:val="none"/>
        </w:rPr>
      </w:pPr>
    </w:p>
    <w:p w14:paraId="4B1A2DE9">
      <w:pPr>
        <w:snapToGrid w:val="0"/>
        <w:spacing w:before="120" w:beforeLines="50" w:after="50"/>
        <w:rPr>
          <w:rFonts w:hint="eastAsia" w:ascii="宋体" w:hAnsi="宋体"/>
          <w:bCs/>
          <w:color w:val="auto"/>
          <w:sz w:val="24"/>
          <w:szCs w:val="20"/>
          <w:highlight w:val="none"/>
        </w:rPr>
      </w:pPr>
    </w:p>
    <w:p w14:paraId="65E89C13">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24ED8716">
      <w:pPr>
        <w:snapToGrid w:val="0"/>
        <w:spacing w:before="120" w:beforeLines="50" w:after="50"/>
        <w:ind w:firstLine="540" w:firstLineChars="225"/>
        <w:rPr>
          <w:rFonts w:hint="eastAsia" w:ascii="宋体" w:hAnsi="宋体"/>
          <w:bCs/>
          <w:color w:val="auto"/>
          <w:sz w:val="24"/>
          <w:szCs w:val="20"/>
          <w:highlight w:val="none"/>
        </w:rPr>
      </w:pPr>
    </w:p>
    <w:p w14:paraId="61EBF0B1">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3DBB3A60">
      <w:pPr>
        <w:snapToGrid w:val="0"/>
        <w:spacing w:before="120" w:beforeLines="50" w:after="50"/>
        <w:ind w:firstLine="540" w:firstLineChars="225"/>
        <w:rPr>
          <w:rFonts w:hint="eastAsia" w:ascii="宋体" w:hAnsi="宋体" w:eastAsia="宋体"/>
          <w:bCs/>
          <w:color w:val="auto"/>
          <w:sz w:val="24"/>
          <w:highlight w:val="none"/>
          <w:lang w:eastAsia="zh-CN"/>
        </w:rPr>
      </w:pPr>
    </w:p>
    <w:p w14:paraId="7BA94FEF">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所投分标：</w:t>
      </w:r>
    </w:p>
    <w:p w14:paraId="1F6D18EA">
      <w:pPr>
        <w:pStyle w:val="6"/>
        <w:snapToGrid w:val="0"/>
        <w:spacing w:before="50" w:after="50"/>
        <w:ind w:firstLine="540" w:firstLineChars="225"/>
        <w:rPr>
          <w:rFonts w:hint="eastAsia" w:ascii="宋体" w:hAnsi="宋体"/>
          <w:bCs/>
          <w:color w:val="auto"/>
          <w:sz w:val="24"/>
          <w:szCs w:val="24"/>
          <w:highlight w:val="none"/>
        </w:rPr>
      </w:pPr>
    </w:p>
    <w:p w14:paraId="36231D28">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7E838440">
      <w:pPr>
        <w:pStyle w:val="6"/>
        <w:snapToGrid w:val="0"/>
        <w:spacing w:before="50" w:after="50"/>
        <w:ind w:firstLine="540" w:firstLineChars="225"/>
        <w:rPr>
          <w:rFonts w:hint="eastAsia" w:ascii="宋体" w:hAnsi="宋体"/>
          <w:bCs/>
          <w:color w:val="auto"/>
          <w:sz w:val="24"/>
          <w:szCs w:val="24"/>
          <w:highlight w:val="none"/>
        </w:rPr>
      </w:pPr>
    </w:p>
    <w:p w14:paraId="1864C4D5">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投标人地址：</w:t>
      </w:r>
    </w:p>
    <w:p w14:paraId="04AAC00A">
      <w:pPr>
        <w:pStyle w:val="6"/>
        <w:snapToGrid w:val="0"/>
        <w:spacing w:before="50" w:after="50"/>
        <w:ind w:firstLine="960" w:firstLineChars="400"/>
        <w:rPr>
          <w:rFonts w:hint="eastAsia" w:ascii="宋体" w:hAnsi="宋体"/>
          <w:bCs/>
          <w:color w:val="auto"/>
          <w:sz w:val="24"/>
          <w:szCs w:val="24"/>
          <w:highlight w:val="none"/>
        </w:rPr>
      </w:pPr>
    </w:p>
    <w:p w14:paraId="20344E3C">
      <w:pPr>
        <w:snapToGrid w:val="0"/>
        <w:spacing w:before="120" w:beforeLines="50" w:after="50"/>
        <w:ind w:firstLine="645"/>
        <w:jc w:val="center"/>
        <w:rPr>
          <w:rFonts w:ascii="宋体" w:hAnsi="宋体"/>
          <w:color w:val="auto"/>
          <w:sz w:val="24"/>
          <w:highlight w:val="none"/>
        </w:rPr>
      </w:pPr>
      <w:r>
        <w:rPr>
          <w:rFonts w:hint="eastAsia" w:ascii="宋体" w:hAnsi="宋体"/>
          <w:color w:val="auto"/>
          <w:sz w:val="24"/>
          <w:highlight w:val="none"/>
        </w:rPr>
        <w:t>年</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月</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日</w:t>
      </w:r>
    </w:p>
    <w:p w14:paraId="40D1F736">
      <w:pPr>
        <w:snapToGrid w:val="0"/>
        <w:spacing w:before="120" w:beforeLines="50" w:after="50"/>
        <w:rPr>
          <w:rFonts w:hint="eastAsia" w:ascii="宋体" w:hAnsi="宋体" w:eastAsia="宋体"/>
          <w:color w:val="auto"/>
          <w:sz w:val="24"/>
          <w:szCs w:val="20"/>
          <w:highlight w:val="none"/>
          <w:lang w:eastAsia="zh-CN"/>
        </w:rPr>
      </w:pPr>
    </w:p>
    <w:p w14:paraId="6B3371A9">
      <w:pPr>
        <w:snapToGrid w:val="0"/>
        <w:spacing w:before="120" w:beforeLines="50" w:after="50"/>
        <w:rPr>
          <w:rFonts w:hint="eastAsia" w:ascii="宋体" w:hAnsi="宋体"/>
          <w:color w:val="auto"/>
          <w:sz w:val="24"/>
          <w:szCs w:val="20"/>
          <w:highlight w:val="none"/>
        </w:rPr>
      </w:pPr>
    </w:p>
    <w:p w14:paraId="0EA1CC6F">
      <w:pPr>
        <w:numPr>
          <w:ilvl w:val="2"/>
          <w:numId w:val="0"/>
        </w:numPr>
        <w:snapToGrid w:val="0"/>
        <w:spacing w:before="120" w:beforeLines="50" w:after="50" w:line="360" w:lineRule="auto"/>
        <w:ind w:left="0" w:leftChars="0" w:firstLine="0" w:firstLineChars="0"/>
        <w:jc w:val="left"/>
        <w:rPr>
          <w:rFonts w:hint="default" w:ascii="宋体" w:hAnsi="宋体" w:eastAsia="宋体" w:cs="Times New Roman"/>
          <w:color w:val="auto"/>
          <w:kern w:val="2"/>
          <w:sz w:val="24"/>
          <w:szCs w:val="24"/>
          <w:highlight w:val="none"/>
          <w:lang w:val="en-US" w:eastAsia="zh-CN" w:bidi="ar-SA"/>
        </w:rPr>
      </w:pPr>
    </w:p>
    <w:p w14:paraId="41CE99B4">
      <w:pPr>
        <w:numPr>
          <w:ilvl w:val="2"/>
          <w:numId w:val="0"/>
        </w:numPr>
        <w:snapToGrid w:val="0"/>
        <w:spacing w:before="120" w:beforeLines="50" w:after="50" w:line="360" w:lineRule="auto"/>
        <w:ind w:left="0" w:leftChars="0" w:firstLine="0" w:firstLineChars="0"/>
        <w:jc w:val="left"/>
        <w:rPr>
          <w:rFonts w:hint="default" w:ascii="宋体" w:hAnsi="宋体" w:eastAsia="宋体" w:cs="Times New Roman"/>
          <w:color w:val="auto"/>
          <w:kern w:val="2"/>
          <w:sz w:val="24"/>
          <w:szCs w:val="24"/>
          <w:highlight w:val="none"/>
          <w:lang w:val="en-US" w:eastAsia="zh-CN" w:bidi="ar-SA"/>
        </w:rPr>
      </w:pPr>
    </w:p>
    <w:p w14:paraId="026377C1">
      <w:pPr>
        <w:numPr>
          <w:ilvl w:val="2"/>
          <w:numId w:val="0"/>
        </w:numPr>
        <w:snapToGrid w:val="0"/>
        <w:spacing w:before="120" w:beforeLines="50" w:after="50" w:line="360" w:lineRule="auto"/>
        <w:ind w:left="0" w:leftChars="0" w:firstLine="0" w:firstLineChars="0"/>
        <w:jc w:val="left"/>
        <w:rPr>
          <w:rFonts w:hint="default" w:ascii="宋体" w:hAnsi="宋体" w:eastAsia="宋体" w:cs="Times New Roman"/>
          <w:color w:val="auto"/>
          <w:kern w:val="2"/>
          <w:sz w:val="24"/>
          <w:szCs w:val="24"/>
          <w:highlight w:val="none"/>
          <w:lang w:val="en-US" w:eastAsia="zh-CN" w:bidi="ar-SA"/>
        </w:rPr>
      </w:pPr>
    </w:p>
    <w:p w14:paraId="447DF0A4">
      <w:pPr>
        <w:numPr>
          <w:ilvl w:val="2"/>
          <w:numId w:val="0"/>
        </w:numPr>
        <w:snapToGrid w:val="0"/>
        <w:spacing w:before="120" w:beforeLines="50" w:after="50" w:line="360" w:lineRule="auto"/>
        <w:ind w:left="0" w:leftChars="0" w:firstLine="0" w:firstLineChars="0"/>
        <w:jc w:val="left"/>
        <w:rPr>
          <w:rFonts w:hint="default" w:ascii="宋体" w:hAnsi="宋体" w:eastAsia="宋体" w:cs="Times New Roman"/>
          <w:color w:val="auto"/>
          <w:kern w:val="2"/>
          <w:sz w:val="24"/>
          <w:szCs w:val="24"/>
          <w:highlight w:val="none"/>
          <w:lang w:val="en-US" w:eastAsia="zh-CN" w:bidi="ar-SA"/>
        </w:rPr>
      </w:pPr>
    </w:p>
    <w:p w14:paraId="6DF9AC2D">
      <w:pPr>
        <w:numPr>
          <w:ilvl w:val="2"/>
          <w:numId w:val="0"/>
        </w:numPr>
        <w:snapToGrid w:val="0"/>
        <w:spacing w:before="120" w:beforeLines="50" w:after="50" w:line="360" w:lineRule="auto"/>
        <w:ind w:left="0" w:leftChars="0" w:firstLine="0" w:firstLineChars="0"/>
        <w:jc w:val="left"/>
        <w:rPr>
          <w:rFonts w:hint="default" w:ascii="宋体" w:hAnsi="宋体" w:eastAsia="宋体" w:cs="Times New Roman"/>
          <w:color w:val="auto"/>
          <w:kern w:val="2"/>
          <w:sz w:val="24"/>
          <w:szCs w:val="24"/>
          <w:highlight w:val="none"/>
          <w:lang w:val="en-US" w:eastAsia="zh-CN" w:bidi="ar-SA"/>
        </w:rPr>
      </w:pPr>
    </w:p>
    <w:p w14:paraId="2B014801">
      <w:pPr>
        <w:numPr>
          <w:ilvl w:val="2"/>
          <w:numId w:val="0"/>
        </w:numPr>
        <w:snapToGrid w:val="0"/>
        <w:spacing w:before="120" w:beforeLines="50" w:after="50" w:line="360" w:lineRule="auto"/>
        <w:ind w:left="0" w:leftChars="0" w:firstLine="0" w:firstLineChars="0"/>
        <w:jc w:val="left"/>
        <w:rPr>
          <w:rFonts w:hint="default" w:ascii="宋体" w:hAnsi="宋体" w:eastAsia="宋体" w:cs="Times New Roman"/>
          <w:color w:val="auto"/>
          <w:kern w:val="2"/>
          <w:sz w:val="24"/>
          <w:szCs w:val="24"/>
          <w:highlight w:val="none"/>
          <w:lang w:val="en-US" w:eastAsia="zh-CN" w:bidi="ar-SA"/>
        </w:rPr>
      </w:pPr>
    </w:p>
    <w:p w14:paraId="0325006D">
      <w:pPr>
        <w:numPr>
          <w:ilvl w:val="2"/>
          <w:numId w:val="0"/>
        </w:numPr>
        <w:snapToGrid w:val="0"/>
        <w:spacing w:before="120" w:beforeLines="50" w:after="50" w:line="360" w:lineRule="auto"/>
        <w:ind w:left="0" w:leftChars="0" w:firstLine="0" w:firstLineChars="0"/>
        <w:jc w:val="left"/>
        <w:rPr>
          <w:rFonts w:hint="default" w:ascii="宋体" w:hAnsi="宋体" w:eastAsia="宋体" w:cs="Times New Roman"/>
          <w:color w:val="auto"/>
          <w:kern w:val="2"/>
          <w:sz w:val="24"/>
          <w:szCs w:val="24"/>
          <w:highlight w:val="none"/>
          <w:lang w:val="en-US" w:eastAsia="zh-CN" w:bidi="ar-SA"/>
        </w:rPr>
      </w:pPr>
    </w:p>
    <w:p w14:paraId="206CD615">
      <w:pPr>
        <w:numPr>
          <w:ilvl w:val="2"/>
          <w:numId w:val="0"/>
        </w:numPr>
        <w:snapToGrid w:val="0"/>
        <w:spacing w:before="120" w:beforeLines="50" w:after="50"/>
        <w:ind w:left="0" w:leftChars="0" w:firstLine="0" w:firstLineChars="0"/>
        <w:jc w:val="left"/>
        <w:outlineLvl w:val="2"/>
        <w:rPr>
          <w:rFonts w:hint="eastAsia"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2</w:t>
      </w:r>
      <w:r>
        <w:rPr>
          <w:rFonts w:hint="default" w:ascii="宋体" w:hAnsi="宋体" w:eastAsia="宋体" w:cs="Times New Roman"/>
          <w:b/>
          <w:color w:val="auto"/>
          <w:kern w:val="2"/>
          <w:sz w:val="24"/>
          <w:szCs w:val="24"/>
          <w:highlight w:val="none"/>
          <w:lang w:val="en-US" w:eastAsia="zh-CN" w:bidi="ar-SA"/>
        </w:rPr>
        <w:t>.</w:t>
      </w:r>
      <w:r>
        <w:rPr>
          <w:rFonts w:hint="eastAsia" w:ascii="宋体" w:hAnsi="宋体" w:eastAsia="宋体" w:cs="Times New Roman"/>
          <w:b/>
          <w:color w:val="auto"/>
          <w:kern w:val="2"/>
          <w:sz w:val="24"/>
          <w:szCs w:val="24"/>
          <w:highlight w:val="none"/>
          <w:lang w:val="en-US" w:eastAsia="zh-CN" w:bidi="ar-SA"/>
        </w:rPr>
        <w:t>资格证明文件目录</w:t>
      </w:r>
    </w:p>
    <w:p w14:paraId="68F4FF34">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0B65DC96">
      <w:pPr>
        <w:snapToGrid w:val="0"/>
        <w:spacing w:before="50" w:after="120" w:afterLines="50"/>
        <w:jc w:val="left"/>
        <w:rPr>
          <w:rFonts w:hint="eastAsia" w:ascii="宋体" w:hAnsi="宋体"/>
          <w:color w:val="auto"/>
          <w:sz w:val="24"/>
          <w:highlight w:val="none"/>
        </w:rPr>
      </w:pPr>
    </w:p>
    <w:p w14:paraId="59FDBB92">
      <w:pPr>
        <w:pStyle w:val="23"/>
        <w:rPr>
          <w:rFonts w:hint="eastAsia" w:ascii="宋体" w:hAnsi="宋体"/>
          <w:color w:val="auto"/>
          <w:sz w:val="24"/>
          <w:highlight w:val="none"/>
        </w:rPr>
      </w:pPr>
    </w:p>
    <w:p w14:paraId="7E457F7B">
      <w:pPr>
        <w:pStyle w:val="23"/>
        <w:rPr>
          <w:rFonts w:hint="eastAsia" w:ascii="宋体" w:hAnsi="宋体"/>
          <w:color w:val="auto"/>
          <w:sz w:val="24"/>
          <w:highlight w:val="none"/>
        </w:rPr>
      </w:pPr>
    </w:p>
    <w:p w14:paraId="0BB9185B">
      <w:pPr>
        <w:pStyle w:val="23"/>
        <w:rPr>
          <w:rFonts w:hint="eastAsia" w:ascii="宋体" w:hAnsi="宋体"/>
          <w:color w:val="auto"/>
          <w:sz w:val="24"/>
          <w:highlight w:val="none"/>
        </w:rPr>
      </w:pPr>
    </w:p>
    <w:p w14:paraId="5B0C5598">
      <w:pPr>
        <w:pStyle w:val="23"/>
        <w:rPr>
          <w:rFonts w:hint="eastAsia" w:ascii="宋体" w:hAnsi="宋体"/>
          <w:color w:val="auto"/>
          <w:sz w:val="24"/>
          <w:highlight w:val="none"/>
        </w:rPr>
      </w:pPr>
    </w:p>
    <w:p w14:paraId="1CAE4704">
      <w:pPr>
        <w:pStyle w:val="23"/>
        <w:rPr>
          <w:rFonts w:hint="eastAsia" w:ascii="宋体" w:hAnsi="宋体"/>
          <w:color w:val="auto"/>
          <w:sz w:val="24"/>
          <w:highlight w:val="none"/>
        </w:rPr>
      </w:pPr>
    </w:p>
    <w:p w14:paraId="70B65401">
      <w:pPr>
        <w:pStyle w:val="23"/>
        <w:rPr>
          <w:rFonts w:hint="eastAsia" w:ascii="宋体" w:hAnsi="宋体"/>
          <w:color w:val="auto"/>
          <w:sz w:val="24"/>
          <w:highlight w:val="none"/>
        </w:rPr>
      </w:pPr>
    </w:p>
    <w:p w14:paraId="172A04E6">
      <w:pPr>
        <w:pStyle w:val="23"/>
        <w:rPr>
          <w:rFonts w:hint="eastAsia" w:ascii="宋体" w:hAnsi="宋体"/>
          <w:color w:val="auto"/>
          <w:sz w:val="24"/>
          <w:highlight w:val="none"/>
        </w:rPr>
      </w:pPr>
    </w:p>
    <w:p w14:paraId="03F1867D">
      <w:pPr>
        <w:pStyle w:val="23"/>
        <w:rPr>
          <w:rFonts w:hint="eastAsia" w:ascii="宋体" w:hAnsi="宋体"/>
          <w:color w:val="auto"/>
          <w:sz w:val="24"/>
          <w:highlight w:val="none"/>
        </w:rPr>
      </w:pPr>
    </w:p>
    <w:p w14:paraId="0D8C5E17">
      <w:pPr>
        <w:pStyle w:val="23"/>
        <w:rPr>
          <w:rFonts w:hint="eastAsia" w:ascii="宋体" w:hAnsi="宋体"/>
          <w:color w:val="auto"/>
          <w:sz w:val="24"/>
          <w:highlight w:val="none"/>
        </w:rPr>
      </w:pPr>
    </w:p>
    <w:p w14:paraId="5443A7BF">
      <w:pPr>
        <w:pStyle w:val="23"/>
        <w:rPr>
          <w:rFonts w:hint="eastAsia" w:ascii="宋体" w:hAnsi="宋体"/>
          <w:color w:val="auto"/>
          <w:sz w:val="24"/>
          <w:highlight w:val="none"/>
        </w:rPr>
      </w:pPr>
    </w:p>
    <w:p w14:paraId="7887F9AC">
      <w:pPr>
        <w:pStyle w:val="23"/>
        <w:rPr>
          <w:rFonts w:hint="eastAsia" w:ascii="宋体" w:hAnsi="宋体"/>
          <w:color w:val="auto"/>
          <w:sz w:val="24"/>
          <w:highlight w:val="none"/>
        </w:rPr>
      </w:pPr>
    </w:p>
    <w:p w14:paraId="278EED1D">
      <w:pPr>
        <w:pStyle w:val="23"/>
        <w:rPr>
          <w:rFonts w:hint="eastAsia" w:ascii="宋体" w:hAnsi="宋体"/>
          <w:color w:val="auto"/>
          <w:sz w:val="24"/>
          <w:highlight w:val="none"/>
        </w:rPr>
      </w:pPr>
    </w:p>
    <w:p w14:paraId="0F4E6AC0">
      <w:pPr>
        <w:pStyle w:val="23"/>
        <w:rPr>
          <w:rFonts w:hint="eastAsia" w:ascii="宋体" w:hAnsi="宋体"/>
          <w:color w:val="auto"/>
          <w:sz w:val="24"/>
          <w:highlight w:val="none"/>
        </w:rPr>
      </w:pPr>
    </w:p>
    <w:p w14:paraId="6CCD5965">
      <w:pPr>
        <w:pStyle w:val="23"/>
        <w:rPr>
          <w:rFonts w:hint="eastAsia" w:ascii="宋体" w:hAnsi="宋体"/>
          <w:color w:val="auto"/>
          <w:sz w:val="24"/>
          <w:highlight w:val="none"/>
        </w:rPr>
      </w:pPr>
    </w:p>
    <w:p w14:paraId="506660A8">
      <w:pPr>
        <w:pStyle w:val="23"/>
        <w:rPr>
          <w:rFonts w:hint="eastAsia" w:ascii="宋体" w:hAnsi="宋体"/>
          <w:color w:val="auto"/>
          <w:sz w:val="24"/>
          <w:highlight w:val="none"/>
        </w:rPr>
      </w:pPr>
    </w:p>
    <w:p w14:paraId="2FBDB70C">
      <w:pPr>
        <w:pStyle w:val="23"/>
        <w:rPr>
          <w:rFonts w:hint="eastAsia" w:ascii="宋体" w:hAnsi="宋体"/>
          <w:color w:val="auto"/>
          <w:sz w:val="24"/>
          <w:highlight w:val="none"/>
        </w:rPr>
      </w:pPr>
    </w:p>
    <w:p w14:paraId="2497B3D4">
      <w:pPr>
        <w:pStyle w:val="23"/>
        <w:rPr>
          <w:rFonts w:hint="eastAsia" w:ascii="宋体" w:hAnsi="宋体"/>
          <w:color w:val="auto"/>
          <w:sz w:val="24"/>
          <w:highlight w:val="none"/>
        </w:rPr>
      </w:pPr>
    </w:p>
    <w:p w14:paraId="145D948C">
      <w:pPr>
        <w:pStyle w:val="23"/>
        <w:rPr>
          <w:rFonts w:hint="eastAsia" w:ascii="宋体" w:hAnsi="宋体"/>
          <w:color w:val="auto"/>
          <w:sz w:val="24"/>
          <w:highlight w:val="none"/>
        </w:rPr>
      </w:pPr>
    </w:p>
    <w:p w14:paraId="6C79D1A1">
      <w:pPr>
        <w:pStyle w:val="23"/>
        <w:rPr>
          <w:rFonts w:hint="eastAsia" w:ascii="宋体" w:hAnsi="宋体"/>
          <w:color w:val="auto"/>
          <w:sz w:val="24"/>
          <w:highlight w:val="none"/>
        </w:rPr>
      </w:pPr>
    </w:p>
    <w:p w14:paraId="29EBB9D6">
      <w:pPr>
        <w:pStyle w:val="23"/>
        <w:rPr>
          <w:rFonts w:hint="eastAsia" w:ascii="宋体" w:hAnsi="宋体"/>
          <w:color w:val="auto"/>
          <w:sz w:val="24"/>
          <w:highlight w:val="none"/>
        </w:rPr>
      </w:pPr>
    </w:p>
    <w:p w14:paraId="4E0D1F5A">
      <w:pPr>
        <w:pStyle w:val="23"/>
        <w:rPr>
          <w:rFonts w:hint="eastAsia" w:ascii="宋体" w:hAnsi="宋体"/>
          <w:color w:val="auto"/>
          <w:sz w:val="24"/>
          <w:highlight w:val="none"/>
        </w:rPr>
      </w:pPr>
    </w:p>
    <w:p w14:paraId="446EBDD8">
      <w:pPr>
        <w:pStyle w:val="23"/>
        <w:rPr>
          <w:rFonts w:hint="eastAsia" w:ascii="宋体" w:hAnsi="宋体"/>
          <w:color w:val="auto"/>
          <w:sz w:val="24"/>
          <w:highlight w:val="none"/>
        </w:rPr>
      </w:pPr>
    </w:p>
    <w:p w14:paraId="56C66093">
      <w:pPr>
        <w:pStyle w:val="23"/>
        <w:rPr>
          <w:rFonts w:hint="eastAsia" w:ascii="宋体" w:hAnsi="宋体"/>
          <w:color w:val="auto"/>
          <w:sz w:val="24"/>
          <w:highlight w:val="none"/>
        </w:rPr>
      </w:pPr>
    </w:p>
    <w:p w14:paraId="68BD3C78">
      <w:pPr>
        <w:pStyle w:val="23"/>
        <w:rPr>
          <w:rFonts w:hint="eastAsia" w:ascii="宋体" w:hAnsi="宋体"/>
          <w:color w:val="auto"/>
          <w:sz w:val="24"/>
          <w:highlight w:val="none"/>
        </w:rPr>
      </w:pPr>
    </w:p>
    <w:p w14:paraId="347A1FEC">
      <w:pPr>
        <w:pStyle w:val="23"/>
        <w:rPr>
          <w:rFonts w:hint="eastAsia" w:ascii="宋体" w:hAnsi="宋体"/>
          <w:color w:val="auto"/>
          <w:sz w:val="24"/>
          <w:highlight w:val="none"/>
        </w:rPr>
      </w:pPr>
    </w:p>
    <w:p w14:paraId="3175FE76">
      <w:pPr>
        <w:pStyle w:val="23"/>
        <w:rPr>
          <w:rFonts w:hint="eastAsia" w:ascii="宋体" w:hAnsi="宋体"/>
          <w:color w:val="auto"/>
          <w:sz w:val="24"/>
          <w:highlight w:val="none"/>
        </w:rPr>
      </w:pPr>
    </w:p>
    <w:p w14:paraId="725307B1">
      <w:pPr>
        <w:pStyle w:val="23"/>
        <w:rPr>
          <w:rFonts w:hint="eastAsia" w:ascii="宋体" w:hAnsi="宋体"/>
          <w:color w:val="auto"/>
          <w:sz w:val="24"/>
          <w:highlight w:val="none"/>
        </w:rPr>
      </w:pPr>
    </w:p>
    <w:p w14:paraId="50A5C1A2">
      <w:pPr>
        <w:pStyle w:val="23"/>
        <w:rPr>
          <w:rFonts w:hint="eastAsia" w:ascii="宋体" w:hAnsi="宋体"/>
          <w:color w:val="auto"/>
          <w:sz w:val="24"/>
          <w:highlight w:val="none"/>
        </w:rPr>
      </w:pPr>
    </w:p>
    <w:p w14:paraId="634A684F">
      <w:pPr>
        <w:pStyle w:val="23"/>
        <w:rPr>
          <w:rFonts w:hint="eastAsia" w:ascii="宋体" w:hAnsi="宋体"/>
          <w:color w:val="auto"/>
          <w:sz w:val="24"/>
          <w:highlight w:val="none"/>
        </w:rPr>
      </w:pPr>
    </w:p>
    <w:p w14:paraId="4955C62E">
      <w:pPr>
        <w:numPr>
          <w:ilvl w:val="2"/>
          <w:numId w:val="0"/>
        </w:numPr>
        <w:snapToGrid w:val="0"/>
        <w:spacing w:before="120" w:beforeLines="50" w:after="50"/>
        <w:ind w:left="0" w:leftChars="0" w:firstLine="0" w:firstLineChars="0"/>
        <w:jc w:val="left"/>
        <w:outlineLvl w:val="2"/>
        <w:rPr>
          <w:rFonts w:hint="eastAsia" w:ascii="宋体" w:hAnsi="宋体"/>
          <w:b/>
          <w:color w:val="auto"/>
          <w:sz w:val="24"/>
          <w:highlight w:val="none"/>
        </w:rPr>
      </w:pPr>
      <w:r>
        <w:rPr>
          <w:rFonts w:hint="eastAsia" w:ascii="宋体" w:hAnsi="宋体" w:cs="Times New Roman"/>
          <w:b/>
          <w:color w:val="auto"/>
          <w:kern w:val="2"/>
          <w:sz w:val="24"/>
          <w:szCs w:val="24"/>
          <w:highlight w:val="none"/>
          <w:lang w:val="en-US" w:eastAsia="zh-CN" w:bidi="ar-SA"/>
        </w:rPr>
        <w:t>3</w:t>
      </w:r>
      <w:r>
        <w:rPr>
          <w:rFonts w:hint="default" w:ascii="宋体" w:hAnsi="宋体" w:eastAsia="宋体" w:cs="Times New Roman"/>
          <w:b/>
          <w:color w:val="auto"/>
          <w:kern w:val="2"/>
          <w:sz w:val="24"/>
          <w:szCs w:val="24"/>
          <w:highlight w:val="none"/>
          <w:lang w:val="en-US" w:eastAsia="zh-CN" w:bidi="ar-SA"/>
        </w:rPr>
        <w:t>.</w:t>
      </w:r>
      <w:r>
        <w:rPr>
          <w:rFonts w:hint="eastAsia" w:ascii="宋体" w:hAnsi="宋体"/>
          <w:b/>
          <w:color w:val="auto"/>
          <w:sz w:val="24"/>
          <w:highlight w:val="none"/>
        </w:rPr>
        <w:t>防城港市政府采购供应商信用承诺函</w:t>
      </w:r>
    </w:p>
    <w:p w14:paraId="5EFBCD97">
      <w:pPr>
        <w:snapToGrid w:val="0"/>
        <w:spacing w:before="120" w:beforeLines="50" w:after="50"/>
        <w:jc w:val="left"/>
        <w:rPr>
          <w:rFonts w:hint="eastAsia" w:ascii="宋体" w:hAnsi="宋体"/>
          <w:b/>
          <w:color w:val="auto"/>
          <w:sz w:val="24"/>
          <w:highlight w:val="none"/>
        </w:rPr>
      </w:pPr>
    </w:p>
    <w:p w14:paraId="6CE5C67B">
      <w:pPr>
        <w:spacing w:line="520" w:lineRule="exact"/>
        <w:jc w:val="center"/>
        <w:rPr>
          <w:rFonts w:ascii="宋体" w:hAnsi="宋体"/>
          <w:b/>
          <w:color w:val="auto"/>
          <w:sz w:val="36"/>
          <w:szCs w:val="36"/>
          <w:highlight w:val="none"/>
        </w:rPr>
      </w:pPr>
      <w:r>
        <w:rPr>
          <w:rFonts w:hint="eastAsia" w:ascii="宋体" w:hAnsi="宋体"/>
          <w:b/>
          <w:color w:val="auto"/>
          <w:sz w:val="36"/>
          <w:szCs w:val="36"/>
          <w:highlight w:val="none"/>
        </w:rPr>
        <w:t>防城港市政府采购供应商信用承诺函（格式</w:t>
      </w:r>
      <w:r>
        <w:rPr>
          <w:rFonts w:ascii="宋体" w:hAnsi="宋体"/>
          <w:b/>
          <w:color w:val="auto"/>
          <w:sz w:val="36"/>
          <w:szCs w:val="36"/>
          <w:highlight w:val="none"/>
        </w:rPr>
        <w:t>）</w:t>
      </w:r>
    </w:p>
    <w:p w14:paraId="280BBE60">
      <w:pPr>
        <w:spacing w:line="520" w:lineRule="exact"/>
        <w:ind w:firstLine="600" w:firstLineChars="200"/>
        <w:rPr>
          <w:rFonts w:ascii="仿宋_GB2312" w:hAnsi="黑体" w:eastAsia="仿宋_GB2312"/>
          <w:color w:val="auto"/>
          <w:sz w:val="30"/>
          <w:szCs w:val="30"/>
          <w:highlight w:val="none"/>
        </w:rPr>
      </w:pPr>
    </w:p>
    <w:p w14:paraId="285A0DC2">
      <w:pPr>
        <w:spacing w:line="520" w:lineRule="exact"/>
        <w:rPr>
          <w:rFonts w:ascii="宋体" w:hAnsi="宋体"/>
          <w:color w:val="auto"/>
          <w:sz w:val="28"/>
          <w:szCs w:val="28"/>
          <w:highlight w:val="none"/>
        </w:rPr>
      </w:pPr>
      <w:r>
        <w:rPr>
          <w:rFonts w:hint="eastAsia" w:ascii="宋体" w:hAnsi="宋体"/>
          <w:color w:val="auto"/>
          <w:sz w:val="28"/>
          <w:szCs w:val="28"/>
          <w:highlight w:val="none"/>
        </w:rPr>
        <w:t>致（采购人或采购代理机构）</w:t>
      </w:r>
      <w:r>
        <w:rPr>
          <w:rFonts w:ascii="宋体" w:hAnsi="宋体"/>
          <w:color w:val="auto"/>
          <w:sz w:val="28"/>
          <w:szCs w:val="28"/>
          <w:highlight w:val="none"/>
        </w:rPr>
        <w:t>：</w:t>
      </w:r>
    </w:p>
    <w:p w14:paraId="79F5AD48">
      <w:pPr>
        <w:spacing w:line="520" w:lineRule="exact"/>
        <w:ind w:firstLine="560" w:firstLineChars="200"/>
        <w:rPr>
          <w:rFonts w:hint="eastAsia" w:ascii="宋体" w:hAnsi="宋体" w:eastAsia="宋体"/>
          <w:color w:val="auto"/>
          <w:sz w:val="28"/>
          <w:szCs w:val="28"/>
          <w:highlight w:val="none"/>
          <w:lang w:eastAsia="zh-CN"/>
        </w:rPr>
      </w:pPr>
      <w:r>
        <w:rPr>
          <w:rFonts w:hint="eastAsia" w:ascii="宋体" w:hAnsi="宋体"/>
          <w:color w:val="auto"/>
          <w:sz w:val="28"/>
          <w:szCs w:val="28"/>
          <w:highlight w:val="none"/>
        </w:rPr>
        <w:t>我方自愿参加</w:t>
      </w:r>
      <w:r>
        <w:rPr>
          <w:rFonts w:hint="eastAsia" w:ascii="宋体" w:hAnsi="宋体"/>
          <w:color w:val="auto"/>
          <w:sz w:val="28"/>
          <w:szCs w:val="28"/>
          <w:highlight w:val="none"/>
          <w:u w:val="single"/>
        </w:rPr>
        <w:t>（项目名称）</w:t>
      </w:r>
      <w:r>
        <w:rPr>
          <w:rFonts w:hint="eastAsia" w:ascii="宋体" w:hAnsi="宋体"/>
          <w:color w:val="auto"/>
          <w:sz w:val="28"/>
          <w:szCs w:val="28"/>
          <w:highlight w:val="none"/>
        </w:rPr>
        <w:t>项目（</w:t>
      </w:r>
      <w:r>
        <w:rPr>
          <w:rFonts w:hint="eastAsia" w:ascii="宋体" w:hAnsi="宋体"/>
          <w:color w:val="auto"/>
          <w:sz w:val="28"/>
          <w:szCs w:val="28"/>
          <w:highlight w:val="none"/>
          <w:u w:val="single"/>
        </w:rPr>
        <w:t>项目编号：</w:t>
      </w:r>
      <w:r>
        <w:rPr>
          <w:rFonts w:hint="eastAsia" w:ascii="宋体" w:hAnsi="宋体"/>
          <w:color w:val="auto"/>
          <w:sz w:val="28"/>
          <w:szCs w:val="28"/>
          <w:highlight w:val="none"/>
        </w:rPr>
        <w:t>）的政府采购活动，严格遵守《中华人民共和国政府采购法》及相关法律法规，依法诚信经营，无条件遵守本次政府采购活动的各项规定，并郑重承诺：</w:t>
      </w:r>
    </w:p>
    <w:p w14:paraId="03D2C143">
      <w:pPr>
        <w:spacing w:line="520" w:lineRule="exact"/>
        <w:ind w:firstLine="560" w:firstLineChars="200"/>
        <w:rPr>
          <w:rFonts w:hint="eastAsia" w:ascii="宋体" w:hAnsi="宋体" w:eastAsia="宋体"/>
          <w:color w:val="auto"/>
          <w:sz w:val="28"/>
          <w:szCs w:val="28"/>
          <w:highlight w:val="none"/>
          <w:lang w:eastAsia="zh-CN"/>
        </w:rPr>
      </w:pPr>
      <w:r>
        <w:rPr>
          <w:rFonts w:hint="eastAsia" w:ascii="宋体" w:hAnsi="宋体"/>
          <w:color w:val="auto"/>
          <w:sz w:val="28"/>
          <w:szCs w:val="28"/>
          <w:highlight w:val="none"/>
        </w:rPr>
        <w:t>1.我方具有符合采购文件资格要求的财务状况报告。</w:t>
      </w:r>
    </w:p>
    <w:p w14:paraId="0F28143A">
      <w:pPr>
        <w:spacing w:line="520" w:lineRule="exact"/>
        <w:ind w:firstLine="560" w:firstLineChars="200"/>
        <w:rPr>
          <w:rFonts w:hint="eastAsia" w:ascii="宋体" w:hAnsi="宋体" w:eastAsia="宋体"/>
          <w:color w:val="auto"/>
          <w:sz w:val="28"/>
          <w:szCs w:val="28"/>
          <w:highlight w:val="none"/>
          <w:lang w:eastAsia="zh-CN"/>
        </w:rPr>
      </w:pPr>
      <w:r>
        <w:rPr>
          <w:rFonts w:hint="eastAsia" w:ascii="宋体" w:hAnsi="宋体"/>
          <w:color w:val="auto"/>
          <w:sz w:val="28"/>
          <w:szCs w:val="28"/>
          <w:highlight w:val="none"/>
        </w:rPr>
        <w:t>2.我方具有符合采购文件资格要求的依法缴纳税收和社会保障资金的良好记录。</w:t>
      </w:r>
    </w:p>
    <w:p w14:paraId="7C87B5FD">
      <w:pPr>
        <w:spacing w:line="520" w:lineRule="exact"/>
        <w:ind w:firstLine="560" w:firstLineChars="200"/>
        <w:rPr>
          <w:rFonts w:hint="eastAsia" w:ascii="宋体" w:hAnsi="宋体" w:eastAsia="宋体"/>
          <w:color w:val="auto"/>
          <w:sz w:val="28"/>
          <w:szCs w:val="28"/>
          <w:highlight w:val="none"/>
          <w:lang w:eastAsia="zh-CN"/>
        </w:rPr>
      </w:pPr>
      <w:r>
        <w:rPr>
          <w:rFonts w:hint="eastAsia" w:ascii="宋体" w:hAnsi="宋体"/>
          <w:color w:val="auto"/>
          <w:sz w:val="28"/>
          <w:szCs w:val="28"/>
          <w:highlight w:val="none"/>
        </w:rPr>
        <w:t>3.我方参加政府采购活动前三年内在经营活动中没有重大违法记录。</w:t>
      </w:r>
    </w:p>
    <w:p w14:paraId="3B203E2F">
      <w:pPr>
        <w:spacing w:line="5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我方对以上承诺内容的真实性负责。如有虚假，将依法承担相应责任。</w:t>
      </w:r>
    </w:p>
    <w:p w14:paraId="06CA9F76">
      <w:pPr>
        <w:spacing w:line="520" w:lineRule="exact"/>
        <w:ind w:firstLine="3220" w:firstLineChars="1150"/>
        <w:rPr>
          <w:rFonts w:hint="eastAsia" w:ascii="宋体" w:hAnsi="宋体"/>
          <w:color w:val="auto"/>
          <w:sz w:val="28"/>
          <w:szCs w:val="28"/>
          <w:highlight w:val="none"/>
        </w:rPr>
      </w:pPr>
    </w:p>
    <w:p w14:paraId="50755E16">
      <w:pPr>
        <w:spacing w:line="520" w:lineRule="exact"/>
        <w:ind w:firstLine="3220" w:firstLineChars="1150"/>
        <w:rPr>
          <w:rFonts w:hint="eastAsia" w:ascii="宋体" w:hAnsi="宋体"/>
          <w:color w:val="auto"/>
          <w:sz w:val="28"/>
          <w:szCs w:val="28"/>
          <w:highlight w:val="none"/>
        </w:rPr>
      </w:pPr>
    </w:p>
    <w:p w14:paraId="43AFAAB8">
      <w:pPr>
        <w:spacing w:line="520" w:lineRule="exact"/>
        <w:ind w:firstLine="2240" w:firstLineChars="800"/>
        <w:rPr>
          <w:rFonts w:ascii="宋体" w:hAnsi="宋体"/>
          <w:color w:val="auto"/>
          <w:sz w:val="28"/>
          <w:szCs w:val="28"/>
          <w:highlight w:val="none"/>
        </w:rPr>
      </w:pPr>
      <w:r>
        <w:rPr>
          <w:rFonts w:hint="eastAsia" w:ascii="宋体" w:hAnsi="宋体"/>
          <w:color w:val="auto"/>
          <w:sz w:val="28"/>
          <w:szCs w:val="28"/>
          <w:highlight w:val="none"/>
        </w:rPr>
        <w:t>投标人名称（电子签章）：</w:t>
      </w:r>
    </w:p>
    <w:p w14:paraId="12B4AB6C">
      <w:pPr>
        <w:spacing w:line="600" w:lineRule="exact"/>
        <w:ind w:firstLine="3080" w:firstLineChars="1100"/>
        <w:rPr>
          <w:rFonts w:hint="eastAsia" w:ascii="宋体" w:hAnsi="宋体"/>
          <w:color w:val="auto"/>
          <w:sz w:val="28"/>
          <w:szCs w:val="28"/>
          <w:highlight w:val="none"/>
        </w:rPr>
      </w:pPr>
      <w:r>
        <w:rPr>
          <w:rFonts w:hint="eastAsia" w:ascii="宋体" w:hAnsi="宋体"/>
          <w:color w:val="auto"/>
          <w:sz w:val="28"/>
          <w:szCs w:val="28"/>
          <w:highlight w:val="none"/>
        </w:rPr>
        <w:t>统一社会信用代码：</w:t>
      </w:r>
    </w:p>
    <w:p w14:paraId="2EB0D674">
      <w:pPr>
        <w:spacing w:line="520" w:lineRule="exact"/>
        <w:ind w:firstLine="1960" w:firstLineChars="700"/>
        <w:rPr>
          <w:rFonts w:ascii="宋体" w:hAnsi="宋体"/>
          <w:color w:val="auto"/>
          <w:sz w:val="28"/>
          <w:szCs w:val="28"/>
          <w:highlight w:val="none"/>
        </w:rPr>
      </w:pPr>
      <w:r>
        <w:rPr>
          <w:rFonts w:hint="eastAsia" w:ascii="宋体" w:hAnsi="宋体"/>
          <w:color w:val="auto"/>
          <w:sz w:val="28"/>
          <w:szCs w:val="28"/>
          <w:highlight w:val="none"/>
        </w:rPr>
        <w:t>法定代表人或授权代表</w:t>
      </w:r>
      <w:r>
        <w:rPr>
          <w:rFonts w:ascii="宋体" w:hAnsi="宋体"/>
          <w:color w:val="auto"/>
          <w:sz w:val="28"/>
          <w:szCs w:val="28"/>
          <w:highlight w:val="none"/>
        </w:rPr>
        <w:t>(</w:t>
      </w:r>
      <w:r>
        <w:rPr>
          <w:rFonts w:hint="eastAsia" w:ascii="宋体" w:hAnsi="宋体"/>
          <w:color w:val="auto"/>
          <w:sz w:val="28"/>
          <w:szCs w:val="28"/>
          <w:highlight w:val="none"/>
        </w:rPr>
        <w:t>签字或者电子签名)</w:t>
      </w:r>
      <w:r>
        <w:rPr>
          <w:rFonts w:ascii="宋体" w:hAnsi="宋体"/>
          <w:color w:val="auto"/>
          <w:sz w:val="28"/>
          <w:szCs w:val="28"/>
          <w:highlight w:val="none"/>
        </w:rPr>
        <w:t>：</w:t>
      </w:r>
    </w:p>
    <w:p w14:paraId="51ECD489">
      <w:pPr>
        <w:spacing w:line="520" w:lineRule="exact"/>
        <w:ind w:firstLine="4480" w:firstLineChars="1600"/>
        <w:rPr>
          <w:rFonts w:ascii="宋体" w:hAnsi="宋体"/>
          <w:color w:val="auto"/>
          <w:sz w:val="28"/>
          <w:szCs w:val="28"/>
          <w:highlight w:val="none"/>
        </w:rPr>
      </w:pPr>
      <w:r>
        <w:rPr>
          <w:rFonts w:hint="eastAsia" w:ascii="宋体" w:hAnsi="宋体"/>
          <w:color w:val="auto"/>
          <w:sz w:val="28"/>
          <w:szCs w:val="28"/>
          <w:highlight w:val="none"/>
        </w:rPr>
        <w:t>日期：</w:t>
      </w:r>
      <w:r>
        <w:rPr>
          <w:rFonts w:ascii="宋体" w:hAnsi="宋体"/>
          <w:color w:val="auto"/>
          <w:sz w:val="28"/>
          <w:szCs w:val="28"/>
          <w:highlight w:val="none"/>
        </w:rPr>
        <w:t>年月日</w:t>
      </w:r>
    </w:p>
    <w:p w14:paraId="24E7921F">
      <w:pPr>
        <w:snapToGrid w:val="0"/>
        <w:spacing w:before="120" w:beforeLines="50" w:after="50"/>
        <w:ind w:left="1680"/>
        <w:jc w:val="left"/>
        <w:rPr>
          <w:rFonts w:hint="eastAsia" w:ascii="宋体" w:hAnsi="宋体"/>
          <w:b/>
          <w:color w:val="auto"/>
          <w:sz w:val="30"/>
          <w:szCs w:val="30"/>
          <w:highlight w:val="none"/>
        </w:rPr>
      </w:pPr>
    </w:p>
    <w:p w14:paraId="195E1328">
      <w:pPr>
        <w:snapToGrid w:val="0"/>
        <w:spacing w:before="50" w:after="120" w:afterLines="50"/>
        <w:jc w:val="left"/>
        <w:rPr>
          <w:rFonts w:hint="eastAsia" w:ascii="宋体" w:hAnsi="宋体"/>
          <w:color w:val="auto"/>
          <w:sz w:val="24"/>
          <w:highlight w:val="none"/>
        </w:rPr>
      </w:pPr>
    </w:p>
    <w:p w14:paraId="0B74BD29">
      <w:pPr>
        <w:pStyle w:val="23"/>
        <w:ind w:left="0" w:leftChars="0" w:firstLine="0" w:firstLineChars="0"/>
        <w:rPr>
          <w:rFonts w:hint="eastAsia" w:ascii="宋体" w:hAnsi="宋体"/>
          <w:color w:val="auto"/>
          <w:sz w:val="24"/>
          <w:highlight w:val="none"/>
        </w:rPr>
      </w:pPr>
    </w:p>
    <w:p w14:paraId="22C7D063">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注：1.供应商须在投标（响应）文件中按此模板提供承诺函，未提供视为未实质性响应招标（采购）文件要求，按无效投标（响应）处理。</w:t>
      </w:r>
    </w:p>
    <w:p w14:paraId="5C1D62BD">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eastAsia" w:ascii="黑体" w:hAnsi="黑体" w:eastAsia="黑体" w:cs="黑体"/>
          <w:b/>
          <w:bCs/>
          <w:color w:val="auto"/>
          <w:highlight w:val="none"/>
        </w:rPr>
      </w:pPr>
      <w:r>
        <w:rPr>
          <w:rFonts w:hint="eastAsia" w:ascii="黑体" w:hAnsi="黑体" w:eastAsia="黑体" w:cs="黑体"/>
          <w:color w:val="auto"/>
          <w:sz w:val="21"/>
          <w:szCs w:val="21"/>
          <w:highlight w:val="none"/>
        </w:rPr>
        <w:t>2.供应商的法定代表人（其他组织的为负责人）或者授权代表的签名或盖章应真实、有效，如由授权代表签名或盖章的，应提供“法定代表人授权书”。</w:t>
      </w:r>
    </w:p>
    <w:p w14:paraId="3D3C2115">
      <w:pPr>
        <w:numPr>
          <w:ilvl w:val="2"/>
          <w:numId w:val="0"/>
        </w:numPr>
        <w:snapToGrid w:val="0"/>
        <w:spacing w:before="120" w:beforeLines="50" w:after="50"/>
        <w:ind w:left="0" w:leftChars="0" w:firstLine="0" w:firstLineChars="0"/>
        <w:jc w:val="left"/>
        <w:outlineLvl w:val="2"/>
        <w:rPr>
          <w:rFonts w:hint="eastAsia" w:ascii="宋体" w:hAnsi="宋体"/>
          <w:b/>
          <w:color w:val="auto"/>
          <w:sz w:val="24"/>
          <w:highlight w:val="none"/>
        </w:rPr>
      </w:pPr>
      <w:r>
        <w:rPr>
          <w:rFonts w:hint="eastAsia" w:ascii="宋体" w:hAnsi="宋体" w:cs="Times New Roman"/>
          <w:b/>
          <w:color w:val="auto"/>
          <w:kern w:val="2"/>
          <w:sz w:val="24"/>
          <w:szCs w:val="24"/>
          <w:highlight w:val="none"/>
          <w:lang w:val="en-US" w:eastAsia="zh-CN" w:bidi="ar-SA"/>
        </w:rPr>
        <w:t>4</w:t>
      </w:r>
      <w:r>
        <w:rPr>
          <w:rFonts w:hint="default" w:ascii="宋体" w:hAnsi="宋体" w:eastAsia="宋体" w:cs="Times New Roman"/>
          <w:b/>
          <w:color w:val="auto"/>
          <w:kern w:val="2"/>
          <w:sz w:val="24"/>
          <w:szCs w:val="24"/>
          <w:highlight w:val="none"/>
          <w:lang w:val="en-US" w:eastAsia="zh-CN" w:bidi="ar-SA"/>
        </w:rPr>
        <w:t>.</w:t>
      </w:r>
      <w:r>
        <w:rPr>
          <w:rFonts w:hint="eastAsia" w:ascii="宋体" w:hAnsi="宋体"/>
          <w:b/>
          <w:color w:val="auto"/>
          <w:sz w:val="28"/>
          <w:szCs w:val="28"/>
          <w:highlight w:val="none"/>
        </w:rPr>
        <w:t>投标人直接控股、管理关系信息表</w:t>
      </w:r>
    </w:p>
    <w:p w14:paraId="400F6B6C">
      <w:pPr>
        <w:snapToGrid w:val="0"/>
        <w:spacing w:before="50" w:after="120" w:afterLines="50"/>
        <w:jc w:val="center"/>
        <w:rPr>
          <w:rFonts w:hint="eastAsia" w:ascii="宋体" w:hAnsi="宋体"/>
          <w:b/>
          <w:color w:val="auto"/>
          <w:sz w:val="28"/>
          <w:szCs w:val="28"/>
          <w:highlight w:val="none"/>
        </w:rPr>
      </w:pPr>
    </w:p>
    <w:p w14:paraId="024C3430">
      <w:pPr>
        <w:snapToGrid w:val="0"/>
        <w:spacing w:before="50" w:after="120" w:afterLines="5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24"/>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F89D5FA">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D82E61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91A9C7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EED9394">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5FE23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4A6E4F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14F9D3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CB7649">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486147">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540DB3">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6BF0DF">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B86607">
            <w:pPr>
              <w:spacing w:line="360" w:lineRule="auto"/>
              <w:jc w:val="center"/>
              <w:rPr>
                <w:rFonts w:ascii="宋体" w:hAnsi="宋体" w:cs="宋体"/>
                <w:color w:val="auto"/>
                <w:kern w:val="0"/>
                <w:sz w:val="24"/>
                <w:highlight w:val="none"/>
              </w:rPr>
            </w:pPr>
          </w:p>
        </w:tc>
      </w:tr>
      <w:tr w14:paraId="484633D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0808D2">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4D9B68">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1BF65A">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313201">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F616F8">
            <w:pPr>
              <w:spacing w:line="360" w:lineRule="auto"/>
              <w:jc w:val="center"/>
              <w:rPr>
                <w:rFonts w:ascii="宋体" w:hAnsi="宋体" w:cs="宋体"/>
                <w:color w:val="auto"/>
                <w:kern w:val="0"/>
                <w:sz w:val="24"/>
                <w:highlight w:val="none"/>
              </w:rPr>
            </w:pPr>
          </w:p>
        </w:tc>
      </w:tr>
      <w:tr w14:paraId="1B58B07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40933D">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046460">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C58ACB">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387D58">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4698F1">
            <w:pPr>
              <w:spacing w:line="360" w:lineRule="auto"/>
              <w:jc w:val="center"/>
              <w:rPr>
                <w:rFonts w:ascii="宋体" w:hAnsi="宋体" w:cs="宋体"/>
                <w:color w:val="auto"/>
                <w:kern w:val="0"/>
                <w:sz w:val="24"/>
                <w:highlight w:val="none"/>
              </w:rPr>
            </w:pPr>
          </w:p>
        </w:tc>
      </w:tr>
      <w:tr w14:paraId="7A6A754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748CE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314086">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CDD54F">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F6A0EF">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0332D6">
            <w:pPr>
              <w:spacing w:line="360" w:lineRule="auto"/>
              <w:jc w:val="center"/>
              <w:rPr>
                <w:rFonts w:ascii="宋体" w:hAnsi="宋体" w:cs="宋体"/>
                <w:color w:val="auto"/>
                <w:kern w:val="0"/>
                <w:sz w:val="24"/>
                <w:highlight w:val="none"/>
              </w:rPr>
            </w:pPr>
          </w:p>
        </w:tc>
      </w:tr>
    </w:tbl>
    <w:p w14:paraId="07A8A7A2">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22CB0F81">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A588D8E">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604A7BD1">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7729EEE5">
      <w:pPr>
        <w:snapToGrid w:val="0"/>
        <w:spacing w:line="360" w:lineRule="auto"/>
        <w:jc w:val="left"/>
        <w:rPr>
          <w:rFonts w:hint="eastAsia" w:ascii="宋体" w:hAnsi="宋体"/>
          <w:color w:val="auto"/>
          <w:sz w:val="24"/>
          <w:highlight w:val="none"/>
        </w:rPr>
      </w:pPr>
    </w:p>
    <w:p w14:paraId="6007C065">
      <w:pPr>
        <w:snapToGrid w:val="0"/>
        <w:spacing w:line="360" w:lineRule="auto"/>
        <w:jc w:val="left"/>
        <w:rPr>
          <w:rFonts w:hint="eastAsia" w:ascii="宋体" w:hAnsi="宋体"/>
          <w:color w:val="auto"/>
          <w:sz w:val="24"/>
          <w:highlight w:val="none"/>
        </w:rPr>
      </w:pPr>
    </w:p>
    <w:p w14:paraId="1331DB84">
      <w:pPr>
        <w:snapToGrid w:val="0"/>
        <w:spacing w:line="360" w:lineRule="auto"/>
        <w:ind w:left="-2" w:leftChars="-1" w:right="-817" w:rightChars="-389" w:firstLine="1920" w:firstLineChars="800"/>
        <w:rPr>
          <w:rFonts w:hint="eastAsia" w:ascii="宋体" w:hAnsi="宋体" w:eastAsia="宋体"/>
          <w:color w:val="auto"/>
          <w:sz w:val="24"/>
          <w:highlight w:val="none"/>
          <w:lang w:eastAsia="zh-CN"/>
        </w:rPr>
      </w:pPr>
      <w:r>
        <w:rPr>
          <w:rFonts w:hint="eastAsia" w:ascii="宋体" w:hAnsi="宋体"/>
          <w:color w:val="auto"/>
          <w:sz w:val="24"/>
          <w:highlight w:val="none"/>
        </w:rPr>
        <w:t>法定代表人或者委托代理人（签字或者电子签名）：</w:t>
      </w:r>
    </w:p>
    <w:p w14:paraId="2E16E234">
      <w:pPr>
        <w:snapToGrid w:val="0"/>
        <w:spacing w:line="360" w:lineRule="auto"/>
        <w:ind w:left="-3" w:leftChars="-15" w:right="-817" w:rightChars="-389" w:hanging="28" w:hangingChars="12"/>
        <w:jc w:val="center"/>
        <w:rPr>
          <w:rFonts w:hint="eastAsia" w:ascii="宋体" w:hAnsi="宋体"/>
          <w:color w:val="auto"/>
          <w:sz w:val="24"/>
          <w:highlight w:val="none"/>
        </w:rPr>
      </w:pPr>
      <w:r>
        <w:rPr>
          <w:rFonts w:hint="eastAsia" w:ascii="宋体" w:hAnsi="宋体"/>
          <w:color w:val="auto"/>
          <w:sz w:val="24"/>
          <w:highlight w:val="none"/>
        </w:rPr>
        <w:t>投标人名称（电子签章）：</w:t>
      </w:r>
    </w:p>
    <w:p w14:paraId="72D441C2">
      <w:pPr>
        <w:snapToGrid w:val="0"/>
        <w:spacing w:line="360" w:lineRule="auto"/>
        <w:jc w:val="center"/>
        <w:rPr>
          <w:rFonts w:hint="eastAsia" w:ascii="宋体" w:hAnsi="宋体"/>
          <w:color w:val="auto"/>
          <w:szCs w:val="21"/>
          <w:highlight w:val="none"/>
        </w:rPr>
      </w:pPr>
      <w:r>
        <w:rPr>
          <w:rFonts w:hint="eastAsia" w:ascii="宋体" w:hAnsi="宋体"/>
          <w:color w:val="auto"/>
          <w:sz w:val="24"/>
          <w:highlight w:val="none"/>
        </w:rPr>
        <w:t>日期：年月日</w:t>
      </w:r>
    </w:p>
    <w:p w14:paraId="31CD0BE8">
      <w:pPr>
        <w:snapToGrid w:val="0"/>
        <w:spacing w:before="120" w:beforeLines="50" w:after="50" w:line="360" w:lineRule="auto"/>
        <w:ind w:right="480" w:firstLine="6465" w:firstLineChars="2300"/>
        <w:rPr>
          <w:rFonts w:hint="eastAsia" w:ascii="宋体" w:hAnsi="宋体"/>
          <w:b/>
          <w:color w:val="auto"/>
          <w:sz w:val="28"/>
          <w:szCs w:val="28"/>
          <w:highlight w:val="none"/>
        </w:rPr>
      </w:pPr>
      <w:r>
        <w:rPr>
          <w:rFonts w:ascii="宋体" w:hAnsi="宋体"/>
          <w:b/>
          <w:color w:val="auto"/>
          <w:sz w:val="28"/>
          <w:szCs w:val="28"/>
          <w:highlight w:val="none"/>
        </w:rPr>
        <w:br w:type="page"/>
      </w:r>
    </w:p>
    <w:p w14:paraId="6FECCF6D">
      <w:pPr>
        <w:snapToGrid w:val="0"/>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24"/>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693E3FC">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7D762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BD67CC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8B0A5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8E94241">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E94AC6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E36A50">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5A1374">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585932">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C8E6B8">
            <w:pPr>
              <w:spacing w:line="360" w:lineRule="auto"/>
              <w:jc w:val="center"/>
              <w:rPr>
                <w:rFonts w:ascii="宋体" w:hAnsi="宋体" w:cs="宋体"/>
                <w:color w:val="auto"/>
                <w:kern w:val="0"/>
                <w:sz w:val="24"/>
                <w:highlight w:val="none"/>
              </w:rPr>
            </w:pPr>
          </w:p>
        </w:tc>
      </w:tr>
      <w:tr w14:paraId="32F7BD1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8A7220">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80687D">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73DA6C">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F69BAC">
            <w:pPr>
              <w:spacing w:line="360" w:lineRule="auto"/>
              <w:jc w:val="center"/>
              <w:rPr>
                <w:rFonts w:ascii="宋体" w:hAnsi="宋体" w:cs="宋体"/>
                <w:color w:val="auto"/>
                <w:kern w:val="0"/>
                <w:sz w:val="24"/>
                <w:highlight w:val="none"/>
              </w:rPr>
            </w:pPr>
          </w:p>
        </w:tc>
      </w:tr>
      <w:tr w14:paraId="4B3D5C6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507A5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511847">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782749">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C01981">
            <w:pPr>
              <w:spacing w:line="360" w:lineRule="auto"/>
              <w:jc w:val="center"/>
              <w:rPr>
                <w:rFonts w:ascii="宋体" w:hAnsi="宋体" w:cs="宋体"/>
                <w:color w:val="auto"/>
                <w:kern w:val="0"/>
                <w:sz w:val="24"/>
                <w:highlight w:val="none"/>
              </w:rPr>
            </w:pPr>
          </w:p>
        </w:tc>
      </w:tr>
      <w:tr w14:paraId="4883202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6E9E3A">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E453F4">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20B9F7">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ECC34F">
            <w:pPr>
              <w:spacing w:line="360" w:lineRule="auto"/>
              <w:jc w:val="center"/>
              <w:rPr>
                <w:rFonts w:ascii="宋体" w:hAnsi="宋体" w:cs="宋体"/>
                <w:color w:val="auto"/>
                <w:kern w:val="0"/>
                <w:sz w:val="24"/>
                <w:highlight w:val="none"/>
              </w:rPr>
            </w:pPr>
          </w:p>
        </w:tc>
      </w:tr>
    </w:tbl>
    <w:p w14:paraId="12B758C2">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0F7776E2">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25C80CDB">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3F5B66F5">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2415701A">
      <w:pPr>
        <w:snapToGrid w:val="0"/>
        <w:spacing w:line="360" w:lineRule="auto"/>
        <w:ind w:firstLine="480" w:firstLineChars="200"/>
        <w:jc w:val="left"/>
        <w:rPr>
          <w:rFonts w:hint="eastAsia" w:ascii="宋体" w:hAnsi="宋体"/>
          <w:color w:val="auto"/>
          <w:sz w:val="24"/>
          <w:highlight w:val="none"/>
        </w:rPr>
      </w:pPr>
    </w:p>
    <w:p w14:paraId="69112DCA">
      <w:pPr>
        <w:snapToGrid w:val="0"/>
        <w:spacing w:line="360" w:lineRule="auto"/>
        <w:jc w:val="left"/>
        <w:rPr>
          <w:rFonts w:hint="eastAsia" w:ascii="宋体" w:hAnsi="宋体"/>
          <w:color w:val="auto"/>
          <w:sz w:val="24"/>
          <w:highlight w:val="none"/>
        </w:rPr>
      </w:pPr>
    </w:p>
    <w:p w14:paraId="09722601">
      <w:pPr>
        <w:snapToGrid w:val="0"/>
        <w:spacing w:line="360" w:lineRule="auto"/>
        <w:ind w:left="-2" w:leftChars="-1" w:right="-817" w:rightChars="-389" w:firstLine="1920" w:firstLineChars="800"/>
        <w:rPr>
          <w:rFonts w:hint="eastAsia" w:ascii="宋体" w:hAnsi="宋体" w:eastAsia="宋体"/>
          <w:color w:val="auto"/>
          <w:sz w:val="24"/>
          <w:highlight w:val="none"/>
          <w:lang w:eastAsia="zh-CN"/>
        </w:rPr>
      </w:pPr>
      <w:r>
        <w:rPr>
          <w:rFonts w:hint="eastAsia" w:ascii="宋体" w:hAnsi="宋体"/>
          <w:color w:val="auto"/>
          <w:sz w:val="24"/>
          <w:highlight w:val="none"/>
        </w:rPr>
        <w:t>法定代表人或者委托代理人（签字或者电子签名）：</w:t>
      </w:r>
    </w:p>
    <w:p w14:paraId="006A6F1B">
      <w:pPr>
        <w:snapToGrid w:val="0"/>
        <w:spacing w:line="360" w:lineRule="auto"/>
        <w:ind w:left="-3" w:leftChars="-15" w:right="-817" w:rightChars="-389" w:hanging="28" w:hangingChars="12"/>
        <w:jc w:val="center"/>
        <w:rPr>
          <w:rFonts w:hint="eastAsia" w:ascii="宋体" w:hAnsi="宋体"/>
          <w:color w:val="auto"/>
          <w:sz w:val="24"/>
          <w:highlight w:val="none"/>
        </w:rPr>
      </w:pPr>
      <w:r>
        <w:rPr>
          <w:rFonts w:hint="eastAsia" w:ascii="宋体" w:hAnsi="宋体"/>
          <w:color w:val="auto"/>
          <w:sz w:val="24"/>
          <w:highlight w:val="none"/>
        </w:rPr>
        <w:t>投标人名称（电子签章）：</w:t>
      </w:r>
    </w:p>
    <w:p w14:paraId="4AC55079">
      <w:pPr>
        <w:snapToGrid w:val="0"/>
        <w:spacing w:line="360" w:lineRule="auto"/>
        <w:ind w:right="480" w:firstLine="240" w:firstLineChars="100"/>
        <w:jc w:val="center"/>
        <w:rPr>
          <w:rFonts w:hint="eastAsia" w:ascii="宋体" w:hAnsi="宋体"/>
          <w:color w:val="auto"/>
          <w:szCs w:val="21"/>
          <w:highlight w:val="none"/>
        </w:rPr>
      </w:pPr>
      <w:r>
        <w:rPr>
          <w:rFonts w:hint="eastAsia" w:ascii="宋体" w:hAnsi="宋体"/>
          <w:color w:val="auto"/>
          <w:sz w:val="24"/>
          <w:highlight w:val="none"/>
        </w:rPr>
        <w:t>日期：年月日</w:t>
      </w:r>
    </w:p>
    <w:p w14:paraId="527501B7">
      <w:pPr>
        <w:snapToGrid w:val="0"/>
        <w:spacing w:before="120" w:beforeLines="50" w:after="50" w:line="360" w:lineRule="auto"/>
        <w:ind w:right="480" w:firstLine="240" w:firstLineChars="100"/>
        <w:jc w:val="right"/>
        <w:rPr>
          <w:rFonts w:hint="eastAsia" w:ascii="宋体" w:hAnsi="宋体"/>
          <w:color w:val="auto"/>
          <w:sz w:val="24"/>
          <w:highlight w:val="none"/>
        </w:rPr>
      </w:pPr>
    </w:p>
    <w:p w14:paraId="2F8B7961">
      <w:pPr>
        <w:snapToGrid w:val="0"/>
        <w:spacing w:before="50" w:after="120" w:afterLines="50"/>
        <w:jc w:val="left"/>
        <w:rPr>
          <w:rFonts w:hint="eastAsia" w:ascii="宋体" w:hAnsi="宋体"/>
          <w:color w:val="auto"/>
          <w:szCs w:val="21"/>
          <w:highlight w:val="none"/>
        </w:rPr>
      </w:pPr>
    </w:p>
    <w:p w14:paraId="558BB2ED">
      <w:pPr>
        <w:snapToGrid w:val="0"/>
        <w:spacing w:before="50" w:after="120" w:afterLines="50"/>
        <w:jc w:val="left"/>
        <w:rPr>
          <w:rFonts w:hint="eastAsia" w:ascii="宋体" w:hAnsi="宋体"/>
          <w:color w:val="auto"/>
          <w:szCs w:val="21"/>
          <w:highlight w:val="none"/>
        </w:rPr>
      </w:pPr>
    </w:p>
    <w:p w14:paraId="4787A7D1">
      <w:pPr>
        <w:snapToGrid w:val="0"/>
        <w:spacing w:before="50" w:after="120" w:afterLines="50"/>
        <w:jc w:val="left"/>
        <w:rPr>
          <w:rFonts w:hint="eastAsia" w:ascii="宋体" w:hAnsi="宋体"/>
          <w:color w:val="auto"/>
          <w:szCs w:val="21"/>
          <w:highlight w:val="none"/>
        </w:rPr>
      </w:pPr>
    </w:p>
    <w:p w14:paraId="29D9EAFC">
      <w:pPr>
        <w:snapToGrid w:val="0"/>
        <w:spacing w:before="50" w:after="120" w:afterLines="50"/>
        <w:jc w:val="left"/>
        <w:rPr>
          <w:rFonts w:hint="eastAsia" w:ascii="宋体" w:hAnsi="宋体"/>
          <w:color w:val="auto"/>
          <w:szCs w:val="21"/>
          <w:highlight w:val="none"/>
        </w:rPr>
      </w:pPr>
    </w:p>
    <w:p w14:paraId="376EA961">
      <w:pPr>
        <w:snapToGrid w:val="0"/>
        <w:spacing w:before="50" w:after="120" w:afterLines="50"/>
        <w:jc w:val="left"/>
        <w:rPr>
          <w:rFonts w:hint="eastAsia" w:ascii="宋体" w:hAnsi="宋体"/>
          <w:color w:val="auto"/>
          <w:szCs w:val="21"/>
          <w:highlight w:val="none"/>
        </w:rPr>
      </w:pPr>
    </w:p>
    <w:p w14:paraId="45F65AE9">
      <w:pPr>
        <w:snapToGrid w:val="0"/>
        <w:spacing w:before="50" w:after="120" w:afterLines="50"/>
        <w:jc w:val="left"/>
        <w:rPr>
          <w:rFonts w:hint="eastAsia" w:ascii="宋体" w:hAnsi="宋体"/>
          <w:color w:val="auto"/>
          <w:szCs w:val="21"/>
          <w:highlight w:val="none"/>
        </w:rPr>
      </w:pPr>
    </w:p>
    <w:p w14:paraId="42B0DE69">
      <w:pPr>
        <w:snapToGrid w:val="0"/>
        <w:spacing w:before="50" w:after="120" w:afterLines="50"/>
        <w:jc w:val="left"/>
        <w:rPr>
          <w:rFonts w:hint="eastAsia" w:ascii="宋体" w:hAnsi="宋体"/>
          <w:color w:val="auto"/>
          <w:szCs w:val="21"/>
          <w:highlight w:val="none"/>
        </w:rPr>
      </w:pPr>
    </w:p>
    <w:p w14:paraId="5813AD97">
      <w:pPr>
        <w:snapToGrid w:val="0"/>
        <w:spacing w:before="50" w:after="120" w:afterLines="50"/>
        <w:jc w:val="left"/>
        <w:rPr>
          <w:rFonts w:hint="eastAsia" w:ascii="宋体" w:hAnsi="宋体"/>
          <w:color w:val="auto"/>
          <w:szCs w:val="21"/>
          <w:highlight w:val="none"/>
        </w:rPr>
      </w:pPr>
    </w:p>
    <w:p w14:paraId="2711DDFE">
      <w:pPr>
        <w:snapToGrid w:val="0"/>
        <w:spacing w:before="120" w:beforeLines="50" w:after="50"/>
        <w:jc w:val="left"/>
        <w:rPr>
          <w:rFonts w:hint="eastAsia" w:ascii="宋体" w:hAnsi="宋体"/>
          <w:b/>
          <w:color w:val="auto"/>
          <w:sz w:val="24"/>
          <w:szCs w:val="20"/>
          <w:highlight w:val="none"/>
        </w:rPr>
      </w:pPr>
    </w:p>
    <w:p w14:paraId="7B0DF70B">
      <w:pPr>
        <w:numPr>
          <w:ilvl w:val="2"/>
          <w:numId w:val="0"/>
        </w:numPr>
        <w:snapToGrid w:val="0"/>
        <w:spacing w:before="120" w:beforeLines="50" w:after="50"/>
        <w:ind w:left="0" w:leftChars="0" w:firstLine="0" w:firstLineChars="0"/>
        <w:jc w:val="left"/>
        <w:rPr>
          <w:rFonts w:hint="eastAsia" w:ascii="宋体" w:hAnsi="宋体" w:cs="Times New Roman"/>
          <w:b/>
          <w:color w:val="auto"/>
          <w:kern w:val="2"/>
          <w:sz w:val="24"/>
          <w:szCs w:val="24"/>
          <w:highlight w:val="none"/>
          <w:lang w:val="en-US" w:eastAsia="zh-CN" w:bidi="ar-SA"/>
        </w:rPr>
      </w:pPr>
    </w:p>
    <w:p w14:paraId="7AF8FD03">
      <w:pPr>
        <w:numPr>
          <w:ilvl w:val="2"/>
          <w:numId w:val="0"/>
        </w:numPr>
        <w:snapToGrid w:val="0"/>
        <w:spacing w:before="120" w:beforeLines="50" w:after="50"/>
        <w:ind w:left="0" w:leftChars="0" w:firstLine="0" w:firstLineChars="0"/>
        <w:jc w:val="left"/>
        <w:rPr>
          <w:rFonts w:hint="eastAsia" w:ascii="宋体" w:hAnsi="宋体" w:cs="Times New Roman"/>
          <w:b/>
          <w:color w:val="auto"/>
          <w:kern w:val="2"/>
          <w:sz w:val="24"/>
          <w:szCs w:val="24"/>
          <w:highlight w:val="none"/>
          <w:lang w:val="en-US" w:eastAsia="zh-CN" w:bidi="ar-SA"/>
        </w:rPr>
      </w:pPr>
    </w:p>
    <w:p w14:paraId="0C187D36">
      <w:pPr>
        <w:numPr>
          <w:ilvl w:val="2"/>
          <w:numId w:val="0"/>
        </w:numPr>
        <w:snapToGrid w:val="0"/>
        <w:spacing w:before="120" w:beforeLines="50" w:after="50"/>
        <w:ind w:left="0" w:leftChars="0" w:firstLine="0" w:firstLineChars="0"/>
        <w:jc w:val="left"/>
        <w:outlineLvl w:val="2"/>
        <w:rPr>
          <w:rFonts w:hint="eastAsia" w:ascii="宋体" w:hAnsi="宋体"/>
          <w:b/>
          <w:color w:val="auto"/>
          <w:sz w:val="24"/>
          <w:szCs w:val="20"/>
          <w:highlight w:val="none"/>
        </w:rPr>
      </w:pPr>
      <w:r>
        <w:rPr>
          <w:rFonts w:hint="eastAsia" w:ascii="宋体" w:hAnsi="宋体" w:cs="Times New Roman"/>
          <w:b/>
          <w:color w:val="auto"/>
          <w:kern w:val="2"/>
          <w:sz w:val="24"/>
          <w:szCs w:val="24"/>
          <w:highlight w:val="none"/>
          <w:lang w:val="en-US" w:eastAsia="zh-CN" w:bidi="ar-SA"/>
        </w:rPr>
        <w:t>5</w:t>
      </w:r>
      <w:r>
        <w:rPr>
          <w:rFonts w:hint="default" w:ascii="宋体" w:hAnsi="宋体" w:eastAsia="宋体" w:cs="Times New Roman"/>
          <w:b/>
          <w:color w:val="auto"/>
          <w:kern w:val="2"/>
          <w:sz w:val="24"/>
          <w:szCs w:val="24"/>
          <w:highlight w:val="none"/>
          <w:lang w:val="en-US" w:eastAsia="zh-CN" w:bidi="ar-SA"/>
        </w:rPr>
        <w:t>.</w:t>
      </w:r>
      <w:r>
        <w:rPr>
          <w:rFonts w:hint="eastAsia" w:ascii="宋体" w:hAnsi="宋体"/>
          <w:b/>
          <w:color w:val="auto"/>
          <w:sz w:val="24"/>
          <w:highlight w:val="none"/>
        </w:rPr>
        <w:t>投标声明</w:t>
      </w:r>
    </w:p>
    <w:p w14:paraId="5B5D737F">
      <w:pPr>
        <w:snapToGrid w:val="0"/>
        <w:spacing w:before="50" w:after="120" w:afterLines="50"/>
        <w:jc w:val="left"/>
        <w:rPr>
          <w:rFonts w:hint="eastAsia" w:ascii="宋体" w:hAnsi="宋体"/>
          <w:color w:val="auto"/>
          <w:highlight w:val="none"/>
        </w:rPr>
      </w:pPr>
    </w:p>
    <w:p w14:paraId="4EFBA502">
      <w:pPr>
        <w:snapToGrid w:val="0"/>
        <w:spacing w:before="50" w:after="120" w:afterLines="50"/>
        <w:jc w:val="center"/>
        <w:rPr>
          <w:rFonts w:hint="eastAsia" w:ascii="宋体" w:hAnsi="宋体"/>
          <w:b/>
          <w:color w:val="auto"/>
          <w:sz w:val="32"/>
          <w:szCs w:val="32"/>
          <w:highlight w:val="none"/>
        </w:rPr>
      </w:pPr>
      <w:r>
        <w:rPr>
          <w:rFonts w:hint="eastAsia" w:ascii="宋体" w:hAnsi="宋体"/>
          <w:b/>
          <w:color w:val="auto"/>
          <w:sz w:val="32"/>
          <w:szCs w:val="32"/>
          <w:highlight w:val="none"/>
        </w:rPr>
        <w:t>投标声明</w:t>
      </w:r>
    </w:p>
    <w:p w14:paraId="01B11B63">
      <w:pPr>
        <w:spacing w:line="400" w:lineRule="exact"/>
        <w:contextualSpacing/>
        <w:jc w:val="left"/>
        <w:rPr>
          <w:rFonts w:hint="eastAsia"/>
          <w:color w:val="auto"/>
          <w:sz w:val="24"/>
          <w:highlight w:val="none"/>
        </w:rPr>
      </w:pPr>
      <w:r>
        <w:rPr>
          <w:rFonts w:hint="eastAsia"/>
          <w:color w:val="auto"/>
          <w:sz w:val="24"/>
          <w:highlight w:val="none"/>
        </w:rPr>
        <w:t>（采购人名称）：</w:t>
      </w:r>
    </w:p>
    <w:p w14:paraId="21A38976">
      <w:pPr>
        <w:spacing w:line="400" w:lineRule="exact"/>
        <w:ind w:firstLine="523" w:firstLineChars="218"/>
        <w:contextualSpacing/>
        <w:jc w:val="left"/>
        <w:rPr>
          <w:rFonts w:hint="eastAsia" w:ascii="宋体" w:hAnsi="宋体"/>
          <w:color w:val="auto"/>
          <w:sz w:val="24"/>
          <w:highlight w:val="none"/>
        </w:rPr>
      </w:pPr>
      <w:r>
        <w:rPr>
          <w:rFonts w:hint="eastAsia" w:ascii="宋体" w:hAnsi="宋体"/>
          <w:color w:val="auto"/>
          <w:sz w:val="24"/>
          <w:highlight w:val="none"/>
        </w:rPr>
        <w:t>我方参加贵单位组织项目（项目编号：）的政府采购活动。我方在此郑重声明：</w:t>
      </w:r>
    </w:p>
    <w:p w14:paraId="63CCF613">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9165DB8">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69956DB4">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3.我方承诺符合《中华人民共和国政府采购法》第二十二条规定：</w:t>
      </w:r>
    </w:p>
    <w:p w14:paraId="2BF207CF">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47D3623C">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3D7E7B6F">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3AE9F938">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17A0AA4E">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5C442E42">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（六）法律、行政法规规定的其他条件。</w:t>
      </w:r>
    </w:p>
    <w:p w14:paraId="14110C2A">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0EED99D0">
      <w:pPr>
        <w:spacing w:line="400" w:lineRule="exact"/>
        <w:contextualSpacing/>
        <w:jc w:val="left"/>
        <w:rPr>
          <w:rFonts w:ascii="宋体" w:hAnsi="宋体"/>
          <w:color w:val="auto"/>
          <w:sz w:val="24"/>
          <w:highlight w:val="none"/>
        </w:rPr>
      </w:pPr>
      <w:r>
        <w:rPr>
          <w:rFonts w:hint="eastAsia" w:ascii="宋体" w:hAnsi="宋体"/>
          <w:color w:val="auto"/>
          <w:sz w:val="24"/>
          <w:highlight w:val="none"/>
        </w:rPr>
        <w:t>特此承诺。</w:t>
      </w:r>
    </w:p>
    <w:p w14:paraId="2186799E">
      <w:pPr>
        <w:spacing w:line="400" w:lineRule="exact"/>
        <w:contextualSpacing/>
        <w:jc w:val="right"/>
        <w:rPr>
          <w:rFonts w:hint="eastAsia" w:ascii="宋体" w:hAnsi="宋体" w:eastAsia="宋体"/>
          <w:color w:val="auto"/>
          <w:sz w:val="24"/>
          <w:highlight w:val="none"/>
          <w:lang w:eastAsia="zh-CN"/>
        </w:rPr>
      </w:pPr>
      <w:r>
        <w:rPr>
          <w:rFonts w:hint="eastAsia" w:ascii="宋体" w:hAnsi="宋体"/>
          <w:color w:val="auto"/>
          <w:sz w:val="24"/>
          <w:highlight w:val="none"/>
        </w:rPr>
        <w:t>法定代表人（签字或者盖章或者电子签名）：</w:t>
      </w:r>
    </w:p>
    <w:p w14:paraId="595D8437">
      <w:pPr>
        <w:spacing w:line="400" w:lineRule="exact"/>
        <w:contextualSpacing/>
        <w:jc w:val="right"/>
        <w:rPr>
          <w:rFonts w:hint="eastAsia" w:ascii="宋体" w:hAnsi="宋体" w:eastAsia="宋体"/>
          <w:color w:val="auto"/>
          <w:sz w:val="24"/>
          <w:highlight w:val="none"/>
          <w:lang w:eastAsia="zh-CN"/>
        </w:rPr>
      </w:pPr>
      <w:r>
        <w:rPr>
          <w:rFonts w:hint="eastAsia" w:ascii="宋体" w:hAnsi="宋体"/>
          <w:color w:val="auto"/>
          <w:sz w:val="24"/>
          <w:highlight w:val="none"/>
        </w:rPr>
        <w:t>投标人名称（电子签章）：</w:t>
      </w:r>
    </w:p>
    <w:p w14:paraId="3D560079">
      <w:pPr>
        <w:spacing w:line="400" w:lineRule="exact"/>
        <w:contextualSpacing/>
        <w:jc w:val="right"/>
        <w:rPr>
          <w:rFonts w:hint="eastAsia" w:ascii="宋体" w:hAnsi="宋体"/>
          <w:color w:val="auto"/>
          <w:highlight w:val="none"/>
        </w:rPr>
      </w:pPr>
      <w:r>
        <w:rPr>
          <w:rFonts w:hint="eastAsia" w:ascii="宋体" w:hAnsi="宋体"/>
          <w:color w:val="auto"/>
          <w:sz w:val="24"/>
          <w:highlight w:val="none"/>
        </w:rPr>
        <w:t>年月日</w:t>
      </w:r>
    </w:p>
    <w:p w14:paraId="534C8ABC">
      <w:pPr>
        <w:spacing w:line="400" w:lineRule="exact"/>
        <w:contextualSpacing/>
        <w:jc w:val="left"/>
        <w:rPr>
          <w:rFonts w:hint="eastAsia" w:ascii="宋体" w:hAnsi="宋体"/>
          <w:b/>
          <w:color w:val="auto"/>
          <w:sz w:val="24"/>
          <w:highlight w:val="none"/>
        </w:rPr>
      </w:pPr>
    </w:p>
    <w:p w14:paraId="72DE1C2C">
      <w:pPr>
        <w:spacing w:line="400" w:lineRule="exact"/>
        <w:contextualSpacing/>
        <w:jc w:val="left"/>
        <w:rPr>
          <w:rFonts w:hint="eastAsia" w:ascii="宋体" w:hAnsi="宋体"/>
          <w:b/>
          <w:color w:val="auto"/>
          <w:sz w:val="24"/>
          <w:highlight w:val="none"/>
        </w:rPr>
      </w:pPr>
    </w:p>
    <w:p w14:paraId="469EED54">
      <w:pPr>
        <w:spacing w:line="400" w:lineRule="exact"/>
        <w:contextualSpacing/>
        <w:jc w:val="left"/>
        <w:rPr>
          <w:rFonts w:hint="eastAsia" w:ascii="宋体" w:hAnsi="宋体"/>
          <w:b/>
          <w:color w:val="auto"/>
          <w:sz w:val="24"/>
          <w:highlight w:val="none"/>
        </w:rPr>
      </w:pPr>
    </w:p>
    <w:p w14:paraId="6524B7B6">
      <w:pPr>
        <w:spacing w:line="400" w:lineRule="exact"/>
        <w:contextualSpacing/>
        <w:jc w:val="left"/>
        <w:rPr>
          <w:rFonts w:hint="eastAsia" w:ascii="宋体" w:hAnsi="宋体"/>
          <w:b/>
          <w:color w:val="auto"/>
          <w:sz w:val="24"/>
          <w:highlight w:val="none"/>
        </w:rPr>
      </w:pPr>
    </w:p>
    <w:p w14:paraId="313CC628">
      <w:pPr>
        <w:spacing w:line="400" w:lineRule="exact"/>
        <w:contextualSpacing/>
        <w:jc w:val="left"/>
        <w:rPr>
          <w:rFonts w:hint="eastAsia" w:ascii="宋体" w:hAnsi="宋体"/>
          <w:b/>
          <w:color w:val="auto"/>
          <w:sz w:val="24"/>
          <w:highlight w:val="none"/>
        </w:rPr>
      </w:pPr>
    </w:p>
    <w:p w14:paraId="0645F88E">
      <w:pPr>
        <w:spacing w:line="400" w:lineRule="exact"/>
        <w:contextualSpacing/>
        <w:jc w:val="left"/>
        <w:rPr>
          <w:rFonts w:hint="eastAsia" w:ascii="宋体" w:hAnsi="宋体"/>
          <w:b/>
          <w:color w:val="auto"/>
          <w:sz w:val="24"/>
          <w:highlight w:val="none"/>
        </w:rPr>
      </w:pPr>
    </w:p>
    <w:p w14:paraId="4385B9FB">
      <w:pPr>
        <w:spacing w:line="400" w:lineRule="exact"/>
        <w:contextualSpacing/>
        <w:jc w:val="left"/>
        <w:rPr>
          <w:rFonts w:hint="eastAsia" w:ascii="宋体" w:hAnsi="宋体"/>
          <w:b/>
          <w:color w:val="auto"/>
          <w:sz w:val="24"/>
          <w:highlight w:val="none"/>
        </w:rPr>
      </w:pPr>
    </w:p>
    <w:p w14:paraId="10A837E0">
      <w:pPr>
        <w:spacing w:line="400" w:lineRule="exact"/>
        <w:contextualSpacing/>
        <w:jc w:val="left"/>
        <w:rPr>
          <w:rFonts w:hint="eastAsia" w:ascii="宋体" w:hAnsi="宋体"/>
          <w:b/>
          <w:color w:val="auto"/>
          <w:sz w:val="24"/>
          <w:highlight w:val="none"/>
        </w:rPr>
      </w:pPr>
    </w:p>
    <w:p w14:paraId="773BABB4">
      <w:pPr>
        <w:spacing w:line="400" w:lineRule="exact"/>
        <w:contextualSpacing/>
        <w:jc w:val="left"/>
        <w:rPr>
          <w:rFonts w:hint="eastAsia" w:ascii="宋体" w:hAnsi="宋体"/>
          <w:b/>
          <w:color w:val="auto"/>
          <w:sz w:val="24"/>
          <w:highlight w:val="none"/>
        </w:rPr>
      </w:pPr>
    </w:p>
    <w:p w14:paraId="756716A5">
      <w:pPr>
        <w:spacing w:line="520" w:lineRule="exact"/>
        <w:jc w:val="left"/>
        <w:outlineLvl w:val="1"/>
        <w:rPr>
          <w:rFonts w:hint="eastAsia"/>
          <w:b/>
          <w:color w:val="auto"/>
          <w:sz w:val="28"/>
          <w:szCs w:val="28"/>
          <w:highlight w:val="none"/>
        </w:rPr>
      </w:pPr>
      <w:r>
        <w:rPr>
          <w:rFonts w:hint="eastAsia"/>
          <w:b/>
          <w:color w:val="auto"/>
          <w:sz w:val="28"/>
          <w:szCs w:val="28"/>
          <w:highlight w:val="none"/>
        </w:rPr>
        <w:t>三、商务文件格式</w:t>
      </w:r>
    </w:p>
    <w:p w14:paraId="36C7006E">
      <w:pPr>
        <w:snapToGrid w:val="0"/>
        <w:spacing w:before="120" w:beforeLines="50" w:after="50" w:line="360" w:lineRule="auto"/>
        <w:jc w:val="left"/>
        <w:outlineLvl w:val="2"/>
        <w:rPr>
          <w:rFonts w:hint="eastAsia" w:ascii="宋体" w:hAnsi="宋体" w:eastAsia="宋体"/>
          <w:b/>
          <w:color w:val="auto"/>
          <w:sz w:val="24"/>
          <w:highlight w:val="none"/>
          <w:lang w:eastAsia="zh-CN"/>
        </w:rPr>
      </w:pPr>
      <w:r>
        <w:rPr>
          <w:rFonts w:hint="eastAsia" w:ascii="宋体" w:hAnsi="宋体"/>
          <w:b/>
          <w:color w:val="auto"/>
          <w:sz w:val="24"/>
          <w:highlight w:val="none"/>
        </w:rPr>
        <w:t>1.商务文件封面格式：</w:t>
      </w:r>
    </w:p>
    <w:p w14:paraId="3E7B9267">
      <w:pPr>
        <w:snapToGrid w:val="0"/>
        <w:spacing w:before="120" w:beforeLines="50" w:after="50"/>
        <w:jc w:val="center"/>
        <w:rPr>
          <w:rFonts w:hint="eastAsia" w:ascii="宋体" w:hAnsi="宋体"/>
          <w:color w:val="auto"/>
          <w:sz w:val="24"/>
          <w:highlight w:val="none"/>
        </w:rPr>
      </w:pPr>
      <w:r>
        <w:rPr>
          <w:rFonts w:hint="eastAsia" w:ascii="宋体" w:hAnsi="宋体" w:eastAsia="方正小标宋简体"/>
          <w:bCs/>
          <w:color w:val="auto"/>
          <w:sz w:val="48"/>
          <w:szCs w:val="48"/>
          <w:highlight w:val="none"/>
        </w:rPr>
        <w:t>电子投标文件</w:t>
      </w:r>
    </w:p>
    <w:p w14:paraId="02AFDD5C">
      <w:pPr>
        <w:snapToGrid w:val="0"/>
        <w:spacing w:before="120" w:beforeLines="50" w:after="50"/>
        <w:rPr>
          <w:rFonts w:hint="eastAsia" w:ascii="宋体" w:hAnsi="宋体" w:eastAsia="宋体"/>
          <w:color w:val="auto"/>
          <w:sz w:val="24"/>
          <w:szCs w:val="20"/>
          <w:highlight w:val="none"/>
          <w:lang w:eastAsia="zh-CN"/>
        </w:rPr>
      </w:pPr>
    </w:p>
    <w:p w14:paraId="24005D3C">
      <w:pPr>
        <w:snapToGrid w:val="0"/>
        <w:spacing w:before="120" w:beforeLines="50" w:after="50"/>
        <w:jc w:val="center"/>
        <w:rPr>
          <w:rFonts w:hint="eastAsia" w:ascii="宋体" w:hAnsi="宋体"/>
          <w:b/>
          <w:color w:val="auto"/>
          <w:sz w:val="24"/>
          <w:szCs w:val="20"/>
          <w:highlight w:val="none"/>
        </w:rPr>
      </w:pPr>
      <w:r>
        <w:rPr>
          <w:rFonts w:hint="eastAsia" w:ascii="宋体" w:hAnsi="宋体"/>
          <w:b/>
          <w:color w:val="auto"/>
          <w:sz w:val="32"/>
          <w:szCs w:val="32"/>
          <w:highlight w:val="none"/>
        </w:rPr>
        <w:t>商务文件</w:t>
      </w:r>
    </w:p>
    <w:p w14:paraId="34CF3B36">
      <w:pPr>
        <w:snapToGrid w:val="0"/>
        <w:spacing w:before="120" w:beforeLines="50" w:after="50"/>
        <w:rPr>
          <w:rFonts w:hint="eastAsia" w:ascii="宋体" w:hAnsi="宋体"/>
          <w:bCs/>
          <w:color w:val="auto"/>
          <w:sz w:val="24"/>
          <w:szCs w:val="20"/>
          <w:highlight w:val="none"/>
        </w:rPr>
      </w:pPr>
    </w:p>
    <w:p w14:paraId="234CA734">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76879D8F">
      <w:pPr>
        <w:snapToGrid w:val="0"/>
        <w:spacing w:before="120" w:beforeLines="50" w:after="50"/>
        <w:ind w:firstLine="540" w:firstLineChars="225"/>
        <w:rPr>
          <w:rFonts w:hint="eastAsia" w:ascii="宋体" w:hAnsi="宋体"/>
          <w:bCs/>
          <w:color w:val="auto"/>
          <w:sz w:val="24"/>
          <w:szCs w:val="20"/>
          <w:highlight w:val="none"/>
        </w:rPr>
      </w:pPr>
    </w:p>
    <w:p w14:paraId="7F0C9775">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087D5025">
      <w:pPr>
        <w:snapToGrid w:val="0"/>
        <w:spacing w:before="120" w:beforeLines="50" w:after="50"/>
        <w:ind w:firstLine="540" w:firstLineChars="225"/>
        <w:rPr>
          <w:rFonts w:hint="eastAsia" w:ascii="宋体" w:hAnsi="宋体" w:eastAsia="宋体"/>
          <w:bCs/>
          <w:color w:val="auto"/>
          <w:sz w:val="24"/>
          <w:szCs w:val="20"/>
          <w:highlight w:val="none"/>
          <w:lang w:eastAsia="zh-CN"/>
        </w:rPr>
      </w:pPr>
    </w:p>
    <w:p w14:paraId="6527B789">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所投分标：</w:t>
      </w:r>
    </w:p>
    <w:p w14:paraId="0CB00C85">
      <w:pPr>
        <w:pStyle w:val="6"/>
        <w:snapToGrid w:val="0"/>
        <w:spacing w:before="50" w:after="50"/>
        <w:ind w:firstLine="540" w:firstLineChars="225"/>
        <w:rPr>
          <w:rFonts w:hint="eastAsia" w:ascii="宋体" w:hAnsi="宋体"/>
          <w:bCs/>
          <w:color w:val="auto"/>
          <w:sz w:val="24"/>
          <w:szCs w:val="24"/>
          <w:highlight w:val="none"/>
        </w:rPr>
      </w:pPr>
    </w:p>
    <w:p w14:paraId="3D32CA6C">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06DBF923">
      <w:pPr>
        <w:pStyle w:val="6"/>
        <w:snapToGrid w:val="0"/>
        <w:spacing w:before="50" w:after="50"/>
        <w:ind w:firstLine="540" w:firstLineChars="225"/>
        <w:rPr>
          <w:rFonts w:hint="eastAsia" w:ascii="宋体" w:hAnsi="宋体"/>
          <w:bCs/>
          <w:color w:val="auto"/>
          <w:sz w:val="24"/>
          <w:szCs w:val="24"/>
          <w:highlight w:val="none"/>
        </w:rPr>
      </w:pPr>
    </w:p>
    <w:p w14:paraId="1C0D2357">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投标人地址：</w:t>
      </w:r>
    </w:p>
    <w:p w14:paraId="77E39C23">
      <w:pPr>
        <w:pStyle w:val="6"/>
        <w:snapToGrid w:val="0"/>
        <w:spacing w:before="50" w:after="50"/>
        <w:ind w:firstLine="960" w:firstLineChars="400"/>
        <w:rPr>
          <w:rFonts w:hint="eastAsia" w:ascii="宋体" w:hAnsi="宋体"/>
          <w:bCs/>
          <w:color w:val="auto"/>
          <w:sz w:val="24"/>
          <w:szCs w:val="24"/>
          <w:highlight w:val="none"/>
        </w:rPr>
      </w:pPr>
    </w:p>
    <w:p w14:paraId="069C4CF7">
      <w:pPr>
        <w:snapToGrid w:val="0"/>
        <w:spacing w:before="120" w:beforeLines="50" w:after="50"/>
        <w:ind w:firstLine="645"/>
        <w:rPr>
          <w:rFonts w:ascii="宋体" w:hAnsi="宋体"/>
          <w:color w:val="auto"/>
          <w:sz w:val="24"/>
          <w:highlight w:val="none"/>
        </w:rPr>
      </w:pPr>
      <w:r>
        <w:rPr>
          <w:rFonts w:hint="eastAsia" w:ascii="宋体" w:hAnsi="宋体"/>
          <w:color w:val="auto"/>
          <w:sz w:val="24"/>
          <w:highlight w:val="none"/>
        </w:rPr>
        <w:t>年月日</w:t>
      </w:r>
    </w:p>
    <w:p w14:paraId="3B8D4E99">
      <w:pPr>
        <w:snapToGrid w:val="0"/>
        <w:spacing w:before="120" w:beforeLines="50" w:after="50"/>
        <w:rPr>
          <w:rFonts w:hint="eastAsia" w:ascii="宋体" w:hAnsi="宋体" w:eastAsia="宋体"/>
          <w:color w:val="auto"/>
          <w:sz w:val="24"/>
          <w:szCs w:val="20"/>
          <w:highlight w:val="none"/>
          <w:lang w:eastAsia="zh-CN"/>
        </w:rPr>
      </w:pPr>
    </w:p>
    <w:p w14:paraId="03C7053F">
      <w:pPr>
        <w:snapToGrid w:val="0"/>
        <w:spacing w:line="360" w:lineRule="auto"/>
        <w:jc w:val="left"/>
        <w:outlineLvl w:val="2"/>
        <w:rPr>
          <w:rFonts w:hint="eastAsia" w:ascii="宋体" w:hAnsi="宋体"/>
          <w:b/>
          <w:bCs/>
          <w:color w:val="auto"/>
          <w:sz w:val="28"/>
          <w:szCs w:val="28"/>
          <w:highlight w:val="none"/>
        </w:rPr>
      </w:pPr>
      <w:r>
        <w:rPr>
          <w:rFonts w:ascii="宋体" w:hAnsi="宋体"/>
          <w:color w:val="auto"/>
          <w:sz w:val="24"/>
          <w:szCs w:val="20"/>
          <w:highlight w:val="none"/>
        </w:rPr>
        <w:br w:type="page"/>
      </w:r>
      <w:r>
        <w:rPr>
          <w:rFonts w:hint="eastAsia" w:ascii="宋体" w:hAnsi="宋体"/>
          <w:b/>
          <w:bCs/>
          <w:color w:val="auto"/>
          <w:sz w:val="28"/>
          <w:szCs w:val="28"/>
          <w:highlight w:val="none"/>
        </w:rPr>
        <w:t>2.商务文件目录</w:t>
      </w:r>
    </w:p>
    <w:p w14:paraId="64EBC4C3">
      <w:pPr>
        <w:snapToGrid w:val="0"/>
        <w:spacing w:before="50" w:after="120" w:afterLines="50" w:line="360" w:lineRule="auto"/>
        <w:jc w:val="left"/>
        <w:rPr>
          <w:rFonts w:ascii="微软雅黑" w:hAnsi="微软雅黑" w:eastAsia="微软雅黑"/>
          <w:b/>
          <w:bCs/>
          <w:color w:val="auto"/>
          <w:sz w:val="24"/>
          <w:highlight w:val="none"/>
        </w:rPr>
      </w:pPr>
      <w:r>
        <w:rPr>
          <w:rFonts w:hint="eastAsia" w:ascii="宋体" w:hAnsi="宋体"/>
          <w:color w:val="auto"/>
          <w:szCs w:val="21"/>
          <w:highlight w:val="none"/>
        </w:rPr>
        <w:t>根据招标文件规定及投标人提供的材料自行编写目录。</w:t>
      </w:r>
    </w:p>
    <w:p w14:paraId="2CA8D10B">
      <w:pPr>
        <w:snapToGrid w:val="0"/>
        <w:spacing w:before="50" w:after="120" w:afterLines="50"/>
        <w:jc w:val="left"/>
        <w:rPr>
          <w:rFonts w:hint="eastAsia" w:ascii="宋体" w:hAnsi="宋体"/>
          <w:color w:val="auto"/>
          <w:highlight w:val="none"/>
        </w:rPr>
      </w:pPr>
    </w:p>
    <w:p w14:paraId="1ADA67D8">
      <w:pPr>
        <w:snapToGrid w:val="0"/>
        <w:spacing w:before="120" w:beforeLines="50" w:after="50"/>
        <w:jc w:val="left"/>
        <w:outlineLvl w:val="2"/>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3.投标人参加本项目无围标串标行为的承诺</w:t>
      </w:r>
    </w:p>
    <w:p w14:paraId="26852827">
      <w:pPr>
        <w:snapToGrid w:val="0"/>
        <w:spacing w:before="120" w:beforeLines="50" w:after="50"/>
        <w:jc w:val="left"/>
        <w:rPr>
          <w:rFonts w:hint="eastAsia" w:ascii="宋体" w:hAnsi="宋体"/>
          <w:b/>
          <w:color w:val="auto"/>
          <w:sz w:val="24"/>
          <w:highlight w:val="none"/>
        </w:rPr>
      </w:pPr>
    </w:p>
    <w:p w14:paraId="73FB5848">
      <w:pPr>
        <w:snapToGrid w:val="0"/>
        <w:spacing w:before="120" w:beforeLines="50" w:after="50"/>
        <w:ind w:left="420"/>
        <w:jc w:val="center"/>
        <w:rPr>
          <w:rFonts w:hint="eastAsia" w:ascii="宋体" w:hAnsi="宋体"/>
          <w:b/>
          <w:color w:val="auto"/>
          <w:spacing w:val="-17"/>
          <w:sz w:val="32"/>
          <w:szCs w:val="32"/>
          <w:highlight w:val="none"/>
        </w:rPr>
      </w:pPr>
      <w:r>
        <w:rPr>
          <w:rFonts w:hint="eastAsia" w:ascii="方正小标宋简体" w:hAnsi="方正小标宋简体" w:eastAsia="方正小标宋简体" w:cs="方正小标宋简体"/>
          <w:bCs/>
          <w:color w:val="auto"/>
          <w:spacing w:val="-17"/>
          <w:sz w:val="44"/>
          <w:szCs w:val="44"/>
          <w:highlight w:val="none"/>
        </w:rPr>
        <w:t>投标人参加本项目无围标串标行为的承诺函</w:t>
      </w:r>
    </w:p>
    <w:p w14:paraId="7001DDB7">
      <w:pPr>
        <w:snapToGrid w:val="0"/>
        <w:spacing w:before="120" w:beforeLines="50" w:after="50"/>
        <w:rPr>
          <w:rFonts w:ascii="宋体" w:hAnsi="宋体"/>
          <w:b/>
          <w:color w:val="auto"/>
          <w:sz w:val="24"/>
          <w:highlight w:val="none"/>
        </w:rPr>
      </w:pPr>
    </w:p>
    <w:p w14:paraId="02C25E77">
      <w:pPr>
        <w:spacing w:line="400" w:lineRule="exact"/>
        <w:contextualSpacing/>
        <w:jc w:val="left"/>
        <w:rPr>
          <w:rFonts w:hint="eastAsia" w:ascii="宋体" w:hAnsi="宋体"/>
          <w:b/>
          <w:color w:val="auto"/>
          <w:sz w:val="24"/>
          <w:highlight w:val="none"/>
        </w:rPr>
      </w:pPr>
      <w:r>
        <w:rPr>
          <w:rFonts w:hint="eastAsia" w:ascii="宋体" w:hAnsi="宋体"/>
          <w:b/>
          <w:color w:val="auto"/>
          <w:sz w:val="24"/>
          <w:highlight w:val="none"/>
        </w:rPr>
        <w:t>一、我方承诺无下列相互串通投标的情形：</w:t>
      </w:r>
    </w:p>
    <w:p w14:paraId="549CF1E8">
      <w:pPr>
        <w:spacing w:line="400" w:lineRule="exact"/>
        <w:ind w:firstLine="470" w:firstLineChars="196"/>
        <w:contextualSpacing/>
        <w:jc w:val="left"/>
        <w:rPr>
          <w:rFonts w:hint="eastAsia" w:ascii="宋体" w:hAnsi="宋体" w:eastAsia="宋体"/>
          <w:color w:val="auto"/>
          <w:sz w:val="24"/>
          <w:highlight w:val="none"/>
          <w:lang w:eastAsia="zh-CN"/>
        </w:rPr>
      </w:pPr>
      <w:r>
        <w:rPr>
          <w:rFonts w:hint="eastAsia" w:ascii="宋体" w:hAnsi="宋体"/>
          <w:color w:val="auto"/>
          <w:sz w:val="24"/>
          <w:highlight w:val="none"/>
        </w:rPr>
        <w:t>1.不同投标人的投标文件由同一单位或者个人编制；</w:t>
      </w:r>
    </w:p>
    <w:p w14:paraId="0100649E">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2.不同投标人委托同一单位或者个人办理投标事宜；</w:t>
      </w:r>
    </w:p>
    <w:p w14:paraId="198C53DC">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1FBEB29F">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78EDCD70">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5.不同投标人的投标文件相互混装；</w:t>
      </w:r>
    </w:p>
    <w:p w14:paraId="585DEAD3">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08EC2A9C">
      <w:pPr>
        <w:spacing w:line="400" w:lineRule="exact"/>
        <w:contextualSpacing/>
        <w:jc w:val="left"/>
        <w:rPr>
          <w:rFonts w:hint="eastAsia" w:ascii="宋体" w:hAnsi="宋体"/>
          <w:color w:val="auto"/>
          <w:sz w:val="24"/>
          <w:highlight w:val="none"/>
        </w:rPr>
      </w:pPr>
      <w:r>
        <w:rPr>
          <w:rFonts w:hint="eastAsia" w:ascii="宋体" w:hAnsi="宋体"/>
          <w:b/>
          <w:color w:val="auto"/>
          <w:sz w:val="24"/>
          <w:highlight w:val="none"/>
        </w:rPr>
        <w:t>二、我方承诺无下列恶意串通的情形：</w:t>
      </w:r>
    </w:p>
    <w:p w14:paraId="19CF4A15">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1.投标人直接或者间接从采购人或者采购代理机构处获得其他投标人的相关信息并修改其投标文件或者响应文件；</w:t>
      </w:r>
    </w:p>
    <w:p w14:paraId="708F32FD">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2.投标人按照采购人或者采购代理机构的授意撤换、修改投标文件或者响应文件；</w:t>
      </w:r>
    </w:p>
    <w:p w14:paraId="1455957C">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54C72579">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7893A2E1">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17317EDB">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48C519E3">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6C26DC3F">
      <w:pPr>
        <w:spacing w:line="400" w:lineRule="exact"/>
        <w:ind w:firstLine="472" w:firstLineChars="196"/>
        <w:contextualSpacing/>
        <w:jc w:val="left"/>
        <w:rPr>
          <w:rFonts w:hint="eastAsia"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6A0A0A58">
      <w:pPr>
        <w:pStyle w:val="15"/>
        <w:spacing w:line="400" w:lineRule="exact"/>
        <w:ind w:firstLine="6840" w:firstLineChars="2850"/>
        <w:contextualSpacing/>
        <w:rPr>
          <w:rFonts w:hint="eastAsia" w:hAnsi="宋体"/>
          <w:color w:val="auto"/>
          <w:sz w:val="24"/>
          <w:szCs w:val="24"/>
          <w:highlight w:val="none"/>
        </w:rPr>
      </w:pPr>
    </w:p>
    <w:p w14:paraId="474D47AF">
      <w:pPr>
        <w:pStyle w:val="15"/>
        <w:spacing w:line="400" w:lineRule="exact"/>
        <w:contextualSpacing/>
        <w:jc w:val="center"/>
        <w:rPr>
          <w:rFonts w:hint="eastAsia" w:hAnsi="宋体"/>
          <w:color w:val="auto"/>
          <w:sz w:val="24"/>
          <w:szCs w:val="24"/>
          <w:highlight w:val="none"/>
        </w:rPr>
      </w:pPr>
      <w:r>
        <w:rPr>
          <w:rFonts w:hint="eastAsia" w:hAnsi="宋体"/>
          <w:color w:val="auto"/>
          <w:sz w:val="24"/>
          <w:szCs w:val="24"/>
          <w:highlight w:val="none"/>
        </w:rPr>
        <w:t>投标人名称（电子签章）</w:t>
      </w:r>
    </w:p>
    <w:p w14:paraId="6539A448">
      <w:pPr>
        <w:pStyle w:val="15"/>
        <w:spacing w:line="400" w:lineRule="exact"/>
        <w:contextualSpacing/>
        <w:jc w:val="center"/>
        <w:rPr>
          <w:rFonts w:hint="eastAsia" w:hAnsi="宋体"/>
          <w:color w:val="auto"/>
          <w:sz w:val="24"/>
          <w:highlight w:val="none"/>
        </w:rPr>
      </w:pPr>
      <w:r>
        <w:rPr>
          <w:rFonts w:hint="eastAsia" w:hAnsi="宋体"/>
          <w:color w:val="auto"/>
          <w:sz w:val="24"/>
          <w:highlight w:val="none"/>
        </w:rPr>
        <w:t>年月日</w:t>
      </w:r>
    </w:p>
    <w:p w14:paraId="2D94D3C5">
      <w:pPr>
        <w:snapToGrid w:val="0"/>
        <w:spacing w:before="120" w:beforeLines="50" w:after="50"/>
        <w:ind w:firstLine="472" w:firstLineChars="196"/>
        <w:jc w:val="left"/>
        <w:outlineLvl w:val="2"/>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4.法定代表人身份证明</w:t>
      </w:r>
    </w:p>
    <w:p w14:paraId="6C542153">
      <w:pPr>
        <w:spacing w:before="240" w:beforeLines="100" w:after="120" w:afterLines="50"/>
        <w:ind w:left="540"/>
        <w:jc w:val="center"/>
        <w:rPr>
          <w:rFonts w:hint="eastAsia" w:ascii="宋体" w:hAnsi="Courier New"/>
          <w:b/>
          <w:color w:val="auto"/>
          <w:sz w:val="32"/>
          <w:szCs w:val="32"/>
          <w:highlight w:val="none"/>
        </w:rPr>
      </w:pPr>
    </w:p>
    <w:p w14:paraId="0B0DC127">
      <w:pPr>
        <w:spacing w:before="240" w:beforeLines="100" w:after="120" w:afterLines="50"/>
        <w:ind w:left="54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法定代表人身份证明</w:t>
      </w:r>
    </w:p>
    <w:p w14:paraId="4A1085AF">
      <w:pPr>
        <w:spacing w:line="500" w:lineRule="exact"/>
        <w:ind w:left="540"/>
        <w:rPr>
          <w:rFonts w:hint="eastAsia" w:ascii="宋体" w:hAnsi="宋体" w:eastAsia="宋体"/>
          <w:color w:val="auto"/>
          <w:sz w:val="24"/>
          <w:highlight w:val="none"/>
          <w:lang w:eastAsia="zh-CN"/>
        </w:rPr>
      </w:pPr>
      <w:r>
        <w:rPr>
          <w:rFonts w:hint="eastAsia" w:ascii="宋体" w:hAnsi="宋体"/>
          <w:color w:val="auto"/>
          <w:sz w:val="24"/>
          <w:highlight w:val="none"/>
        </w:rPr>
        <w:t>投标人：</w:t>
      </w:r>
    </w:p>
    <w:p w14:paraId="1DAE0126">
      <w:pPr>
        <w:spacing w:line="500" w:lineRule="exact"/>
        <w:ind w:left="540"/>
        <w:rPr>
          <w:rFonts w:hint="eastAsia" w:ascii="宋体" w:hAnsi="宋体" w:eastAsia="宋体"/>
          <w:color w:val="auto"/>
          <w:sz w:val="24"/>
          <w:highlight w:val="none"/>
          <w:lang w:eastAsia="zh-CN"/>
        </w:rPr>
      </w:pPr>
      <w:r>
        <w:rPr>
          <w:rFonts w:hint="eastAsia" w:ascii="宋体" w:hAnsi="宋体"/>
          <w:color w:val="auto"/>
          <w:sz w:val="24"/>
          <w:highlight w:val="none"/>
        </w:rPr>
        <w:t>地址：</w:t>
      </w:r>
    </w:p>
    <w:p w14:paraId="0D59F471">
      <w:pPr>
        <w:spacing w:line="500" w:lineRule="exact"/>
        <w:ind w:left="540"/>
        <w:rPr>
          <w:rFonts w:hint="eastAsia" w:ascii="宋体" w:hAnsi="宋体" w:eastAsia="宋体"/>
          <w:color w:val="auto"/>
          <w:sz w:val="24"/>
          <w:highlight w:val="none"/>
          <w:lang w:eastAsia="zh-CN"/>
        </w:rPr>
      </w:pPr>
      <w:r>
        <w:rPr>
          <w:rFonts w:hint="eastAsia" w:ascii="宋体" w:hAnsi="宋体"/>
          <w:color w:val="auto"/>
          <w:sz w:val="24"/>
          <w:highlight w:val="none"/>
        </w:rPr>
        <w:t>姓名：</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性别：</w:t>
      </w:r>
    </w:p>
    <w:p w14:paraId="3B980B3B">
      <w:pPr>
        <w:spacing w:line="500" w:lineRule="exact"/>
        <w:ind w:left="540"/>
        <w:rPr>
          <w:rFonts w:hint="eastAsia" w:ascii="宋体" w:hAnsi="宋体" w:eastAsia="宋体"/>
          <w:color w:val="auto"/>
          <w:sz w:val="24"/>
          <w:highlight w:val="none"/>
          <w:u w:val="single"/>
          <w:lang w:eastAsia="zh-CN"/>
        </w:rPr>
      </w:pPr>
      <w:r>
        <w:rPr>
          <w:rFonts w:hint="eastAsia" w:ascii="宋体" w:hAnsi="宋体"/>
          <w:color w:val="auto"/>
          <w:sz w:val="24"/>
          <w:highlight w:val="none"/>
        </w:rPr>
        <w:t>年龄：</w:t>
      </w:r>
      <w:r>
        <w:rPr>
          <w:rFonts w:hint="eastAsia" w:ascii="宋体" w:hAnsi="宋体"/>
          <w:color w:val="auto"/>
          <w:sz w:val="24"/>
          <w:highlight w:val="none"/>
          <w:lang w:val="en-US" w:eastAsia="zh-CN"/>
        </w:rPr>
        <w:t xml:space="preserve">        </w:t>
      </w:r>
      <w:r>
        <w:rPr>
          <w:rFonts w:hint="eastAsia" w:ascii="宋体" w:hAnsi="宋体"/>
          <w:color w:val="auto"/>
          <w:sz w:val="24"/>
          <w:highlight w:val="none"/>
        </w:rPr>
        <w:t>职务：</w:t>
      </w:r>
    </w:p>
    <w:p w14:paraId="404405A1">
      <w:pPr>
        <w:spacing w:line="500" w:lineRule="exact"/>
        <w:ind w:left="540"/>
        <w:rPr>
          <w:rFonts w:hint="eastAsia" w:ascii="宋体" w:hAnsi="宋体" w:eastAsia="宋体"/>
          <w:color w:val="auto"/>
          <w:sz w:val="24"/>
          <w:highlight w:val="none"/>
          <w:lang w:eastAsia="zh-CN"/>
        </w:rPr>
      </w:pPr>
      <w:r>
        <w:rPr>
          <w:rFonts w:hint="eastAsia" w:ascii="宋体" w:hAnsi="宋体"/>
          <w:color w:val="auto"/>
          <w:sz w:val="24"/>
          <w:highlight w:val="none"/>
        </w:rPr>
        <w:t>身份证</w:t>
      </w:r>
      <w:r>
        <w:rPr>
          <w:rFonts w:hint="eastAsia"/>
          <w:color w:val="auto"/>
          <w:sz w:val="24"/>
          <w:highlight w:val="none"/>
        </w:rPr>
        <w:t>号码：</w:t>
      </w:r>
    </w:p>
    <w:p w14:paraId="0DDE233F">
      <w:pPr>
        <w:spacing w:line="500" w:lineRule="exact"/>
        <w:ind w:left="54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（投标人名称）</w:t>
      </w:r>
      <w:r>
        <w:rPr>
          <w:rFonts w:hint="eastAsia" w:ascii="宋体" w:hAnsi="宋体"/>
          <w:color w:val="auto"/>
          <w:sz w:val="24"/>
          <w:highlight w:val="none"/>
        </w:rPr>
        <w:t>的法定代表人。</w:t>
      </w:r>
    </w:p>
    <w:p w14:paraId="1FCA5FA5">
      <w:pPr>
        <w:spacing w:line="500" w:lineRule="exact"/>
        <w:ind w:left="540"/>
        <w:rPr>
          <w:rFonts w:hint="eastAsia" w:ascii="宋体" w:hAnsi="宋体"/>
          <w:color w:val="auto"/>
          <w:sz w:val="24"/>
          <w:highlight w:val="none"/>
        </w:rPr>
      </w:pPr>
      <w:r>
        <w:rPr>
          <w:rFonts w:hint="eastAsia" w:ascii="宋体" w:hAnsi="宋体"/>
          <w:color w:val="auto"/>
          <w:sz w:val="24"/>
          <w:highlight w:val="none"/>
        </w:rPr>
        <w:t>特此证明。</w:t>
      </w:r>
    </w:p>
    <w:p w14:paraId="3B44492C">
      <w:pPr>
        <w:spacing w:line="500" w:lineRule="exact"/>
        <w:ind w:left="540"/>
        <w:rPr>
          <w:rFonts w:hint="eastAsia" w:ascii="宋体" w:hAnsi="宋体"/>
          <w:color w:val="auto"/>
          <w:sz w:val="24"/>
          <w:highlight w:val="none"/>
        </w:rPr>
      </w:pPr>
    </w:p>
    <w:p w14:paraId="1875E2E4">
      <w:pPr>
        <w:spacing w:line="500" w:lineRule="exact"/>
        <w:ind w:left="540"/>
        <w:rPr>
          <w:rFonts w:hint="eastAsia" w:ascii="宋体" w:hAnsi="宋体"/>
          <w:color w:val="auto"/>
          <w:sz w:val="24"/>
          <w:highlight w:val="none"/>
        </w:rPr>
      </w:pPr>
    </w:p>
    <w:p w14:paraId="373FE8CD">
      <w:pPr>
        <w:spacing w:line="500" w:lineRule="exact"/>
        <w:ind w:left="540"/>
        <w:rPr>
          <w:rFonts w:hint="eastAsia" w:ascii="宋体" w:hAnsi="宋体"/>
          <w:color w:val="auto"/>
          <w:sz w:val="24"/>
          <w:highlight w:val="none"/>
        </w:rPr>
      </w:pPr>
      <w:r>
        <w:rPr>
          <w:rFonts w:hint="eastAsia" w:ascii="宋体" w:hAnsi="宋体"/>
          <w:color w:val="auto"/>
          <w:sz w:val="24"/>
          <w:highlight w:val="none"/>
        </w:rPr>
        <w:t>附件：法定代表人有效身份证正反面复印件</w:t>
      </w:r>
    </w:p>
    <w:p w14:paraId="1A43225D">
      <w:pPr>
        <w:spacing w:line="500" w:lineRule="exact"/>
        <w:ind w:left="540"/>
        <w:rPr>
          <w:rFonts w:hint="eastAsia" w:ascii="宋体" w:hAnsi="宋体"/>
          <w:color w:val="auto"/>
          <w:sz w:val="24"/>
          <w:highlight w:val="none"/>
        </w:rPr>
      </w:pPr>
    </w:p>
    <w:p w14:paraId="3F785C00">
      <w:pPr>
        <w:spacing w:line="500" w:lineRule="exact"/>
        <w:ind w:left="540"/>
        <w:jc w:val="right"/>
        <w:rPr>
          <w:rFonts w:hint="eastAsia" w:ascii="宋体" w:hAnsi="宋体"/>
          <w:color w:val="auto"/>
          <w:sz w:val="24"/>
          <w:highlight w:val="none"/>
        </w:rPr>
      </w:pPr>
      <w:r>
        <w:rPr>
          <w:rFonts w:hint="eastAsia" w:ascii="宋体" w:hAnsi="宋体"/>
          <w:color w:val="auto"/>
          <w:sz w:val="24"/>
          <w:highlight w:val="none"/>
        </w:rPr>
        <w:t>投标人名称（电子签章）</w:t>
      </w:r>
    </w:p>
    <w:p w14:paraId="6FBA734D">
      <w:pPr>
        <w:snapToGrid w:val="0"/>
        <w:spacing w:before="120" w:beforeLines="50" w:after="50"/>
        <w:ind w:left="540"/>
        <w:jc w:val="right"/>
        <w:rPr>
          <w:rFonts w:hint="eastAsia" w:ascii="宋体" w:hAnsi="宋体"/>
          <w:color w:val="auto"/>
          <w:sz w:val="24"/>
          <w:highlight w:val="none"/>
        </w:rPr>
      </w:pPr>
      <w:r>
        <w:rPr>
          <w:rFonts w:hint="eastAsia" w:ascii="宋体" w:hAnsi="宋体"/>
          <w:color w:val="auto"/>
          <w:sz w:val="24"/>
          <w:highlight w:val="none"/>
        </w:rPr>
        <w:t>年</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月</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日</w:t>
      </w:r>
    </w:p>
    <w:p w14:paraId="1BBAA23E">
      <w:pPr>
        <w:snapToGrid w:val="0"/>
        <w:spacing w:before="120" w:beforeLines="50" w:after="50"/>
        <w:jc w:val="center"/>
        <w:rPr>
          <w:rFonts w:hint="eastAsia" w:ascii="宋体" w:hAnsi="宋体"/>
          <w:b/>
          <w:color w:val="auto"/>
          <w:sz w:val="24"/>
          <w:highlight w:val="none"/>
        </w:rPr>
      </w:pPr>
    </w:p>
    <w:p w14:paraId="3F626877">
      <w:pPr>
        <w:snapToGrid w:val="0"/>
        <w:spacing w:before="120" w:beforeLines="50" w:after="50"/>
        <w:jc w:val="left"/>
        <w:outlineLvl w:val="2"/>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5.授权委托书格式</w:t>
      </w:r>
    </w:p>
    <w:p w14:paraId="5530A25D">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授权委托书</w:t>
      </w:r>
    </w:p>
    <w:p w14:paraId="50C6BFCB">
      <w:pPr>
        <w:snapToGrid w:val="0"/>
        <w:spacing w:before="120" w:beforeLines="50" w:after="50"/>
        <w:jc w:val="center"/>
        <w:rPr>
          <w:rFonts w:hint="eastAsia" w:ascii="宋体" w:hAnsi="宋体"/>
          <w:b/>
          <w:color w:val="auto"/>
          <w:sz w:val="24"/>
          <w:highlight w:val="none"/>
        </w:rPr>
      </w:pPr>
      <w:r>
        <w:rPr>
          <w:rFonts w:hint="eastAsia" w:ascii="宋体" w:hAnsi="宋体"/>
          <w:b/>
          <w:color w:val="auto"/>
          <w:sz w:val="32"/>
          <w:szCs w:val="32"/>
          <w:highlight w:val="none"/>
        </w:rPr>
        <w:t>（如有委托时）</w:t>
      </w:r>
    </w:p>
    <w:p w14:paraId="596DDE62">
      <w:pPr>
        <w:snapToGrid w:val="0"/>
        <w:spacing w:before="120" w:beforeLines="50" w:after="50"/>
        <w:jc w:val="center"/>
        <w:rPr>
          <w:rFonts w:hint="eastAsia" w:ascii="宋体" w:hAnsi="宋体"/>
          <w:b/>
          <w:color w:val="auto"/>
          <w:sz w:val="24"/>
          <w:highlight w:val="none"/>
        </w:rPr>
      </w:pPr>
    </w:p>
    <w:p w14:paraId="5402FDCF">
      <w:pPr>
        <w:spacing w:line="360" w:lineRule="auto"/>
        <w:contextualSpacing/>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7B1DCC22">
      <w:pPr>
        <w:spacing w:line="360" w:lineRule="auto"/>
        <w:ind w:firstLine="566" w:firstLineChars="236"/>
        <w:contextualSpacing/>
        <w:rPr>
          <w:rFonts w:hint="eastAsia" w:ascii="宋体" w:hAnsi="宋体"/>
          <w:color w:val="auto"/>
          <w:sz w:val="24"/>
          <w:highlight w:val="none"/>
        </w:rPr>
      </w:pPr>
      <w:r>
        <w:rPr>
          <w:rFonts w:hint="eastAsia" w:ascii="宋体" w:hAnsi="宋体"/>
          <w:color w:val="auto"/>
          <w:sz w:val="24"/>
          <w:highlight w:val="none"/>
        </w:rPr>
        <w:t>我（姓名）</w:t>
      </w:r>
      <w:r>
        <w:rPr>
          <w:rFonts w:hint="eastAsia" w:ascii="宋体" w:hAnsi="宋体"/>
          <w:color w:val="auto"/>
          <w:sz w:val="24"/>
          <w:highlight w:val="none"/>
          <w:lang w:val="en-US" w:eastAsia="zh-CN"/>
        </w:rPr>
        <w:t xml:space="preserve">       </w:t>
      </w:r>
      <w:r>
        <w:rPr>
          <w:rFonts w:hint="eastAsia" w:ascii="宋体" w:hAnsi="宋体"/>
          <w:color w:val="auto"/>
          <w:sz w:val="24"/>
          <w:highlight w:val="none"/>
        </w:rPr>
        <w:t>系（投标人名称）的法定代表人，现授权委托</w:t>
      </w:r>
      <w:r>
        <w:rPr>
          <w:rFonts w:hint="eastAsia" w:ascii="宋体" w:hAnsi="宋体"/>
          <w:color w:val="auto"/>
          <w:sz w:val="24"/>
          <w:highlight w:val="none"/>
          <w:u w:val="single"/>
        </w:rPr>
        <w:t>（姓名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以我方的名义参加项目的投标活动，并代表我方全权办理针对上述项目的所有采购程序和环节的具体事务和签署相关文件。</w:t>
      </w:r>
    </w:p>
    <w:p w14:paraId="3243D4F2">
      <w:pPr>
        <w:spacing w:line="360" w:lineRule="auto"/>
        <w:contextualSpacing/>
        <w:rPr>
          <w:rFonts w:hint="eastAsia" w:ascii="宋体" w:hAnsi="宋体"/>
          <w:color w:val="auto"/>
          <w:sz w:val="24"/>
          <w:highlight w:val="none"/>
        </w:rPr>
      </w:pPr>
      <w:r>
        <w:rPr>
          <w:rFonts w:hint="eastAsia" w:ascii="宋体" w:hAnsi="宋体"/>
          <w:color w:val="auto"/>
          <w:sz w:val="24"/>
          <w:highlight w:val="none"/>
        </w:rPr>
        <w:t>我方对委托代理人的签字或者电子签名事项负全部责任。</w:t>
      </w:r>
    </w:p>
    <w:p w14:paraId="5F5A1990">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12C32C61">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0D4C216A">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6CDFDD36">
      <w:pPr>
        <w:spacing w:line="360" w:lineRule="auto"/>
        <w:contextualSpacing/>
        <w:rPr>
          <w:rFonts w:hint="eastAsia" w:ascii="宋体" w:hAnsi="宋体"/>
          <w:color w:val="auto"/>
          <w:sz w:val="24"/>
          <w:highlight w:val="none"/>
        </w:rPr>
      </w:pPr>
    </w:p>
    <w:p w14:paraId="1BC94E31">
      <w:pPr>
        <w:spacing w:line="440" w:lineRule="exact"/>
        <w:contextualSpacing/>
        <w:rPr>
          <w:rFonts w:hint="eastAsia" w:ascii="宋体" w:hAnsi="宋体" w:eastAsia="宋体"/>
          <w:color w:val="auto"/>
          <w:sz w:val="24"/>
          <w:highlight w:val="none"/>
          <w:lang w:eastAsia="zh-CN"/>
        </w:rPr>
      </w:pPr>
      <w:r>
        <w:rPr>
          <w:rFonts w:hint="eastAsia" w:ascii="宋体" w:hAnsi="宋体"/>
          <w:color w:val="auto"/>
          <w:sz w:val="24"/>
          <w:highlight w:val="none"/>
        </w:rPr>
        <w:t>委托代理人（签字或者电子签名）：</w:t>
      </w:r>
    </w:p>
    <w:p w14:paraId="53DCCDF0">
      <w:pPr>
        <w:spacing w:line="440" w:lineRule="exact"/>
        <w:contextualSpacing/>
        <w:rPr>
          <w:rFonts w:hint="eastAsia" w:ascii="宋体" w:hAnsi="宋体" w:eastAsia="宋体"/>
          <w:color w:val="auto"/>
          <w:sz w:val="24"/>
          <w:highlight w:val="none"/>
          <w:u w:val="single"/>
          <w:lang w:eastAsia="zh-CN"/>
        </w:rPr>
      </w:pPr>
      <w:r>
        <w:rPr>
          <w:rFonts w:hint="eastAsia" w:ascii="宋体" w:hAnsi="宋体"/>
          <w:color w:val="auto"/>
          <w:sz w:val="24"/>
          <w:highlight w:val="none"/>
        </w:rPr>
        <w:t>委托代理人身份证号码：</w:t>
      </w:r>
    </w:p>
    <w:p w14:paraId="6FAC63E9">
      <w:pPr>
        <w:spacing w:line="440" w:lineRule="exact"/>
        <w:contextualSpacing/>
        <w:rPr>
          <w:rFonts w:hint="eastAsia" w:ascii="宋体" w:hAnsi="宋体" w:eastAsia="宋体"/>
          <w:color w:val="auto"/>
          <w:sz w:val="24"/>
          <w:highlight w:val="none"/>
          <w:u w:val="single"/>
          <w:lang w:eastAsia="zh-CN"/>
        </w:rPr>
      </w:pPr>
      <w:r>
        <w:rPr>
          <w:rFonts w:hint="eastAsia" w:ascii="宋体" w:hAnsi="宋体"/>
          <w:color w:val="auto"/>
          <w:sz w:val="24"/>
          <w:highlight w:val="none"/>
        </w:rPr>
        <w:t>法定代表人（签字或者盖章或者电子签名）：</w:t>
      </w:r>
    </w:p>
    <w:p w14:paraId="0A8C87F4">
      <w:pPr>
        <w:spacing w:line="440" w:lineRule="exact"/>
        <w:contextualSpacing/>
        <w:rPr>
          <w:rFonts w:hint="eastAsia" w:ascii="宋体" w:hAnsi="宋体" w:eastAsia="宋体"/>
          <w:color w:val="auto"/>
          <w:sz w:val="24"/>
          <w:highlight w:val="none"/>
          <w:lang w:eastAsia="zh-CN"/>
        </w:rPr>
      </w:pPr>
    </w:p>
    <w:p w14:paraId="2FB50181">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投标人名称（电子签章）：</w:t>
      </w:r>
    </w:p>
    <w:p w14:paraId="476DED25">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年月日</w:t>
      </w:r>
    </w:p>
    <w:p w14:paraId="627C17B6">
      <w:pPr>
        <w:spacing w:line="440" w:lineRule="exact"/>
        <w:contextualSpacing/>
        <w:rPr>
          <w:rFonts w:hint="eastAsia"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5BEB4B13">
      <w:pPr>
        <w:spacing w:line="440" w:lineRule="exact"/>
        <w:ind w:firstLine="480" w:firstLineChars="200"/>
        <w:contextualSpacing/>
        <w:jc w:val="left"/>
        <w:rPr>
          <w:rFonts w:hint="eastAsia" w:ascii="宋体" w:hAnsi="宋体"/>
          <w:color w:val="auto"/>
          <w:sz w:val="24"/>
          <w:highlight w:val="none"/>
        </w:rPr>
      </w:pPr>
      <w:r>
        <w:rPr>
          <w:rFonts w:hint="eastAsia" w:ascii="宋体" w:hAnsi="宋体" w:cs="仿宋_GB2312"/>
          <w:color w:val="auto"/>
          <w:sz w:val="24"/>
          <w:highlight w:val="none"/>
        </w:rPr>
        <w:t>2.法人、其他组织投标时“我方”是指“我单位”。</w:t>
      </w:r>
    </w:p>
    <w:p w14:paraId="215B5F57">
      <w:pPr>
        <w:snapToGrid w:val="0"/>
        <w:spacing w:before="120" w:beforeLines="50" w:after="50"/>
        <w:ind w:firstLine="566" w:firstLineChars="236"/>
        <w:jc w:val="center"/>
        <w:rPr>
          <w:rFonts w:hint="eastAsia" w:ascii="宋体" w:hAnsi="宋体" w:eastAsia="宋体"/>
          <w:color w:val="auto"/>
          <w:sz w:val="24"/>
          <w:highlight w:val="none"/>
          <w:lang w:eastAsia="zh-CN"/>
        </w:rPr>
      </w:pPr>
      <w:r>
        <w:rPr>
          <w:rFonts w:ascii="宋体" w:hAnsi="宋体"/>
          <w:color w:val="auto"/>
          <w:sz w:val="24"/>
          <w:highlight w:val="none"/>
        </w:rPr>
        <w:br w:type="page"/>
      </w:r>
    </w:p>
    <w:p w14:paraId="07458FFB">
      <w:pPr>
        <w:outlineLvl w:val="2"/>
        <w:rPr>
          <w:rFonts w:hint="eastAsia" w:ascii="宋体" w:hAnsi="宋体"/>
          <w:b/>
          <w:color w:val="auto"/>
          <w:sz w:val="24"/>
          <w:szCs w:val="20"/>
          <w:highlight w:val="none"/>
        </w:rPr>
      </w:pPr>
      <w:r>
        <w:rPr>
          <w:rFonts w:hint="eastAsia" w:ascii="宋体" w:hAnsi="宋体"/>
          <w:b/>
          <w:color w:val="auto"/>
          <w:sz w:val="24"/>
          <w:highlight w:val="none"/>
        </w:rPr>
        <w:t>6.商务要求偏离表格式（注：按项目需求表具体项目修改）</w:t>
      </w:r>
    </w:p>
    <w:p w14:paraId="1229E133">
      <w:pPr>
        <w:snapToGrid w:val="0"/>
        <w:spacing w:before="50"/>
        <w:jc w:val="left"/>
        <w:rPr>
          <w:rFonts w:hint="eastAsia" w:ascii="宋体" w:hAnsi="宋体"/>
          <w:color w:val="auto"/>
          <w:sz w:val="24"/>
          <w:highlight w:val="none"/>
          <w:u w:val="single"/>
        </w:rPr>
      </w:pPr>
    </w:p>
    <w:tbl>
      <w:tblPr>
        <w:tblStyle w:val="24"/>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2044"/>
        <w:gridCol w:w="2409"/>
      </w:tblGrid>
      <w:tr w14:paraId="25E30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41D7E27F">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tcPr>
          <w:p w14:paraId="020B0506">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招标文件商务要求</w:t>
            </w:r>
          </w:p>
        </w:tc>
        <w:tc>
          <w:tcPr>
            <w:tcW w:w="2044" w:type="dxa"/>
            <w:tcBorders>
              <w:top w:val="single" w:color="auto" w:sz="4" w:space="0"/>
              <w:left w:val="single" w:color="auto" w:sz="4" w:space="0"/>
              <w:bottom w:val="single" w:color="auto" w:sz="4" w:space="0"/>
              <w:right w:val="single" w:color="auto" w:sz="4" w:space="0"/>
            </w:tcBorders>
          </w:tcPr>
          <w:p w14:paraId="0B586BF6">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投标人的承诺</w:t>
            </w:r>
          </w:p>
        </w:tc>
        <w:tc>
          <w:tcPr>
            <w:tcW w:w="2409" w:type="dxa"/>
            <w:tcBorders>
              <w:top w:val="single" w:color="auto" w:sz="4" w:space="0"/>
              <w:left w:val="single" w:color="auto" w:sz="4" w:space="0"/>
              <w:bottom w:val="single" w:color="auto" w:sz="4" w:space="0"/>
              <w:right w:val="single" w:color="auto" w:sz="4" w:space="0"/>
            </w:tcBorders>
          </w:tcPr>
          <w:p w14:paraId="619467E8">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偏离说明</w:t>
            </w:r>
          </w:p>
        </w:tc>
      </w:tr>
      <w:tr w14:paraId="2E80F1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55C572FC">
            <w:pPr>
              <w:jc w:val="center"/>
              <w:rPr>
                <w:rFonts w:ascii="宋体" w:hAnsi="宋体"/>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vAlign w:val="center"/>
          </w:tcPr>
          <w:p w14:paraId="2D57812A">
            <w:pPr>
              <w:jc w:val="left"/>
              <w:rPr>
                <w:rFonts w:hint="eastAsia" w:ascii="宋体" w:hAnsi="宋体"/>
                <w:color w:val="auto"/>
                <w:sz w:val="24"/>
                <w:highlight w:val="none"/>
              </w:rPr>
            </w:pPr>
          </w:p>
        </w:tc>
        <w:tc>
          <w:tcPr>
            <w:tcW w:w="2044" w:type="dxa"/>
            <w:tcBorders>
              <w:top w:val="single" w:color="auto" w:sz="4" w:space="0"/>
              <w:left w:val="single" w:color="auto" w:sz="4" w:space="0"/>
              <w:bottom w:val="single" w:color="auto" w:sz="4" w:space="0"/>
              <w:right w:val="single" w:color="auto" w:sz="4" w:space="0"/>
            </w:tcBorders>
          </w:tcPr>
          <w:p w14:paraId="2B1929F3">
            <w:pPr>
              <w:snapToGrid w:val="0"/>
              <w:spacing w:before="120" w:beforeLines="50"/>
              <w:jc w:val="center"/>
              <w:rPr>
                <w:rFonts w:hint="eastAsia" w:ascii="宋体" w:hAnsi="宋体"/>
                <w:color w:val="auto"/>
                <w:sz w:val="24"/>
                <w:highlight w:val="none"/>
              </w:rPr>
            </w:pPr>
          </w:p>
        </w:tc>
        <w:tc>
          <w:tcPr>
            <w:tcW w:w="2409" w:type="dxa"/>
            <w:tcBorders>
              <w:top w:val="single" w:color="auto" w:sz="4" w:space="0"/>
              <w:left w:val="single" w:color="auto" w:sz="4" w:space="0"/>
              <w:bottom w:val="single" w:color="auto" w:sz="4" w:space="0"/>
              <w:right w:val="single" w:color="auto" w:sz="4" w:space="0"/>
            </w:tcBorders>
          </w:tcPr>
          <w:p w14:paraId="4CC0A3ED">
            <w:pPr>
              <w:snapToGrid w:val="0"/>
              <w:spacing w:before="120" w:beforeLines="50"/>
              <w:jc w:val="center"/>
              <w:rPr>
                <w:rFonts w:hint="eastAsia" w:ascii="宋体" w:hAnsi="宋体"/>
                <w:color w:val="auto"/>
                <w:sz w:val="24"/>
                <w:highlight w:val="none"/>
              </w:rPr>
            </w:pPr>
          </w:p>
        </w:tc>
      </w:tr>
      <w:tr w14:paraId="770640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6753F0D0">
            <w:pPr>
              <w:jc w:val="center"/>
              <w:rPr>
                <w:rFonts w:ascii="宋体" w:hAnsi="宋体"/>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vAlign w:val="center"/>
          </w:tcPr>
          <w:p w14:paraId="2EFC567B">
            <w:pPr>
              <w:jc w:val="left"/>
              <w:rPr>
                <w:rFonts w:hint="eastAsia" w:ascii="宋体" w:hAnsi="宋体"/>
                <w:color w:val="auto"/>
                <w:sz w:val="24"/>
                <w:highlight w:val="none"/>
              </w:rPr>
            </w:pPr>
          </w:p>
        </w:tc>
        <w:tc>
          <w:tcPr>
            <w:tcW w:w="2044" w:type="dxa"/>
            <w:tcBorders>
              <w:top w:val="single" w:color="auto" w:sz="4" w:space="0"/>
              <w:left w:val="single" w:color="auto" w:sz="4" w:space="0"/>
              <w:bottom w:val="single" w:color="auto" w:sz="4" w:space="0"/>
              <w:right w:val="single" w:color="auto" w:sz="4" w:space="0"/>
            </w:tcBorders>
          </w:tcPr>
          <w:p w14:paraId="76B934E6">
            <w:pPr>
              <w:snapToGrid w:val="0"/>
              <w:spacing w:before="120" w:beforeLines="50"/>
              <w:ind w:left="43"/>
              <w:jc w:val="center"/>
              <w:rPr>
                <w:rFonts w:hint="eastAsia" w:ascii="宋体" w:hAnsi="宋体"/>
                <w:color w:val="auto"/>
                <w:sz w:val="24"/>
                <w:highlight w:val="none"/>
              </w:rPr>
            </w:pPr>
          </w:p>
        </w:tc>
        <w:tc>
          <w:tcPr>
            <w:tcW w:w="2409" w:type="dxa"/>
            <w:tcBorders>
              <w:top w:val="single" w:color="auto" w:sz="4" w:space="0"/>
              <w:left w:val="single" w:color="auto" w:sz="4" w:space="0"/>
              <w:bottom w:val="single" w:color="auto" w:sz="4" w:space="0"/>
              <w:right w:val="single" w:color="auto" w:sz="4" w:space="0"/>
            </w:tcBorders>
          </w:tcPr>
          <w:p w14:paraId="29E36872">
            <w:pPr>
              <w:snapToGrid w:val="0"/>
              <w:spacing w:before="120" w:beforeLines="50"/>
              <w:ind w:left="43"/>
              <w:jc w:val="center"/>
              <w:rPr>
                <w:rFonts w:hint="eastAsia" w:ascii="宋体" w:hAnsi="宋体"/>
                <w:color w:val="auto"/>
                <w:sz w:val="24"/>
                <w:highlight w:val="none"/>
              </w:rPr>
            </w:pPr>
          </w:p>
        </w:tc>
      </w:tr>
      <w:tr w14:paraId="448703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1CA8C009">
            <w:pPr>
              <w:snapToGrid w:val="0"/>
              <w:spacing w:before="120" w:beforeLines="50"/>
              <w:jc w:val="center"/>
              <w:rPr>
                <w:rFonts w:hint="eastAsia" w:ascii="宋体" w:hAnsi="宋体"/>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568BF393">
            <w:pPr>
              <w:snapToGrid w:val="0"/>
              <w:spacing w:before="120" w:beforeLines="50"/>
              <w:jc w:val="center"/>
              <w:rPr>
                <w:rFonts w:hint="eastAsia" w:ascii="宋体" w:hAnsi="宋体"/>
                <w:color w:val="auto"/>
                <w:sz w:val="24"/>
                <w:highlight w:val="none"/>
              </w:rPr>
            </w:pPr>
          </w:p>
        </w:tc>
        <w:tc>
          <w:tcPr>
            <w:tcW w:w="2044" w:type="dxa"/>
            <w:tcBorders>
              <w:top w:val="single" w:color="auto" w:sz="4" w:space="0"/>
              <w:left w:val="single" w:color="auto" w:sz="4" w:space="0"/>
              <w:bottom w:val="single" w:color="auto" w:sz="4" w:space="0"/>
              <w:right w:val="single" w:color="auto" w:sz="4" w:space="0"/>
            </w:tcBorders>
          </w:tcPr>
          <w:p w14:paraId="02C30D6F">
            <w:pPr>
              <w:snapToGrid w:val="0"/>
              <w:spacing w:before="120" w:beforeLines="50"/>
              <w:jc w:val="center"/>
              <w:rPr>
                <w:rFonts w:hint="eastAsia" w:ascii="宋体" w:hAnsi="宋体"/>
                <w:color w:val="auto"/>
                <w:sz w:val="24"/>
                <w:highlight w:val="none"/>
              </w:rPr>
            </w:pPr>
          </w:p>
        </w:tc>
        <w:tc>
          <w:tcPr>
            <w:tcW w:w="2409" w:type="dxa"/>
            <w:tcBorders>
              <w:top w:val="single" w:color="auto" w:sz="4" w:space="0"/>
              <w:left w:val="single" w:color="auto" w:sz="4" w:space="0"/>
              <w:bottom w:val="single" w:color="auto" w:sz="4" w:space="0"/>
              <w:right w:val="single" w:color="auto" w:sz="4" w:space="0"/>
            </w:tcBorders>
          </w:tcPr>
          <w:p w14:paraId="7430A337">
            <w:pPr>
              <w:snapToGrid w:val="0"/>
              <w:spacing w:before="120" w:beforeLines="50"/>
              <w:jc w:val="center"/>
              <w:rPr>
                <w:rFonts w:hint="eastAsia" w:ascii="宋体" w:hAnsi="宋体"/>
                <w:color w:val="auto"/>
                <w:sz w:val="24"/>
                <w:highlight w:val="none"/>
              </w:rPr>
            </w:pPr>
          </w:p>
        </w:tc>
      </w:tr>
      <w:tr w14:paraId="4EE1C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271FBFF5">
            <w:pPr>
              <w:snapToGrid w:val="0"/>
              <w:spacing w:before="120" w:beforeLines="50"/>
              <w:jc w:val="center"/>
              <w:rPr>
                <w:rFonts w:hint="eastAsia" w:ascii="宋体" w:hAnsi="宋体"/>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1AAEAF87">
            <w:pPr>
              <w:snapToGrid w:val="0"/>
              <w:spacing w:before="120" w:beforeLines="50"/>
              <w:jc w:val="center"/>
              <w:rPr>
                <w:rFonts w:hint="eastAsia" w:ascii="宋体" w:hAnsi="宋体"/>
                <w:color w:val="auto"/>
                <w:sz w:val="24"/>
                <w:highlight w:val="none"/>
              </w:rPr>
            </w:pPr>
          </w:p>
        </w:tc>
        <w:tc>
          <w:tcPr>
            <w:tcW w:w="2044" w:type="dxa"/>
            <w:tcBorders>
              <w:top w:val="single" w:color="auto" w:sz="4" w:space="0"/>
              <w:left w:val="single" w:color="auto" w:sz="4" w:space="0"/>
              <w:bottom w:val="single" w:color="auto" w:sz="4" w:space="0"/>
              <w:right w:val="single" w:color="auto" w:sz="4" w:space="0"/>
            </w:tcBorders>
          </w:tcPr>
          <w:p w14:paraId="415F6B6A">
            <w:pPr>
              <w:snapToGrid w:val="0"/>
              <w:spacing w:before="120" w:beforeLines="50"/>
              <w:jc w:val="center"/>
              <w:rPr>
                <w:rFonts w:hint="eastAsia" w:ascii="宋体" w:hAnsi="宋体"/>
                <w:color w:val="auto"/>
                <w:sz w:val="24"/>
                <w:highlight w:val="none"/>
              </w:rPr>
            </w:pPr>
          </w:p>
        </w:tc>
        <w:tc>
          <w:tcPr>
            <w:tcW w:w="2409" w:type="dxa"/>
            <w:tcBorders>
              <w:top w:val="single" w:color="auto" w:sz="4" w:space="0"/>
              <w:left w:val="single" w:color="auto" w:sz="4" w:space="0"/>
              <w:bottom w:val="single" w:color="auto" w:sz="4" w:space="0"/>
              <w:right w:val="single" w:color="auto" w:sz="4" w:space="0"/>
            </w:tcBorders>
          </w:tcPr>
          <w:p w14:paraId="250DF843">
            <w:pPr>
              <w:snapToGrid w:val="0"/>
              <w:spacing w:before="120" w:beforeLines="50"/>
              <w:jc w:val="center"/>
              <w:rPr>
                <w:rFonts w:hint="eastAsia" w:ascii="宋体" w:hAnsi="宋体"/>
                <w:color w:val="auto"/>
                <w:sz w:val="24"/>
                <w:highlight w:val="none"/>
              </w:rPr>
            </w:pPr>
          </w:p>
        </w:tc>
      </w:tr>
      <w:tr w14:paraId="62C97B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0BAC4301">
            <w:pPr>
              <w:snapToGrid w:val="0"/>
              <w:spacing w:before="120" w:beforeLines="50"/>
              <w:jc w:val="center"/>
              <w:rPr>
                <w:rFonts w:hint="eastAsia" w:ascii="宋体" w:hAnsi="宋体"/>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0E4700BB">
            <w:pPr>
              <w:snapToGrid w:val="0"/>
              <w:spacing w:before="120" w:beforeLines="50"/>
              <w:jc w:val="center"/>
              <w:rPr>
                <w:rFonts w:hint="eastAsia" w:ascii="宋体" w:hAnsi="宋体"/>
                <w:color w:val="auto"/>
                <w:sz w:val="24"/>
                <w:highlight w:val="none"/>
              </w:rPr>
            </w:pPr>
          </w:p>
        </w:tc>
        <w:tc>
          <w:tcPr>
            <w:tcW w:w="2044" w:type="dxa"/>
            <w:tcBorders>
              <w:top w:val="single" w:color="auto" w:sz="4" w:space="0"/>
              <w:left w:val="single" w:color="auto" w:sz="4" w:space="0"/>
              <w:bottom w:val="single" w:color="auto" w:sz="4" w:space="0"/>
              <w:right w:val="single" w:color="auto" w:sz="4" w:space="0"/>
            </w:tcBorders>
          </w:tcPr>
          <w:p w14:paraId="465C9BCE">
            <w:pPr>
              <w:snapToGrid w:val="0"/>
              <w:spacing w:before="120" w:beforeLines="50"/>
              <w:jc w:val="center"/>
              <w:rPr>
                <w:rFonts w:hint="eastAsia" w:ascii="宋体" w:hAnsi="宋体"/>
                <w:color w:val="auto"/>
                <w:sz w:val="24"/>
                <w:highlight w:val="none"/>
              </w:rPr>
            </w:pPr>
          </w:p>
        </w:tc>
        <w:tc>
          <w:tcPr>
            <w:tcW w:w="2409" w:type="dxa"/>
            <w:tcBorders>
              <w:top w:val="single" w:color="auto" w:sz="4" w:space="0"/>
              <w:left w:val="single" w:color="auto" w:sz="4" w:space="0"/>
              <w:bottom w:val="single" w:color="auto" w:sz="4" w:space="0"/>
              <w:right w:val="single" w:color="auto" w:sz="4" w:space="0"/>
            </w:tcBorders>
          </w:tcPr>
          <w:p w14:paraId="23F0578E">
            <w:pPr>
              <w:snapToGrid w:val="0"/>
              <w:spacing w:before="120" w:beforeLines="50"/>
              <w:jc w:val="center"/>
              <w:rPr>
                <w:rFonts w:hint="eastAsia" w:ascii="宋体" w:hAnsi="宋体"/>
                <w:color w:val="auto"/>
                <w:sz w:val="24"/>
                <w:highlight w:val="none"/>
              </w:rPr>
            </w:pPr>
          </w:p>
        </w:tc>
      </w:tr>
    </w:tbl>
    <w:p w14:paraId="32DF4DCA">
      <w:pPr>
        <w:pStyle w:val="11"/>
        <w:rPr>
          <w:rFonts w:hint="eastAsia" w:ascii="宋体" w:hAnsi="宋体"/>
          <w:color w:val="auto"/>
          <w:highlight w:val="none"/>
        </w:rPr>
      </w:pPr>
      <w:r>
        <w:rPr>
          <w:rFonts w:hint="eastAsia" w:ascii="宋体" w:hAnsi="宋体"/>
          <w:color w:val="auto"/>
          <w:highlight w:val="none"/>
        </w:rPr>
        <w:t>注：</w:t>
      </w:r>
    </w:p>
    <w:p w14:paraId="454C5044">
      <w:pPr>
        <w:pStyle w:val="13"/>
        <w:spacing w:line="520" w:lineRule="exact"/>
        <w:ind w:firstLine="0" w:firstLineChars="0"/>
        <w:rPr>
          <w:rFonts w:hint="eastAsia" w:hAnsi="仿宋_GB2312" w:cs="仿宋_GB2312"/>
          <w:color w:val="auto"/>
          <w:szCs w:val="32"/>
          <w:highlight w:val="none"/>
        </w:rPr>
      </w:pPr>
      <w:r>
        <w:rPr>
          <w:rFonts w:hint="eastAsia" w:ascii="宋体" w:hAnsi="宋体" w:eastAsia="宋体"/>
          <w:color w:val="auto"/>
          <w:sz w:val="24"/>
          <w:szCs w:val="24"/>
          <w:highlight w:val="none"/>
        </w:rPr>
        <w:t>1.说明：应对照招标文件“第二章采购需求”中的商务要求逐条作明确的投标响应，并作出偏离说明。</w:t>
      </w:r>
    </w:p>
    <w:p w14:paraId="7CE77AA1">
      <w:pPr>
        <w:pStyle w:val="11"/>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48A65A2C">
      <w:pPr>
        <w:snapToGrid w:val="0"/>
        <w:spacing w:before="50" w:after="50"/>
        <w:rPr>
          <w:rFonts w:ascii="宋体" w:hAnsi="宋体"/>
          <w:color w:val="auto"/>
          <w:sz w:val="24"/>
          <w:highlight w:val="none"/>
        </w:rPr>
      </w:pPr>
    </w:p>
    <w:p w14:paraId="6BAF59D5">
      <w:pPr>
        <w:snapToGrid w:val="0"/>
        <w:spacing w:before="50" w:after="50"/>
        <w:rPr>
          <w:rFonts w:ascii="宋体" w:hAnsi="宋体"/>
          <w:color w:val="auto"/>
          <w:sz w:val="24"/>
          <w:highlight w:val="none"/>
        </w:rPr>
      </w:pPr>
    </w:p>
    <w:p w14:paraId="01F1562A">
      <w:pPr>
        <w:snapToGrid w:val="0"/>
        <w:spacing w:before="50" w:after="50"/>
        <w:rPr>
          <w:rFonts w:hint="eastAsia" w:ascii="宋体" w:hAnsi="宋体" w:eastAsia="宋体"/>
          <w:color w:val="auto"/>
          <w:spacing w:val="20"/>
          <w:sz w:val="24"/>
          <w:highlight w:val="none"/>
          <w:u w:val="single"/>
          <w:lang w:eastAsia="zh-CN"/>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p>
    <w:p w14:paraId="4DF4FE08">
      <w:pPr>
        <w:snapToGrid w:val="0"/>
        <w:spacing w:before="120" w:beforeLines="50"/>
        <w:rPr>
          <w:rFonts w:hint="eastAsia" w:ascii="宋体" w:hAnsi="宋体" w:eastAsia="宋体"/>
          <w:color w:val="auto"/>
          <w:spacing w:val="20"/>
          <w:sz w:val="24"/>
          <w:highlight w:val="none"/>
          <w:lang w:eastAsia="zh-CN"/>
        </w:rPr>
      </w:pPr>
      <w:r>
        <w:rPr>
          <w:rFonts w:hint="eastAsia" w:ascii="宋体" w:hAnsi="宋体"/>
          <w:color w:val="auto"/>
          <w:spacing w:val="20"/>
          <w:sz w:val="24"/>
          <w:highlight w:val="none"/>
        </w:rPr>
        <w:t>投标人名称（电子签章）：</w:t>
      </w:r>
    </w:p>
    <w:p w14:paraId="207F6C25">
      <w:pPr>
        <w:snapToGrid w:val="0"/>
        <w:spacing w:before="120" w:beforeLines="50"/>
        <w:rPr>
          <w:rFonts w:hint="eastAsia" w:ascii="宋体" w:hAnsi="宋体" w:eastAsia="宋体"/>
          <w:color w:val="auto"/>
          <w:sz w:val="24"/>
          <w:szCs w:val="20"/>
          <w:highlight w:val="none"/>
          <w:lang w:eastAsia="zh-CN"/>
        </w:rPr>
      </w:pPr>
      <w:r>
        <w:rPr>
          <w:rFonts w:hint="eastAsia" w:ascii="宋体" w:hAnsi="宋体"/>
          <w:color w:val="auto"/>
          <w:spacing w:val="20"/>
          <w:sz w:val="24"/>
          <w:highlight w:val="none"/>
        </w:rPr>
        <w:t>日期：</w:t>
      </w:r>
    </w:p>
    <w:p w14:paraId="6C7266E0">
      <w:pPr>
        <w:snapToGrid w:val="0"/>
        <w:spacing w:before="120" w:beforeLines="50"/>
        <w:rPr>
          <w:rFonts w:hint="eastAsia" w:ascii="宋体" w:hAnsi="宋体"/>
          <w:color w:val="auto"/>
          <w:sz w:val="24"/>
          <w:szCs w:val="20"/>
          <w:highlight w:val="none"/>
        </w:rPr>
      </w:pPr>
    </w:p>
    <w:p w14:paraId="2D9E4863">
      <w:pPr>
        <w:snapToGrid w:val="0"/>
        <w:spacing w:before="120" w:beforeLines="50" w:after="50"/>
        <w:jc w:val="left"/>
        <w:rPr>
          <w:rFonts w:ascii="宋体" w:hAnsi="宋体"/>
          <w:color w:val="auto"/>
          <w:sz w:val="24"/>
          <w:szCs w:val="20"/>
          <w:highlight w:val="none"/>
        </w:rPr>
        <w:sectPr>
          <w:footerReference r:id="rId14" w:type="first"/>
          <w:headerReference r:id="rId11" w:type="default"/>
          <w:footerReference r:id="rId12" w:type="default"/>
          <w:footerReference r:id="rId13" w:type="even"/>
          <w:pgSz w:w="11906" w:h="16838"/>
          <w:pgMar w:top="1440" w:right="1274" w:bottom="1440" w:left="1418" w:header="851" w:footer="992" w:gutter="0"/>
          <w:pgBorders>
            <w:top w:val="none" w:sz="0" w:space="0"/>
            <w:left w:val="none" w:sz="0" w:space="0"/>
            <w:bottom w:val="none" w:sz="0" w:space="0"/>
            <w:right w:val="none" w:sz="0" w:space="0"/>
          </w:pgBorders>
          <w:pgNumType w:fmt="decimal"/>
          <w:cols w:space="720" w:num="1"/>
          <w:docGrid w:linePitch="312" w:charSpace="0"/>
        </w:sectPr>
      </w:pPr>
    </w:p>
    <w:p w14:paraId="3C2963F9">
      <w:pPr>
        <w:snapToGrid w:val="0"/>
        <w:spacing w:before="120" w:beforeLines="50" w:after="50"/>
        <w:jc w:val="left"/>
        <w:outlineLvl w:val="2"/>
        <w:rPr>
          <w:rFonts w:hint="eastAsia" w:ascii="宋体" w:hAnsi="宋体"/>
          <w:b/>
          <w:color w:val="auto"/>
          <w:sz w:val="24"/>
          <w:highlight w:val="none"/>
        </w:rPr>
      </w:pPr>
      <w:r>
        <w:rPr>
          <w:rFonts w:hint="eastAsia" w:ascii="宋体" w:hAnsi="宋体"/>
          <w:b/>
          <w:color w:val="auto"/>
          <w:sz w:val="24"/>
          <w:highlight w:val="none"/>
        </w:rPr>
        <w:t>7.投标人业绩证明材料</w:t>
      </w:r>
    </w:p>
    <w:p w14:paraId="06C93289">
      <w:pPr>
        <w:pStyle w:val="20"/>
        <w:snapToGrid w:val="0"/>
        <w:ind w:left="480" w:hanging="480"/>
        <w:rPr>
          <w:rFonts w:hint="eastAsia" w:ascii="宋体" w:hAnsi="宋体"/>
          <w:color w:val="auto"/>
          <w:sz w:val="24"/>
          <w:highlight w:val="none"/>
        </w:rPr>
      </w:pPr>
    </w:p>
    <w:tbl>
      <w:tblPr>
        <w:tblStyle w:val="24"/>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0839AD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2076ADA4">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7AF44550">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345F0C28">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合同金额</w:t>
            </w:r>
          </w:p>
          <w:p w14:paraId="6BBA9F3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vAlign w:val="center"/>
          </w:tcPr>
          <w:p w14:paraId="56C743B2">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w:t>
            </w:r>
          </w:p>
          <w:p w14:paraId="6571926C">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联系电话</w:t>
            </w:r>
          </w:p>
        </w:tc>
      </w:tr>
      <w:tr w14:paraId="48718E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34401B18">
            <w:pPr>
              <w:jc w:val="left"/>
              <w:rPr>
                <w:rFonts w:hint="eastAsia" w:ascii="宋体" w:hAnsi="宋体"/>
                <w:color w:val="auto"/>
                <w:sz w:val="24"/>
                <w:highlight w:val="none"/>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4A13B8BD">
            <w:pPr>
              <w:jc w:val="left"/>
              <w:rPr>
                <w:rFonts w:hint="eastAsia" w:ascii="宋体" w:hAnsi="宋体"/>
                <w:color w:val="auto"/>
                <w:sz w:val="24"/>
                <w:highlight w:val="none"/>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754D17A0">
            <w:pPr>
              <w:jc w:val="left"/>
              <w:rPr>
                <w:rFonts w:hint="eastAsia" w:ascii="宋体" w:hAnsi="宋体"/>
                <w:color w:val="auto"/>
                <w:sz w:val="24"/>
                <w:highlight w:val="none"/>
              </w:rPr>
            </w:pPr>
          </w:p>
        </w:tc>
        <w:tc>
          <w:tcPr>
            <w:tcW w:w="1674" w:type="pct"/>
            <w:vMerge w:val="continue"/>
            <w:tcBorders>
              <w:top w:val="single" w:color="auto" w:sz="4" w:space="0"/>
              <w:left w:val="single" w:color="auto" w:sz="4" w:space="0"/>
              <w:bottom w:val="single" w:color="auto" w:sz="4" w:space="0"/>
              <w:right w:val="single" w:color="auto" w:sz="4" w:space="0"/>
            </w:tcBorders>
            <w:vAlign w:val="center"/>
          </w:tcPr>
          <w:p w14:paraId="36B4F0F5">
            <w:pPr>
              <w:jc w:val="left"/>
              <w:rPr>
                <w:rFonts w:hint="eastAsia" w:ascii="宋体" w:hAnsi="宋体"/>
                <w:color w:val="auto"/>
                <w:sz w:val="24"/>
                <w:highlight w:val="none"/>
              </w:rPr>
            </w:pPr>
          </w:p>
        </w:tc>
      </w:tr>
      <w:tr w14:paraId="5E202B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tcPr>
          <w:p w14:paraId="556F8B5F">
            <w:pPr>
              <w:snapToGrid w:val="0"/>
              <w:spacing w:line="24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62C0EF9D">
            <w:pPr>
              <w:snapToGrid w:val="0"/>
              <w:spacing w:line="24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4D669B5B">
            <w:pPr>
              <w:snapToGrid w:val="0"/>
              <w:spacing w:line="24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335FCB54">
            <w:pPr>
              <w:snapToGrid w:val="0"/>
              <w:spacing w:line="240" w:lineRule="exact"/>
              <w:jc w:val="left"/>
              <w:rPr>
                <w:rFonts w:hint="eastAsia" w:ascii="宋体" w:hAnsi="宋体"/>
                <w:color w:val="auto"/>
                <w:sz w:val="24"/>
                <w:highlight w:val="none"/>
              </w:rPr>
            </w:pPr>
          </w:p>
        </w:tc>
      </w:tr>
      <w:tr w14:paraId="33F3B7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205605E7">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18834614">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01EBB985">
            <w:pPr>
              <w:snapToGrid w:val="0"/>
              <w:spacing w:before="50" w:after="120" w:afterLines="5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39EF8F05">
            <w:pPr>
              <w:snapToGrid w:val="0"/>
              <w:spacing w:before="50" w:after="120" w:afterLines="50" w:line="400" w:lineRule="exact"/>
              <w:jc w:val="left"/>
              <w:rPr>
                <w:rFonts w:hint="eastAsia" w:ascii="宋体" w:hAnsi="宋体"/>
                <w:color w:val="auto"/>
                <w:sz w:val="24"/>
                <w:highlight w:val="none"/>
              </w:rPr>
            </w:pPr>
          </w:p>
        </w:tc>
      </w:tr>
      <w:tr w14:paraId="3773F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3A9B9673">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79C7BB64">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3182550A">
            <w:pPr>
              <w:snapToGrid w:val="0"/>
              <w:spacing w:before="50" w:after="120" w:afterLines="5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3AA925AE">
            <w:pPr>
              <w:snapToGrid w:val="0"/>
              <w:spacing w:before="50" w:after="120" w:afterLines="50" w:line="400" w:lineRule="exact"/>
              <w:jc w:val="left"/>
              <w:rPr>
                <w:rFonts w:hint="eastAsia" w:ascii="宋体" w:hAnsi="宋体"/>
                <w:color w:val="auto"/>
                <w:sz w:val="24"/>
                <w:highlight w:val="none"/>
              </w:rPr>
            </w:pPr>
          </w:p>
        </w:tc>
      </w:tr>
      <w:tr w14:paraId="41858F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35D8C37B">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4CC609D7">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0AC1D30F">
            <w:pPr>
              <w:snapToGrid w:val="0"/>
              <w:spacing w:before="50" w:after="120" w:afterLines="5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56A77BCB">
            <w:pPr>
              <w:snapToGrid w:val="0"/>
              <w:spacing w:before="50" w:after="120" w:afterLines="50" w:line="400" w:lineRule="exact"/>
              <w:jc w:val="left"/>
              <w:rPr>
                <w:rFonts w:hint="eastAsia" w:ascii="宋体" w:hAnsi="宋体"/>
                <w:color w:val="auto"/>
                <w:sz w:val="24"/>
                <w:highlight w:val="none"/>
              </w:rPr>
            </w:pPr>
          </w:p>
        </w:tc>
      </w:tr>
      <w:tr w14:paraId="0190F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0059FBF3">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24A94AE7">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59A2AFD9">
            <w:pPr>
              <w:snapToGrid w:val="0"/>
              <w:spacing w:before="50" w:after="120" w:afterLines="5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72CAEDB0">
            <w:pPr>
              <w:snapToGrid w:val="0"/>
              <w:spacing w:before="50" w:after="120" w:afterLines="50" w:line="400" w:lineRule="exact"/>
              <w:jc w:val="left"/>
              <w:rPr>
                <w:rFonts w:hint="eastAsia" w:ascii="宋体" w:hAnsi="宋体"/>
                <w:color w:val="auto"/>
                <w:sz w:val="24"/>
                <w:highlight w:val="none"/>
              </w:rPr>
            </w:pPr>
          </w:p>
        </w:tc>
      </w:tr>
    </w:tbl>
    <w:p w14:paraId="2FD31070">
      <w:pPr>
        <w:pStyle w:val="9"/>
        <w:spacing w:before="0" w:after="0" w:line="360" w:lineRule="auto"/>
        <w:contextualSpacing/>
        <w:rPr>
          <w:rFonts w:hint="eastAsia" w:ascii="宋体" w:hAnsi="宋体" w:eastAsia="宋体"/>
          <w:color w:val="auto"/>
          <w:sz w:val="24"/>
          <w:szCs w:val="24"/>
          <w:highlight w:val="none"/>
        </w:rPr>
      </w:pPr>
    </w:p>
    <w:p w14:paraId="691A507F">
      <w:pPr>
        <w:pStyle w:val="9"/>
        <w:spacing w:before="0" w:after="0" w:line="360" w:lineRule="auto"/>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2005F8EF">
      <w:pPr>
        <w:pStyle w:val="9"/>
        <w:spacing w:before="0" w:after="0" w:line="360" w:lineRule="auto"/>
        <w:contextualSpacing/>
        <w:jc w:val="left"/>
        <w:rPr>
          <w:rFonts w:hint="eastAsia"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法定代表人或者委托代理人（签字或者电子签名）：</w:t>
      </w:r>
      <w:r>
        <w:rPr>
          <w:rFonts w:hint="eastAsia" w:ascii="宋体" w:hAnsi="宋体" w:eastAsia="宋体"/>
          <w:color w:val="auto"/>
          <w:sz w:val="24"/>
          <w:szCs w:val="24"/>
          <w:highlight w:val="none"/>
          <w:u w:val="single"/>
        </w:rPr>
        <w:t>　　　　　</w:t>
      </w:r>
    </w:p>
    <w:p w14:paraId="508A8236">
      <w:pPr>
        <w:spacing w:line="360" w:lineRule="auto"/>
        <w:ind w:right="480"/>
        <w:contextualSpacing/>
        <w:jc w:val="left"/>
        <w:rPr>
          <w:rFonts w:hint="eastAsia" w:ascii="宋体" w:hAnsi="宋体"/>
          <w:color w:val="auto"/>
          <w:sz w:val="24"/>
          <w:szCs w:val="20"/>
          <w:highlight w:val="none"/>
        </w:rPr>
      </w:pPr>
      <w:r>
        <w:rPr>
          <w:rFonts w:hint="eastAsia" w:ascii="宋体" w:hAnsi="宋体" w:cs="Arial"/>
          <w:color w:val="auto"/>
          <w:sz w:val="24"/>
          <w:highlight w:val="none"/>
        </w:rPr>
        <w:t>投标人名称（电子签章）：</w:t>
      </w:r>
      <w:r>
        <w:rPr>
          <w:rFonts w:hint="eastAsia" w:ascii="宋体" w:hAnsi="宋体"/>
          <w:color w:val="auto"/>
          <w:sz w:val="24"/>
          <w:highlight w:val="none"/>
        </w:rPr>
        <w:t>年月日</w:t>
      </w:r>
    </w:p>
    <w:p w14:paraId="64D3F339">
      <w:pPr>
        <w:snapToGrid w:val="0"/>
        <w:spacing w:before="50"/>
        <w:ind w:firstLine="480" w:firstLineChars="200"/>
        <w:jc w:val="left"/>
        <w:rPr>
          <w:rFonts w:hint="eastAsia" w:ascii="宋体" w:hAnsi="宋体"/>
          <w:color w:val="auto"/>
          <w:sz w:val="24"/>
          <w:szCs w:val="20"/>
          <w:highlight w:val="none"/>
        </w:rPr>
      </w:pPr>
    </w:p>
    <w:p w14:paraId="27239C89">
      <w:pPr>
        <w:snapToGrid w:val="0"/>
        <w:spacing w:before="50"/>
        <w:jc w:val="left"/>
        <w:rPr>
          <w:rFonts w:hint="eastAsia" w:ascii="宋体" w:hAnsi="宋体"/>
          <w:color w:val="auto"/>
          <w:sz w:val="24"/>
          <w:highlight w:val="none"/>
        </w:rPr>
      </w:pPr>
    </w:p>
    <w:p w14:paraId="6BC8E143">
      <w:pPr>
        <w:snapToGrid w:val="0"/>
        <w:spacing w:before="120" w:beforeLines="50"/>
        <w:rPr>
          <w:rFonts w:ascii="宋体" w:hAnsi="宋体"/>
          <w:color w:val="auto"/>
          <w:sz w:val="24"/>
          <w:szCs w:val="20"/>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p>
    <w:p w14:paraId="627127FE">
      <w:pPr>
        <w:outlineLvl w:val="1"/>
        <w:rPr>
          <w:rFonts w:hint="eastAsia"/>
          <w:b/>
          <w:color w:val="auto"/>
          <w:sz w:val="28"/>
          <w:szCs w:val="28"/>
          <w:highlight w:val="none"/>
        </w:rPr>
      </w:pPr>
      <w:r>
        <w:rPr>
          <w:rFonts w:hint="eastAsia"/>
          <w:b/>
          <w:color w:val="auto"/>
          <w:sz w:val="28"/>
          <w:szCs w:val="28"/>
          <w:highlight w:val="none"/>
        </w:rPr>
        <w:t>四、技术文件格式</w:t>
      </w:r>
    </w:p>
    <w:p w14:paraId="43F7AD5D">
      <w:pPr>
        <w:snapToGrid w:val="0"/>
        <w:spacing w:before="120" w:beforeLines="50" w:after="50"/>
        <w:ind w:left="142"/>
        <w:jc w:val="left"/>
        <w:outlineLvl w:val="2"/>
        <w:rPr>
          <w:rFonts w:hint="eastAsia" w:ascii="宋体" w:hAnsi="宋体" w:eastAsia="宋体"/>
          <w:b/>
          <w:color w:val="auto"/>
          <w:sz w:val="24"/>
          <w:highlight w:val="none"/>
          <w:lang w:eastAsia="zh-CN"/>
        </w:rPr>
      </w:pPr>
      <w:r>
        <w:rPr>
          <w:rFonts w:hint="eastAsia" w:ascii="宋体" w:hAnsi="宋体"/>
          <w:b/>
          <w:color w:val="auto"/>
          <w:sz w:val="24"/>
          <w:highlight w:val="none"/>
        </w:rPr>
        <w:t>1.技术文件封面格式：</w:t>
      </w:r>
    </w:p>
    <w:p w14:paraId="54C30BC3">
      <w:pPr>
        <w:snapToGrid w:val="0"/>
        <w:spacing w:before="120" w:beforeLines="50" w:after="50" w:line="360" w:lineRule="auto"/>
        <w:ind w:left="142"/>
        <w:jc w:val="center"/>
        <w:rPr>
          <w:rFonts w:hint="eastAsia"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56A6F6C4">
      <w:pPr>
        <w:snapToGrid w:val="0"/>
        <w:spacing w:before="120" w:beforeLines="50" w:after="50"/>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技术文件</w:t>
      </w:r>
    </w:p>
    <w:p w14:paraId="46EB936F">
      <w:pPr>
        <w:snapToGrid w:val="0"/>
        <w:spacing w:before="120" w:beforeLines="50" w:after="50"/>
        <w:rPr>
          <w:rFonts w:hint="eastAsia" w:ascii="宋体" w:hAnsi="宋体"/>
          <w:bCs/>
          <w:color w:val="auto"/>
          <w:sz w:val="24"/>
          <w:szCs w:val="20"/>
          <w:highlight w:val="none"/>
        </w:rPr>
      </w:pPr>
    </w:p>
    <w:p w14:paraId="0C32BEE6">
      <w:pPr>
        <w:snapToGrid w:val="0"/>
        <w:spacing w:before="120" w:beforeLines="50" w:after="50" w:line="400" w:lineRule="exact"/>
        <w:ind w:firstLine="360" w:firstLineChars="150"/>
        <w:rPr>
          <w:rFonts w:hint="eastAsia" w:ascii="宋体" w:hAnsi="宋体" w:eastAsia="宋体"/>
          <w:bCs/>
          <w:color w:val="auto"/>
          <w:sz w:val="24"/>
          <w:szCs w:val="20"/>
          <w:highlight w:val="none"/>
          <w:lang w:eastAsia="zh-CN"/>
        </w:rPr>
      </w:pPr>
      <w:r>
        <w:rPr>
          <w:rFonts w:hint="eastAsia" w:ascii="宋体" w:hAnsi="宋体"/>
          <w:bCs/>
          <w:color w:val="auto"/>
          <w:sz w:val="24"/>
          <w:highlight w:val="none"/>
        </w:rPr>
        <w:t>项目名称：</w:t>
      </w:r>
    </w:p>
    <w:p w14:paraId="64C0527C">
      <w:pPr>
        <w:snapToGrid w:val="0"/>
        <w:spacing w:before="120" w:beforeLines="50" w:after="50" w:line="400" w:lineRule="exact"/>
        <w:ind w:firstLine="360" w:firstLineChars="150"/>
        <w:rPr>
          <w:rFonts w:hint="eastAsia" w:ascii="宋体" w:hAnsi="宋体" w:eastAsia="宋体"/>
          <w:bCs/>
          <w:color w:val="auto"/>
          <w:sz w:val="24"/>
          <w:highlight w:val="none"/>
          <w:lang w:eastAsia="zh-CN"/>
        </w:rPr>
      </w:pPr>
      <w:r>
        <w:rPr>
          <w:rFonts w:hint="eastAsia" w:ascii="宋体" w:hAnsi="宋体"/>
          <w:bCs/>
          <w:color w:val="auto"/>
          <w:sz w:val="24"/>
          <w:highlight w:val="none"/>
        </w:rPr>
        <w:t>项目编号：</w:t>
      </w:r>
    </w:p>
    <w:p w14:paraId="29A9CD35">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所投分标：</w:t>
      </w:r>
    </w:p>
    <w:p w14:paraId="473E73A4">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投标人名称：</w:t>
      </w:r>
    </w:p>
    <w:p w14:paraId="1519E62A">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5A6F0FF8">
      <w:pPr>
        <w:snapToGrid w:val="0"/>
        <w:spacing w:before="120" w:beforeLines="50" w:after="50"/>
        <w:ind w:firstLine="645"/>
        <w:jc w:val="center"/>
        <w:rPr>
          <w:rFonts w:hint="eastAsia" w:ascii="宋体" w:hAnsi="宋体"/>
          <w:color w:val="auto"/>
          <w:sz w:val="24"/>
          <w:highlight w:val="none"/>
        </w:rPr>
      </w:pPr>
      <w:r>
        <w:rPr>
          <w:rFonts w:hint="eastAsia" w:ascii="宋体" w:hAnsi="宋体"/>
          <w:color w:val="auto"/>
          <w:sz w:val="24"/>
          <w:highlight w:val="none"/>
        </w:rPr>
        <w:t>年月日</w:t>
      </w:r>
    </w:p>
    <w:p w14:paraId="5FA075DA">
      <w:pPr>
        <w:snapToGrid w:val="0"/>
        <w:spacing w:before="120" w:beforeLines="50" w:after="50"/>
        <w:ind w:firstLine="645"/>
        <w:jc w:val="center"/>
        <w:rPr>
          <w:rFonts w:hint="eastAsia" w:ascii="宋体" w:hAnsi="宋体"/>
          <w:color w:val="auto"/>
          <w:sz w:val="24"/>
          <w:szCs w:val="20"/>
          <w:highlight w:val="none"/>
        </w:rPr>
      </w:pPr>
    </w:p>
    <w:p w14:paraId="22166AA8">
      <w:pPr>
        <w:snapToGrid w:val="0"/>
        <w:spacing w:before="120" w:beforeLines="50" w:after="50"/>
        <w:ind w:left="142"/>
        <w:jc w:val="left"/>
        <w:outlineLvl w:val="2"/>
        <w:rPr>
          <w:rFonts w:hint="eastAsia" w:ascii="宋体" w:hAnsi="宋体"/>
          <w:b/>
          <w:bCs/>
          <w:color w:val="auto"/>
          <w:sz w:val="24"/>
          <w:highlight w:val="none"/>
        </w:rPr>
      </w:pPr>
      <w:r>
        <w:rPr>
          <w:rFonts w:ascii="宋体" w:hAnsi="宋体"/>
          <w:b/>
          <w:bCs/>
          <w:color w:val="auto"/>
          <w:sz w:val="24"/>
          <w:highlight w:val="none"/>
        </w:rPr>
        <w:br w:type="page"/>
      </w:r>
      <w:r>
        <w:rPr>
          <w:rFonts w:hint="eastAsia" w:ascii="宋体" w:hAnsi="宋体"/>
          <w:b/>
          <w:bCs/>
          <w:color w:val="auto"/>
          <w:sz w:val="24"/>
          <w:highlight w:val="none"/>
        </w:rPr>
        <w:t>2.技术文件目录</w:t>
      </w:r>
    </w:p>
    <w:p w14:paraId="4FB3F10D">
      <w:pPr>
        <w:snapToGrid w:val="0"/>
        <w:spacing w:before="50" w:after="120" w:afterLines="50" w:line="280" w:lineRule="exact"/>
        <w:ind w:left="283" w:leftChars="135"/>
        <w:jc w:val="left"/>
        <w:rPr>
          <w:rFonts w:hint="eastAsia" w:ascii="宋体" w:hAnsi="宋体"/>
          <w:color w:val="auto"/>
          <w:sz w:val="24"/>
          <w:szCs w:val="20"/>
          <w:highlight w:val="none"/>
        </w:rPr>
      </w:pPr>
      <w:r>
        <w:rPr>
          <w:rFonts w:hint="eastAsia" w:ascii="宋体" w:hAnsi="宋体"/>
          <w:color w:val="auto"/>
          <w:szCs w:val="21"/>
          <w:highlight w:val="none"/>
        </w:rPr>
        <w:t>根据招标文件规定及投标人提供的材料自行编写目录。</w:t>
      </w:r>
    </w:p>
    <w:p w14:paraId="1E202904">
      <w:pPr>
        <w:snapToGrid w:val="0"/>
        <w:spacing w:before="120" w:beforeLines="50" w:after="50"/>
        <w:jc w:val="left"/>
        <w:rPr>
          <w:rFonts w:ascii="宋体" w:hAnsi="宋体"/>
          <w:b/>
          <w:color w:val="auto"/>
          <w:sz w:val="24"/>
          <w:highlight w:val="none"/>
        </w:rPr>
      </w:pPr>
    </w:p>
    <w:p w14:paraId="7C2E711D">
      <w:pPr>
        <w:snapToGrid w:val="0"/>
        <w:spacing w:before="120" w:beforeLines="50" w:after="50"/>
        <w:ind w:left="142"/>
        <w:jc w:val="left"/>
        <w:outlineLvl w:val="2"/>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3.技术要求偏离表格式</w:t>
      </w:r>
    </w:p>
    <w:p w14:paraId="017F775E">
      <w:pPr>
        <w:snapToGrid w:val="0"/>
        <w:spacing w:before="120" w:beforeLines="50" w:after="50"/>
        <w:ind w:left="142"/>
        <w:jc w:val="left"/>
        <w:rPr>
          <w:rFonts w:hint="eastAsia" w:ascii="宋体" w:hAnsi="宋体"/>
          <w:b/>
          <w:color w:val="auto"/>
          <w:sz w:val="24"/>
          <w:highlight w:val="none"/>
        </w:rPr>
      </w:pPr>
    </w:p>
    <w:p w14:paraId="0E5D4EC5">
      <w:pPr>
        <w:snapToGrid w:val="0"/>
        <w:spacing w:before="120"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技术要求偏离表</w:t>
      </w:r>
    </w:p>
    <w:p w14:paraId="76CA3453">
      <w:pPr>
        <w:pStyle w:val="15"/>
        <w:rPr>
          <w:rFonts w:hint="eastAsia" w:hAnsi="宋体"/>
          <w:color w:val="auto"/>
          <w:sz w:val="24"/>
          <w:szCs w:val="24"/>
          <w:highlight w:val="none"/>
        </w:rPr>
      </w:pPr>
      <w:r>
        <w:rPr>
          <w:rFonts w:hint="eastAsia" w:hAnsi="宋体"/>
          <w:color w:val="auto"/>
          <w:sz w:val="24"/>
          <w:szCs w:val="24"/>
          <w:highlight w:val="none"/>
        </w:rPr>
        <w:t>所投分标：分标</w:t>
      </w:r>
    </w:p>
    <w:tbl>
      <w:tblPr>
        <w:tblStyle w:val="24"/>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2180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6B4B8CE4">
            <w:pPr>
              <w:pStyle w:val="15"/>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项号</w:t>
            </w:r>
          </w:p>
        </w:tc>
        <w:tc>
          <w:tcPr>
            <w:tcW w:w="2143" w:type="dxa"/>
            <w:vAlign w:val="center"/>
          </w:tcPr>
          <w:p w14:paraId="3492EC73">
            <w:pPr>
              <w:pStyle w:val="15"/>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标的的名称</w:t>
            </w:r>
          </w:p>
        </w:tc>
        <w:tc>
          <w:tcPr>
            <w:tcW w:w="1834" w:type="dxa"/>
            <w:vAlign w:val="center"/>
          </w:tcPr>
          <w:p w14:paraId="352BA02C">
            <w:pPr>
              <w:pStyle w:val="15"/>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技术要求</w:t>
            </w:r>
          </w:p>
        </w:tc>
        <w:tc>
          <w:tcPr>
            <w:tcW w:w="2181" w:type="dxa"/>
            <w:vAlign w:val="center"/>
          </w:tcPr>
          <w:p w14:paraId="34C74E68">
            <w:pPr>
              <w:pStyle w:val="15"/>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投标响应</w:t>
            </w:r>
          </w:p>
        </w:tc>
        <w:tc>
          <w:tcPr>
            <w:tcW w:w="1934" w:type="dxa"/>
            <w:vAlign w:val="center"/>
          </w:tcPr>
          <w:p w14:paraId="4237151D">
            <w:pPr>
              <w:pStyle w:val="15"/>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偏离说明</w:t>
            </w:r>
          </w:p>
        </w:tc>
      </w:tr>
      <w:tr w14:paraId="64EB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CF09928">
            <w:pPr>
              <w:pStyle w:val="15"/>
              <w:spacing w:line="600" w:lineRule="exact"/>
              <w:jc w:val="center"/>
              <w:rPr>
                <w:rFonts w:hint="eastAsia" w:hAnsi="宋体" w:cs="Courier New"/>
                <w:color w:val="auto"/>
                <w:kern w:val="2"/>
                <w:sz w:val="24"/>
                <w:szCs w:val="24"/>
                <w:highlight w:val="none"/>
                <w:lang w:val="en-US" w:eastAsia="zh-CN"/>
              </w:rPr>
            </w:pPr>
          </w:p>
        </w:tc>
        <w:tc>
          <w:tcPr>
            <w:tcW w:w="2143" w:type="dxa"/>
            <w:vAlign w:val="center"/>
          </w:tcPr>
          <w:p w14:paraId="72B2A551">
            <w:pPr>
              <w:pStyle w:val="15"/>
              <w:spacing w:line="600" w:lineRule="exact"/>
              <w:jc w:val="center"/>
              <w:rPr>
                <w:rFonts w:hint="eastAsia" w:hAnsi="宋体" w:cs="Courier New"/>
                <w:color w:val="auto"/>
                <w:kern w:val="2"/>
                <w:sz w:val="24"/>
                <w:szCs w:val="24"/>
                <w:highlight w:val="none"/>
                <w:lang w:val="en-US" w:eastAsia="zh-CN"/>
              </w:rPr>
            </w:pPr>
          </w:p>
        </w:tc>
        <w:tc>
          <w:tcPr>
            <w:tcW w:w="1834" w:type="dxa"/>
            <w:vAlign w:val="center"/>
          </w:tcPr>
          <w:p w14:paraId="7EBCF03C">
            <w:pPr>
              <w:pStyle w:val="15"/>
              <w:spacing w:line="600" w:lineRule="exact"/>
              <w:jc w:val="center"/>
              <w:rPr>
                <w:rFonts w:hint="eastAsia" w:hAnsi="宋体" w:cs="Courier New"/>
                <w:color w:val="auto"/>
                <w:kern w:val="2"/>
                <w:sz w:val="24"/>
                <w:szCs w:val="24"/>
                <w:highlight w:val="none"/>
                <w:lang w:val="en-US" w:eastAsia="zh-CN"/>
              </w:rPr>
            </w:pPr>
          </w:p>
        </w:tc>
        <w:tc>
          <w:tcPr>
            <w:tcW w:w="2181" w:type="dxa"/>
            <w:vAlign w:val="center"/>
          </w:tcPr>
          <w:p w14:paraId="71E6CFB3">
            <w:pPr>
              <w:pStyle w:val="15"/>
              <w:spacing w:line="600" w:lineRule="exact"/>
              <w:jc w:val="center"/>
              <w:rPr>
                <w:rFonts w:hint="eastAsia" w:hAnsi="宋体" w:cs="Courier New"/>
                <w:color w:val="auto"/>
                <w:kern w:val="2"/>
                <w:sz w:val="24"/>
                <w:szCs w:val="24"/>
                <w:highlight w:val="none"/>
                <w:lang w:val="en-US" w:eastAsia="zh-CN"/>
              </w:rPr>
            </w:pPr>
          </w:p>
        </w:tc>
        <w:tc>
          <w:tcPr>
            <w:tcW w:w="1934" w:type="dxa"/>
            <w:vAlign w:val="center"/>
          </w:tcPr>
          <w:p w14:paraId="6155C361">
            <w:pPr>
              <w:pStyle w:val="15"/>
              <w:spacing w:line="600" w:lineRule="exact"/>
              <w:jc w:val="center"/>
              <w:rPr>
                <w:rFonts w:hint="eastAsia" w:hAnsi="宋体" w:cs="Courier New"/>
                <w:color w:val="auto"/>
                <w:kern w:val="2"/>
                <w:sz w:val="24"/>
                <w:szCs w:val="24"/>
                <w:highlight w:val="none"/>
                <w:lang w:val="en-US" w:eastAsia="zh-CN"/>
              </w:rPr>
            </w:pPr>
          </w:p>
        </w:tc>
      </w:tr>
      <w:tr w14:paraId="6C07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C2E27D1">
            <w:pPr>
              <w:pStyle w:val="15"/>
              <w:spacing w:line="600" w:lineRule="exact"/>
              <w:rPr>
                <w:rFonts w:hint="eastAsia" w:hAnsi="宋体" w:cs="Courier New"/>
                <w:color w:val="auto"/>
                <w:kern w:val="2"/>
                <w:sz w:val="24"/>
                <w:szCs w:val="24"/>
                <w:highlight w:val="none"/>
                <w:lang w:val="en-US" w:eastAsia="zh-CN"/>
              </w:rPr>
            </w:pPr>
          </w:p>
        </w:tc>
        <w:tc>
          <w:tcPr>
            <w:tcW w:w="2143" w:type="dxa"/>
          </w:tcPr>
          <w:p w14:paraId="255574B0">
            <w:pPr>
              <w:pStyle w:val="15"/>
              <w:spacing w:line="600" w:lineRule="exact"/>
              <w:rPr>
                <w:rFonts w:hint="eastAsia" w:hAnsi="宋体" w:cs="Courier New"/>
                <w:color w:val="auto"/>
                <w:kern w:val="2"/>
                <w:sz w:val="24"/>
                <w:szCs w:val="24"/>
                <w:highlight w:val="none"/>
                <w:lang w:val="en-US" w:eastAsia="zh-CN"/>
              </w:rPr>
            </w:pPr>
          </w:p>
        </w:tc>
        <w:tc>
          <w:tcPr>
            <w:tcW w:w="1834" w:type="dxa"/>
          </w:tcPr>
          <w:p w14:paraId="74499403">
            <w:pPr>
              <w:pStyle w:val="15"/>
              <w:spacing w:line="600" w:lineRule="exact"/>
              <w:rPr>
                <w:rFonts w:hint="eastAsia" w:hAnsi="宋体" w:cs="Courier New"/>
                <w:color w:val="auto"/>
                <w:kern w:val="2"/>
                <w:sz w:val="24"/>
                <w:szCs w:val="24"/>
                <w:highlight w:val="none"/>
                <w:lang w:val="en-US" w:eastAsia="zh-CN"/>
              </w:rPr>
            </w:pPr>
          </w:p>
        </w:tc>
        <w:tc>
          <w:tcPr>
            <w:tcW w:w="2181" w:type="dxa"/>
          </w:tcPr>
          <w:p w14:paraId="697D42BB">
            <w:pPr>
              <w:pStyle w:val="15"/>
              <w:spacing w:line="600" w:lineRule="exact"/>
              <w:rPr>
                <w:rFonts w:hint="eastAsia" w:hAnsi="宋体" w:cs="Courier New"/>
                <w:color w:val="auto"/>
                <w:kern w:val="2"/>
                <w:sz w:val="24"/>
                <w:szCs w:val="24"/>
                <w:highlight w:val="none"/>
                <w:lang w:val="en-US" w:eastAsia="zh-CN"/>
              </w:rPr>
            </w:pPr>
          </w:p>
        </w:tc>
        <w:tc>
          <w:tcPr>
            <w:tcW w:w="1934" w:type="dxa"/>
          </w:tcPr>
          <w:p w14:paraId="5A00E2F6">
            <w:pPr>
              <w:pStyle w:val="15"/>
              <w:spacing w:line="600" w:lineRule="exact"/>
              <w:rPr>
                <w:rFonts w:hint="eastAsia" w:hAnsi="宋体" w:cs="Courier New"/>
                <w:color w:val="auto"/>
                <w:kern w:val="2"/>
                <w:sz w:val="24"/>
                <w:szCs w:val="24"/>
                <w:highlight w:val="none"/>
                <w:lang w:val="en-US" w:eastAsia="zh-CN"/>
              </w:rPr>
            </w:pPr>
          </w:p>
        </w:tc>
      </w:tr>
      <w:tr w14:paraId="2141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A3E0A62">
            <w:pPr>
              <w:pStyle w:val="15"/>
              <w:spacing w:line="600" w:lineRule="exact"/>
              <w:rPr>
                <w:rFonts w:hint="eastAsia" w:hAnsi="宋体" w:cs="Courier New"/>
                <w:color w:val="auto"/>
                <w:kern w:val="2"/>
                <w:sz w:val="24"/>
                <w:szCs w:val="24"/>
                <w:highlight w:val="none"/>
                <w:lang w:val="en-US" w:eastAsia="zh-CN"/>
              </w:rPr>
            </w:pPr>
          </w:p>
        </w:tc>
        <w:tc>
          <w:tcPr>
            <w:tcW w:w="2143" w:type="dxa"/>
          </w:tcPr>
          <w:p w14:paraId="588630E0">
            <w:pPr>
              <w:pStyle w:val="15"/>
              <w:spacing w:line="600" w:lineRule="exact"/>
              <w:rPr>
                <w:rFonts w:hint="eastAsia" w:hAnsi="宋体" w:cs="Courier New"/>
                <w:color w:val="auto"/>
                <w:kern w:val="2"/>
                <w:sz w:val="24"/>
                <w:szCs w:val="24"/>
                <w:highlight w:val="none"/>
                <w:lang w:val="en-US" w:eastAsia="zh-CN"/>
              </w:rPr>
            </w:pPr>
          </w:p>
        </w:tc>
        <w:tc>
          <w:tcPr>
            <w:tcW w:w="1834" w:type="dxa"/>
          </w:tcPr>
          <w:p w14:paraId="45CA059D">
            <w:pPr>
              <w:pStyle w:val="15"/>
              <w:spacing w:line="600" w:lineRule="exact"/>
              <w:rPr>
                <w:rFonts w:hint="eastAsia" w:hAnsi="宋体" w:cs="Courier New"/>
                <w:color w:val="auto"/>
                <w:kern w:val="2"/>
                <w:sz w:val="24"/>
                <w:szCs w:val="24"/>
                <w:highlight w:val="none"/>
                <w:lang w:val="en-US" w:eastAsia="zh-CN"/>
              </w:rPr>
            </w:pPr>
          </w:p>
        </w:tc>
        <w:tc>
          <w:tcPr>
            <w:tcW w:w="2181" w:type="dxa"/>
          </w:tcPr>
          <w:p w14:paraId="5E7D0D46">
            <w:pPr>
              <w:pStyle w:val="15"/>
              <w:spacing w:line="600" w:lineRule="exact"/>
              <w:rPr>
                <w:rFonts w:hint="eastAsia" w:hAnsi="宋体" w:cs="Courier New"/>
                <w:color w:val="auto"/>
                <w:kern w:val="2"/>
                <w:sz w:val="24"/>
                <w:szCs w:val="24"/>
                <w:highlight w:val="none"/>
                <w:lang w:val="en-US" w:eastAsia="zh-CN"/>
              </w:rPr>
            </w:pPr>
          </w:p>
        </w:tc>
        <w:tc>
          <w:tcPr>
            <w:tcW w:w="1934" w:type="dxa"/>
          </w:tcPr>
          <w:p w14:paraId="76B08B5D">
            <w:pPr>
              <w:pStyle w:val="15"/>
              <w:spacing w:line="600" w:lineRule="exact"/>
              <w:rPr>
                <w:rFonts w:hint="eastAsia" w:hAnsi="宋体" w:cs="Courier New"/>
                <w:color w:val="auto"/>
                <w:kern w:val="2"/>
                <w:sz w:val="24"/>
                <w:szCs w:val="24"/>
                <w:highlight w:val="none"/>
                <w:lang w:val="en-US" w:eastAsia="zh-CN"/>
              </w:rPr>
            </w:pPr>
          </w:p>
        </w:tc>
      </w:tr>
      <w:tr w14:paraId="67A2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5054B67">
            <w:pPr>
              <w:pStyle w:val="15"/>
              <w:spacing w:line="600" w:lineRule="exact"/>
              <w:rPr>
                <w:rFonts w:hint="eastAsia" w:hAnsi="宋体" w:cs="Courier New"/>
                <w:color w:val="auto"/>
                <w:kern w:val="2"/>
                <w:sz w:val="24"/>
                <w:szCs w:val="24"/>
                <w:highlight w:val="none"/>
                <w:lang w:val="en-US" w:eastAsia="zh-CN"/>
              </w:rPr>
            </w:pPr>
          </w:p>
        </w:tc>
        <w:tc>
          <w:tcPr>
            <w:tcW w:w="2143" w:type="dxa"/>
          </w:tcPr>
          <w:p w14:paraId="131A64F3">
            <w:pPr>
              <w:pStyle w:val="15"/>
              <w:spacing w:line="600" w:lineRule="exact"/>
              <w:rPr>
                <w:rFonts w:hint="eastAsia" w:hAnsi="宋体" w:cs="Courier New"/>
                <w:color w:val="auto"/>
                <w:kern w:val="2"/>
                <w:sz w:val="24"/>
                <w:szCs w:val="24"/>
                <w:highlight w:val="none"/>
                <w:lang w:val="en-US" w:eastAsia="zh-CN"/>
              </w:rPr>
            </w:pPr>
          </w:p>
        </w:tc>
        <w:tc>
          <w:tcPr>
            <w:tcW w:w="1834" w:type="dxa"/>
          </w:tcPr>
          <w:p w14:paraId="7BA6EE36">
            <w:pPr>
              <w:pStyle w:val="15"/>
              <w:spacing w:line="600" w:lineRule="exact"/>
              <w:rPr>
                <w:rFonts w:hint="eastAsia" w:hAnsi="宋体" w:cs="Courier New"/>
                <w:color w:val="auto"/>
                <w:kern w:val="2"/>
                <w:sz w:val="24"/>
                <w:szCs w:val="24"/>
                <w:highlight w:val="none"/>
                <w:lang w:val="en-US" w:eastAsia="zh-CN"/>
              </w:rPr>
            </w:pPr>
          </w:p>
        </w:tc>
        <w:tc>
          <w:tcPr>
            <w:tcW w:w="2181" w:type="dxa"/>
          </w:tcPr>
          <w:p w14:paraId="556C4383">
            <w:pPr>
              <w:pStyle w:val="15"/>
              <w:spacing w:line="600" w:lineRule="exact"/>
              <w:rPr>
                <w:rFonts w:hint="eastAsia" w:hAnsi="宋体" w:cs="Courier New"/>
                <w:color w:val="auto"/>
                <w:kern w:val="2"/>
                <w:sz w:val="24"/>
                <w:szCs w:val="24"/>
                <w:highlight w:val="none"/>
                <w:lang w:val="en-US" w:eastAsia="zh-CN"/>
              </w:rPr>
            </w:pPr>
          </w:p>
        </w:tc>
        <w:tc>
          <w:tcPr>
            <w:tcW w:w="1934" w:type="dxa"/>
          </w:tcPr>
          <w:p w14:paraId="5EC810FB">
            <w:pPr>
              <w:pStyle w:val="15"/>
              <w:spacing w:line="600" w:lineRule="exact"/>
              <w:rPr>
                <w:rFonts w:hint="eastAsia" w:hAnsi="宋体" w:cs="Courier New"/>
                <w:color w:val="auto"/>
                <w:kern w:val="2"/>
                <w:sz w:val="24"/>
                <w:szCs w:val="24"/>
                <w:highlight w:val="none"/>
                <w:lang w:val="en-US" w:eastAsia="zh-CN"/>
              </w:rPr>
            </w:pPr>
          </w:p>
        </w:tc>
      </w:tr>
      <w:tr w14:paraId="5C72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B6ED9DD">
            <w:pPr>
              <w:pStyle w:val="15"/>
              <w:spacing w:line="600" w:lineRule="exact"/>
              <w:rPr>
                <w:rFonts w:hint="eastAsia" w:hAnsi="宋体" w:cs="Courier New"/>
                <w:color w:val="auto"/>
                <w:kern w:val="2"/>
                <w:sz w:val="24"/>
                <w:szCs w:val="24"/>
                <w:highlight w:val="none"/>
                <w:lang w:val="en-US" w:eastAsia="zh-CN"/>
              </w:rPr>
            </w:pPr>
          </w:p>
        </w:tc>
        <w:tc>
          <w:tcPr>
            <w:tcW w:w="2143" w:type="dxa"/>
          </w:tcPr>
          <w:p w14:paraId="07801A25">
            <w:pPr>
              <w:pStyle w:val="15"/>
              <w:spacing w:line="600" w:lineRule="exact"/>
              <w:rPr>
                <w:rFonts w:hint="eastAsia" w:hAnsi="宋体" w:cs="Courier New"/>
                <w:color w:val="auto"/>
                <w:kern w:val="2"/>
                <w:sz w:val="24"/>
                <w:szCs w:val="24"/>
                <w:highlight w:val="none"/>
                <w:lang w:val="en-US" w:eastAsia="zh-CN"/>
              </w:rPr>
            </w:pPr>
          </w:p>
        </w:tc>
        <w:tc>
          <w:tcPr>
            <w:tcW w:w="1834" w:type="dxa"/>
          </w:tcPr>
          <w:p w14:paraId="3BA0F032">
            <w:pPr>
              <w:pStyle w:val="15"/>
              <w:spacing w:line="600" w:lineRule="exact"/>
              <w:rPr>
                <w:rFonts w:hint="eastAsia" w:hAnsi="宋体" w:cs="Courier New"/>
                <w:color w:val="auto"/>
                <w:kern w:val="2"/>
                <w:sz w:val="24"/>
                <w:szCs w:val="24"/>
                <w:highlight w:val="none"/>
                <w:lang w:val="en-US" w:eastAsia="zh-CN"/>
              </w:rPr>
            </w:pPr>
          </w:p>
        </w:tc>
        <w:tc>
          <w:tcPr>
            <w:tcW w:w="2181" w:type="dxa"/>
          </w:tcPr>
          <w:p w14:paraId="56EFF431">
            <w:pPr>
              <w:pStyle w:val="15"/>
              <w:spacing w:line="600" w:lineRule="exact"/>
              <w:rPr>
                <w:rFonts w:hint="eastAsia" w:hAnsi="宋体" w:cs="Courier New"/>
                <w:color w:val="auto"/>
                <w:kern w:val="2"/>
                <w:sz w:val="24"/>
                <w:szCs w:val="24"/>
                <w:highlight w:val="none"/>
                <w:lang w:val="en-US" w:eastAsia="zh-CN"/>
              </w:rPr>
            </w:pPr>
          </w:p>
        </w:tc>
        <w:tc>
          <w:tcPr>
            <w:tcW w:w="1934" w:type="dxa"/>
          </w:tcPr>
          <w:p w14:paraId="1CE12F2F">
            <w:pPr>
              <w:pStyle w:val="15"/>
              <w:spacing w:line="600" w:lineRule="exact"/>
              <w:rPr>
                <w:rFonts w:hint="eastAsia" w:hAnsi="宋体" w:cs="Courier New"/>
                <w:color w:val="auto"/>
                <w:kern w:val="2"/>
                <w:sz w:val="24"/>
                <w:szCs w:val="24"/>
                <w:highlight w:val="none"/>
                <w:lang w:val="en-US" w:eastAsia="zh-CN"/>
              </w:rPr>
            </w:pPr>
          </w:p>
        </w:tc>
      </w:tr>
      <w:tr w14:paraId="02C4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125E55C">
            <w:pPr>
              <w:pStyle w:val="15"/>
              <w:spacing w:line="600" w:lineRule="exact"/>
              <w:rPr>
                <w:rFonts w:hint="eastAsia" w:hAnsi="宋体" w:cs="Courier New"/>
                <w:color w:val="auto"/>
                <w:kern w:val="2"/>
                <w:sz w:val="24"/>
                <w:szCs w:val="24"/>
                <w:highlight w:val="none"/>
                <w:lang w:val="en-US" w:eastAsia="zh-CN"/>
              </w:rPr>
            </w:pPr>
          </w:p>
        </w:tc>
        <w:tc>
          <w:tcPr>
            <w:tcW w:w="2143" w:type="dxa"/>
          </w:tcPr>
          <w:p w14:paraId="66670937">
            <w:pPr>
              <w:pStyle w:val="15"/>
              <w:spacing w:line="600" w:lineRule="exact"/>
              <w:rPr>
                <w:rFonts w:hint="eastAsia" w:hAnsi="宋体" w:cs="Courier New"/>
                <w:color w:val="auto"/>
                <w:kern w:val="2"/>
                <w:sz w:val="24"/>
                <w:szCs w:val="24"/>
                <w:highlight w:val="none"/>
                <w:lang w:val="en-US" w:eastAsia="zh-CN"/>
              </w:rPr>
            </w:pPr>
          </w:p>
        </w:tc>
        <w:tc>
          <w:tcPr>
            <w:tcW w:w="1834" w:type="dxa"/>
          </w:tcPr>
          <w:p w14:paraId="6F370BC7">
            <w:pPr>
              <w:pStyle w:val="15"/>
              <w:spacing w:line="600" w:lineRule="exact"/>
              <w:rPr>
                <w:rFonts w:hint="eastAsia" w:hAnsi="宋体" w:cs="Courier New"/>
                <w:color w:val="auto"/>
                <w:kern w:val="2"/>
                <w:sz w:val="24"/>
                <w:szCs w:val="24"/>
                <w:highlight w:val="none"/>
                <w:lang w:val="en-US" w:eastAsia="zh-CN"/>
              </w:rPr>
            </w:pPr>
          </w:p>
        </w:tc>
        <w:tc>
          <w:tcPr>
            <w:tcW w:w="2181" w:type="dxa"/>
          </w:tcPr>
          <w:p w14:paraId="59F197F7">
            <w:pPr>
              <w:pStyle w:val="15"/>
              <w:spacing w:line="600" w:lineRule="exact"/>
              <w:rPr>
                <w:rFonts w:hint="eastAsia" w:hAnsi="宋体" w:cs="Courier New"/>
                <w:color w:val="auto"/>
                <w:kern w:val="2"/>
                <w:sz w:val="24"/>
                <w:szCs w:val="24"/>
                <w:highlight w:val="none"/>
                <w:lang w:val="en-US" w:eastAsia="zh-CN"/>
              </w:rPr>
            </w:pPr>
          </w:p>
        </w:tc>
        <w:tc>
          <w:tcPr>
            <w:tcW w:w="1934" w:type="dxa"/>
          </w:tcPr>
          <w:p w14:paraId="0205D56B">
            <w:pPr>
              <w:pStyle w:val="15"/>
              <w:spacing w:line="600" w:lineRule="exact"/>
              <w:rPr>
                <w:rFonts w:hint="eastAsia" w:hAnsi="宋体" w:cs="Courier New"/>
                <w:color w:val="auto"/>
                <w:kern w:val="2"/>
                <w:sz w:val="24"/>
                <w:szCs w:val="24"/>
                <w:highlight w:val="none"/>
                <w:lang w:val="en-US" w:eastAsia="zh-CN"/>
              </w:rPr>
            </w:pPr>
          </w:p>
        </w:tc>
      </w:tr>
      <w:tr w14:paraId="0893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840BFA4">
            <w:pPr>
              <w:pStyle w:val="15"/>
              <w:spacing w:line="600" w:lineRule="exact"/>
              <w:rPr>
                <w:rFonts w:hint="eastAsia" w:hAnsi="宋体" w:cs="Courier New"/>
                <w:color w:val="auto"/>
                <w:kern w:val="2"/>
                <w:sz w:val="24"/>
                <w:szCs w:val="24"/>
                <w:highlight w:val="none"/>
                <w:lang w:val="en-US" w:eastAsia="zh-CN"/>
              </w:rPr>
            </w:pPr>
          </w:p>
        </w:tc>
        <w:tc>
          <w:tcPr>
            <w:tcW w:w="2143" w:type="dxa"/>
          </w:tcPr>
          <w:p w14:paraId="5120157B">
            <w:pPr>
              <w:pStyle w:val="15"/>
              <w:spacing w:line="600" w:lineRule="exact"/>
              <w:rPr>
                <w:rFonts w:hint="eastAsia" w:hAnsi="宋体" w:cs="Courier New"/>
                <w:color w:val="auto"/>
                <w:kern w:val="2"/>
                <w:sz w:val="24"/>
                <w:szCs w:val="24"/>
                <w:highlight w:val="none"/>
                <w:lang w:val="en-US" w:eastAsia="zh-CN"/>
              </w:rPr>
            </w:pPr>
          </w:p>
        </w:tc>
        <w:tc>
          <w:tcPr>
            <w:tcW w:w="1834" w:type="dxa"/>
          </w:tcPr>
          <w:p w14:paraId="149DFA24">
            <w:pPr>
              <w:pStyle w:val="15"/>
              <w:spacing w:line="600" w:lineRule="exact"/>
              <w:rPr>
                <w:rFonts w:hint="eastAsia" w:hAnsi="宋体" w:cs="Courier New"/>
                <w:color w:val="auto"/>
                <w:kern w:val="2"/>
                <w:sz w:val="24"/>
                <w:szCs w:val="24"/>
                <w:highlight w:val="none"/>
                <w:lang w:val="en-US" w:eastAsia="zh-CN"/>
              </w:rPr>
            </w:pPr>
          </w:p>
        </w:tc>
        <w:tc>
          <w:tcPr>
            <w:tcW w:w="2181" w:type="dxa"/>
          </w:tcPr>
          <w:p w14:paraId="2F13848F">
            <w:pPr>
              <w:pStyle w:val="15"/>
              <w:spacing w:line="600" w:lineRule="exact"/>
              <w:rPr>
                <w:rFonts w:hint="eastAsia" w:hAnsi="宋体" w:cs="Courier New"/>
                <w:color w:val="auto"/>
                <w:kern w:val="2"/>
                <w:sz w:val="24"/>
                <w:szCs w:val="24"/>
                <w:highlight w:val="none"/>
                <w:lang w:val="en-US" w:eastAsia="zh-CN"/>
              </w:rPr>
            </w:pPr>
          </w:p>
        </w:tc>
        <w:tc>
          <w:tcPr>
            <w:tcW w:w="1934" w:type="dxa"/>
          </w:tcPr>
          <w:p w14:paraId="7046A87B">
            <w:pPr>
              <w:pStyle w:val="15"/>
              <w:spacing w:line="600" w:lineRule="exact"/>
              <w:rPr>
                <w:rFonts w:hint="eastAsia" w:hAnsi="宋体" w:cs="Courier New"/>
                <w:color w:val="auto"/>
                <w:kern w:val="2"/>
                <w:sz w:val="24"/>
                <w:szCs w:val="24"/>
                <w:highlight w:val="none"/>
                <w:lang w:val="en-US" w:eastAsia="zh-CN"/>
              </w:rPr>
            </w:pPr>
          </w:p>
        </w:tc>
      </w:tr>
    </w:tbl>
    <w:p w14:paraId="294F96F3">
      <w:pPr>
        <w:pStyle w:val="11"/>
        <w:spacing w:line="360" w:lineRule="auto"/>
        <w:contextualSpacing/>
        <w:rPr>
          <w:rFonts w:hint="eastAsia" w:ascii="宋体" w:hAnsi="宋体"/>
          <w:color w:val="auto"/>
          <w:highlight w:val="none"/>
        </w:rPr>
      </w:pPr>
      <w:r>
        <w:rPr>
          <w:rFonts w:hint="eastAsia" w:ascii="宋体" w:hAnsi="宋体"/>
          <w:color w:val="auto"/>
          <w:highlight w:val="none"/>
        </w:rPr>
        <w:t>注：</w:t>
      </w:r>
    </w:p>
    <w:p w14:paraId="21B496CD">
      <w:pPr>
        <w:pStyle w:val="13"/>
        <w:spacing w:line="360" w:lineRule="auto"/>
        <w:ind w:firstLine="0" w:firstLineChars="0"/>
        <w:contextualSpacing/>
        <w:rPr>
          <w:rFonts w:hint="eastAsia" w:hAnsi="仿宋_GB2312" w:cs="仿宋_GB2312"/>
          <w:color w:val="auto"/>
          <w:szCs w:val="32"/>
          <w:highlight w:val="none"/>
        </w:rPr>
      </w:pPr>
      <w:r>
        <w:rPr>
          <w:rFonts w:hint="eastAsia" w:ascii="宋体" w:hAnsi="宋体" w:eastAsia="宋体"/>
          <w:color w:val="auto"/>
          <w:sz w:val="24"/>
          <w:szCs w:val="24"/>
          <w:highlight w:val="none"/>
        </w:rPr>
        <w:t>1.说明：应对照招标文件“第二章采购需求”中的技术要求逐条作明确的投标响应，并作出偏离说明。</w:t>
      </w:r>
    </w:p>
    <w:p w14:paraId="13877253">
      <w:pPr>
        <w:pStyle w:val="11"/>
        <w:spacing w:line="360" w:lineRule="auto"/>
        <w:contextualSpacing/>
        <w:rPr>
          <w:rFonts w:hint="eastAsia" w:ascii="宋体" w:hAnsi="宋体"/>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232D6135">
      <w:pPr>
        <w:pStyle w:val="11"/>
        <w:spacing w:line="360" w:lineRule="auto"/>
        <w:contextualSpacing/>
        <w:rPr>
          <w:rFonts w:hint="eastAsia" w:ascii="宋体" w:hAnsi="宋体"/>
          <w:color w:val="auto"/>
          <w:spacing w:val="20"/>
          <w:highlight w:val="none"/>
        </w:rPr>
      </w:pPr>
    </w:p>
    <w:p w14:paraId="709FBC7D">
      <w:pPr>
        <w:spacing w:line="360" w:lineRule="auto"/>
        <w:contextualSpacing/>
        <w:rPr>
          <w:rFonts w:hint="eastAsia" w:ascii="宋体" w:hAnsi="宋体" w:eastAsia="宋体"/>
          <w:color w:val="auto"/>
          <w:spacing w:val="20"/>
          <w:sz w:val="24"/>
          <w:highlight w:val="none"/>
          <w:u w:val="single"/>
          <w:lang w:eastAsia="zh-CN"/>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p>
    <w:p w14:paraId="5AD53768">
      <w:pPr>
        <w:spacing w:line="360" w:lineRule="auto"/>
        <w:contextualSpacing/>
        <w:rPr>
          <w:rFonts w:hint="eastAsia" w:ascii="宋体" w:hAnsi="宋体" w:eastAsia="宋体"/>
          <w:color w:val="auto"/>
          <w:spacing w:val="20"/>
          <w:sz w:val="24"/>
          <w:highlight w:val="none"/>
          <w:lang w:eastAsia="zh-CN"/>
        </w:rPr>
      </w:pPr>
      <w:r>
        <w:rPr>
          <w:rFonts w:hint="eastAsia" w:ascii="宋体" w:hAnsi="宋体"/>
          <w:color w:val="auto"/>
          <w:spacing w:val="20"/>
          <w:sz w:val="24"/>
          <w:highlight w:val="none"/>
        </w:rPr>
        <w:t>投标人名称（电子签章）：</w:t>
      </w:r>
    </w:p>
    <w:p w14:paraId="08B5D449">
      <w:pPr>
        <w:spacing w:line="360" w:lineRule="auto"/>
        <w:contextualSpacing/>
        <w:rPr>
          <w:rFonts w:hint="eastAsia" w:ascii="宋体" w:hAnsi="宋体" w:eastAsia="宋体"/>
          <w:color w:val="auto"/>
          <w:sz w:val="24"/>
          <w:szCs w:val="20"/>
          <w:highlight w:val="none"/>
          <w:lang w:eastAsia="zh-CN"/>
        </w:rPr>
      </w:pPr>
      <w:r>
        <w:rPr>
          <w:rFonts w:hint="eastAsia" w:ascii="宋体" w:hAnsi="宋体"/>
          <w:color w:val="auto"/>
          <w:spacing w:val="20"/>
          <w:sz w:val="24"/>
          <w:highlight w:val="none"/>
        </w:rPr>
        <w:t>日期：</w:t>
      </w:r>
    </w:p>
    <w:p w14:paraId="4CA2361F">
      <w:pPr>
        <w:spacing w:line="360" w:lineRule="auto"/>
        <w:contextualSpacing/>
        <w:rPr>
          <w:rFonts w:hint="eastAsia" w:ascii="宋体" w:hAnsi="宋体"/>
          <w:color w:val="auto"/>
          <w:spacing w:val="20"/>
          <w:sz w:val="24"/>
          <w:highlight w:val="none"/>
          <w:u w:val="single"/>
        </w:rPr>
      </w:pPr>
    </w:p>
    <w:p w14:paraId="3B079CE8">
      <w:pPr>
        <w:spacing w:line="360" w:lineRule="auto"/>
        <w:contextualSpacing/>
        <w:rPr>
          <w:rFonts w:hint="eastAsia" w:ascii="宋体" w:hAnsi="宋体"/>
          <w:color w:val="auto"/>
          <w:spacing w:val="20"/>
          <w:sz w:val="24"/>
          <w:highlight w:val="none"/>
          <w:u w:val="single"/>
        </w:rPr>
      </w:pPr>
    </w:p>
    <w:p w14:paraId="67DF52ED">
      <w:pPr>
        <w:spacing w:line="360" w:lineRule="auto"/>
        <w:contextualSpacing/>
        <w:rPr>
          <w:rFonts w:hint="eastAsia" w:ascii="宋体" w:hAnsi="宋体"/>
          <w:color w:val="auto"/>
          <w:spacing w:val="20"/>
          <w:sz w:val="24"/>
          <w:highlight w:val="none"/>
          <w:u w:val="single"/>
        </w:rPr>
      </w:pPr>
    </w:p>
    <w:p w14:paraId="152BE5E4">
      <w:pPr>
        <w:spacing w:line="360" w:lineRule="auto"/>
        <w:contextualSpacing/>
        <w:rPr>
          <w:rFonts w:hint="eastAsia" w:ascii="宋体" w:hAnsi="宋体"/>
          <w:color w:val="auto"/>
          <w:spacing w:val="20"/>
          <w:sz w:val="24"/>
          <w:highlight w:val="none"/>
          <w:u w:val="single"/>
        </w:rPr>
      </w:pPr>
    </w:p>
    <w:p w14:paraId="3E948B51">
      <w:pPr>
        <w:spacing w:line="360" w:lineRule="auto"/>
        <w:contextualSpacing/>
        <w:rPr>
          <w:rFonts w:hint="eastAsia" w:ascii="宋体" w:hAnsi="宋体"/>
          <w:color w:val="auto"/>
          <w:spacing w:val="20"/>
          <w:sz w:val="24"/>
          <w:highlight w:val="none"/>
          <w:u w:val="single"/>
        </w:rPr>
      </w:pPr>
    </w:p>
    <w:p w14:paraId="21616D0F">
      <w:pPr>
        <w:spacing w:line="360" w:lineRule="auto"/>
        <w:contextualSpacing/>
        <w:rPr>
          <w:rFonts w:hint="eastAsia" w:ascii="宋体" w:hAnsi="宋体"/>
          <w:color w:val="auto"/>
          <w:spacing w:val="20"/>
          <w:sz w:val="24"/>
          <w:highlight w:val="none"/>
          <w:u w:val="single"/>
        </w:rPr>
      </w:pPr>
    </w:p>
    <w:p w14:paraId="7218CB25">
      <w:pPr>
        <w:keepNext w:val="0"/>
        <w:keepLines w:val="0"/>
        <w:widowControl/>
        <w:suppressLineNumbers w:val="0"/>
        <w:jc w:val="left"/>
        <w:outlineLvl w:val="2"/>
        <w:rPr>
          <w:color w:val="auto"/>
          <w:highlight w:val="none"/>
        </w:rPr>
      </w:pPr>
      <w:r>
        <w:rPr>
          <w:rFonts w:hint="eastAsia" w:ascii="宋体" w:hAnsi="宋体" w:cs="宋体"/>
          <w:b/>
          <w:bCs/>
          <w:color w:val="auto"/>
          <w:kern w:val="0"/>
          <w:sz w:val="24"/>
          <w:szCs w:val="24"/>
          <w:highlight w:val="none"/>
          <w:lang w:val="en-US" w:eastAsia="zh-CN" w:bidi="ar"/>
        </w:rPr>
        <w:t>4</w:t>
      </w:r>
      <w:r>
        <w:rPr>
          <w:rFonts w:hint="eastAsia" w:ascii="宋体" w:hAnsi="宋体" w:eastAsia="宋体" w:cs="宋体"/>
          <w:b/>
          <w:bCs/>
          <w:color w:val="auto"/>
          <w:kern w:val="0"/>
          <w:sz w:val="24"/>
          <w:szCs w:val="24"/>
          <w:highlight w:val="none"/>
          <w:lang w:val="en-US" w:eastAsia="zh-CN" w:bidi="ar"/>
        </w:rPr>
        <w:t xml:space="preserve">. 项目实施人员一览表格式 </w:t>
      </w:r>
    </w:p>
    <w:p w14:paraId="4B7F140C">
      <w:pPr>
        <w:keepNext w:val="0"/>
        <w:keepLines w:val="0"/>
        <w:widowControl/>
        <w:suppressLineNumbers w:val="0"/>
        <w:ind w:firstLine="3112" w:firstLineChars="1000"/>
        <w:jc w:val="left"/>
        <w:rPr>
          <w:color w:val="auto"/>
          <w:highlight w:val="none"/>
        </w:rPr>
      </w:pPr>
      <w:r>
        <w:rPr>
          <w:rFonts w:hint="eastAsia" w:ascii="宋体" w:hAnsi="宋体" w:eastAsia="宋体" w:cs="宋体"/>
          <w:b/>
          <w:bCs/>
          <w:color w:val="auto"/>
          <w:kern w:val="0"/>
          <w:sz w:val="31"/>
          <w:szCs w:val="31"/>
          <w:highlight w:val="none"/>
          <w:lang w:val="en-US" w:eastAsia="zh-CN" w:bidi="ar"/>
        </w:rPr>
        <w:t xml:space="preserve">项目实施人员一览表 </w:t>
      </w:r>
    </w:p>
    <w:p w14:paraId="3624AACE">
      <w:pPr>
        <w:spacing w:line="360" w:lineRule="auto"/>
        <w:contextualSpacing/>
        <w:rPr>
          <w:rFonts w:hint="eastAsia" w:ascii="宋体" w:hAnsi="宋体"/>
          <w:color w:val="auto"/>
          <w:spacing w:val="20"/>
          <w:sz w:val="24"/>
          <w:highlight w:val="none"/>
          <w:u w:val="single"/>
        </w:rPr>
      </w:pPr>
      <w:r>
        <w:rPr>
          <w:rFonts w:hint="eastAsia" w:ascii="宋体" w:hAnsi="宋体"/>
          <w:color w:val="auto"/>
          <w:spacing w:val="20"/>
          <w:sz w:val="24"/>
          <w:highlight w:val="none"/>
          <w:u w:val="single"/>
          <w:lang w:val="en-US" w:eastAsia="zh-CN"/>
        </w:rPr>
        <w:t>所投分标： 分标</w:t>
      </w:r>
    </w:p>
    <w:tbl>
      <w:tblPr>
        <w:tblStyle w:val="34"/>
        <w:tblW w:w="81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710"/>
        <w:gridCol w:w="1701"/>
        <w:gridCol w:w="1417"/>
        <w:gridCol w:w="1699"/>
        <w:gridCol w:w="1847"/>
      </w:tblGrid>
      <w:tr w14:paraId="69609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0" w:hRule="atLeast"/>
        </w:trPr>
        <w:tc>
          <w:tcPr>
            <w:tcW w:w="820" w:type="dxa"/>
          </w:tcPr>
          <w:p w14:paraId="4DF6E571">
            <w:pPr>
              <w:spacing w:line="279" w:lineRule="auto"/>
              <w:rPr>
                <w:rFonts w:hint="eastAsia" w:ascii="宋体" w:hAnsi="宋体" w:cs="宋体"/>
                <w:color w:val="auto"/>
                <w:sz w:val="21"/>
                <w:szCs w:val="21"/>
                <w:highlight w:val="none"/>
              </w:rPr>
            </w:pPr>
          </w:p>
          <w:p w14:paraId="3EF109D1">
            <w:pPr>
              <w:spacing w:line="280" w:lineRule="auto"/>
              <w:rPr>
                <w:rFonts w:hint="eastAsia" w:ascii="宋体" w:hAnsi="宋体" w:cs="宋体"/>
                <w:color w:val="auto"/>
                <w:sz w:val="21"/>
                <w:szCs w:val="21"/>
                <w:highlight w:val="none"/>
              </w:rPr>
            </w:pPr>
          </w:p>
          <w:p w14:paraId="17FAA1F4">
            <w:pPr>
              <w:pStyle w:val="35"/>
              <w:spacing w:before="69" w:line="221" w:lineRule="auto"/>
              <w:ind w:left="20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姓名</w:t>
            </w:r>
          </w:p>
        </w:tc>
        <w:tc>
          <w:tcPr>
            <w:tcW w:w="710" w:type="dxa"/>
          </w:tcPr>
          <w:p w14:paraId="1F0A1BE6">
            <w:pPr>
              <w:spacing w:line="279" w:lineRule="auto"/>
              <w:rPr>
                <w:rFonts w:hint="eastAsia" w:ascii="宋体" w:hAnsi="宋体" w:cs="宋体"/>
                <w:color w:val="auto"/>
                <w:sz w:val="21"/>
                <w:szCs w:val="21"/>
                <w:highlight w:val="none"/>
              </w:rPr>
            </w:pPr>
          </w:p>
          <w:p w14:paraId="6E4591C5">
            <w:pPr>
              <w:spacing w:line="280" w:lineRule="auto"/>
              <w:rPr>
                <w:rFonts w:hint="eastAsia" w:ascii="宋体" w:hAnsi="宋体" w:cs="宋体"/>
                <w:color w:val="auto"/>
                <w:sz w:val="21"/>
                <w:szCs w:val="21"/>
                <w:highlight w:val="none"/>
              </w:rPr>
            </w:pPr>
          </w:p>
          <w:p w14:paraId="2059EE3E">
            <w:pPr>
              <w:pStyle w:val="35"/>
              <w:spacing w:before="69" w:line="221" w:lineRule="auto"/>
              <w:ind w:left="14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职务</w:t>
            </w:r>
          </w:p>
        </w:tc>
        <w:tc>
          <w:tcPr>
            <w:tcW w:w="1701" w:type="dxa"/>
          </w:tcPr>
          <w:p w14:paraId="66E26C19">
            <w:pPr>
              <w:pStyle w:val="35"/>
              <w:spacing w:before="86" w:line="221" w:lineRule="auto"/>
              <w:ind w:left="22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专业技术资格</w:t>
            </w:r>
          </w:p>
          <w:p w14:paraId="5D7E5FE8">
            <w:pPr>
              <w:pStyle w:val="35"/>
              <w:spacing w:before="20" w:line="222" w:lineRule="auto"/>
              <w:ind w:left="12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（职称）或者职</w:t>
            </w:r>
          </w:p>
          <w:p w14:paraId="460070C0">
            <w:pPr>
              <w:pStyle w:val="35"/>
              <w:spacing w:before="18" w:line="221" w:lineRule="auto"/>
              <w:ind w:left="1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业资格或者执业</w:t>
            </w:r>
          </w:p>
          <w:p w14:paraId="4AA6678C">
            <w:pPr>
              <w:pStyle w:val="35"/>
              <w:spacing w:before="22" w:line="221" w:lineRule="auto"/>
              <w:ind w:left="12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资格证或者其他</w:t>
            </w:r>
          </w:p>
          <w:p w14:paraId="4BF6616E">
            <w:pPr>
              <w:pStyle w:val="35"/>
              <w:spacing w:before="20" w:line="220" w:lineRule="auto"/>
              <w:ind w:left="6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证书</w:t>
            </w:r>
          </w:p>
        </w:tc>
        <w:tc>
          <w:tcPr>
            <w:tcW w:w="1417" w:type="dxa"/>
          </w:tcPr>
          <w:p w14:paraId="42688F4B">
            <w:pPr>
              <w:spacing w:line="280" w:lineRule="auto"/>
              <w:rPr>
                <w:rFonts w:hint="eastAsia" w:ascii="宋体" w:hAnsi="宋体" w:cs="宋体"/>
                <w:color w:val="auto"/>
                <w:sz w:val="21"/>
                <w:szCs w:val="21"/>
                <w:highlight w:val="none"/>
              </w:rPr>
            </w:pPr>
          </w:p>
          <w:p w14:paraId="21CA1C6C">
            <w:pPr>
              <w:spacing w:line="280" w:lineRule="auto"/>
              <w:rPr>
                <w:rFonts w:hint="eastAsia" w:ascii="宋体" w:hAnsi="宋体" w:cs="宋体"/>
                <w:color w:val="auto"/>
                <w:sz w:val="21"/>
                <w:szCs w:val="21"/>
                <w:highlight w:val="none"/>
              </w:rPr>
            </w:pPr>
          </w:p>
          <w:p w14:paraId="466C2530">
            <w:pPr>
              <w:pStyle w:val="35"/>
              <w:spacing w:before="68" w:line="220" w:lineRule="auto"/>
              <w:ind w:left="2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证书编号</w:t>
            </w:r>
          </w:p>
        </w:tc>
        <w:tc>
          <w:tcPr>
            <w:tcW w:w="1699" w:type="dxa"/>
          </w:tcPr>
          <w:p w14:paraId="7A5A2637">
            <w:pPr>
              <w:spacing w:line="365" w:lineRule="auto"/>
              <w:rPr>
                <w:rFonts w:hint="eastAsia" w:ascii="宋体" w:hAnsi="宋体" w:cs="宋体"/>
                <w:color w:val="auto"/>
                <w:sz w:val="21"/>
                <w:szCs w:val="21"/>
                <w:highlight w:val="none"/>
              </w:rPr>
            </w:pPr>
          </w:p>
          <w:p w14:paraId="5CABC053">
            <w:pPr>
              <w:pStyle w:val="35"/>
              <w:spacing w:before="68" w:line="346" w:lineRule="auto"/>
              <w:ind w:left="439" w:right="317" w:hanging="10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参加本单位工作时间</w:t>
            </w:r>
          </w:p>
        </w:tc>
        <w:tc>
          <w:tcPr>
            <w:tcW w:w="1847" w:type="dxa"/>
          </w:tcPr>
          <w:p w14:paraId="4718F979">
            <w:pPr>
              <w:spacing w:line="279" w:lineRule="auto"/>
              <w:rPr>
                <w:rFonts w:hint="eastAsia" w:ascii="宋体" w:hAnsi="宋体" w:cs="宋体"/>
                <w:color w:val="auto"/>
                <w:sz w:val="21"/>
                <w:szCs w:val="21"/>
                <w:highlight w:val="none"/>
              </w:rPr>
            </w:pPr>
          </w:p>
          <w:p w14:paraId="3E1E3CBE">
            <w:pPr>
              <w:spacing w:line="280" w:lineRule="auto"/>
              <w:rPr>
                <w:rFonts w:hint="eastAsia" w:ascii="宋体" w:hAnsi="宋体" w:cs="宋体"/>
                <w:color w:val="auto"/>
                <w:sz w:val="21"/>
                <w:szCs w:val="21"/>
                <w:highlight w:val="none"/>
              </w:rPr>
            </w:pPr>
          </w:p>
          <w:p w14:paraId="299D408F">
            <w:pPr>
              <w:pStyle w:val="35"/>
              <w:spacing w:before="69" w:line="221" w:lineRule="auto"/>
              <w:ind w:left="30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劳动合同编号</w:t>
            </w:r>
          </w:p>
        </w:tc>
      </w:tr>
      <w:tr w14:paraId="131BE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20" w:type="dxa"/>
          </w:tcPr>
          <w:p w14:paraId="696C5C97">
            <w:pPr>
              <w:rPr>
                <w:rFonts w:ascii="Arial"/>
                <w:color w:val="auto"/>
                <w:sz w:val="21"/>
                <w:highlight w:val="none"/>
              </w:rPr>
            </w:pPr>
          </w:p>
        </w:tc>
        <w:tc>
          <w:tcPr>
            <w:tcW w:w="710" w:type="dxa"/>
          </w:tcPr>
          <w:p w14:paraId="46E3A32B">
            <w:pPr>
              <w:rPr>
                <w:rFonts w:ascii="Arial"/>
                <w:color w:val="auto"/>
                <w:sz w:val="21"/>
                <w:highlight w:val="none"/>
              </w:rPr>
            </w:pPr>
          </w:p>
        </w:tc>
        <w:tc>
          <w:tcPr>
            <w:tcW w:w="1701" w:type="dxa"/>
          </w:tcPr>
          <w:p w14:paraId="032B7020">
            <w:pPr>
              <w:rPr>
                <w:rFonts w:ascii="Arial"/>
                <w:color w:val="auto"/>
                <w:sz w:val="21"/>
                <w:highlight w:val="none"/>
              </w:rPr>
            </w:pPr>
          </w:p>
        </w:tc>
        <w:tc>
          <w:tcPr>
            <w:tcW w:w="1417" w:type="dxa"/>
          </w:tcPr>
          <w:p w14:paraId="033C50D5">
            <w:pPr>
              <w:rPr>
                <w:rFonts w:ascii="Arial"/>
                <w:color w:val="auto"/>
                <w:sz w:val="21"/>
                <w:highlight w:val="none"/>
              </w:rPr>
            </w:pPr>
          </w:p>
        </w:tc>
        <w:tc>
          <w:tcPr>
            <w:tcW w:w="1699" w:type="dxa"/>
          </w:tcPr>
          <w:p w14:paraId="3598007B">
            <w:pPr>
              <w:rPr>
                <w:rFonts w:ascii="Arial"/>
                <w:color w:val="auto"/>
                <w:sz w:val="21"/>
                <w:highlight w:val="none"/>
              </w:rPr>
            </w:pPr>
          </w:p>
        </w:tc>
        <w:tc>
          <w:tcPr>
            <w:tcW w:w="1847" w:type="dxa"/>
          </w:tcPr>
          <w:p w14:paraId="2A69FFA4">
            <w:pPr>
              <w:rPr>
                <w:rFonts w:ascii="Arial"/>
                <w:color w:val="auto"/>
                <w:sz w:val="21"/>
                <w:highlight w:val="none"/>
              </w:rPr>
            </w:pPr>
          </w:p>
        </w:tc>
      </w:tr>
      <w:tr w14:paraId="1DC17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20" w:type="dxa"/>
          </w:tcPr>
          <w:p w14:paraId="5AD8FF38">
            <w:pPr>
              <w:rPr>
                <w:rFonts w:ascii="Arial"/>
                <w:color w:val="auto"/>
                <w:sz w:val="21"/>
                <w:highlight w:val="none"/>
              </w:rPr>
            </w:pPr>
          </w:p>
        </w:tc>
        <w:tc>
          <w:tcPr>
            <w:tcW w:w="710" w:type="dxa"/>
          </w:tcPr>
          <w:p w14:paraId="46868AF0">
            <w:pPr>
              <w:rPr>
                <w:rFonts w:ascii="Arial"/>
                <w:color w:val="auto"/>
                <w:sz w:val="21"/>
                <w:highlight w:val="none"/>
              </w:rPr>
            </w:pPr>
          </w:p>
        </w:tc>
        <w:tc>
          <w:tcPr>
            <w:tcW w:w="1701" w:type="dxa"/>
          </w:tcPr>
          <w:p w14:paraId="55903149">
            <w:pPr>
              <w:rPr>
                <w:rFonts w:ascii="Arial"/>
                <w:color w:val="auto"/>
                <w:sz w:val="21"/>
                <w:highlight w:val="none"/>
              </w:rPr>
            </w:pPr>
          </w:p>
        </w:tc>
        <w:tc>
          <w:tcPr>
            <w:tcW w:w="1417" w:type="dxa"/>
          </w:tcPr>
          <w:p w14:paraId="6AB1B742">
            <w:pPr>
              <w:rPr>
                <w:rFonts w:ascii="Arial"/>
                <w:color w:val="auto"/>
                <w:sz w:val="21"/>
                <w:highlight w:val="none"/>
              </w:rPr>
            </w:pPr>
          </w:p>
        </w:tc>
        <w:tc>
          <w:tcPr>
            <w:tcW w:w="1699" w:type="dxa"/>
          </w:tcPr>
          <w:p w14:paraId="69DF9EFA">
            <w:pPr>
              <w:rPr>
                <w:rFonts w:ascii="Arial"/>
                <w:color w:val="auto"/>
                <w:sz w:val="21"/>
                <w:highlight w:val="none"/>
              </w:rPr>
            </w:pPr>
          </w:p>
        </w:tc>
        <w:tc>
          <w:tcPr>
            <w:tcW w:w="1847" w:type="dxa"/>
          </w:tcPr>
          <w:p w14:paraId="09B0F7A1">
            <w:pPr>
              <w:rPr>
                <w:rFonts w:ascii="Arial"/>
                <w:color w:val="auto"/>
                <w:sz w:val="21"/>
                <w:highlight w:val="none"/>
              </w:rPr>
            </w:pPr>
          </w:p>
        </w:tc>
      </w:tr>
      <w:tr w14:paraId="7C142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20" w:type="dxa"/>
          </w:tcPr>
          <w:p w14:paraId="2FA85933">
            <w:pPr>
              <w:rPr>
                <w:rFonts w:ascii="Arial"/>
                <w:color w:val="auto"/>
                <w:sz w:val="21"/>
                <w:highlight w:val="none"/>
              </w:rPr>
            </w:pPr>
          </w:p>
        </w:tc>
        <w:tc>
          <w:tcPr>
            <w:tcW w:w="710" w:type="dxa"/>
          </w:tcPr>
          <w:p w14:paraId="342FB9AF">
            <w:pPr>
              <w:rPr>
                <w:rFonts w:ascii="Arial"/>
                <w:color w:val="auto"/>
                <w:sz w:val="21"/>
                <w:highlight w:val="none"/>
              </w:rPr>
            </w:pPr>
          </w:p>
        </w:tc>
        <w:tc>
          <w:tcPr>
            <w:tcW w:w="1701" w:type="dxa"/>
          </w:tcPr>
          <w:p w14:paraId="4F964895">
            <w:pPr>
              <w:rPr>
                <w:rFonts w:ascii="Arial"/>
                <w:color w:val="auto"/>
                <w:sz w:val="21"/>
                <w:highlight w:val="none"/>
              </w:rPr>
            </w:pPr>
          </w:p>
        </w:tc>
        <w:tc>
          <w:tcPr>
            <w:tcW w:w="1417" w:type="dxa"/>
          </w:tcPr>
          <w:p w14:paraId="4A8C2BDD">
            <w:pPr>
              <w:rPr>
                <w:rFonts w:ascii="Arial"/>
                <w:color w:val="auto"/>
                <w:sz w:val="21"/>
                <w:highlight w:val="none"/>
              </w:rPr>
            </w:pPr>
          </w:p>
        </w:tc>
        <w:tc>
          <w:tcPr>
            <w:tcW w:w="1699" w:type="dxa"/>
          </w:tcPr>
          <w:p w14:paraId="28E38527">
            <w:pPr>
              <w:rPr>
                <w:rFonts w:ascii="Arial"/>
                <w:color w:val="auto"/>
                <w:sz w:val="21"/>
                <w:highlight w:val="none"/>
              </w:rPr>
            </w:pPr>
          </w:p>
        </w:tc>
        <w:tc>
          <w:tcPr>
            <w:tcW w:w="1847" w:type="dxa"/>
          </w:tcPr>
          <w:p w14:paraId="2E854218">
            <w:pPr>
              <w:rPr>
                <w:rFonts w:ascii="Arial"/>
                <w:color w:val="auto"/>
                <w:sz w:val="21"/>
                <w:highlight w:val="none"/>
              </w:rPr>
            </w:pPr>
          </w:p>
        </w:tc>
      </w:tr>
    </w:tbl>
    <w:p w14:paraId="4D2E91D7">
      <w:pPr>
        <w:spacing w:line="402" w:lineRule="auto"/>
        <w:rPr>
          <w:rFonts w:ascii="Arial"/>
          <w:color w:val="auto"/>
          <w:sz w:val="21"/>
          <w:highlight w:val="none"/>
        </w:rPr>
      </w:pPr>
    </w:p>
    <w:p w14:paraId="06722677">
      <w:pPr>
        <w:pStyle w:val="12"/>
        <w:spacing w:before="69" w:line="225" w:lineRule="auto"/>
        <w:ind w:left="121"/>
        <w:rPr>
          <w:color w:val="auto"/>
          <w:sz w:val="21"/>
          <w:szCs w:val="21"/>
          <w:highlight w:val="none"/>
        </w:rPr>
      </w:pPr>
      <w:r>
        <w:rPr>
          <w:color w:val="auto"/>
          <w:spacing w:val="-14"/>
          <w:sz w:val="21"/>
          <w:szCs w:val="21"/>
          <w:highlight w:val="none"/>
        </w:rPr>
        <w:t>注：</w:t>
      </w:r>
    </w:p>
    <w:p w14:paraId="2C8D3C64">
      <w:pPr>
        <w:pStyle w:val="12"/>
        <w:spacing w:before="152" w:line="220" w:lineRule="auto"/>
        <w:ind w:left="136"/>
        <w:rPr>
          <w:color w:val="auto"/>
          <w:sz w:val="21"/>
          <w:szCs w:val="21"/>
          <w:highlight w:val="none"/>
        </w:rPr>
      </w:pPr>
      <w:r>
        <w:rPr>
          <w:color w:val="auto"/>
          <w:sz w:val="21"/>
          <w:szCs w:val="21"/>
          <w:highlight w:val="none"/>
        </w:rPr>
        <w:t>1.在填写时，如本表格不适合投标单位的实际</w:t>
      </w:r>
      <w:r>
        <w:rPr>
          <w:color w:val="auto"/>
          <w:spacing w:val="-1"/>
          <w:sz w:val="21"/>
          <w:szCs w:val="21"/>
          <w:highlight w:val="none"/>
        </w:rPr>
        <w:t>情况，可根据本表格式自行制表填写。</w:t>
      </w:r>
    </w:p>
    <w:p w14:paraId="3B2AD8CC">
      <w:pPr>
        <w:pStyle w:val="12"/>
        <w:spacing w:before="157" w:line="220" w:lineRule="auto"/>
        <w:ind w:left="123"/>
        <w:rPr>
          <w:color w:val="auto"/>
          <w:sz w:val="21"/>
          <w:szCs w:val="21"/>
          <w:highlight w:val="none"/>
        </w:rPr>
      </w:pPr>
      <w:r>
        <w:rPr>
          <w:color w:val="auto"/>
          <w:sz w:val="21"/>
          <w:szCs w:val="21"/>
          <w:highlight w:val="none"/>
        </w:rPr>
        <w:t>2.投标人应当附本表所列证书的复印件并加盖投标人</w:t>
      </w:r>
      <w:r>
        <w:rPr>
          <w:color w:val="auto"/>
          <w:spacing w:val="-1"/>
          <w:sz w:val="21"/>
          <w:szCs w:val="21"/>
          <w:highlight w:val="none"/>
        </w:rPr>
        <w:t>电子签章。</w:t>
      </w:r>
    </w:p>
    <w:p w14:paraId="26A52F95">
      <w:pPr>
        <w:pStyle w:val="12"/>
        <w:spacing w:before="157" w:line="221" w:lineRule="auto"/>
        <w:ind w:left="121"/>
        <w:rPr>
          <w:color w:val="auto"/>
          <w:sz w:val="21"/>
          <w:szCs w:val="21"/>
          <w:highlight w:val="none"/>
        </w:rPr>
      </w:pPr>
      <w:r>
        <w:rPr>
          <w:color w:val="auto"/>
          <w:spacing w:val="7"/>
          <w:sz w:val="21"/>
          <w:szCs w:val="21"/>
          <w:highlight w:val="none"/>
        </w:rPr>
        <w:t>法定代表人或者委托代理人 （签字或者电子签</w:t>
      </w:r>
      <w:r>
        <w:rPr>
          <w:color w:val="auto"/>
          <w:spacing w:val="-44"/>
          <w:sz w:val="21"/>
          <w:szCs w:val="21"/>
          <w:highlight w:val="none"/>
        </w:rPr>
        <w:t xml:space="preserve"> </w:t>
      </w:r>
      <w:r>
        <w:rPr>
          <w:color w:val="auto"/>
          <w:spacing w:val="7"/>
          <w:sz w:val="21"/>
          <w:szCs w:val="21"/>
          <w:highlight w:val="none"/>
        </w:rPr>
        <w:t>名</w:t>
      </w:r>
      <w:r>
        <w:rPr>
          <w:color w:val="auto"/>
          <w:spacing w:val="1"/>
          <w:sz w:val="21"/>
          <w:szCs w:val="21"/>
          <w:highlight w:val="none"/>
        </w:rPr>
        <w:t>）：</w:t>
      </w:r>
      <w:r>
        <w:rPr>
          <w:color w:val="auto"/>
          <w:spacing w:val="4"/>
          <w:sz w:val="21"/>
          <w:szCs w:val="21"/>
          <w:highlight w:val="none"/>
        </w:rPr>
        <w:t xml:space="preserve"> </w:t>
      </w:r>
      <w:r>
        <w:rPr>
          <w:color w:val="auto"/>
          <w:sz w:val="21"/>
          <w:szCs w:val="21"/>
          <w:highlight w:val="none"/>
          <w:u w:val="single" w:color="auto"/>
        </w:rPr>
        <w:t xml:space="preserve">            </w:t>
      </w:r>
    </w:p>
    <w:p w14:paraId="744B4DAF">
      <w:pPr>
        <w:pStyle w:val="12"/>
        <w:spacing w:before="160" w:line="220" w:lineRule="auto"/>
        <w:ind w:left="123"/>
        <w:rPr>
          <w:color w:val="auto"/>
          <w:sz w:val="21"/>
          <w:szCs w:val="21"/>
          <w:highlight w:val="none"/>
        </w:rPr>
      </w:pPr>
      <w:r>
        <w:rPr>
          <w:color w:val="auto"/>
          <w:spacing w:val="26"/>
          <w:sz w:val="21"/>
          <w:szCs w:val="21"/>
          <w:highlight w:val="none"/>
        </w:rPr>
        <w:t>投标人名称（电子</w:t>
      </w:r>
      <w:r>
        <w:rPr>
          <w:color w:val="auto"/>
          <w:spacing w:val="-57"/>
          <w:sz w:val="21"/>
          <w:szCs w:val="21"/>
          <w:highlight w:val="none"/>
        </w:rPr>
        <w:t xml:space="preserve"> </w:t>
      </w:r>
      <w:r>
        <w:rPr>
          <w:color w:val="auto"/>
          <w:spacing w:val="26"/>
          <w:sz w:val="21"/>
          <w:szCs w:val="21"/>
          <w:highlight w:val="none"/>
        </w:rPr>
        <w:t>签</w:t>
      </w:r>
      <w:r>
        <w:rPr>
          <w:color w:val="auto"/>
          <w:spacing w:val="-49"/>
          <w:sz w:val="21"/>
          <w:szCs w:val="21"/>
          <w:highlight w:val="none"/>
        </w:rPr>
        <w:t xml:space="preserve"> </w:t>
      </w:r>
      <w:r>
        <w:rPr>
          <w:color w:val="auto"/>
          <w:spacing w:val="26"/>
          <w:sz w:val="21"/>
          <w:szCs w:val="21"/>
          <w:highlight w:val="none"/>
        </w:rPr>
        <w:t>章</w:t>
      </w:r>
      <w:r>
        <w:rPr>
          <w:color w:val="auto"/>
          <w:sz w:val="21"/>
          <w:szCs w:val="21"/>
          <w:highlight w:val="none"/>
        </w:rPr>
        <w:t>）：</w:t>
      </w:r>
      <w:r>
        <w:rPr>
          <w:color w:val="auto"/>
          <w:spacing w:val="-1"/>
          <w:sz w:val="21"/>
          <w:szCs w:val="21"/>
          <w:highlight w:val="none"/>
        </w:rPr>
        <w:t xml:space="preserve"> </w:t>
      </w:r>
      <w:r>
        <w:rPr>
          <w:color w:val="auto"/>
          <w:sz w:val="21"/>
          <w:szCs w:val="21"/>
          <w:highlight w:val="none"/>
          <w:u w:val="single" w:color="auto"/>
        </w:rPr>
        <w:t xml:space="preserve">                 </w:t>
      </w:r>
    </w:p>
    <w:p w14:paraId="0C3E234A">
      <w:pPr>
        <w:pStyle w:val="12"/>
        <w:spacing w:before="158" w:line="221" w:lineRule="auto"/>
        <w:ind w:left="157"/>
        <w:rPr>
          <w:color w:val="auto"/>
          <w:sz w:val="21"/>
          <w:szCs w:val="21"/>
          <w:highlight w:val="none"/>
        </w:rPr>
      </w:pPr>
      <w:r>
        <w:rPr>
          <w:color w:val="auto"/>
          <w:spacing w:val="-15"/>
          <w:sz w:val="21"/>
          <w:szCs w:val="21"/>
          <w:highlight w:val="none"/>
        </w:rPr>
        <w:t>日</w:t>
      </w:r>
      <w:r>
        <w:rPr>
          <w:color w:val="auto"/>
          <w:spacing w:val="88"/>
          <w:sz w:val="21"/>
          <w:szCs w:val="21"/>
          <w:highlight w:val="none"/>
        </w:rPr>
        <w:t xml:space="preserve"> </w:t>
      </w:r>
      <w:r>
        <w:rPr>
          <w:color w:val="auto"/>
          <w:spacing w:val="-15"/>
          <w:sz w:val="21"/>
          <w:szCs w:val="21"/>
          <w:highlight w:val="none"/>
        </w:rPr>
        <w:t>期：</w:t>
      </w:r>
      <w:r>
        <w:rPr>
          <w:color w:val="auto"/>
          <w:spacing w:val="-36"/>
          <w:sz w:val="21"/>
          <w:szCs w:val="21"/>
          <w:highlight w:val="none"/>
        </w:rPr>
        <w:t xml:space="preserve"> </w:t>
      </w:r>
      <w:r>
        <w:rPr>
          <w:color w:val="auto"/>
          <w:sz w:val="21"/>
          <w:szCs w:val="21"/>
          <w:highlight w:val="none"/>
          <w:u w:val="single" w:color="auto"/>
        </w:rPr>
        <w:t xml:space="preserve">             </w:t>
      </w:r>
    </w:p>
    <w:p w14:paraId="1EF41116">
      <w:pPr>
        <w:spacing w:line="360" w:lineRule="auto"/>
        <w:contextualSpacing/>
        <w:rPr>
          <w:rFonts w:hint="eastAsia" w:ascii="宋体" w:hAnsi="宋体"/>
          <w:color w:val="auto"/>
          <w:spacing w:val="20"/>
          <w:sz w:val="24"/>
          <w:highlight w:val="none"/>
          <w:u w:val="single"/>
        </w:rPr>
      </w:pPr>
    </w:p>
    <w:p w14:paraId="4CF58AFB">
      <w:pPr>
        <w:spacing w:line="360" w:lineRule="auto"/>
        <w:contextualSpacing/>
        <w:rPr>
          <w:rFonts w:hint="eastAsia" w:ascii="宋体" w:hAnsi="宋体"/>
          <w:color w:val="auto"/>
          <w:spacing w:val="20"/>
          <w:sz w:val="24"/>
          <w:highlight w:val="none"/>
          <w:u w:val="single"/>
        </w:rPr>
      </w:pPr>
    </w:p>
    <w:p w14:paraId="09DD3A57">
      <w:pPr>
        <w:spacing w:line="360" w:lineRule="auto"/>
        <w:contextualSpacing/>
        <w:rPr>
          <w:rFonts w:hint="eastAsia" w:ascii="宋体" w:hAnsi="宋体"/>
          <w:color w:val="auto"/>
          <w:spacing w:val="20"/>
          <w:sz w:val="24"/>
          <w:highlight w:val="none"/>
          <w:u w:val="single"/>
        </w:rPr>
      </w:pPr>
    </w:p>
    <w:p w14:paraId="1BDA80FD">
      <w:pPr>
        <w:spacing w:line="360" w:lineRule="auto"/>
        <w:contextualSpacing/>
        <w:rPr>
          <w:rFonts w:hint="eastAsia" w:ascii="宋体" w:hAnsi="宋体"/>
          <w:color w:val="auto"/>
          <w:spacing w:val="20"/>
          <w:sz w:val="24"/>
          <w:highlight w:val="none"/>
          <w:u w:val="single"/>
        </w:rPr>
      </w:pPr>
    </w:p>
    <w:p w14:paraId="4289F13C">
      <w:pPr>
        <w:spacing w:line="360" w:lineRule="auto"/>
        <w:contextualSpacing/>
        <w:rPr>
          <w:rFonts w:hint="eastAsia" w:ascii="宋体" w:hAnsi="宋体"/>
          <w:color w:val="auto"/>
          <w:spacing w:val="20"/>
          <w:sz w:val="24"/>
          <w:highlight w:val="none"/>
          <w:u w:val="single"/>
        </w:rPr>
      </w:pPr>
    </w:p>
    <w:p w14:paraId="0326E60B">
      <w:pPr>
        <w:spacing w:line="360" w:lineRule="auto"/>
        <w:contextualSpacing/>
        <w:rPr>
          <w:rFonts w:hint="eastAsia" w:ascii="宋体" w:hAnsi="宋体"/>
          <w:color w:val="auto"/>
          <w:spacing w:val="20"/>
          <w:sz w:val="24"/>
          <w:highlight w:val="none"/>
          <w:u w:val="single"/>
        </w:rPr>
      </w:pPr>
    </w:p>
    <w:p w14:paraId="54DA807E">
      <w:pPr>
        <w:spacing w:line="360" w:lineRule="auto"/>
        <w:contextualSpacing/>
        <w:rPr>
          <w:rFonts w:hint="eastAsia" w:ascii="宋体" w:hAnsi="宋体"/>
          <w:color w:val="auto"/>
          <w:spacing w:val="20"/>
          <w:sz w:val="24"/>
          <w:highlight w:val="none"/>
          <w:u w:val="single"/>
        </w:rPr>
      </w:pPr>
    </w:p>
    <w:p w14:paraId="0FB079DD">
      <w:pPr>
        <w:spacing w:line="360" w:lineRule="auto"/>
        <w:contextualSpacing/>
        <w:rPr>
          <w:rFonts w:hint="eastAsia" w:ascii="宋体" w:hAnsi="宋体"/>
          <w:color w:val="auto"/>
          <w:spacing w:val="20"/>
          <w:sz w:val="24"/>
          <w:highlight w:val="none"/>
          <w:u w:val="single"/>
        </w:rPr>
      </w:pPr>
    </w:p>
    <w:p w14:paraId="78778445">
      <w:pPr>
        <w:spacing w:line="360" w:lineRule="auto"/>
        <w:contextualSpacing/>
        <w:rPr>
          <w:rFonts w:hint="eastAsia" w:ascii="宋体" w:hAnsi="宋体"/>
          <w:color w:val="auto"/>
          <w:spacing w:val="20"/>
          <w:sz w:val="24"/>
          <w:highlight w:val="none"/>
          <w:u w:val="single"/>
        </w:rPr>
      </w:pPr>
    </w:p>
    <w:p w14:paraId="5385FEE0">
      <w:pPr>
        <w:spacing w:line="360" w:lineRule="auto"/>
        <w:contextualSpacing/>
        <w:rPr>
          <w:rFonts w:hint="eastAsia" w:ascii="宋体" w:hAnsi="宋体"/>
          <w:color w:val="auto"/>
          <w:spacing w:val="20"/>
          <w:sz w:val="24"/>
          <w:highlight w:val="none"/>
          <w:u w:val="single"/>
        </w:rPr>
      </w:pPr>
    </w:p>
    <w:p w14:paraId="0A847AAF">
      <w:pPr>
        <w:spacing w:line="360" w:lineRule="auto"/>
        <w:contextualSpacing/>
        <w:rPr>
          <w:rFonts w:hint="eastAsia" w:ascii="宋体" w:hAnsi="宋体"/>
          <w:color w:val="auto"/>
          <w:spacing w:val="20"/>
          <w:sz w:val="24"/>
          <w:highlight w:val="none"/>
          <w:u w:val="single"/>
        </w:rPr>
      </w:pPr>
    </w:p>
    <w:p w14:paraId="2D6E872C">
      <w:pPr>
        <w:spacing w:line="360" w:lineRule="auto"/>
        <w:contextualSpacing/>
        <w:rPr>
          <w:rFonts w:hint="eastAsia" w:ascii="宋体" w:hAnsi="宋体"/>
          <w:color w:val="auto"/>
          <w:spacing w:val="20"/>
          <w:sz w:val="24"/>
          <w:highlight w:val="none"/>
          <w:u w:val="single"/>
        </w:rPr>
      </w:pPr>
    </w:p>
    <w:p w14:paraId="566FBD79">
      <w:pPr>
        <w:spacing w:line="360" w:lineRule="auto"/>
        <w:contextualSpacing/>
        <w:rPr>
          <w:rFonts w:hint="eastAsia" w:ascii="宋体" w:hAnsi="宋体"/>
          <w:color w:val="auto"/>
          <w:spacing w:val="20"/>
          <w:sz w:val="24"/>
          <w:highlight w:val="none"/>
          <w:u w:val="single"/>
        </w:rPr>
      </w:pPr>
    </w:p>
    <w:p w14:paraId="0283AA8F">
      <w:pPr>
        <w:spacing w:line="360" w:lineRule="auto"/>
        <w:contextualSpacing/>
        <w:rPr>
          <w:rFonts w:hint="eastAsia" w:ascii="宋体" w:hAnsi="宋体"/>
          <w:color w:val="auto"/>
          <w:spacing w:val="20"/>
          <w:sz w:val="24"/>
          <w:highlight w:val="none"/>
          <w:u w:val="single"/>
        </w:rPr>
      </w:pPr>
    </w:p>
    <w:p w14:paraId="2C965639">
      <w:pPr>
        <w:spacing w:line="360" w:lineRule="auto"/>
        <w:contextualSpacing/>
        <w:rPr>
          <w:rFonts w:hint="eastAsia" w:ascii="宋体" w:hAnsi="宋体"/>
          <w:color w:val="auto"/>
          <w:sz w:val="24"/>
          <w:szCs w:val="20"/>
          <w:highlight w:val="none"/>
        </w:rPr>
      </w:pPr>
    </w:p>
    <w:p w14:paraId="369DC500">
      <w:pPr>
        <w:snapToGrid w:val="0"/>
        <w:spacing w:before="120" w:beforeLines="50" w:after="50"/>
        <w:ind w:left="142"/>
        <w:jc w:val="left"/>
        <w:rPr>
          <w:rFonts w:ascii="宋体" w:hAnsi="宋体"/>
          <w:b/>
          <w:color w:val="auto"/>
          <w:sz w:val="24"/>
          <w:highlight w:val="none"/>
        </w:rPr>
      </w:pPr>
      <w:r>
        <w:rPr>
          <w:rFonts w:hint="eastAsia"/>
          <w:b/>
          <w:color w:val="auto"/>
          <w:sz w:val="28"/>
          <w:szCs w:val="28"/>
          <w:highlight w:val="none"/>
        </w:rPr>
        <w:t>五、其他文书、文件格式</w:t>
      </w:r>
    </w:p>
    <w:p w14:paraId="6B7259A7">
      <w:pPr>
        <w:spacing w:line="360" w:lineRule="auto"/>
        <w:jc w:val="left"/>
        <w:rPr>
          <w:rFonts w:hint="eastAsia" w:ascii="宋体" w:hAnsi="宋体"/>
          <w:b/>
          <w:bCs/>
          <w:color w:val="auto"/>
          <w:sz w:val="32"/>
          <w:szCs w:val="32"/>
          <w:highlight w:val="none"/>
        </w:rPr>
      </w:pPr>
      <w:r>
        <w:rPr>
          <w:rFonts w:hint="eastAsia" w:ascii="宋体" w:hAnsi="宋体"/>
          <w:b/>
          <w:color w:val="auto"/>
          <w:sz w:val="24"/>
          <w:highlight w:val="none"/>
        </w:rPr>
        <w:t>1.质疑函（格式）</w:t>
      </w:r>
    </w:p>
    <w:p w14:paraId="33C7F4A1">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质疑函（格式）</w:t>
      </w:r>
    </w:p>
    <w:p w14:paraId="58DC9331">
      <w:pPr>
        <w:pStyle w:val="15"/>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一、质疑供应商基本信息：</w:t>
      </w:r>
    </w:p>
    <w:p w14:paraId="26A601A2">
      <w:pPr>
        <w:pStyle w:val="15"/>
        <w:snapToGrid w:val="0"/>
        <w:spacing w:line="360" w:lineRule="auto"/>
        <w:ind w:firstLine="480" w:firstLineChars="200"/>
        <w:rPr>
          <w:rFonts w:hint="eastAsia" w:hAnsi="宋体" w:eastAsia="宋体"/>
          <w:bCs/>
          <w:color w:val="auto"/>
          <w:sz w:val="24"/>
          <w:szCs w:val="24"/>
          <w:highlight w:val="none"/>
          <w:u w:val="single"/>
          <w:lang w:eastAsia="zh-CN"/>
        </w:rPr>
      </w:pPr>
      <w:r>
        <w:rPr>
          <w:rFonts w:hint="eastAsia" w:hAnsi="宋体"/>
          <w:bCs/>
          <w:color w:val="auto"/>
          <w:sz w:val="24"/>
          <w:szCs w:val="24"/>
          <w:highlight w:val="none"/>
        </w:rPr>
        <w:t>质疑供应商：</w:t>
      </w:r>
    </w:p>
    <w:p w14:paraId="1700ACCC">
      <w:pPr>
        <w:pStyle w:val="15"/>
        <w:snapToGrid w:val="0"/>
        <w:spacing w:line="360" w:lineRule="auto"/>
        <w:ind w:firstLine="480" w:firstLineChars="200"/>
        <w:rPr>
          <w:rFonts w:hint="eastAsia" w:hAnsi="宋体" w:eastAsia="宋体"/>
          <w:bCs/>
          <w:color w:val="auto"/>
          <w:sz w:val="24"/>
          <w:szCs w:val="24"/>
          <w:highlight w:val="non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5D151452">
      <w:pPr>
        <w:pStyle w:val="15"/>
        <w:snapToGrid w:val="0"/>
        <w:spacing w:line="360" w:lineRule="auto"/>
        <w:ind w:firstLine="480" w:firstLineChars="200"/>
        <w:rPr>
          <w:rFonts w:hint="eastAsia" w:hAnsi="宋体" w:eastAsia="宋体"/>
          <w:bCs/>
          <w:color w:val="auto"/>
          <w:sz w:val="24"/>
          <w:szCs w:val="24"/>
          <w:highlight w:val="none"/>
          <w:lang w:eastAsia="zh-CN"/>
        </w:rPr>
      </w:pPr>
      <w:r>
        <w:rPr>
          <w:rFonts w:hAnsi="宋体"/>
          <w:bCs/>
          <w:color w:val="auto"/>
          <w:sz w:val="24"/>
          <w:szCs w:val="24"/>
          <w:highlight w:val="none"/>
        </w:rPr>
        <w:t>联系人</w:t>
      </w:r>
      <w:r>
        <w:rPr>
          <w:rFonts w:hint="eastAsia" w:hAnsi="宋体"/>
          <w:bCs/>
          <w:color w:val="auto"/>
          <w:sz w:val="24"/>
          <w:szCs w:val="24"/>
          <w:highlight w:val="none"/>
        </w:rPr>
        <w:t>：</w:t>
      </w:r>
      <w:r>
        <w:rPr>
          <w:rFonts w:hAnsi="宋体"/>
          <w:bCs/>
          <w:color w:val="auto"/>
          <w:sz w:val="24"/>
          <w:szCs w:val="24"/>
          <w:highlight w:val="none"/>
        </w:rPr>
        <w:t>联系电话</w:t>
      </w:r>
      <w:r>
        <w:rPr>
          <w:rFonts w:hint="eastAsia" w:hAnsi="宋体"/>
          <w:bCs/>
          <w:color w:val="auto"/>
          <w:sz w:val="24"/>
          <w:szCs w:val="24"/>
          <w:highlight w:val="none"/>
        </w:rPr>
        <w:t>：</w:t>
      </w:r>
    </w:p>
    <w:p w14:paraId="1E2E1975">
      <w:pPr>
        <w:pStyle w:val="15"/>
        <w:snapToGrid w:val="0"/>
        <w:spacing w:line="360" w:lineRule="auto"/>
        <w:ind w:firstLine="480" w:firstLineChars="200"/>
        <w:rPr>
          <w:rFonts w:hint="eastAsia" w:hAnsi="宋体" w:eastAsia="宋体"/>
          <w:bCs/>
          <w:color w:val="auto"/>
          <w:sz w:val="24"/>
          <w:szCs w:val="24"/>
          <w:highlight w:val="none"/>
          <w:lang w:eastAsia="zh-CN"/>
        </w:rPr>
      </w:pPr>
      <w:r>
        <w:rPr>
          <w:rFonts w:hint="eastAsia" w:hAnsi="宋体"/>
          <w:bCs/>
          <w:color w:val="auto"/>
          <w:sz w:val="24"/>
          <w:szCs w:val="24"/>
          <w:highlight w:val="none"/>
        </w:rPr>
        <w:t>授权代表：</w:t>
      </w:r>
    </w:p>
    <w:p w14:paraId="1491D128">
      <w:pPr>
        <w:pStyle w:val="15"/>
        <w:snapToGrid w:val="0"/>
        <w:spacing w:line="360" w:lineRule="auto"/>
        <w:ind w:firstLine="480" w:firstLineChars="200"/>
        <w:rPr>
          <w:rFonts w:hint="eastAsia" w:hAnsi="宋体" w:eastAsia="宋体"/>
          <w:bCs/>
          <w:color w:val="auto"/>
          <w:sz w:val="24"/>
          <w:szCs w:val="24"/>
          <w:highlight w:val="none"/>
          <w:u w:val="single"/>
          <w:lang w:eastAsia="zh-CN"/>
        </w:rPr>
      </w:pPr>
      <w:r>
        <w:rPr>
          <w:rFonts w:hAnsi="宋体"/>
          <w:bCs/>
          <w:color w:val="auto"/>
          <w:sz w:val="24"/>
          <w:szCs w:val="24"/>
          <w:highlight w:val="none"/>
        </w:rPr>
        <w:t>联系</w:t>
      </w:r>
      <w:r>
        <w:rPr>
          <w:rFonts w:hint="eastAsia" w:hAnsi="宋体"/>
          <w:bCs/>
          <w:color w:val="auto"/>
          <w:sz w:val="24"/>
          <w:szCs w:val="24"/>
          <w:highlight w:val="none"/>
        </w:rPr>
        <w:t>电话：</w:t>
      </w:r>
    </w:p>
    <w:p w14:paraId="7EC91BAE">
      <w:pPr>
        <w:pStyle w:val="15"/>
        <w:snapToGrid w:val="0"/>
        <w:spacing w:line="360" w:lineRule="auto"/>
        <w:ind w:firstLine="480" w:firstLineChars="200"/>
        <w:rPr>
          <w:rFonts w:hint="eastAsia" w:hAnsi="宋体" w:eastAsia="宋体"/>
          <w:bCs/>
          <w:color w:val="auto"/>
          <w:sz w:val="24"/>
          <w:szCs w:val="24"/>
          <w:highlight w:val="non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21483A35">
      <w:pPr>
        <w:pStyle w:val="15"/>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3CBAA2D0">
      <w:pPr>
        <w:pStyle w:val="15"/>
        <w:spacing w:line="360" w:lineRule="auto"/>
        <w:ind w:left="25" w:leftChars="12" w:firstLine="472" w:firstLineChars="197"/>
        <w:rPr>
          <w:rFonts w:hint="eastAsia" w:hAnsi="宋体" w:eastAsia="宋体"/>
          <w:color w:val="auto"/>
          <w:sz w:val="24"/>
          <w:szCs w:val="24"/>
          <w:highlight w:val="none"/>
          <w:lang w:eastAsia="zh-CN"/>
        </w:rPr>
      </w:pPr>
      <w:r>
        <w:rPr>
          <w:rFonts w:hint="eastAsia" w:hAnsi="宋体"/>
          <w:bCs/>
          <w:color w:val="auto"/>
          <w:sz w:val="24"/>
          <w:szCs w:val="24"/>
          <w:highlight w:val="none"/>
        </w:rPr>
        <w:t>质疑</w:t>
      </w:r>
      <w:r>
        <w:rPr>
          <w:rFonts w:hint="eastAsia" w:hAnsi="宋体"/>
          <w:color w:val="auto"/>
          <w:sz w:val="24"/>
          <w:szCs w:val="24"/>
          <w:highlight w:val="none"/>
        </w:rPr>
        <w:t>项目的名称：</w:t>
      </w:r>
    </w:p>
    <w:p w14:paraId="5E180341">
      <w:pPr>
        <w:pStyle w:val="15"/>
        <w:spacing w:line="360" w:lineRule="auto"/>
        <w:ind w:left="25" w:leftChars="12" w:firstLine="472" w:firstLineChars="197"/>
        <w:rPr>
          <w:rFonts w:hint="eastAsia" w:hAnsi="宋体" w:eastAsia="宋体"/>
          <w:color w:val="auto"/>
          <w:sz w:val="24"/>
          <w:szCs w:val="24"/>
          <w:highlight w:val="none"/>
          <w:lang w:eastAsia="zh-CN"/>
        </w:rPr>
      </w:pPr>
      <w:r>
        <w:rPr>
          <w:rFonts w:hint="eastAsia" w:hAnsi="宋体"/>
          <w:bCs/>
          <w:color w:val="auto"/>
          <w:sz w:val="24"/>
          <w:szCs w:val="24"/>
          <w:highlight w:val="none"/>
        </w:rPr>
        <w:t>质疑</w:t>
      </w:r>
      <w:r>
        <w:rPr>
          <w:rFonts w:hint="eastAsia" w:hAnsi="宋体"/>
          <w:color w:val="auto"/>
          <w:sz w:val="24"/>
          <w:szCs w:val="24"/>
          <w:highlight w:val="none"/>
        </w:rPr>
        <w:t>项目的编号：</w:t>
      </w:r>
    </w:p>
    <w:p w14:paraId="549F643D">
      <w:pPr>
        <w:pStyle w:val="15"/>
        <w:spacing w:line="360" w:lineRule="auto"/>
        <w:ind w:left="25" w:leftChars="12" w:firstLine="472" w:firstLineChars="197"/>
        <w:rPr>
          <w:rFonts w:hint="eastAsia" w:hAnsi="宋体" w:eastAsia="宋体"/>
          <w:color w:val="auto"/>
          <w:sz w:val="24"/>
          <w:szCs w:val="24"/>
          <w:highlight w:val="none"/>
          <w:lang w:eastAsia="zh-CN"/>
        </w:rPr>
      </w:pPr>
      <w:r>
        <w:rPr>
          <w:rFonts w:hint="eastAsia" w:hAnsi="宋体"/>
          <w:color w:val="auto"/>
          <w:sz w:val="24"/>
          <w:szCs w:val="24"/>
          <w:highlight w:val="none"/>
        </w:rPr>
        <w:t>采购人名称：</w:t>
      </w:r>
    </w:p>
    <w:p w14:paraId="4A3A9E85">
      <w:pPr>
        <w:pStyle w:val="1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w:t>
      </w:r>
    </w:p>
    <w:p w14:paraId="689FC84D">
      <w:pPr>
        <w:pStyle w:val="15"/>
        <w:spacing w:line="360" w:lineRule="auto"/>
        <w:ind w:left="25" w:leftChars="12" w:firstLine="352" w:firstLineChars="147"/>
        <w:rPr>
          <w:rFonts w:hint="eastAsia" w:hAnsi="宋体" w:eastAsia="宋体"/>
          <w:color w:val="auto"/>
          <w:sz w:val="24"/>
          <w:szCs w:val="24"/>
          <w:highlight w:val="none"/>
          <w:lang w:eastAsia="zh-CN"/>
        </w:rPr>
      </w:pPr>
      <w:r>
        <w:rPr>
          <w:rFonts w:hint="eastAsia" w:hAnsi="宋体"/>
          <w:color w:val="auto"/>
          <w:sz w:val="24"/>
          <w:szCs w:val="24"/>
          <w:highlight w:val="none"/>
        </w:rPr>
        <w:t>□采购文件采购文件获取日期：</w:t>
      </w:r>
    </w:p>
    <w:p w14:paraId="6A63F551">
      <w:pPr>
        <w:pStyle w:val="15"/>
        <w:spacing w:line="360" w:lineRule="auto"/>
        <w:ind w:left="25" w:leftChars="12" w:firstLine="352" w:firstLineChars="147"/>
        <w:rPr>
          <w:rFonts w:hint="eastAsia" w:hAnsi="宋体" w:eastAsia="宋体"/>
          <w:color w:val="auto"/>
          <w:sz w:val="24"/>
          <w:szCs w:val="24"/>
          <w:highlight w:val="none"/>
          <w:lang w:eastAsia="zh-CN"/>
        </w:rPr>
      </w:pPr>
      <w:r>
        <w:rPr>
          <w:rFonts w:hint="eastAsia" w:hAnsi="宋体"/>
          <w:color w:val="auto"/>
          <w:sz w:val="24"/>
          <w:szCs w:val="24"/>
          <w:highlight w:val="none"/>
        </w:rPr>
        <w:t>□采购过程</w:t>
      </w:r>
    </w:p>
    <w:p w14:paraId="78D65B57">
      <w:pPr>
        <w:pStyle w:val="15"/>
        <w:spacing w:line="360" w:lineRule="auto"/>
        <w:ind w:left="25" w:leftChars="12" w:firstLine="352" w:firstLineChars="147"/>
        <w:rPr>
          <w:rFonts w:hint="eastAsia" w:hAnsi="宋体" w:eastAsia="宋体"/>
          <w:bCs/>
          <w:color w:val="auto"/>
          <w:sz w:val="24"/>
          <w:szCs w:val="24"/>
          <w:highlight w:val="none"/>
          <w:u w:val="single"/>
          <w:lang w:eastAsia="zh-CN"/>
        </w:rPr>
      </w:pPr>
      <w:r>
        <w:rPr>
          <w:rFonts w:hint="eastAsia" w:hAnsi="宋体"/>
          <w:color w:val="auto"/>
          <w:sz w:val="24"/>
          <w:szCs w:val="24"/>
          <w:highlight w:val="none"/>
        </w:rPr>
        <w:t>□采购结果</w:t>
      </w:r>
    </w:p>
    <w:p w14:paraId="3F08B541">
      <w:pPr>
        <w:pStyle w:val="15"/>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三、质疑事项具体内容</w:t>
      </w:r>
    </w:p>
    <w:p w14:paraId="3FF68065">
      <w:pPr>
        <w:pStyle w:val="15"/>
        <w:spacing w:line="360" w:lineRule="auto"/>
        <w:ind w:left="25" w:leftChars="12" w:firstLine="472" w:firstLineChars="197"/>
        <w:rPr>
          <w:rFonts w:hint="eastAsia" w:hAnsi="宋体" w:eastAsia="宋体"/>
          <w:color w:val="auto"/>
          <w:sz w:val="24"/>
          <w:szCs w:val="24"/>
          <w:highlight w:val="none"/>
          <w:lang w:eastAsia="zh-CN"/>
        </w:rPr>
      </w:pPr>
      <w:r>
        <w:rPr>
          <w:rFonts w:hint="eastAsia" w:hAnsi="宋体"/>
          <w:color w:val="auto"/>
          <w:sz w:val="24"/>
          <w:szCs w:val="24"/>
          <w:highlight w:val="none"/>
        </w:rPr>
        <w:t>质疑事项1：</w:t>
      </w:r>
    </w:p>
    <w:p w14:paraId="479B837E">
      <w:pPr>
        <w:pStyle w:val="15"/>
        <w:spacing w:line="360" w:lineRule="auto"/>
        <w:ind w:left="25" w:leftChars="12" w:firstLine="472" w:firstLineChars="197"/>
        <w:rPr>
          <w:rFonts w:hint="eastAsia" w:hAnsi="宋体" w:eastAsia="宋体"/>
          <w:color w:val="auto"/>
          <w:sz w:val="24"/>
          <w:szCs w:val="24"/>
          <w:highlight w:val="none"/>
          <w:lang w:eastAsia="zh-CN"/>
        </w:rPr>
      </w:pPr>
      <w:r>
        <w:rPr>
          <w:rFonts w:hint="eastAsia" w:hAnsi="宋体"/>
          <w:color w:val="auto"/>
          <w:sz w:val="24"/>
          <w:szCs w:val="24"/>
          <w:highlight w:val="none"/>
        </w:rPr>
        <w:t>事实依据：</w:t>
      </w:r>
    </w:p>
    <w:p w14:paraId="660A06E9">
      <w:pPr>
        <w:pStyle w:val="15"/>
        <w:spacing w:line="360" w:lineRule="auto"/>
        <w:ind w:left="25" w:leftChars="12" w:firstLine="472" w:firstLineChars="197"/>
        <w:rPr>
          <w:rFonts w:hint="eastAsia" w:hAnsi="宋体" w:eastAsia="宋体"/>
          <w:color w:val="auto"/>
          <w:sz w:val="24"/>
          <w:szCs w:val="24"/>
          <w:highlight w:val="none"/>
          <w:lang w:eastAsia="zh-CN"/>
        </w:rPr>
      </w:pPr>
      <w:r>
        <w:rPr>
          <w:rFonts w:hint="eastAsia" w:hAnsi="宋体"/>
          <w:color w:val="auto"/>
          <w:sz w:val="24"/>
          <w:szCs w:val="24"/>
          <w:highlight w:val="none"/>
        </w:rPr>
        <w:t>法律依据：</w:t>
      </w:r>
    </w:p>
    <w:p w14:paraId="5DD7989E">
      <w:pPr>
        <w:pStyle w:val="1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质疑事项2</w:t>
      </w:r>
    </w:p>
    <w:p w14:paraId="4EB4DA6A">
      <w:pPr>
        <w:pStyle w:val="15"/>
        <w:spacing w:line="360" w:lineRule="auto"/>
        <w:ind w:left="25" w:leftChars="12" w:firstLine="472" w:firstLineChars="197"/>
        <w:rPr>
          <w:rFonts w:hint="eastAsia" w:hAnsi="宋体"/>
          <w:color w:val="auto"/>
          <w:sz w:val="24"/>
          <w:szCs w:val="24"/>
          <w:highlight w:val="none"/>
        </w:rPr>
      </w:pPr>
      <w:r>
        <w:rPr>
          <w:rFonts w:hAnsi="宋体"/>
          <w:color w:val="auto"/>
          <w:sz w:val="24"/>
          <w:szCs w:val="24"/>
          <w:highlight w:val="none"/>
        </w:rPr>
        <w:t>……</w:t>
      </w:r>
    </w:p>
    <w:p w14:paraId="592293B6">
      <w:pPr>
        <w:pStyle w:val="1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4FDA116E">
      <w:pPr>
        <w:pStyle w:val="15"/>
        <w:spacing w:line="360" w:lineRule="auto"/>
        <w:ind w:left="25" w:leftChars="12" w:firstLine="472" w:firstLineChars="197"/>
        <w:rPr>
          <w:rFonts w:hint="eastAsia" w:hAnsi="宋体" w:eastAsia="宋体"/>
          <w:color w:val="auto"/>
          <w:sz w:val="24"/>
          <w:szCs w:val="24"/>
          <w:highlight w:val="none"/>
          <w:lang w:eastAsia="zh-CN"/>
        </w:rPr>
      </w:pPr>
      <w:r>
        <w:rPr>
          <w:rFonts w:hint="eastAsia" w:hAnsi="宋体"/>
          <w:color w:val="auto"/>
          <w:sz w:val="24"/>
          <w:szCs w:val="24"/>
          <w:highlight w:val="none"/>
        </w:rPr>
        <w:t>请求：</w:t>
      </w:r>
    </w:p>
    <w:p w14:paraId="462DDC1F">
      <w:pPr>
        <w:pStyle w:val="15"/>
        <w:spacing w:line="360" w:lineRule="auto"/>
        <w:ind w:left="25" w:leftChars="12" w:firstLine="352" w:firstLineChars="147"/>
        <w:rPr>
          <w:rFonts w:hint="eastAsia" w:hAnsi="宋体"/>
          <w:color w:val="auto"/>
          <w:sz w:val="24"/>
          <w:szCs w:val="24"/>
          <w:highlight w:val="none"/>
        </w:rPr>
      </w:pPr>
    </w:p>
    <w:p w14:paraId="11206CC5">
      <w:pPr>
        <w:pStyle w:val="1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签字（签章）：公章：</w:t>
      </w:r>
    </w:p>
    <w:p w14:paraId="5221E5A2">
      <w:pPr>
        <w:pStyle w:val="15"/>
        <w:spacing w:line="360" w:lineRule="auto"/>
        <w:ind w:left="25" w:leftChars="12" w:firstLine="352" w:firstLineChars="147"/>
        <w:rPr>
          <w:rFonts w:hint="eastAsia" w:hAnsi="宋体"/>
          <w:color w:val="auto"/>
          <w:sz w:val="24"/>
          <w:szCs w:val="24"/>
          <w:highlight w:val="none"/>
        </w:rPr>
      </w:pPr>
    </w:p>
    <w:p w14:paraId="39D54415">
      <w:pPr>
        <w:pStyle w:val="1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4558F437">
      <w:pPr>
        <w:pStyle w:val="15"/>
        <w:snapToGrid w:val="0"/>
        <w:spacing w:line="360" w:lineRule="auto"/>
        <w:rPr>
          <w:rFonts w:hint="eastAsia" w:hAnsi="宋体"/>
          <w:b/>
          <w:color w:val="auto"/>
          <w:sz w:val="24"/>
          <w:szCs w:val="24"/>
          <w:highlight w:val="none"/>
        </w:rPr>
      </w:pPr>
    </w:p>
    <w:p w14:paraId="35D661B1">
      <w:pPr>
        <w:pStyle w:val="15"/>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64531AE5">
      <w:pPr>
        <w:pStyle w:val="15"/>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6CDCB4EA">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BF9AE08">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210BB717">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3DD22C5">
      <w:pPr>
        <w:pStyle w:val="15"/>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331FCB06">
      <w:pPr>
        <w:spacing w:line="460" w:lineRule="exact"/>
        <w:rPr>
          <w:rFonts w:hint="eastAsia" w:eastAsia="隶书"/>
          <w:color w:val="auto"/>
          <w:sz w:val="44"/>
          <w:highlight w:val="none"/>
        </w:rPr>
      </w:pPr>
    </w:p>
    <w:p w14:paraId="40DB23E1">
      <w:pPr>
        <w:spacing w:line="360" w:lineRule="auto"/>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2.投诉书（格式）</w:t>
      </w:r>
    </w:p>
    <w:p w14:paraId="7113E73F">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334151DE">
      <w:pPr>
        <w:pStyle w:val="15"/>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10D9FB63">
      <w:pPr>
        <w:pStyle w:val="15"/>
        <w:snapToGrid w:val="0"/>
        <w:spacing w:line="360" w:lineRule="auto"/>
        <w:ind w:firstLine="480" w:firstLineChars="200"/>
        <w:jc w:val="left"/>
        <w:rPr>
          <w:rFonts w:hint="eastAsia" w:hAnsi="宋体" w:eastAsia="宋体"/>
          <w:bCs/>
          <w:color w:val="auto"/>
          <w:sz w:val="24"/>
          <w:szCs w:val="24"/>
          <w:highlight w:val="none"/>
          <w:u w:val="single"/>
          <w:lang w:eastAsia="zh-CN"/>
        </w:rPr>
      </w:pPr>
      <w:r>
        <w:rPr>
          <w:rFonts w:hint="eastAsia" w:hAnsi="宋体"/>
          <w:bCs/>
          <w:color w:val="auto"/>
          <w:sz w:val="24"/>
          <w:szCs w:val="24"/>
          <w:highlight w:val="none"/>
        </w:rPr>
        <w:t>投标人：</w:t>
      </w:r>
    </w:p>
    <w:p w14:paraId="7C5D35AD">
      <w:pPr>
        <w:pStyle w:val="15"/>
        <w:snapToGrid w:val="0"/>
        <w:spacing w:line="360" w:lineRule="auto"/>
        <w:ind w:firstLine="480" w:firstLineChars="200"/>
        <w:jc w:val="left"/>
        <w:rPr>
          <w:rFonts w:hint="eastAsia" w:hAnsi="宋体" w:eastAsia="宋体"/>
          <w:bCs/>
          <w:color w:val="auto"/>
          <w:sz w:val="24"/>
          <w:szCs w:val="24"/>
          <w:highlight w:val="non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2CA41481">
      <w:pPr>
        <w:pStyle w:val="15"/>
        <w:snapToGrid w:val="0"/>
        <w:spacing w:line="360" w:lineRule="auto"/>
        <w:ind w:firstLine="480" w:firstLineChars="200"/>
        <w:jc w:val="left"/>
        <w:rPr>
          <w:rFonts w:hint="eastAsia" w:hAnsi="宋体" w:eastAsia="宋体"/>
          <w:bCs/>
          <w:color w:val="auto"/>
          <w:sz w:val="24"/>
          <w:szCs w:val="24"/>
          <w:highlight w:val="none"/>
          <w:u w:val="single"/>
          <w:lang w:eastAsia="zh-CN"/>
        </w:rPr>
      </w:pPr>
      <w:r>
        <w:rPr>
          <w:rFonts w:hint="eastAsia" w:hAnsi="宋体"/>
          <w:bCs/>
          <w:color w:val="auto"/>
          <w:sz w:val="24"/>
          <w:szCs w:val="24"/>
          <w:highlight w:val="none"/>
        </w:rPr>
        <w:t>法定代表人/主要负责人：</w:t>
      </w:r>
    </w:p>
    <w:p w14:paraId="36879943">
      <w:pPr>
        <w:pStyle w:val="15"/>
        <w:snapToGrid w:val="0"/>
        <w:spacing w:line="360" w:lineRule="auto"/>
        <w:ind w:firstLine="480" w:firstLineChars="200"/>
        <w:jc w:val="left"/>
        <w:rPr>
          <w:rFonts w:hint="eastAsia" w:hAnsi="宋体" w:eastAsia="宋体"/>
          <w:bCs/>
          <w:color w:val="auto"/>
          <w:sz w:val="24"/>
          <w:szCs w:val="24"/>
          <w:highlight w:val="none"/>
          <w:lang w:eastAsia="zh-CN"/>
        </w:rPr>
      </w:pPr>
      <w:r>
        <w:rPr>
          <w:rFonts w:hAnsi="宋体"/>
          <w:bCs/>
          <w:color w:val="auto"/>
          <w:sz w:val="24"/>
          <w:szCs w:val="24"/>
          <w:highlight w:val="none"/>
        </w:rPr>
        <w:t>联系电话</w:t>
      </w:r>
      <w:r>
        <w:rPr>
          <w:rFonts w:hint="eastAsia" w:hAnsi="宋体"/>
          <w:bCs/>
          <w:color w:val="auto"/>
          <w:sz w:val="24"/>
          <w:szCs w:val="24"/>
          <w:highlight w:val="none"/>
        </w:rPr>
        <w:t>：</w:t>
      </w:r>
    </w:p>
    <w:p w14:paraId="70D77600">
      <w:pPr>
        <w:pStyle w:val="15"/>
        <w:snapToGrid w:val="0"/>
        <w:spacing w:line="360" w:lineRule="auto"/>
        <w:ind w:firstLine="480" w:firstLineChars="200"/>
        <w:jc w:val="left"/>
        <w:rPr>
          <w:rFonts w:hint="eastAsia" w:hAnsi="宋体" w:eastAsia="宋体"/>
          <w:bCs/>
          <w:color w:val="auto"/>
          <w:sz w:val="24"/>
          <w:szCs w:val="24"/>
          <w:highlight w:val="none"/>
          <w:u w:val="single"/>
          <w:lang w:eastAsia="zh-CN"/>
        </w:rPr>
      </w:pPr>
      <w:r>
        <w:rPr>
          <w:rFonts w:hint="eastAsia" w:hAnsi="宋体"/>
          <w:bCs/>
          <w:color w:val="auto"/>
          <w:sz w:val="24"/>
          <w:szCs w:val="24"/>
          <w:highlight w:val="none"/>
        </w:rPr>
        <w:t>授权代表：</w:t>
      </w:r>
      <w:r>
        <w:rPr>
          <w:rFonts w:hAnsi="宋体"/>
          <w:bCs/>
          <w:color w:val="auto"/>
          <w:sz w:val="24"/>
          <w:szCs w:val="24"/>
          <w:highlight w:val="none"/>
        </w:rPr>
        <w:t>联系</w:t>
      </w:r>
      <w:r>
        <w:rPr>
          <w:rFonts w:hint="eastAsia" w:hAnsi="宋体"/>
          <w:bCs/>
          <w:color w:val="auto"/>
          <w:sz w:val="24"/>
          <w:szCs w:val="24"/>
          <w:highlight w:val="none"/>
        </w:rPr>
        <w:t>电话：</w:t>
      </w:r>
    </w:p>
    <w:p w14:paraId="48E49A19">
      <w:pPr>
        <w:pStyle w:val="15"/>
        <w:snapToGrid w:val="0"/>
        <w:spacing w:line="360" w:lineRule="auto"/>
        <w:ind w:firstLine="480" w:firstLineChars="200"/>
        <w:jc w:val="left"/>
        <w:rPr>
          <w:rFonts w:hint="eastAsia" w:hAnsi="宋体" w:eastAsia="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p>
    <w:p w14:paraId="660CC389">
      <w:pPr>
        <w:pStyle w:val="15"/>
        <w:snapToGrid w:val="0"/>
        <w:spacing w:line="360" w:lineRule="auto"/>
        <w:ind w:firstLine="480" w:firstLineChars="200"/>
        <w:jc w:val="left"/>
        <w:rPr>
          <w:rFonts w:hint="eastAsia" w:hAnsi="宋体" w:eastAsia="宋体"/>
          <w:bCs/>
          <w:color w:val="auto"/>
          <w:sz w:val="24"/>
          <w:szCs w:val="24"/>
          <w:highlight w:val="none"/>
          <w:lang w:eastAsia="zh-CN"/>
        </w:rPr>
      </w:pPr>
      <w:r>
        <w:rPr>
          <w:rFonts w:hAnsi="宋体"/>
          <w:bCs/>
          <w:color w:val="auto"/>
          <w:sz w:val="24"/>
          <w:szCs w:val="24"/>
          <w:highlight w:val="none"/>
        </w:rPr>
        <w:t>邮编</w:t>
      </w:r>
      <w:r>
        <w:rPr>
          <w:rFonts w:hint="eastAsia" w:hAnsi="宋体"/>
          <w:bCs/>
          <w:color w:val="auto"/>
          <w:sz w:val="24"/>
          <w:szCs w:val="24"/>
          <w:highlight w:val="none"/>
        </w:rPr>
        <w:t>：</w:t>
      </w:r>
    </w:p>
    <w:p w14:paraId="2602F00C">
      <w:pPr>
        <w:pStyle w:val="15"/>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被投诉人1：</w:t>
      </w:r>
    </w:p>
    <w:p w14:paraId="278BC280">
      <w:pPr>
        <w:pStyle w:val="15"/>
        <w:snapToGrid w:val="0"/>
        <w:spacing w:line="360" w:lineRule="auto"/>
        <w:ind w:firstLine="480" w:firstLineChars="200"/>
        <w:jc w:val="left"/>
        <w:rPr>
          <w:rFonts w:hint="eastAsia" w:hAnsi="宋体" w:eastAsia="宋体"/>
          <w:bCs/>
          <w:color w:val="auto"/>
          <w:sz w:val="24"/>
          <w:szCs w:val="24"/>
          <w:highlight w:val="none"/>
          <w:u w:val="single"/>
          <w:lang w:eastAsia="zh-CN"/>
        </w:rPr>
      </w:pPr>
      <w:r>
        <w:rPr>
          <w:rFonts w:hint="eastAsia" w:hAnsi="宋体"/>
          <w:bCs/>
          <w:color w:val="auto"/>
          <w:sz w:val="24"/>
          <w:szCs w:val="24"/>
          <w:highlight w:val="none"/>
        </w:rPr>
        <w:t>地址：</w:t>
      </w:r>
    </w:p>
    <w:p w14:paraId="08EA9C5B">
      <w:pPr>
        <w:pStyle w:val="15"/>
        <w:snapToGrid w:val="0"/>
        <w:spacing w:line="360" w:lineRule="auto"/>
        <w:ind w:firstLine="480" w:firstLineChars="200"/>
        <w:jc w:val="left"/>
        <w:rPr>
          <w:rFonts w:hint="eastAsia" w:hAnsi="宋体" w:eastAsia="宋体"/>
          <w:bCs/>
          <w:color w:val="auto"/>
          <w:sz w:val="24"/>
          <w:szCs w:val="24"/>
          <w:highlight w:val="none"/>
          <w:lang w:eastAsia="zh-CN"/>
        </w:rPr>
      </w:pPr>
      <w:r>
        <w:rPr>
          <w:rFonts w:hAnsi="宋体"/>
          <w:bCs/>
          <w:color w:val="auto"/>
          <w:sz w:val="24"/>
          <w:szCs w:val="24"/>
          <w:highlight w:val="none"/>
        </w:rPr>
        <w:t>邮编</w:t>
      </w:r>
      <w:r>
        <w:rPr>
          <w:rFonts w:hint="eastAsia" w:hAnsi="宋体"/>
          <w:bCs/>
          <w:color w:val="auto"/>
          <w:sz w:val="24"/>
          <w:szCs w:val="24"/>
          <w:highlight w:val="none"/>
        </w:rPr>
        <w:t>：</w:t>
      </w:r>
    </w:p>
    <w:p w14:paraId="50B059C0">
      <w:pPr>
        <w:pStyle w:val="15"/>
        <w:snapToGrid w:val="0"/>
        <w:spacing w:line="360" w:lineRule="auto"/>
        <w:ind w:firstLine="480" w:firstLineChars="200"/>
        <w:jc w:val="left"/>
        <w:rPr>
          <w:rFonts w:hint="eastAsia" w:hAnsi="宋体" w:eastAsia="宋体"/>
          <w:bCs/>
          <w:color w:val="auto"/>
          <w:sz w:val="24"/>
          <w:szCs w:val="24"/>
          <w:highlight w:val="none"/>
          <w:u w:val="single"/>
          <w:lang w:eastAsia="zh-CN"/>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7B1A0E03">
      <w:pPr>
        <w:pStyle w:val="15"/>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被投诉人2：</w:t>
      </w:r>
    </w:p>
    <w:p w14:paraId="0FAF7F69">
      <w:pPr>
        <w:pStyle w:val="15"/>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w:t>
      </w:r>
    </w:p>
    <w:p w14:paraId="07B3FF31">
      <w:pPr>
        <w:pStyle w:val="15"/>
        <w:snapToGrid w:val="0"/>
        <w:spacing w:line="360" w:lineRule="auto"/>
        <w:ind w:firstLine="480" w:firstLineChars="200"/>
        <w:jc w:val="left"/>
        <w:rPr>
          <w:rFonts w:hint="eastAsia" w:hAnsi="宋体" w:eastAsia="宋体"/>
          <w:bCs/>
          <w:color w:val="auto"/>
          <w:sz w:val="24"/>
          <w:szCs w:val="24"/>
          <w:highlight w:val="none"/>
          <w:u w:val="single"/>
          <w:lang w:eastAsia="zh-CN"/>
        </w:rPr>
      </w:pPr>
      <w:r>
        <w:rPr>
          <w:rFonts w:hint="eastAsia" w:hAnsi="宋体"/>
          <w:bCs/>
          <w:color w:val="auto"/>
          <w:sz w:val="24"/>
          <w:szCs w:val="24"/>
          <w:highlight w:val="none"/>
        </w:rPr>
        <w:t>相关供应商：</w:t>
      </w:r>
    </w:p>
    <w:p w14:paraId="6D34260C">
      <w:pPr>
        <w:pStyle w:val="15"/>
        <w:snapToGrid w:val="0"/>
        <w:spacing w:line="360" w:lineRule="auto"/>
        <w:ind w:firstLine="480" w:firstLineChars="200"/>
        <w:jc w:val="left"/>
        <w:rPr>
          <w:rFonts w:hint="eastAsia" w:hAnsi="宋体" w:eastAsia="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4F8ACC20">
      <w:pPr>
        <w:pStyle w:val="15"/>
        <w:snapToGrid w:val="0"/>
        <w:spacing w:line="360" w:lineRule="auto"/>
        <w:ind w:firstLine="480" w:firstLineChars="200"/>
        <w:jc w:val="left"/>
        <w:rPr>
          <w:rFonts w:hint="eastAsia" w:hAnsi="宋体" w:eastAsia="宋体"/>
          <w:bCs/>
          <w:color w:val="auto"/>
          <w:sz w:val="24"/>
          <w:szCs w:val="24"/>
          <w:highlight w:val="none"/>
          <w:lang w:eastAsia="zh-CN"/>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407AD225">
      <w:pPr>
        <w:pStyle w:val="15"/>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5F83E3FC">
      <w:pPr>
        <w:pStyle w:val="15"/>
        <w:spacing w:line="360" w:lineRule="auto"/>
        <w:ind w:left="25" w:leftChars="12" w:firstLine="472" w:firstLineChars="197"/>
        <w:rPr>
          <w:rFonts w:hint="eastAsia" w:hAnsi="宋体" w:eastAsia="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p>
    <w:p w14:paraId="067FCBC7">
      <w:pPr>
        <w:pStyle w:val="15"/>
        <w:spacing w:line="360" w:lineRule="auto"/>
        <w:ind w:left="25" w:leftChars="12" w:firstLine="472" w:firstLineChars="197"/>
        <w:rPr>
          <w:rFonts w:hint="eastAsia" w:hAnsi="宋体" w:eastAsia="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项目的编号：</w:t>
      </w:r>
    </w:p>
    <w:p w14:paraId="45C644B7">
      <w:pPr>
        <w:pStyle w:val="15"/>
        <w:spacing w:line="360" w:lineRule="auto"/>
        <w:ind w:left="25" w:leftChars="12" w:firstLine="472" w:firstLineChars="197"/>
        <w:rPr>
          <w:rFonts w:hint="eastAsia" w:hAnsi="宋体" w:eastAsia="宋体"/>
          <w:bCs/>
          <w:color w:val="auto"/>
          <w:sz w:val="24"/>
          <w:szCs w:val="24"/>
          <w:highlight w:val="none"/>
          <w:u w:val="single"/>
          <w:lang w:eastAsia="zh-CN"/>
        </w:rPr>
      </w:pPr>
      <w:r>
        <w:rPr>
          <w:rFonts w:hint="eastAsia" w:hAnsi="宋体"/>
          <w:color w:val="auto"/>
          <w:sz w:val="24"/>
          <w:szCs w:val="24"/>
          <w:highlight w:val="none"/>
        </w:rPr>
        <w:t>采购人名称：</w:t>
      </w:r>
    </w:p>
    <w:p w14:paraId="20D214F6">
      <w:pPr>
        <w:pStyle w:val="15"/>
        <w:spacing w:line="360" w:lineRule="auto"/>
        <w:ind w:left="25" w:leftChars="12" w:firstLine="472" w:firstLineChars="197"/>
        <w:rPr>
          <w:rFonts w:hint="eastAsia" w:hAnsi="宋体" w:eastAsia="宋体"/>
          <w:bCs/>
          <w:color w:val="auto"/>
          <w:sz w:val="24"/>
          <w:szCs w:val="24"/>
          <w:highlight w:val="none"/>
          <w:u w:val="single"/>
          <w:lang w:eastAsia="zh-CN"/>
        </w:rPr>
      </w:pPr>
      <w:r>
        <w:rPr>
          <w:rFonts w:hint="eastAsia" w:hAnsi="宋体"/>
          <w:color w:val="auto"/>
          <w:sz w:val="24"/>
          <w:szCs w:val="24"/>
          <w:highlight w:val="none"/>
        </w:rPr>
        <w:t>代理机构名称：</w:t>
      </w:r>
    </w:p>
    <w:p w14:paraId="7929DCEB">
      <w:pPr>
        <w:pStyle w:val="15"/>
        <w:spacing w:line="360" w:lineRule="auto"/>
        <w:ind w:left="25" w:leftChars="12" w:firstLine="472" w:firstLineChars="197"/>
        <w:rPr>
          <w:rFonts w:hint="eastAsia" w:hAnsi="宋体" w:eastAsia="宋体"/>
          <w:bCs/>
          <w:color w:val="auto"/>
          <w:sz w:val="24"/>
          <w:szCs w:val="24"/>
          <w:highlight w:val="none"/>
          <w:u w:val="single"/>
          <w:lang w:eastAsia="zh-CN"/>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384B4407">
      <w:pPr>
        <w:pStyle w:val="15"/>
        <w:spacing w:line="360" w:lineRule="auto"/>
        <w:ind w:left="25" w:leftChars="12" w:firstLine="472" w:firstLineChars="197"/>
        <w:rPr>
          <w:rFonts w:hint="eastAsia" w:hAnsi="宋体" w:eastAsia="宋体"/>
          <w:b/>
          <w:color w:val="auto"/>
          <w:sz w:val="24"/>
          <w:szCs w:val="24"/>
          <w:highlight w:val="none"/>
          <w:lang w:eastAsia="zh-CN"/>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2C375C2C">
      <w:pPr>
        <w:pStyle w:val="15"/>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0B12287C">
      <w:pPr>
        <w:pStyle w:val="15"/>
        <w:spacing w:line="360" w:lineRule="auto"/>
        <w:ind w:left="25" w:leftChars="12" w:firstLine="480" w:firstLineChars="200"/>
        <w:rPr>
          <w:rFonts w:hint="eastAsia" w:hAnsi="宋体"/>
          <w:color w:val="auto"/>
          <w:sz w:val="24"/>
          <w:szCs w:val="24"/>
          <w:highlight w:val="none"/>
        </w:rPr>
      </w:pPr>
      <w:r>
        <w:rPr>
          <w:rFonts w:hint="eastAsia" w:hAnsi="宋体"/>
          <w:color w:val="auto"/>
          <w:sz w:val="24"/>
          <w:szCs w:val="24"/>
          <w:highlight w:val="none"/>
        </w:rPr>
        <w:t>投诉人于年月日，向提出质疑，质疑事项为：</w:t>
      </w:r>
    </w:p>
    <w:p w14:paraId="0576678E">
      <w:pPr>
        <w:pStyle w:val="15"/>
        <w:spacing w:line="360" w:lineRule="auto"/>
        <w:ind w:firstLine="241"/>
        <w:rPr>
          <w:rFonts w:hint="eastAsia" w:hAnsi="宋体" w:eastAsia="宋体"/>
          <w:bCs/>
          <w:color w:val="auto"/>
          <w:sz w:val="24"/>
          <w:szCs w:val="24"/>
          <w:highlight w:val="none"/>
          <w:u w:val="single"/>
          <w:lang w:eastAsia="zh-CN"/>
        </w:rPr>
      </w:pPr>
    </w:p>
    <w:p w14:paraId="26D0CAA0">
      <w:pPr>
        <w:pStyle w:val="15"/>
        <w:spacing w:line="360" w:lineRule="auto"/>
        <w:ind w:firstLine="241"/>
        <w:rPr>
          <w:rFonts w:hint="eastAsia" w:hAnsi="宋体" w:eastAsia="宋体"/>
          <w:bCs/>
          <w:color w:val="auto"/>
          <w:sz w:val="24"/>
          <w:szCs w:val="24"/>
          <w:highlight w:val="none"/>
          <w:u w:val="single"/>
          <w:lang w:eastAsia="zh-CN"/>
        </w:rPr>
      </w:pPr>
    </w:p>
    <w:p w14:paraId="59AD6E6D">
      <w:pPr>
        <w:pStyle w:val="15"/>
        <w:spacing w:line="360" w:lineRule="auto"/>
        <w:ind w:firstLine="480" w:firstLineChars="200"/>
        <w:rPr>
          <w:rFonts w:hint="eastAsia" w:hAnsi="宋体" w:eastAsia="宋体"/>
          <w:color w:val="auto"/>
          <w:sz w:val="24"/>
          <w:szCs w:val="24"/>
          <w:highlight w:val="none"/>
          <w:lang w:eastAsia="zh-CN"/>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rPr>
        <w:t>年月日，</w:t>
      </w:r>
      <w:r>
        <w:rPr>
          <w:rFonts w:hint="eastAsia" w:hAnsi="宋体"/>
          <w:bCs/>
          <w:color w:val="auto"/>
          <w:sz w:val="24"/>
          <w:szCs w:val="24"/>
          <w:highlight w:val="none"/>
        </w:rPr>
        <w:t>就质疑事项作出了答复/没有在法定期限内作出答复。</w:t>
      </w:r>
    </w:p>
    <w:p w14:paraId="443FCF8E">
      <w:pPr>
        <w:pStyle w:val="15"/>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033DDC5B">
      <w:pPr>
        <w:pStyle w:val="15"/>
        <w:spacing w:line="360" w:lineRule="auto"/>
        <w:ind w:left="25" w:leftChars="12" w:firstLine="472" w:firstLineChars="197"/>
        <w:rPr>
          <w:rFonts w:hint="eastAsia" w:hAnsi="宋体" w:eastAsia="宋体"/>
          <w:bCs/>
          <w:color w:val="auto"/>
          <w:sz w:val="24"/>
          <w:szCs w:val="24"/>
          <w:highlight w:val="none"/>
          <w:u w:val="single"/>
          <w:lang w:eastAsia="zh-CN"/>
        </w:rPr>
      </w:pPr>
      <w:r>
        <w:rPr>
          <w:rFonts w:hint="eastAsia" w:hAnsi="宋体"/>
          <w:color w:val="auto"/>
          <w:sz w:val="24"/>
          <w:szCs w:val="24"/>
          <w:highlight w:val="none"/>
        </w:rPr>
        <w:t>投诉事项1：</w:t>
      </w:r>
    </w:p>
    <w:p w14:paraId="3A7025F7">
      <w:pPr>
        <w:pStyle w:val="15"/>
        <w:spacing w:line="360" w:lineRule="auto"/>
        <w:ind w:firstLine="480" w:firstLineChars="200"/>
        <w:rPr>
          <w:rFonts w:hint="eastAsia" w:hAnsi="宋体" w:eastAsia="宋体"/>
          <w:bCs/>
          <w:color w:val="auto"/>
          <w:sz w:val="24"/>
          <w:szCs w:val="24"/>
          <w:highlight w:val="none"/>
          <w:u w:val="single"/>
          <w:lang w:eastAsia="zh-CN"/>
        </w:rPr>
      </w:pPr>
      <w:r>
        <w:rPr>
          <w:rFonts w:hint="eastAsia" w:hAnsi="宋体"/>
          <w:bCs/>
          <w:color w:val="auto"/>
          <w:sz w:val="24"/>
          <w:szCs w:val="24"/>
          <w:highlight w:val="none"/>
        </w:rPr>
        <w:t>事实依据：</w:t>
      </w:r>
    </w:p>
    <w:p w14:paraId="07F8CF5D">
      <w:pPr>
        <w:pStyle w:val="15"/>
        <w:spacing w:line="360" w:lineRule="auto"/>
        <w:ind w:left="25" w:leftChars="12" w:firstLine="472" w:firstLineChars="197"/>
        <w:rPr>
          <w:rFonts w:hint="eastAsia" w:hAnsi="宋体" w:eastAsia="宋体"/>
          <w:color w:val="auto"/>
          <w:sz w:val="24"/>
          <w:szCs w:val="24"/>
          <w:highlight w:val="none"/>
          <w:lang w:eastAsia="zh-CN"/>
        </w:rPr>
      </w:pPr>
    </w:p>
    <w:p w14:paraId="78AE996A">
      <w:pPr>
        <w:pStyle w:val="15"/>
        <w:spacing w:line="360" w:lineRule="auto"/>
        <w:ind w:firstLine="480" w:firstLineChars="200"/>
        <w:rPr>
          <w:rFonts w:hint="eastAsia" w:hAnsi="宋体" w:eastAsia="宋体"/>
          <w:bCs/>
          <w:color w:val="auto"/>
          <w:sz w:val="24"/>
          <w:szCs w:val="24"/>
          <w:highlight w:val="none"/>
          <w:u w:val="single"/>
          <w:lang w:eastAsia="zh-CN"/>
        </w:rPr>
      </w:pPr>
      <w:r>
        <w:rPr>
          <w:rFonts w:hint="eastAsia" w:hAnsi="宋体"/>
          <w:bCs/>
          <w:color w:val="auto"/>
          <w:sz w:val="24"/>
          <w:szCs w:val="24"/>
          <w:highlight w:val="none"/>
        </w:rPr>
        <w:t>法律依据：</w:t>
      </w:r>
    </w:p>
    <w:p w14:paraId="2F16CF43">
      <w:pPr>
        <w:pStyle w:val="15"/>
        <w:spacing w:line="360" w:lineRule="auto"/>
        <w:ind w:left="25" w:leftChars="12" w:firstLine="352" w:firstLineChars="147"/>
        <w:rPr>
          <w:rFonts w:hint="eastAsia" w:hAnsi="宋体" w:eastAsia="宋体"/>
          <w:bCs/>
          <w:color w:val="auto"/>
          <w:sz w:val="24"/>
          <w:szCs w:val="24"/>
          <w:highlight w:val="none"/>
          <w:u w:val="single"/>
          <w:lang w:eastAsia="zh-CN"/>
        </w:rPr>
      </w:pPr>
    </w:p>
    <w:p w14:paraId="32C58BA1">
      <w:pPr>
        <w:pStyle w:val="15"/>
        <w:spacing w:line="360" w:lineRule="auto"/>
        <w:ind w:left="25" w:leftChars="12" w:firstLine="472" w:firstLineChars="197"/>
        <w:rPr>
          <w:rFonts w:hint="eastAsia" w:hAnsi="宋体" w:eastAsia="宋体"/>
          <w:bCs/>
          <w:color w:val="auto"/>
          <w:sz w:val="24"/>
          <w:szCs w:val="24"/>
          <w:highlight w:val="none"/>
          <w:lang w:eastAsia="zh-CN"/>
        </w:rPr>
      </w:pPr>
      <w:r>
        <w:rPr>
          <w:rFonts w:hint="eastAsia" w:hAnsi="宋体"/>
          <w:color w:val="auto"/>
          <w:sz w:val="24"/>
          <w:szCs w:val="24"/>
          <w:highlight w:val="none"/>
        </w:rPr>
        <w:t>投诉事项2</w:t>
      </w:r>
    </w:p>
    <w:p w14:paraId="5E6676E8">
      <w:pPr>
        <w:pStyle w:val="15"/>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27C36AB9">
      <w:pPr>
        <w:pStyle w:val="15"/>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23BF3D90">
      <w:pPr>
        <w:pStyle w:val="15"/>
        <w:spacing w:line="360" w:lineRule="auto"/>
        <w:ind w:left="25" w:leftChars="12" w:firstLine="472" w:firstLineChars="197"/>
        <w:rPr>
          <w:rFonts w:hint="eastAsia" w:hAnsi="宋体" w:eastAsia="宋体"/>
          <w:color w:val="auto"/>
          <w:sz w:val="24"/>
          <w:szCs w:val="24"/>
          <w:highlight w:val="none"/>
          <w:lang w:eastAsia="zh-CN"/>
        </w:rPr>
      </w:pPr>
      <w:r>
        <w:rPr>
          <w:rFonts w:hint="eastAsia" w:hAnsi="宋体"/>
          <w:color w:val="auto"/>
          <w:sz w:val="24"/>
          <w:szCs w:val="24"/>
          <w:highlight w:val="none"/>
        </w:rPr>
        <w:t>请求：</w:t>
      </w:r>
    </w:p>
    <w:p w14:paraId="632FBE40">
      <w:pPr>
        <w:pStyle w:val="15"/>
        <w:spacing w:line="360" w:lineRule="auto"/>
        <w:ind w:left="25" w:leftChars="12" w:firstLine="352" w:firstLineChars="147"/>
        <w:rPr>
          <w:rFonts w:hint="eastAsia" w:hAnsi="宋体"/>
          <w:color w:val="auto"/>
          <w:sz w:val="24"/>
          <w:szCs w:val="24"/>
          <w:highlight w:val="none"/>
        </w:rPr>
      </w:pPr>
    </w:p>
    <w:p w14:paraId="7EC13B8A">
      <w:pPr>
        <w:pStyle w:val="1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签字（签章）：公章：</w:t>
      </w:r>
    </w:p>
    <w:p w14:paraId="54F0952F">
      <w:pPr>
        <w:pStyle w:val="15"/>
        <w:spacing w:line="360" w:lineRule="auto"/>
        <w:ind w:left="25" w:leftChars="12" w:firstLine="352" w:firstLineChars="147"/>
        <w:rPr>
          <w:rFonts w:hint="eastAsia" w:hAnsi="宋体"/>
          <w:color w:val="auto"/>
          <w:sz w:val="24"/>
          <w:szCs w:val="24"/>
          <w:highlight w:val="none"/>
        </w:rPr>
      </w:pPr>
    </w:p>
    <w:p w14:paraId="0157319B">
      <w:pPr>
        <w:pStyle w:val="1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758FBCE2">
      <w:pPr>
        <w:pStyle w:val="15"/>
        <w:spacing w:line="360" w:lineRule="auto"/>
        <w:ind w:left="25" w:leftChars="12" w:firstLine="475" w:firstLineChars="197"/>
        <w:rPr>
          <w:rFonts w:hint="eastAsia" w:hAnsi="宋体"/>
          <w:b/>
          <w:color w:val="auto"/>
          <w:sz w:val="24"/>
          <w:szCs w:val="24"/>
          <w:highlight w:val="none"/>
        </w:rPr>
      </w:pPr>
      <w:r>
        <w:rPr>
          <w:rFonts w:hint="eastAsia" w:hAnsi="宋体"/>
          <w:b/>
          <w:color w:val="auto"/>
          <w:sz w:val="24"/>
          <w:szCs w:val="24"/>
          <w:highlight w:val="none"/>
        </w:rPr>
        <w:t>说明：</w:t>
      </w:r>
    </w:p>
    <w:p w14:paraId="749C6DB9">
      <w:pPr>
        <w:pStyle w:val="15"/>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5B39FA89">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9DE9B1E">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46FBA9AE">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58269EB9">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0EEB1915">
      <w:pPr>
        <w:pStyle w:val="30"/>
        <w:rPr>
          <w:rFonts w:hint="default"/>
          <w:color w:val="auto"/>
          <w:highlight w:val="none"/>
          <w:lang w:val="en-US" w:eastAsia="zh-CN"/>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17" w:type="first"/>
      <w:headerReference r:id="rId15" w:type="default"/>
      <w:footerReference r:id="rId16" w:type="default"/>
      <w:pgSz w:w="11906" w:h="16838"/>
      <w:pgMar w:top="1134" w:right="1503" w:bottom="1559" w:left="1678"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57BB307-7135-4A54-8FF2-2E125AECC952}"/>
  </w:font>
  <w:font w:name="黑体">
    <w:panose1 w:val="02010609060101010101"/>
    <w:charset w:val="86"/>
    <w:family w:val="auto"/>
    <w:pitch w:val="default"/>
    <w:sig w:usb0="800002BF" w:usb1="38CF7CFA" w:usb2="00000016" w:usb3="00000000" w:csb0="00040001" w:csb1="00000000"/>
    <w:embedRegular r:id="rId2" w:fontKey="{792FF47F-8E48-4E56-B035-10F0AE5E15FF}"/>
  </w:font>
  <w:font w:name="Courier New">
    <w:panose1 w:val="02070309020205020404"/>
    <w:charset w:val="01"/>
    <w:family w:val="modern"/>
    <w:pitch w:val="default"/>
    <w:sig w:usb0="E0002EFF" w:usb1="C0007843" w:usb2="00000009" w:usb3="00000000" w:csb0="400001FF" w:csb1="FFFF0000"/>
    <w:embedRegular r:id="rId3" w:fontKey="{0B0024B6-E57F-44C0-8BFC-8471302459C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4" w:fontKey="{5FC8B64B-0C10-4EE3-8AD0-D1E4A05060DE}"/>
  </w:font>
  <w:font w:name="Verdana">
    <w:panose1 w:val="020B0604030504040204"/>
    <w:charset w:val="00"/>
    <w:family w:val="swiss"/>
    <w:pitch w:val="default"/>
    <w:sig w:usb0="A00006FF" w:usb1="4000205B" w:usb2="00000010"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embedRegular r:id="rId5" w:fontKey="{1257C5D1-F699-49D7-BB49-023B3B91E080}"/>
  </w:font>
  <w:font w:name="Arial Unicode MS">
    <w:panose1 w:val="020B0604020202020204"/>
    <w:charset w:val="86"/>
    <w:family w:val="swiss"/>
    <w:pitch w:val="default"/>
    <w:sig w:usb0="FFFFFFFF" w:usb1="E9FFFFFF" w:usb2="0000003F" w:usb3="00000000" w:csb0="603F01FF" w:csb1="FFFF0000"/>
    <w:embedRegular r:id="rId6" w:fontKey="{77F42020-CD75-4293-9FB8-46A56A6BB804}"/>
  </w:font>
  <w:font w:name="Segoe UI">
    <w:panose1 w:val="020B0502040204020203"/>
    <w:charset w:val="00"/>
    <w:family w:val="auto"/>
    <w:pitch w:val="default"/>
    <w:sig w:usb0="E4002EFF" w:usb1="C000E47F" w:usb2="00000009" w:usb3="00000000" w:csb0="200001FF" w:csb1="00000000"/>
    <w:embedRegular r:id="rId7" w:fontKey="{B7D6239A-E73E-4E4F-9D67-5ACEDA721D11}"/>
  </w:font>
  <w:font w:name="仿宋">
    <w:panose1 w:val="02010609060101010101"/>
    <w:charset w:val="86"/>
    <w:family w:val="modern"/>
    <w:pitch w:val="default"/>
    <w:sig w:usb0="800002BF" w:usb1="38CF7CFA" w:usb2="00000016" w:usb3="00000000" w:csb0="00040001" w:csb1="00000000"/>
    <w:embedRegular r:id="rId8" w:fontKey="{7232AF3E-8074-4F2A-998D-4DF9C4C22363}"/>
  </w:font>
  <w:font w:name="微软雅黑">
    <w:panose1 w:val="020B0503020204020204"/>
    <w:charset w:val="86"/>
    <w:family w:val="swiss"/>
    <w:pitch w:val="default"/>
    <w:sig w:usb0="80000287" w:usb1="2ACF3C50" w:usb2="00000016" w:usb3="00000000" w:csb0="0004001F" w:csb1="00000000"/>
    <w:embedRegular r:id="rId9" w:fontKey="{EC60E663-8129-4F66-A959-1789AA5B368A}"/>
  </w:font>
  <w:font w:name="方正小标宋_GBK">
    <w:panose1 w:val="02000000000000000000"/>
    <w:charset w:val="86"/>
    <w:family w:val="script"/>
    <w:pitch w:val="default"/>
    <w:sig w:usb0="A00002BF" w:usb1="38CF7CFA" w:usb2="00082016" w:usb3="00000000" w:csb0="00040001" w:csb1="00000000"/>
    <w:embedRegular r:id="rId10" w:fontKey="{4D21735A-CB2D-4833-A325-80916A6B1684}"/>
  </w:font>
  <w:font w:name="方正黑体_GBK">
    <w:altName w:val="Arial Unicode MS"/>
    <w:panose1 w:val="03000509000000000000"/>
    <w:charset w:val="86"/>
    <w:family w:val="auto"/>
    <w:pitch w:val="default"/>
    <w:sig w:usb0="00000000" w:usb1="00000000" w:usb2="00000000" w:usb3="00000000" w:csb0="00040000" w:csb1="00000000"/>
    <w:embedRegular r:id="rId11" w:fontKey="{3276E63A-AA6A-46C9-97F2-2742BF30D072}"/>
  </w:font>
  <w:font w:name="WPSEMBED1">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embedRegular r:id="rId12" w:fontKey="{B3CE1A41-F134-467D-ABED-E016EA36C878}"/>
  </w:font>
  <w:font w:name="隶书">
    <w:panose1 w:val="02010509060101010101"/>
    <w:charset w:val="86"/>
    <w:family w:val="modern"/>
    <w:pitch w:val="default"/>
    <w:sig w:usb0="00000001" w:usb1="080E0000" w:usb2="00000000" w:usb3="00000000" w:csb0="00040000" w:csb1="00000000"/>
    <w:embedRegular r:id="rId13" w:fontKey="{D4AE7FFF-3961-4F21-AC4B-5352BB689E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06A60">
    <w:pPr>
      <w:pStyle w:val="18"/>
      <w:jc w:val="center"/>
    </w:pPr>
  </w:p>
  <w:p w14:paraId="70C76AFE">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19A85">
    <w:pPr>
      <w:pStyle w:val="18"/>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4A5DE4">
                          <w:pPr>
                            <w:pStyle w:val="18"/>
                          </w:pPr>
                          <w:r>
                            <w:fldChar w:fldCharType="begin"/>
                          </w:r>
                          <w:r>
                            <w:instrText xml:space="preserve"> PAGE  \* MERGEFORMAT </w:instrText>
                          </w:r>
                          <w:r>
                            <w:fldChar w:fldCharType="separate"/>
                          </w:r>
                          <w:r>
                            <w:t>77</w:t>
                          </w:r>
                          <w:r>
                            <w:fldChar w:fldCharType="end"/>
                          </w:r>
                        </w:p>
                      </w:txbxContent>
                    </wps:txbx>
                    <wps:bodyPr wrap="none" lIns="0" tIns="0" rIns="0" bIns="0" upright="1">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h8KMoBAACa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A0ljlsc+OXH98vP35df38jq&#10;de5PH6DGtPuAiWl46wfcmtkP6MyyBxVt/qIggnHs7vnaXTkkIvKj9Wq9rjAkMDZfEJ89PA8R0jvp&#10;LclGQyOOr3SVnz5AGlPnlFzN+TttTBmhcX85EDN7WOY+csxWGvbDJGjv2zPq6XHyDXW46JSY9w4b&#10;m5dkNuJs7GfjGKI+dEhtWXhBeHNMSKJwyxVG2Kkwjqyom9Yr78Tje8l6+KW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Mh8KMoBAACaAwAADgAAAAAAAAABACAAAAAeAQAAZHJzL2Uyb0Rv&#10;Yy54bWxQSwUGAAAAAAYABgBZAQAAWgUAAAAA&#10;">
              <v:fill on="f" focussize="0,0"/>
              <v:stroke on="f"/>
              <v:imagedata o:title=""/>
              <o:lock v:ext="edit" aspectratio="f"/>
              <v:textbox inset="0mm,0mm,0mm,0mm" style="mso-fit-shape-to-text:t;">
                <w:txbxContent>
                  <w:p w14:paraId="084A5DE4">
                    <w:pPr>
                      <w:pStyle w:val="18"/>
                    </w:pPr>
                    <w:r>
                      <w:fldChar w:fldCharType="begin"/>
                    </w:r>
                    <w:r>
                      <w:instrText xml:space="preserve"> PAGE  \* MERGEFORMAT </w:instrText>
                    </w:r>
                    <w:r>
                      <w:fldChar w:fldCharType="separate"/>
                    </w:r>
                    <w:r>
                      <w:t>77</w:t>
                    </w:r>
                    <w:r>
                      <w:fldChar w:fldCharType="end"/>
                    </w:r>
                  </w:p>
                </w:txbxContent>
              </v:textbox>
            </v:shape>
          </w:pict>
        </mc:Fallback>
      </mc:AlternateContent>
    </w:r>
  </w:p>
  <w:p w14:paraId="568B0857">
    <w:pPr>
      <w:pStyle w:val="1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BD134">
    <w:pPr>
      <w:pStyle w:val="18"/>
      <w:ind w:right="360"/>
      <w:jc w:val="both"/>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3D6F9D">
                          <w:pPr>
                            <w:pStyle w:val="18"/>
                          </w:pPr>
                          <w:r>
                            <w:fldChar w:fldCharType="begin"/>
                          </w:r>
                          <w:r>
                            <w:instrText xml:space="preserve"> PAGE  \* MERGEFORMAT </w:instrText>
                          </w:r>
                          <w:r>
                            <w:fldChar w:fldCharType="separate"/>
                          </w:r>
                          <w:r>
                            <w:t>76</w:t>
                          </w:r>
                          <w:r>
                            <w:fldChar w:fldCharType="end"/>
                          </w:r>
                        </w:p>
                      </w:txbxContent>
                    </wps:txbx>
                    <wps:bodyPr wrap="none" lIns="0" tIns="0" rIns="0" bIns="0" upright="1">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iEfz8kBAACaAwAADgAAAGRycy9lMm9Eb2MueG1srVPNjtMwEL4j8Q6W&#10;79RpD0sV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4b+poSxy0O/PLj++Xn78uvb2R1&#10;k/vTB6gx7T5gYhre+gG3ZvYDOrPsQUWbvyiIYBy7e752Vw6JiPxovVqvKwwJjM0XxGcPz0OE9E56&#10;S7LR0IjjK13lpw+QxtQ5JVdz/k4bU0Zo3F8OxMwelrmPHLOVhv0wCdr79ox6epx8Qx0uOiXmvcPG&#10;5iWZjTgb+9k4hqgPHVJbFl4Q3hwTkijccoURdiqMIyvqpvXKO/H4XrIefqnt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SIR/PyQEAAJoDAAAOAAAAAAAAAAEAIAAAAB4BAABkcnMvZTJvRG9j&#10;LnhtbFBLBQYAAAAABgAGAFkBAABZBQAAAAA=&#10;">
              <v:fill on="f" focussize="0,0"/>
              <v:stroke on="f"/>
              <v:imagedata o:title=""/>
              <o:lock v:ext="edit" aspectratio="f"/>
              <v:textbox inset="0mm,0mm,0mm,0mm" style="mso-fit-shape-to-text:t;">
                <w:txbxContent>
                  <w:p w14:paraId="6D3D6F9D">
                    <w:pPr>
                      <w:pStyle w:val="18"/>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7C6F1">
    <w:pPr>
      <w:pStyle w:val="18"/>
      <w:jc w:val="center"/>
    </w:pPr>
  </w:p>
  <w:p w14:paraId="32C1F066">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EDB78">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BA7FB1">
                          <w:pPr>
                            <w:pStyle w:val="18"/>
                            <w:jc w:val="center"/>
                          </w:pPr>
                          <w:r>
                            <w:fldChar w:fldCharType="begin"/>
                          </w:r>
                          <w:r>
                            <w:instrText xml:space="preserve"> PAGE   \* MERGEFORMAT </w:instrText>
                          </w:r>
                          <w:r>
                            <w:fldChar w:fldCharType="separate"/>
                          </w:r>
                          <w:r>
                            <w:rPr>
                              <w:lang w:val="zh-CN"/>
                            </w:rP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DBA7FB1">
                    <w:pPr>
                      <w:pStyle w:val="18"/>
                      <w:jc w:val="center"/>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20027A58">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3974B">
    <w:pPr>
      <w:spacing w:line="186" w:lineRule="auto"/>
      <w:ind w:left="4623"/>
      <w:rPr>
        <w:rFonts w:ascii="Times New Roman" w:hAnsi="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C09A43">
                          <w:pPr>
                            <w:pStyle w:val="18"/>
                          </w:pPr>
                          <w:r>
                            <w:fldChar w:fldCharType="begin"/>
                          </w:r>
                          <w:r>
                            <w:instrText xml:space="preserve"> PAGE  \* MERGEFORMAT </w:instrText>
                          </w:r>
                          <w:r>
                            <w:fldChar w:fldCharType="separate"/>
                          </w:r>
                          <w:r>
                            <w:t>53</w:t>
                          </w:r>
                          <w:r>
                            <w:fldChar w:fldCharType="end"/>
                          </w:r>
                        </w:p>
                      </w:txbxContent>
                    </wps:txbx>
                    <wps:bodyPr wrap="none" lIns="0" tIns="0" rIns="0" bIns="0" upright="1">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q3ma8oBAACaAwAADgAAAGRycy9lMm9Eb2MueG1srVPNjtMwEL4j8Q6W&#10;79Rpk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J6&#10;nf3pA9TY9hCwMQ13fsi9Ux4wmWUPKtr8RkEE6+ju+equHBIR+aP1ar2usCSwNh8Qhz1+HiKkt9Jb&#10;koOGRry+4io/vYc0ts4teZrz99oYzPPauL8SiJkzLHMfOeYoDfthIr737Rn19HjzDXW46JSYdw6N&#10;zUsyB3EO9nNwDFEfOqS2LLwg3B4Tkijc8oQRdhqMV1bUTeuVd+LPc+l6/KW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q3ma8oBAACaAwAADgAAAAAAAAABACAAAAAeAQAAZHJzL2Uyb0Rv&#10;Yy54bWxQSwUGAAAAAAYABgBZAQAAWgUAAAAA&#10;">
              <v:fill on="f" focussize="0,0"/>
              <v:stroke on="f"/>
              <v:imagedata o:title=""/>
              <o:lock v:ext="edit" aspectratio="f"/>
              <v:textbox inset="0mm,0mm,0mm,0mm" style="mso-fit-shape-to-text:t;">
                <w:txbxContent>
                  <w:p w14:paraId="25C09A43">
                    <w:pPr>
                      <w:pStyle w:val="1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6EE5D">
    <w:pPr>
      <w:spacing w:line="176" w:lineRule="auto"/>
      <w:ind w:left="40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0A498B">
                          <w:pPr>
                            <w:pStyle w:val="18"/>
                          </w:pPr>
                          <w:r>
                            <w:fldChar w:fldCharType="begin"/>
                          </w:r>
                          <w:r>
                            <w:instrText xml:space="preserve"> PAGE  \* MERGEFORMAT </w:instrText>
                          </w:r>
                          <w:r>
                            <w:fldChar w:fldCharType="separate"/>
                          </w:r>
                          <w:r>
                            <w:t>347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BV+k4AgAAc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IFX6TgCAABzBAAADgAAAAAAAAABACAAAAAfAQAAZHJzL2Uyb0RvYy54&#10;bWxQSwUGAAAAAAYABgBZAQAAyQUAAAAA&#10;">
              <v:fill on="f" focussize="0,0"/>
              <v:stroke on="f" weight="0.5pt"/>
              <v:imagedata o:title=""/>
              <o:lock v:ext="edit" aspectratio="f"/>
              <v:textbox inset="0mm,0mm,0mm,0mm" style="mso-fit-shape-to-text:t;">
                <w:txbxContent>
                  <w:p w14:paraId="3C0A498B">
                    <w:pPr>
                      <w:pStyle w:val="18"/>
                    </w:pPr>
                    <w:r>
                      <w:fldChar w:fldCharType="begin"/>
                    </w:r>
                    <w:r>
                      <w:instrText xml:space="preserve"> PAGE  \* MERGEFORMAT </w:instrText>
                    </w:r>
                    <w:r>
                      <w:fldChar w:fldCharType="separate"/>
                    </w:r>
                    <w:r>
                      <w:t>347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A37C8">
    <w:pPr>
      <w:spacing w:line="179" w:lineRule="auto"/>
      <w:ind w:left="4685"/>
      <w:rPr>
        <w:rFonts w:ascii="Tahoma" w:hAnsi="Tahoma" w:eastAsia="Tahoma" w:cs="Tahoma"/>
        <w:sz w:val="18"/>
        <w:szCs w:val="18"/>
      </w:rPr>
    </w:pPr>
    <w:r>
      <w:rPr>
        <w:rFonts w:ascii="Tahoma" w:hAnsi="Tahoma" w:eastAsia="Tahoma" w:cs="Tahoma"/>
        <w:spacing w:val="-4"/>
        <w:sz w:val="18"/>
        <w:szCs w:val="18"/>
      </w:rPr>
      <w:t>67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F67B8">
    <w:pPr>
      <w:pStyle w:val="18"/>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F4FFBA">
                          <w:pPr>
                            <w:pStyle w:val="18"/>
                          </w:pPr>
                          <w:r>
                            <w:fldChar w:fldCharType="begin"/>
                          </w:r>
                          <w:r>
                            <w:instrText xml:space="preserve"> PAGE  \* MERGEFORMAT </w:instrText>
                          </w:r>
                          <w:r>
                            <w:fldChar w:fldCharType="separate"/>
                          </w:r>
                          <w:r>
                            <w:t>68</w:t>
                          </w:r>
                          <w:r>
                            <w:fldChar w:fldCharType="end"/>
                          </w:r>
                        </w:p>
                      </w:txbxContent>
                    </wps:txbx>
                    <wps:bodyPr wrap="none" lIns="0" tIns="0" rIns="0" bIns="0" upright="1">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Dkt8kBAACaAwAADgAAAGRycy9lMm9Eb2MueG1srVPNjtMwEL4j8Q6W&#10;79RpB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WJ4xYHfvn+7fLj1+XnV7J6&#10;mfvTB6gx7S5gYhre+gG3ZvYDOrPsQUWbvyiIYBy7e752Vw6JiPxovVqvKwwJjM0XxGcPz0OE9E56&#10;S7LR0IjjK13lpw+QxtQ5JVdz/lYbU0Zo3F8OxMwelrmPHLOVhv0wCdr79ox6epx8Qx0uOiXmvcPG&#10;5iWZjTgb+9k4hqgPHVJbFl4Q3hwTkijccoURdiqMIyvqpvXKO/HnvWQ9/FL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D4OS3yQEAAJoDAAAOAAAAAAAAAAEAIAAAAB4BAABkcnMvZTJvRG9j&#10;LnhtbFBLBQYAAAAABgAGAFkBAABZBQAAAAA=&#10;">
              <v:fill on="f" focussize="0,0"/>
              <v:stroke on="f"/>
              <v:imagedata o:title=""/>
              <o:lock v:ext="edit" aspectratio="f"/>
              <v:textbox inset="0mm,0mm,0mm,0mm" style="mso-fit-shape-to-text:t;">
                <w:txbxContent>
                  <w:p w14:paraId="3FF4FFBA">
                    <w:pPr>
                      <w:pStyle w:val="18"/>
                    </w:pPr>
                    <w:r>
                      <w:fldChar w:fldCharType="begin"/>
                    </w:r>
                    <w:r>
                      <w:instrText xml:space="preserve"> PAGE  \* MERGEFORMAT </w:instrText>
                    </w:r>
                    <w:r>
                      <w:fldChar w:fldCharType="separate"/>
                    </w:r>
                    <w:r>
                      <w:t>68</w:t>
                    </w:r>
                    <w:r>
                      <w:fldChar w:fldCharType="end"/>
                    </w:r>
                  </w:p>
                </w:txbxContent>
              </v:textbox>
            </v:shape>
          </w:pict>
        </mc:Fallback>
      </mc:AlternateContent>
    </w:r>
  </w:p>
  <w:p w14:paraId="557D54E9">
    <w:pPr>
      <w:pStyle w:val="1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E9EA">
    <w:pPr>
      <w:pStyle w:val="18"/>
      <w:framePr w:wrap="around" w:vAnchor="text" w:hAnchor="margin" w:xAlign="center" w:y="1"/>
      <w:rPr>
        <w:rStyle w:val="28"/>
      </w:rPr>
    </w:pPr>
    <w:r>
      <w:fldChar w:fldCharType="begin"/>
    </w:r>
    <w:r>
      <w:rPr>
        <w:rStyle w:val="28"/>
      </w:rPr>
      <w:instrText xml:space="preserve">PAGE  </w:instrText>
    </w:r>
    <w:r>
      <w:fldChar w:fldCharType="separate"/>
    </w:r>
    <w:r>
      <w:fldChar w:fldCharType="end"/>
    </w:r>
  </w:p>
  <w:p w14:paraId="7F890581">
    <w:pPr>
      <w:pStyle w:val="1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68692">
    <w:pPr>
      <w:pStyle w:val="18"/>
      <w:framePr w:wrap="around" w:vAnchor="text" w:hAnchor="margin" w:xAlign="right" w:y="1"/>
      <w:rPr>
        <w:rStyle w:val="28"/>
      </w:rPr>
    </w:pPr>
    <w:r>
      <w:fldChar w:fldCharType="begin"/>
    </w:r>
    <w:r>
      <w:rPr>
        <w:rStyle w:val="28"/>
      </w:rPr>
      <w:instrText xml:space="preserve">PAGE  </w:instrText>
    </w:r>
    <w:r>
      <w:fldChar w:fldCharType="separate"/>
    </w:r>
    <w:r>
      <w:rPr>
        <w:rStyle w:val="28"/>
      </w:rPr>
      <w:t>122</w:t>
    </w:r>
    <w:r>
      <w:fldChar w:fldCharType="end"/>
    </w:r>
  </w:p>
  <w:p w14:paraId="6C4F8333">
    <w:pPr>
      <w:pStyle w:val="18"/>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811E8">
    <w:pPr>
      <w:pStyle w:val="1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CDC64">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CD4C1">
    <w:pPr>
      <w:pStyle w:val="1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69B85">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5"/>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4C601917"/>
    <w:multiLevelType w:val="singleLevel"/>
    <w:tmpl w:val="4C601917"/>
    <w:lvl w:ilvl="0" w:tentative="0">
      <w:start w:val="1"/>
      <w:numFmt w:val="decimal"/>
      <w:suff w:val="nothing"/>
      <w:lvlText w:val="（%1）"/>
      <w:lvlJc w:val="left"/>
    </w:lvl>
  </w:abstractNum>
  <w:abstractNum w:abstractNumId="2">
    <w:nsid w:val="5FABD14B"/>
    <w:multiLevelType w:val="singleLevel"/>
    <w:tmpl w:val="5FABD14B"/>
    <w:lvl w:ilvl="0" w:tentative="0">
      <w:start w:val="1"/>
      <w:numFmt w:val="decimal"/>
      <w:suff w:val="nothing"/>
      <w:lvlText w:val="（%1）"/>
      <w:lvlJc w:val="left"/>
    </w:lvl>
  </w:abstractNum>
  <w:abstractNum w:abstractNumId="3">
    <w:nsid w:val="656D6133"/>
    <w:multiLevelType w:val="multilevel"/>
    <w:tmpl w:val="656D6133"/>
    <w:lvl w:ilvl="0" w:tentative="0">
      <w:start w:val="1"/>
      <w:numFmt w:val="chineseCountingThousand"/>
      <w:suff w:val="nothing"/>
      <w:lvlText w:val="第%1部分"/>
      <w:lvlJc w:val="center"/>
      <w:pPr>
        <w:ind w:left="252" w:firstLine="288"/>
      </w:pPr>
      <w:rPr>
        <w:rFonts w:hint="eastAsia"/>
        <w:sz w:val="21"/>
        <w:szCs w:val="21"/>
      </w:rPr>
    </w:lvl>
    <w:lvl w:ilvl="1" w:tentative="0">
      <w:start w:val="1"/>
      <w:numFmt w:val="chineseCountingThousand"/>
      <w:suff w:val="nothing"/>
      <w:lvlText w:val="%2、"/>
      <w:lvlJc w:val="left"/>
      <w:pPr>
        <w:ind w:left="3" w:firstLine="177"/>
      </w:pPr>
      <w:rPr>
        <w:rFonts w:hint="eastAsia" w:ascii="仿宋_GB2312" w:hAnsi="宋体" w:eastAsia="仿宋_GB2312"/>
        <w:sz w:val="21"/>
        <w:szCs w:val="21"/>
        <w:lang w:val="en-US"/>
      </w:rPr>
    </w:lvl>
    <w:lvl w:ilvl="2" w:tentative="0">
      <w:start w:val="1"/>
      <w:numFmt w:val="chineseCountingThousand"/>
      <w:suff w:val="nothing"/>
      <w:lvlText w:val="(%3)"/>
      <w:lvlJc w:val="left"/>
      <w:pPr>
        <w:ind w:left="252"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252" w:firstLine="0"/>
      </w:pPr>
      <w:rPr>
        <w:rFonts w:hint="eastAsia"/>
      </w:rPr>
    </w:lvl>
    <w:lvl w:ilvl="4" w:tentative="0">
      <w:start w:val="1"/>
      <w:numFmt w:val="upperLetter"/>
      <w:suff w:val="nothing"/>
      <w:lvlText w:val="%5、"/>
      <w:lvlJc w:val="left"/>
      <w:pPr>
        <w:ind w:left="252" w:firstLine="0"/>
      </w:pPr>
      <w:rPr>
        <w:rFonts w:hint="eastAsia"/>
      </w:rPr>
    </w:lvl>
    <w:lvl w:ilvl="5" w:tentative="0">
      <w:start w:val="1"/>
      <w:numFmt w:val="none"/>
      <w:pStyle w:val="7"/>
      <w:suff w:val="nothing"/>
      <w:lvlText w:val=""/>
      <w:lvlJc w:val="left"/>
      <w:pPr>
        <w:ind w:left="252" w:firstLine="0"/>
      </w:pPr>
      <w:rPr>
        <w:rFonts w:hint="eastAsia"/>
      </w:rPr>
    </w:lvl>
    <w:lvl w:ilvl="6" w:tentative="0">
      <w:start w:val="1"/>
      <w:numFmt w:val="none"/>
      <w:suff w:val="nothing"/>
      <w:lvlText w:val=""/>
      <w:lvlJc w:val="left"/>
      <w:pPr>
        <w:ind w:left="252" w:firstLine="0"/>
      </w:pPr>
      <w:rPr>
        <w:rFonts w:hint="eastAsia"/>
      </w:rPr>
    </w:lvl>
    <w:lvl w:ilvl="7" w:tentative="0">
      <w:start w:val="1"/>
      <w:numFmt w:val="none"/>
      <w:suff w:val="nothing"/>
      <w:lvlText w:val=""/>
      <w:lvlJc w:val="left"/>
      <w:pPr>
        <w:ind w:left="252" w:firstLine="0"/>
      </w:pPr>
      <w:rPr>
        <w:rFonts w:hint="eastAsia"/>
      </w:rPr>
    </w:lvl>
    <w:lvl w:ilvl="8" w:tentative="0">
      <w:start w:val="1"/>
      <w:numFmt w:val="none"/>
      <w:suff w:val="nothing"/>
      <w:lvlText w:val=""/>
      <w:lvlJc w:val="left"/>
      <w:pPr>
        <w:ind w:left="252" w:firstLine="0"/>
      </w:pPr>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yMTJkNjA4MGNiNDRmYWRmZGJkZWJhNmJkNzUwYjcifQ=="/>
  </w:docVars>
  <w:rsids>
    <w:rsidRoot w:val="00000000"/>
    <w:rsid w:val="000A47AD"/>
    <w:rsid w:val="001009DC"/>
    <w:rsid w:val="002D475A"/>
    <w:rsid w:val="004C0647"/>
    <w:rsid w:val="00732078"/>
    <w:rsid w:val="008B5614"/>
    <w:rsid w:val="009C15CF"/>
    <w:rsid w:val="00B603D9"/>
    <w:rsid w:val="00C36B5B"/>
    <w:rsid w:val="00EA12AA"/>
    <w:rsid w:val="00EB1C0E"/>
    <w:rsid w:val="010158D6"/>
    <w:rsid w:val="013B2AFF"/>
    <w:rsid w:val="014C6B51"/>
    <w:rsid w:val="016814B1"/>
    <w:rsid w:val="016F5969"/>
    <w:rsid w:val="017574CE"/>
    <w:rsid w:val="018872EB"/>
    <w:rsid w:val="018F287C"/>
    <w:rsid w:val="019C43F1"/>
    <w:rsid w:val="01A52D98"/>
    <w:rsid w:val="01B97A18"/>
    <w:rsid w:val="02025461"/>
    <w:rsid w:val="021A27AB"/>
    <w:rsid w:val="023F42AD"/>
    <w:rsid w:val="02460EB6"/>
    <w:rsid w:val="026E0D49"/>
    <w:rsid w:val="02985DC6"/>
    <w:rsid w:val="02B52978"/>
    <w:rsid w:val="02BA587D"/>
    <w:rsid w:val="02C7057E"/>
    <w:rsid w:val="02E05B76"/>
    <w:rsid w:val="03015719"/>
    <w:rsid w:val="031E276F"/>
    <w:rsid w:val="03261624"/>
    <w:rsid w:val="03547E48"/>
    <w:rsid w:val="036977A5"/>
    <w:rsid w:val="037C7496"/>
    <w:rsid w:val="03BD1543"/>
    <w:rsid w:val="03F93D75"/>
    <w:rsid w:val="040E629A"/>
    <w:rsid w:val="04253689"/>
    <w:rsid w:val="04277401"/>
    <w:rsid w:val="042B353F"/>
    <w:rsid w:val="04487311"/>
    <w:rsid w:val="045A77D7"/>
    <w:rsid w:val="04714B20"/>
    <w:rsid w:val="04BB2CD9"/>
    <w:rsid w:val="04BC3FEE"/>
    <w:rsid w:val="04BF3ADE"/>
    <w:rsid w:val="04E56FAB"/>
    <w:rsid w:val="04EE51E1"/>
    <w:rsid w:val="053231D3"/>
    <w:rsid w:val="05650CB6"/>
    <w:rsid w:val="05951A18"/>
    <w:rsid w:val="05AA3931"/>
    <w:rsid w:val="05B31348"/>
    <w:rsid w:val="05B9052D"/>
    <w:rsid w:val="05EE5410"/>
    <w:rsid w:val="05FE2C50"/>
    <w:rsid w:val="061B11E8"/>
    <w:rsid w:val="063302DF"/>
    <w:rsid w:val="06344057"/>
    <w:rsid w:val="064578CD"/>
    <w:rsid w:val="065631E3"/>
    <w:rsid w:val="066A5A55"/>
    <w:rsid w:val="066E5B12"/>
    <w:rsid w:val="067F229B"/>
    <w:rsid w:val="06B51A63"/>
    <w:rsid w:val="06B95FCF"/>
    <w:rsid w:val="06C278B5"/>
    <w:rsid w:val="06E11AE9"/>
    <w:rsid w:val="06E710CA"/>
    <w:rsid w:val="06F33E06"/>
    <w:rsid w:val="071105F1"/>
    <w:rsid w:val="073C31C4"/>
    <w:rsid w:val="07632E46"/>
    <w:rsid w:val="0786035F"/>
    <w:rsid w:val="07AE13C0"/>
    <w:rsid w:val="07B5085A"/>
    <w:rsid w:val="07B54D24"/>
    <w:rsid w:val="07D8088C"/>
    <w:rsid w:val="07E775D3"/>
    <w:rsid w:val="07FC6546"/>
    <w:rsid w:val="080621EE"/>
    <w:rsid w:val="080B4BAB"/>
    <w:rsid w:val="082D0D5E"/>
    <w:rsid w:val="086A3D60"/>
    <w:rsid w:val="089112ED"/>
    <w:rsid w:val="08A96637"/>
    <w:rsid w:val="08CA47FF"/>
    <w:rsid w:val="08CB7DC2"/>
    <w:rsid w:val="08EF118D"/>
    <w:rsid w:val="08F85810"/>
    <w:rsid w:val="08FD75AE"/>
    <w:rsid w:val="08FF0187"/>
    <w:rsid w:val="09016473"/>
    <w:rsid w:val="091C7001"/>
    <w:rsid w:val="091E39A5"/>
    <w:rsid w:val="092330BF"/>
    <w:rsid w:val="092C2BAE"/>
    <w:rsid w:val="095F57C8"/>
    <w:rsid w:val="097F55EA"/>
    <w:rsid w:val="0984424B"/>
    <w:rsid w:val="098552E8"/>
    <w:rsid w:val="09915AF0"/>
    <w:rsid w:val="099346C1"/>
    <w:rsid w:val="09C3197A"/>
    <w:rsid w:val="09C71544"/>
    <w:rsid w:val="09CB04E3"/>
    <w:rsid w:val="09EE7359"/>
    <w:rsid w:val="09EF46FA"/>
    <w:rsid w:val="09FE29B2"/>
    <w:rsid w:val="0A042978"/>
    <w:rsid w:val="0A0A75A9"/>
    <w:rsid w:val="0A1B3564"/>
    <w:rsid w:val="0A2F517D"/>
    <w:rsid w:val="0A4C7BC2"/>
    <w:rsid w:val="0A7F7F97"/>
    <w:rsid w:val="0A9E5F43"/>
    <w:rsid w:val="0AB96545"/>
    <w:rsid w:val="0ABD461B"/>
    <w:rsid w:val="0AC27AB4"/>
    <w:rsid w:val="0AF33A92"/>
    <w:rsid w:val="0AF838A6"/>
    <w:rsid w:val="0B114967"/>
    <w:rsid w:val="0B18726F"/>
    <w:rsid w:val="0B6953A9"/>
    <w:rsid w:val="0B6D1CA3"/>
    <w:rsid w:val="0B7E0D69"/>
    <w:rsid w:val="0BA56877"/>
    <w:rsid w:val="0BA73DA9"/>
    <w:rsid w:val="0BB43EE8"/>
    <w:rsid w:val="0BBA4FFF"/>
    <w:rsid w:val="0BC56019"/>
    <w:rsid w:val="0BD71032"/>
    <w:rsid w:val="0BF0378A"/>
    <w:rsid w:val="0BF16C73"/>
    <w:rsid w:val="0C1069CD"/>
    <w:rsid w:val="0C1D1A5F"/>
    <w:rsid w:val="0C2B3807"/>
    <w:rsid w:val="0C2C2DB9"/>
    <w:rsid w:val="0C443240"/>
    <w:rsid w:val="0C752ECD"/>
    <w:rsid w:val="0C9A3580"/>
    <w:rsid w:val="0C9F71C3"/>
    <w:rsid w:val="0CBD298F"/>
    <w:rsid w:val="0CC223BD"/>
    <w:rsid w:val="0D051CD8"/>
    <w:rsid w:val="0D0A17F5"/>
    <w:rsid w:val="0D0B60CC"/>
    <w:rsid w:val="0D167D33"/>
    <w:rsid w:val="0D1D1643"/>
    <w:rsid w:val="0D3F045D"/>
    <w:rsid w:val="0D4E59FF"/>
    <w:rsid w:val="0D5437E3"/>
    <w:rsid w:val="0D5B10EB"/>
    <w:rsid w:val="0D9A2703"/>
    <w:rsid w:val="0DA25D4B"/>
    <w:rsid w:val="0DAB400E"/>
    <w:rsid w:val="0DD31932"/>
    <w:rsid w:val="0E0F33E0"/>
    <w:rsid w:val="0E190AB1"/>
    <w:rsid w:val="0E455054"/>
    <w:rsid w:val="0E777AAB"/>
    <w:rsid w:val="0E7E732C"/>
    <w:rsid w:val="0E8C14E5"/>
    <w:rsid w:val="0E8E2C22"/>
    <w:rsid w:val="0EA07C89"/>
    <w:rsid w:val="0EAD00AF"/>
    <w:rsid w:val="0EC71BB6"/>
    <w:rsid w:val="0ECA558A"/>
    <w:rsid w:val="0ED35E5D"/>
    <w:rsid w:val="0EED33BA"/>
    <w:rsid w:val="0EF45E39"/>
    <w:rsid w:val="0EF913EE"/>
    <w:rsid w:val="0F29708F"/>
    <w:rsid w:val="0F3441F2"/>
    <w:rsid w:val="0F492922"/>
    <w:rsid w:val="0F535C58"/>
    <w:rsid w:val="0F603EC7"/>
    <w:rsid w:val="0F660F7B"/>
    <w:rsid w:val="0FA1275E"/>
    <w:rsid w:val="0FBB6B5F"/>
    <w:rsid w:val="0FD7C956"/>
    <w:rsid w:val="0FDF2F6F"/>
    <w:rsid w:val="10014FAA"/>
    <w:rsid w:val="10066A65"/>
    <w:rsid w:val="10395D82"/>
    <w:rsid w:val="10967DE9"/>
    <w:rsid w:val="10991687"/>
    <w:rsid w:val="10D16A03"/>
    <w:rsid w:val="11305877"/>
    <w:rsid w:val="113530C8"/>
    <w:rsid w:val="11473B78"/>
    <w:rsid w:val="11592BC4"/>
    <w:rsid w:val="11A30A08"/>
    <w:rsid w:val="11AB1672"/>
    <w:rsid w:val="11B83F0F"/>
    <w:rsid w:val="11D30BC8"/>
    <w:rsid w:val="11F43726"/>
    <w:rsid w:val="12137217"/>
    <w:rsid w:val="121E634A"/>
    <w:rsid w:val="12863E8D"/>
    <w:rsid w:val="128F58C2"/>
    <w:rsid w:val="12A13D28"/>
    <w:rsid w:val="12B26A30"/>
    <w:rsid w:val="12BC340B"/>
    <w:rsid w:val="12BD5362"/>
    <w:rsid w:val="12D20E80"/>
    <w:rsid w:val="12D23BDA"/>
    <w:rsid w:val="12D44BF8"/>
    <w:rsid w:val="12E0359D"/>
    <w:rsid w:val="12FC7CAB"/>
    <w:rsid w:val="130F1B34"/>
    <w:rsid w:val="13182D37"/>
    <w:rsid w:val="136E0BA9"/>
    <w:rsid w:val="13CA0160"/>
    <w:rsid w:val="13D6674E"/>
    <w:rsid w:val="13FE1A84"/>
    <w:rsid w:val="143E42EA"/>
    <w:rsid w:val="144C76BE"/>
    <w:rsid w:val="144D6085"/>
    <w:rsid w:val="14504752"/>
    <w:rsid w:val="147478CA"/>
    <w:rsid w:val="14A44C48"/>
    <w:rsid w:val="14F275B8"/>
    <w:rsid w:val="14FB0B5E"/>
    <w:rsid w:val="150176F7"/>
    <w:rsid w:val="15283505"/>
    <w:rsid w:val="152A4FA3"/>
    <w:rsid w:val="15392994"/>
    <w:rsid w:val="15442C2E"/>
    <w:rsid w:val="158D0509"/>
    <w:rsid w:val="15C301DF"/>
    <w:rsid w:val="15E038B4"/>
    <w:rsid w:val="16133C89"/>
    <w:rsid w:val="161517B0"/>
    <w:rsid w:val="162B4ED3"/>
    <w:rsid w:val="16534086"/>
    <w:rsid w:val="165F4CB9"/>
    <w:rsid w:val="16694B30"/>
    <w:rsid w:val="16763F18"/>
    <w:rsid w:val="16776568"/>
    <w:rsid w:val="167F131F"/>
    <w:rsid w:val="16917C74"/>
    <w:rsid w:val="16AB7F8F"/>
    <w:rsid w:val="16BF21A1"/>
    <w:rsid w:val="16F06BB2"/>
    <w:rsid w:val="17057D38"/>
    <w:rsid w:val="171274C7"/>
    <w:rsid w:val="171713BF"/>
    <w:rsid w:val="173F5384"/>
    <w:rsid w:val="17614581"/>
    <w:rsid w:val="179B5CE4"/>
    <w:rsid w:val="17BC2843"/>
    <w:rsid w:val="17E92421"/>
    <w:rsid w:val="183A3CF4"/>
    <w:rsid w:val="18457481"/>
    <w:rsid w:val="18461C09"/>
    <w:rsid w:val="18616F2E"/>
    <w:rsid w:val="18714C97"/>
    <w:rsid w:val="1896409E"/>
    <w:rsid w:val="189C466F"/>
    <w:rsid w:val="189E29EE"/>
    <w:rsid w:val="18C820AD"/>
    <w:rsid w:val="18D57CCC"/>
    <w:rsid w:val="18F5116E"/>
    <w:rsid w:val="18FF22A3"/>
    <w:rsid w:val="19010DAE"/>
    <w:rsid w:val="19027426"/>
    <w:rsid w:val="19235EE7"/>
    <w:rsid w:val="19282D29"/>
    <w:rsid w:val="192A2B8B"/>
    <w:rsid w:val="192E0D42"/>
    <w:rsid w:val="192E77AB"/>
    <w:rsid w:val="19564A63"/>
    <w:rsid w:val="196D545F"/>
    <w:rsid w:val="196E66EE"/>
    <w:rsid w:val="197131A1"/>
    <w:rsid w:val="198E5358"/>
    <w:rsid w:val="19A56324"/>
    <w:rsid w:val="19AE648D"/>
    <w:rsid w:val="19E94311"/>
    <w:rsid w:val="19F45BB5"/>
    <w:rsid w:val="19F73D5C"/>
    <w:rsid w:val="1A293A7B"/>
    <w:rsid w:val="1A2E3AA5"/>
    <w:rsid w:val="1A3664FF"/>
    <w:rsid w:val="1A4C32C6"/>
    <w:rsid w:val="1A4E703E"/>
    <w:rsid w:val="1A5E3E22"/>
    <w:rsid w:val="1A767367"/>
    <w:rsid w:val="1A885952"/>
    <w:rsid w:val="1A9B5CF6"/>
    <w:rsid w:val="1ABA46D4"/>
    <w:rsid w:val="1ACA37CD"/>
    <w:rsid w:val="1AD339E7"/>
    <w:rsid w:val="1AD93C19"/>
    <w:rsid w:val="1AF37BE5"/>
    <w:rsid w:val="1B177D78"/>
    <w:rsid w:val="1B1E2AD6"/>
    <w:rsid w:val="1B2A7AAB"/>
    <w:rsid w:val="1B32354E"/>
    <w:rsid w:val="1B3B1B1A"/>
    <w:rsid w:val="1B837B4D"/>
    <w:rsid w:val="1BB1584C"/>
    <w:rsid w:val="1BC51582"/>
    <w:rsid w:val="1BD46B9F"/>
    <w:rsid w:val="1C1D3723"/>
    <w:rsid w:val="1C215A59"/>
    <w:rsid w:val="1C2E5379"/>
    <w:rsid w:val="1C366D4F"/>
    <w:rsid w:val="1C3E55E2"/>
    <w:rsid w:val="1C4F6411"/>
    <w:rsid w:val="1C5C4AC0"/>
    <w:rsid w:val="1C6437B1"/>
    <w:rsid w:val="1C7B7E93"/>
    <w:rsid w:val="1C940407"/>
    <w:rsid w:val="1CB27013"/>
    <w:rsid w:val="1CB86F6A"/>
    <w:rsid w:val="1CD249A0"/>
    <w:rsid w:val="1CED1AC3"/>
    <w:rsid w:val="1D4321B6"/>
    <w:rsid w:val="1D4E0E90"/>
    <w:rsid w:val="1D5020A4"/>
    <w:rsid w:val="1D8B271D"/>
    <w:rsid w:val="1DD16002"/>
    <w:rsid w:val="1DE57CB9"/>
    <w:rsid w:val="1DED3012"/>
    <w:rsid w:val="1DF42989"/>
    <w:rsid w:val="1DFE0D7B"/>
    <w:rsid w:val="1E00075A"/>
    <w:rsid w:val="1E4427E1"/>
    <w:rsid w:val="1E5F4990"/>
    <w:rsid w:val="1E721445"/>
    <w:rsid w:val="1E791917"/>
    <w:rsid w:val="1EAC07D7"/>
    <w:rsid w:val="1EB61656"/>
    <w:rsid w:val="1F424AE9"/>
    <w:rsid w:val="1F4B2F48"/>
    <w:rsid w:val="1F523B54"/>
    <w:rsid w:val="1F606B81"/>
    <w:rsid w:val="1F7315FD"/>
    <w:rsid w:val="1F78690B"/>
    <w:rsid w:val="1FC41B50"/>
    <w:rsid w:val="1FD57FE5"/>
    <w:rsid w:val="1FE3647B"/>
    <w:rsid w:val="1FE96A3D"/>
    <w:rsid w:val="200545EF"/>
    <w:rsid w:val="203411F8"/>
    <w:rsid w:val="20791FDD"/>
    <w:rsid w:val="20903577"/>
    <w:rsid w:val="20A025BE"/>
    <w:rsid w:val="20A756FA"/>
    <w:rsid w:val="20AC5329"/>
    <w:rsid w:val="20B87907"/>
    <w:rsid w:val="20BD316F"/>
    <w:rsid w:val="20BE3578"/>
    <w:rsid w:val="20F46465"/>
    <w:rsid w:val="20F87891"/>
    <w:rsid w:val="21324715"/>
    <w:rsid w:val="21372538"/>
    <w:rsid w:val="214964AC"/>
    <w:rsid w:val="21744D47"/>
    <w:rsid w:val="217C26E3"/>
    <w:rsid w:val="219043E0"/>
    <w:rsid w:val="21A7119D"/>
    <w:rsid w:val="21AF16D4"/>
    <w:rsid w:val="21B53E47"/>
    <w:rsid w:val="21C45D42"/>
    <w:rsid w:val="21DF39E0"/>
    <w:rsid w:val="21E87D78"/>
    <w:rsid w:val="22196184"/>
    <w:rsid w:val="224732EF"/>
    <w:rsid w:val="22484CBB"/>
    <w:rsid w:val="224E5C00"/>
    <w:rsid w:val="225B49EE"/>
    <w:rsid w:val="22603DB2"/>
    <w:rsid w:val="226A2A7B"/>
    <w:rsid w:val="226D7508"/>
    <w:rsid w:val="22837C03"/>
    <w:rsid w:val="22873156"/>
    <w:rsid w:val="22C003A0"/>
    <w:rsid w:val="22C70A79"/>
    <w:rsid w:val="22D456F2"/>
    <w:rsid w:val="22E926D9"/>
    <w:rsid w:val="22F6697B"/>
    <w:rsid w:val="230230BC"/>
    <w:rsid w:val="2310565C"/>
    <w:rsid w:val="231057D9"/>
    <w:rsid w:val="23356FED"/>
    <w:rsid w:val="2337336D"/>
    <w:rsid w:val="235A6A54"/>
    <w:rsid w:val="237C3DA7"/>
    <w:rsid w:val="23871813"/>
    <w:rsid w:val="238D0B88"/>
    <w:rsid w:val="239301B8"/>
    <w:rsid w:val="23A811B5"/>
    <w:rsid w:val="23C916DC"/>
    <w:rsid w:val="23E92A1D"/>
    <w:rsid w:val="23F8626D"/>
    <w:rsid w:val="24003A9F"/>
    <w:rsid w:val="241755D5"/>
    <w:rsid w:val="2423778D"/>
    <w:rsid w:val="24376D95"/>
    <w:rsid w:val="245C4A4D"/>
    <w:rsid w:val="246F4781"/>
    <w:rsid w:val="247357DE"/>
    <w:rsid w:val="247E6188"/>
    <w:rsid w:val="24822706"/>
    <w:rsid w:val="24867A64"/>
    <w:rsid w:val="24F37160"/>
    <w:rsid w:val="252D79D0"/>
    <w:rsid w:val="2530556C"/>
    <w:rsid w:val="25632A44"/>
    <w:rsid w:val="25987D07"/>
    <w:rsid w:val="259B711F"/>
    <w:rsid w:val="25A55F80"/>
    <w:rsid w:val="25AE61AD"/>
    <w:rsid w:val="25D42A8C"/>
    <w:rsid w:val="2605469A"/>
    <w:rsid w:val="260859F0"/>
    <w:rsid w:val="260C44CD"/>
    <w:rsid w:val="2629095F"/>
    <w:rsid w:val="26303437"/>
    <w:rsid w:val="26320878"/>
    <w:rsid w:val="263E265D"/>
    <w:rsid w:val="264431CC"/>
    <w:rsid w:val="267918E7"/>
    <w:rsid w:val="268F115B"/>
    <w:rsid w:val="269D6920"/>
    <w:rsid w:val="26A9791D"/>
    <w:rsid w:val="26B24DF9"/>
    <w:rsid w:val="26D66D39"/>
    <w:rsid w:val="26DD7C72"/>
    <w:rsid w:val="2701393B"/>
    <w:rsid w:val="27075F11"/>
    <w:rsid w:val="27311B4E"/>
    <w:rsid w:val="2738348F"/>
    <w:rsid w:val="27420DB4"/>
    <w:rsid w:val="27671B4E"/>
    <w:rsid w:val="27677991"/>
    <w:rsid w:val="277450D6"/>
    <w:rsid w:val="27AB752D"/>
    <w:rsid w:val="28154A9C"/>
    <w:rsid w:val="28285372"/>
    <w:rsid w:val="283B52BD"/>
    <w:rsid w:val="283E7808"/>
    <w:rsid w:val="286B34B1"/>
    <w:rsid w:val="289A4822"/>
    <w:rsid w:val="28EB6E76"/>
    <w:rsid w:val="28EF35C4"/>
    <w:rsid w:val="292E56D5"/>
    <w:rsid w:val="293D309F"/>
    <w:rsid w:val="296315D6"/>
    <w:rsid w:val="29817F95"/>
    <w:rsid w:val="29892243"/>
    <w:rsid w:val="29A053DC"/>
    <w:rsid w:val="29B70979"/>
    <w:rsid w:val="29BB2CA5"/>
    <w:rsid w:val="29BC3516"/>
    <w:rsid w:val="29DD17C8"/>
    <w:rsid w:val="29E40B13"/>
    <w:rsid w:val="2A357DCE"/>
    <w:rsid w:val="2A3A313B"/>
    <w:rsid w:val="2A3C6EB3"/>
    <w:rsid w:val="2A4C6A61"/>
    <w:rsid w:val="2A7F1496"/>
    <w:rsid w:val="2A832D34"/>
    <w:rsid w:val="2A8D2EC0"/>
    <w:rsid w:val="2AAB5DE7"/>
    <w:rsid w:val="2ABB48B5"/>
    <w:rsid w:val="2AC450FA"/>
    <w:rsid w:val="2AC54A69"/>
    <w:rsid w:val="2AC800C8"/>
    <w:rsid w:val="2AE01F34"/>
    <w:rsid w:val="2AFD71FE"/>
    <w:rsid w:val="2B287437"/>
    <w:rsid w:val="2B3013A2"/>
    <w:rsid w:val="2B3176EA"/>
    <w:rsid w:val="2B577D1D"/>
    <w:rsid w:val="2B831BB4"/>
    <w:rsid w:val="2BDF65F0"/>
    <w:rsid w:val="2C1D0F66"/>
    <w:rsid w:val="2C2C1183"/>
    <w:rsid w:val="2C8132A3"/>
    <w:rsid w:val="2C8C1A29"/>
    <w:rsid w:val="2C92725E"/>
    <w:rsid w:val="2C9D0B2A"/>
    <w:rsid w:val="2CA3162D"/>
    <w:rsid w:val="2CBA67B5"/>
    <w:rsid w:val="2CC46C34"/>
    <w:rsid w:val="2CCB451E"/>
    <w:rsid w:val="2D07409C"/>
    <w:rsid w:val="2D082811"/>
    <w:rsid w:val="2D252B96"/>
    <w:rsid w:val="2D404F0C"/>
    <w:rsid w:val="2D60068C"/>
    <w:rsid w:val="2D7564AC"/>
    <w:rsid w:val="2D7E047B"/>
    <w:rsid w:val="2D7E77E3"/>
    <w:rsid w:val="2D8138AC"/>
    <w:rsid w:val="2D990AC0"/>
    <w:rsid w:val="2DF002CB"/>
    <w:rsid w:val="2E084E2D"/>
    <w:rsid w:val="2E1A197C"/>
    <w:rsid w:val="2E2C216E"/>
    <w:rsid w:val="2E363458"/>
    <w:rsid w:val="2E3B3FB2"/>
    <w:rsid w:val="2E4C37F6"/>
    <w:rsid w:val="2EA65243"/>
    <w:rsid w:val="2EAB2859"/>
    <w:rsid w:val="2EB353C4"/>
    <w:rsid w:val="2EE052E6"/>
    <w:rsid w:val="2EF01B85"/>
    <w:rsid w:val="2F0F2DE8"/>
    <w:rsid w:val="2F1E74CF"/>
    <w:rsid w:val="2F394CAA"/>
    <w:rsid w:val="2F430CE4"/>
    <w:rsid w:val="2F6126ED"/>
    <w:rsid w:val="2F690826"/>
    <w:rsid w:val="2F9F4D71"/>
    <w:rsid w:val="2FA86D99"/>
    <w:rsid w:val="2FAB58C1"/>
    <w:rsid w:val="2FBC4D4D"/>
    <w:rsid w:val="2FCA46BE"/>
    <w:rsid w:val="2FCD4A51"/>
    <w:rsid w:val="30071D11"/>
    <w:rsid w:val="30332B06"/>
    <w:rsid w:val="303411FF"/>
    <w:rsid w:val="303D7627"/>
    <w:rsid w:val="3053331B"/>
    <w:rsid w:val="30751C6B"/>
    <w:rsid w:val="307A6987"/>
    <w:rsid w:val="307D0225"/>
    <w:rsid w:val="308B5737"/>
    <w:rsid w:val="30A9726C"/>
    <w:rsid w:val="30B04157"/>
    <w:rsid w:val="30B71A2F"/>
    <w:rsid w:val="311B77D4"/>
    <w:rsid w:val="3120277A"/>
    <w:rsid w:val="31413B7F"/>
    <w:rsid w:val="31530D40"/>
    <w:rsid w:val="31667791"/>
    <w:rsid w:val="318D4498"/>
    <w:rsid w:val="31905CFD"/>
    <w:rsid w:val="31975317"/>
    <w:rsid w:val="319C46DB"/>
    <w:rsid w:val="31DA4BE1"/>
    <w:rsid w:val="31DC0F7C"/>
    <w:rsid w:val="323D4C19"/>
    <w:rsid w:val="325806BF"/>
    <w:rsid w:val="32607DFF"/>
    <w:rsid w:val="32A77CC3"/>
    <w:rsid w:val="32EB3B6C"/>
    <w:rsid w:val="33256C2B"/>
    <w:rsid w:val="33573EDC"/>
    <w:rsid w:val="335E5794"/>
    <w:rsid w:val="336530DF"/>
    <w:rsid w:val="33E11727"/>
    <w:rsid w:val="340842AA"/>
    <w:rsid w:val="342148D5"/>
    <w:rsid w:val="3444147E"/>
    <w:rsid w:val="346239BA"/>
    <w:rsid w:val="347D4B77"/>
    <w:rsid w:val="348F22D5"/>
    <w:rsid w:val="34B53875"/>
    <w:rsid w:val="34DA44FF"/>
    <w:rsid w:val="34EB46A1"/>
    <w:rsid w:val="350478CF"/>
    <w:rsid w:val="35317E94"/>
    <w:rsid w:val="35520281"/>
    <w:rsid w:val="35551771"/>
    <w:rsid w:val="3565547E"/>
    <w:rsid w:val="3586637E"/>
    <w:rsid w:val="358E5AF3"/>
    <w:rsid w:val="35A83952"/>
    <w:rsid w:val="35B2271F"/>
    <w:rsid w:val="35CE60DC"/>
    <w:rsid w:val="36015455"/>
    <w:rsid w:val="361138EA"/>
    <w:rsid w:val="361D69CE"/>
    <w:rsid w:val="363336D8"/>
    <w:rsid w:val="366003CD"/>
    <w:rsid w:val="3667350A"/>
    <w:rsid w:val="36687F57"/>
    <w:rsid w:val="36962041"/>
    <w:rsid w:val="36D05553"/>
    <w:rsid w:val="36F2131A"/>
    <w:rsid w:val="370130B6"/>
    <w:rsid w:val="371131FF"/>
    <w:rsid w:val="37182A56"/>
    <w:rsid w:val="373830F8"/>
    <w:rsid w:val="37602480"/>
    <w:rsid w:val="376143FD"/>
    <w:rsid w:val="37743C09"/>
    <w:rsid w:val="37756A1F"/>
    <w:rsid w:val="377E4FAF"/>
    <w:rsid w:val="37A4078E"/>
    <w:rsid w:val="37B937ED"/>
    <w:rsid w:val="37BB72AC"/>
    <w:rsid w:val="37BD0825"/>
    <w:rsid w:val="37CE22F9"/>
    <w:rsid w:val="37D01583"/>
    <w:rsid w:val="37E40B8A"/>
    <w:rsid w:val="37E62B54"/>
    <w:rsid w:val="38173412"/>
    <w:rsid w:val="385C44C4"/>
    <w:rsid w:val="385D73E8"/>
    <w:rsid w:val="385F223A"/>
    <w:rsid w:val="3877581E"/>
    <w:rsid w:val="389F7439"/>
    <w:rsid w:val="38BB3D60"/>
    <w:rsid w:val="38D34E55"/>
    <w:rsid w:val="38DE5455"/>
    <w:rsid w:val="38E350E4"/>
    <w:rsid w:val="391060DB"/>
    <w:rsid w:val="39442261"/>
    <w:rsid w:val="39534219"/>
    <w:rsid w:val="395D33E0"/>
    <w:rsid w:val="395F496C"/>
    <w:rsid w:val="39731D27"/>
    <w:rsid w:val="39C12F31"/>
    <w:rsid w:val="39EB6200"/>
    <w:rsid w:val="3A0A215A"/>
    <w:rsid w:val="3A234B2E"/>
    <w:rsid w:val="3A3053DE"/>
    <w:rsid w:val="3A3D7A35"/>
    <w:rsid w:val="3A3F6CD6"/>
    <w:rsid w:val="3A40479E"/>
    <w:rsid w:val="3A500759"/>
    <w:rsid w:val="3AA66AE9"/>
    <w:rsid w:val="3B076CB1"/>
    <w:rsid w:val="3B0B2A08"/>
    <w:rsid w:val="3B5A2A6D"/>
    <w:rsid w:val="3B806E1C"/>
    <w:rsid w:val="3BAD6C67"/>
    <w:rsid w:val="3BC24ED1"/>
    <w:rsid w:val="3BC9431F"/>
    <w:rsid w:val="3BCC0557"/>
    <w:rsid w:val="3BE34189"/>
    <w:rsid w:val="3BFF2436"/>
    <w:rsid w:val="3C655B5E"/>
    <w:rsid w:val="3C6877D4"/>
    <w:rsid w:val="3C6B187A"/>
    <w:rsid w:val="3C7613D4"/>
    <w:rsid w:val="3C76173F"/>
    <w:rsid w:val="3C8367E4"/>
    <w:rsid w:val="3C90308E"/>
    <w:rsid w:val="3C9D4B7E"/>
    <w:rsid w:val="3CD94A35"/>
    <w:rsid w:val="3CDD2778"/>
    <w:rsid w:val="3CEE71EB"/>
    <w:rsid w:val="3D2462CF"/>
    <w:rsid w:val="3D281519"/>
    <w:rsid w:val="3D42082D"/>
    <w:rsid w:val="3D4A7E6B"/>
    <w:rsid w:val="3D4B7546"/>
    <w:rsid w:val="3D4E165D"/>
    <w:rsid w:val="3D601BB5"/>
    <w:rsid w:val="3D827BF5"/>
    <w:rsid w:val="3D96639A"/>
    <w:rsid w:val="3DD27E02"/>
    <w:rsid w:val="3DDC1B5E"/>
    <w:rsid w:val="3E014244"/>
    <w:rsid w:val="3E136367"/>
    <w:rsid w:val="3E585156"/>
    <w:rsid w:val="3E796E08"/>
    <w:rsid w:val="3E90381A"/>
    <w:rsid w:val="3E9A5DD1"/>
    <w:rsid w:val="3ED07D25"/>
    <w:rsid w:val="3EDA6843"/>
    <w:rsid w:val="3F0009D2"/>
    <w:rsid w:val="3F217805"/>
    <w:rsid w:val="3F382860"/>
    <w:rsid w:val="3F397A0D"/>
    <w:rsid w:val="3F7655A5"/>
    <w:rsid w:val="3F7F3B08"/>
    <w:rsid w:val="3F8717DF"/>
    <w:rsid w:val="3F9F1F66"/>
    <w:rsid w:val="3FAA3011"/>
    <w:rsid w:val="3FAA4467"/>
    <w:rsid w:val="3FCF2120"/>
    <w:rsid w:val="3FDFD733"/>
    <w:rsid w:val="3FEA0D08"/>
    <w:rsid w:val="3FF91718"/>
    <w:rsid w:val="4001677D"/>
    <w:rsid w:val="40321FEF"/>
    <w:rsid w:val="40353E10"/>
    <w:rsid w:val="40537E73"/>
    <w:rsid w:val="405B02ED"/>
    <w:rsid w:val="40635A95"/>
    <w:rsid w:val="40640ABA"/>
    <w:rsid w:val="406E1939"/>
    <w:rsid w:val="40957F84"/>
    <w:rsid w:val="4099576A"/>
    <w:rsid w:val="40A058FE"/>
    <w:rsid w:val="40CB0511"/>
    <w:rsid w:val="40D8646E"/>
    <w:rsid w:val="40FB31F5"/>
    <w:rsid w:val="411B561D"/>
    <w:rsid w:val="413C7E8E"/>
    <w:rsid w:val="41466412"/>
    <w:rsid w:val="41601281"/>
    <w:rsid w:val="416746E0"/>
    <w:rsid w:val="41711798"/>
    <w:rsid w:val="41A01FC6"/>
    <w:rsid w:val="41A213BA"/>
    <w:rsid w:val="41BA22E4"/>
    <w:rsid w:val="41D8350E"/>
    <w:rsid w:val="41EA1493"/>
    <w:rsid w:val="420112F0"/>
    <w:rsid w:val="420C765B"/>
    <w:rsid w:val="424C2292"/>
    <w:rsid w:val="425132C0"/>
    <w:rsid w:val="42686831"/>
    <w:rsid w:val="426B4065"/>
    <w:rsid w:val="429D6505"/>
    <w:rsid w:val="42A54DA2"/>
    <w:rsid w:val="42B307CB"/>
    <w:rsid w:val="42D71854"/>
    <w:rsid w:val="42D9578F"/>
    <w:rsid w:val="43086156"/>
    <w:rsid w:val="431E31A2"/>
    <w:rsid w:val="432078D0"/>
    <w:rsid w:val="4326474D"/>
    <w:rsid w:val="43361F5E"/>
    <w:rsid w:val="436C6603"/>
    <w:rsid w:val="43761230"/>
    <w:rsid w:val="43A24A91"/>
    <w:rsid w:val="43C11F83"/>
    <w:rsid w:val="43E7135A"/>
    <w:rsid w:val="43F13DEC"/>
    <w:rsid w:val="44114724"/>
    <w:rsid w:val="44290050"/>
    <w:rsid w:val="442962A2"/>
    <w:rsid w:val="44667944"/>
    <w:rsid w:val="44957494"/>
    <w:rsid w:val="44FE1514"/>
    <w:rsid w:val="450101E3"/>
    <w:rsid w:val="4529315D"/>
    <w:rsid w:val="45293313"/>
    <w:rsid w:val="45350A5E"/>
    <w:rsid w:val="45533A0C"/>
    <w:rsid w:val="4554098B"/>
    <w:rsid w:val="45576E3F"/>
    <w:rsid w:val="45A9293B"/>
    <w:rsid w:val="45B70A77"/>
    <w:rsid w:val="45F2762F"/>
    <w:rsid w:val="45FE60DA"/>
    <w:rsid w:val="461C3AE5"/>
    <w:rsid w:val="4658671E"/>
    <w:rsid w:val="465A4972"/>
    <w:rsid w:val="46671304"/>
    <w:rsid w:val="46767799"/>
    <w:rsid w:val="467F4AF1"/>
    <w:rsid w:val="46963997"/>
    <w:rsid w:val="47033938"/>
    <w:rsid w:val="4729480B"/>
    <w:rsid w:val="47395243"/>
    <w:rsid w:val="47697B58"/>
    <w:rsid w:val="47752ACA"/>
    <w:rsid w:val="47797541"/>
    <w:rsid w:val="4786592C"/>
    <w:rsid w:val="47B365BB"/>
    <w:rsid w:val="47B55F78"/>
    <w:rsid w:val="47BC6E0B"/>
    <w:rsid w:val="47E04ECA"/>
    <w:rsid w:val="47F7070E"/>
    <w:rsid w:val="480C2163"/>
    <w:rsid w:val="484216E1"/>
    <w:rsid w:val="48537D92"/>
    <w:rsid w:val="48A44149"/>
    <w:rsid w:val="48B40105"/>
    <w:rsid w:val="48D83DF3"/>
    <w:rsid w:val="48E878E4"/>
    <w:rsid w:val="48FD7CFE"/>
    <w:rsid w:val="490F72F6"/>
    <w:rsid w:val="492F1F30"/>
    <w:rsid w:val="49340FFE"/>
    <w:rsid w:val="493A1676"/>
    <w:rsid w:val="49403578"/>
    <w:rsid w:val="49452BA0"/>
    <w:rsid w:val="49697141"/>
    <w:rsid w:val="49726FD4"/>
    <w:rsid w:val="498459AE"/>
    <w:rsid w:val="49AB59AC"/>
    <w:rsid w:val="49B45B0A"/>
    <w:rsid w:val="49D70B98"/>
    <w:rsid w:val="49E0398C"/>
    <w:rsid w:val="49F927E9"/>
    <w:rsid w:val="49FA5FEB"/>
    <w:rsid w:val="4A315575"/>
    <w:rsid w:val="4A396B13"/>
    <w:rsid w:val="4A5566CE"/>
    <w:rsid w:val="4A9216A7"/>
    <w:rsid w:val="4AB904B0"/>
    <w:rsid w:val="4AF22FD6"/>
    <w:rsid w:val="4B0709C0"/>
    <w:rsid w:val="4B411807"/>
    <w:rsid w:val="4B600173"/>
    <w:rsid w:val="4B85531E"/>
    <w:rsid w:val="4B8741F4"/>
    <w:rsid w:val="4B957829"/>
    <w:rsid w:val="4BAF3531"/>
    <w:rsid w:val="4BB859AC"/>
    <w:rsid w:val="4BED5A38"/>
    <w:rsid w:val="4C147838"/>
    <w:rsid w:val="4C25342A"/>
    <w:rsid w:val="4C5145E8"/>
    <w:rsid w:val="4C6E1FFB"/>
    <w:rsid w:val="4C8729EC"/>
    <w:rsid w:val="4D153868"/>
    <w:rsid w:val="4D1845FD"/>
    <w:rsid w:val="4D423F31"/>
    <w:rsid w:val="4D5C1C0C"/>
    <w:rsid w:val="4D5F2D35"/>
    <w:rsid w:val="4D64241B"/>
    <w:rsid w:val="4D654BD1"/>
    <w:rsid w:val="4D904889"/>
    <w:rsid w:val="4D9A1FBF"/>
    <w:rsid w:val="4DAE06A0"/>
    <w:rsid w:val="4DC02A3A"/>
    <w:rsid w:val="4DCA28A4"/>
    <w:rsid w:val="4DDC4386"/>
    <w:rsid w:val="4DF624EE"/>
    <w:rsid w:val="4E121B55"/>
    <w:rsid w:val="4E383A52"/>
    <w:rsid w:val="4E4C27ED"/>
    <w:rsid w:val="4E4D2928"/>
    <w:rsid w:val="4E5618F2"/>
    <w:rsid w:val="4E661EA1"/>
    <w:rsid w:val="4E9133C2"/>
    <w:rsid w:val="4E9B0304"/>
    <w:rsid w:val="4EAF13A9"/>
    <w:rsid w:val="4EB1136E"/>
    <w:rsid w:val="4EB70535"/>
    <w:rsid w:val="4ECB3423"/>
    <w:rsid w:val="4F013008"/>
    <w:rsid w:val="4F0771E0"/>
    <w:rsid w:val="4F210FDB"/>
    <w:rsid w:val="4F367A88"/>
    <w:rsid w:val="4F473A81"/>
    <w:rsid w:val="4F7B197C"/>
    <w:rsid w:val="4F9B5B7A"/>
    <w:rsid w:val="4FDA6C5E"/>
    <w:rsid w:val="50152B62"/>
    <w:rsid w:val="501716A5"/>
    <w:rsid w:val="5019366F"/>
    <w:rsid w:val="50351254"/>
    <w:rsid w:val="50433B7E"/>
    <w:rsid w:val="50521613"/>
    <w:rsid w:val="5055171C"/>
    <w:rsid w:val="50696F54"/>
    <w:rsid w:val="506D5E40"/>
    <w:rsid w:val="50932F29"/>
    <w:rsid w:val="50AE11F8"/>
    <w:rsid w:val="50AF5190"/>
    <w:rsid w:val="50C730CB"/>
    <w:rsid w:val="50C9166C"/>
    <w:rsid w:val="50DD469C"/>
    <w:rsid w:val="50DE7B93"/>
    <w:rsid w:val="50F72525"/>
    <w:rsid w:val="51077B04"/>
    <w:rsid w:val="518014CC"/>
    <w:rsid w:val="51A86C74"/>
    <w:rsid w:val="51B33F45"/>
    <w:rsid w:val="51B7313F"/>
    <w:rsid w:val="51E11F6A"/>
    <w:rsid w:val="51E241AA"/>
    <w:rsid w:val="51E335B3"/>
    <w:rsid w:val="51F15F26"/>
    <w:rsid w:val="52203989"/>
    <w:rsid w:val="522E717A"/>
    <w:rsid w:val="523E1E39"/>
    <w:rsid w:val="52426E0B"/>
    <w:rsid w:val="524D3B8A"/>
    <w:rsid w:val="528A121C"/>
    <w:rsid w:val="528D5C4E"/>
    <w:rsid w:val="52F6132D"/>
    <w:rsid w:val="536A41E2"/>
    <w:rsid w:val="536B4A1F"/>
    <w:rsid w:val="537132FC"/>
    <w:rsid w:val="538D10A1"/>
    <w:rsid w:val="539725B9"/>
    <w:rsid w:val="53C35BA2"/>
    <w:rsid w:val="53E43F94"/>
    <w:rsid w:val="53FD1E0E"/>
    <w:rsid w:val="54177EC5"/>
    <w:rsid w:val="542425E2"/>
    <w:rsid w:val="546359FE"/>
    <w:rsid w:val="546D4A3F"/>
    <w:rsid w:val="5473145D"/>
    <w:rsid w:val="54772DEC"/>
    <w:rsid w:val="54AA29C8"/>
    <w:rsid w:val="54B90FCE"/>
    <w:rsid w:val="54BE47E5"/>
    <w:rsid w:val="54CA45B5"/>
    <w:rsid w:val="54D243E0"/>
    <w:rsid w:val="54D8452C"/>
    <w:rsid w:val="54EF234D"/>
    <w:rsid w:val="54F55D2D"/>
    <w:rsid w:val="550D751A"/>
    <w:rsid w:val="550E3B1C"/>
    <w:rsid w:val="551142F8"/>
    <w:rsid w:val="553377F5"/>
    <w:rsid w:val="554D5EDF"/>
    <w:rsid w:val="55E738C7"/>
    <w:rsid w:val="56097CE2"/>
    <w:rsid w:val="56162CC9"/>
    <w:rsid w:val="562B4FB5"/>
    <w:rsid w:val="562E2A2C"/>
    <w:rsid w:val="567A473C"/>
    <w:rsid w:val="569E0124"/>
    <w:rsid w:val="56A30136"/>
    <w:rsid w:val="56C854A7"/>
    <w:rsid w:val="56D31B28"/>
    <w:rsid w:val="570F1B1D"/>
    <w:rsid w:val="571C3A45"/>
    <w:rsid w:val="573878F3"/>
    <w:rsid w:val="574C52C4"/>
    <w:rsid w:val="57D12A81"/>
    <w:rsid w:val="57D8796C"/>
    <w:rsid w:val="57E63A41"/>
    <w:rsid w:val="57E83927"/>
    <w:rsid w:val="57F10A2D"/>
    <w:rsid w:val="58021B1E"/>
    <w:rsid w:val="580F7106"/>
    <w:rsid w:val="581F4981"/>
    <w:rsid w:val="582A3970"/>
    <w:rsid w:val="584200A1"/>
    <w:rsid w:val="58725E54"/>
    <w:rsid w:val="587B1A1C"/>
    <w:rsid w:val="58AB5080"/>
    <w:rsid w:val="58DD36E9"/>
    <w:rsid w:val="58DF11CE"/>
    <w:rsid w:val="58EF1411"/>
    <w:rsid w:val="58F509F1"/>
    <w:rsid w:val="58FD3402"/>
    <w:rsid w:val="58FE725E"/>
    <w:rsid w:val="58FE78A6"/>
    <w:rsid w:val="5901236F"/>
    <w:rsid w:val="590C2A62"/>
    <w:rsid w:val="592B6F4A"/>
    <w:rsid w:val="59395202"/>
    <w:rsid w:val="59542CAA"/>
    <w:rsid w:val="5962291D"/>
    <w:rsid w:val="59626B1C"/>
    <w:rsid w:val="5964217A"/>
    <w:rsid w:val="596516D3"/>
    <w:rsid w:val="59971F26"/>
    <w:rsid w:val="59AA71CF"/>
    <w:rsid w:val="59B30532"/>
    <w:rsid w:val="59D03A04"/>
    <w:rsid w:val="59EF2443"/>
    <w:rsid w:val="59F52EB6"/>
    <w:rsid w:val="59FE7432"/>
    <w:rsid w:val="5A0F27B4"/>
    <w:rsid w:val="5A173096"/>
    <w:rsid w:val="5A20707B"/>
    <w:rsid w:val="5A7A7400"/>
    <w:rsid w:val="5A987886"/>
    <w:rsid w:val="5A9F4E2E"/>
    <w:rsid w:val="5ADF49CA"/>
    <w:rsid w:val="5AE03F27"/>
    <w:rsid w:val="5AF54CD9"/>
    <w:rsid w:val="5AF80AC2"/>
    <w:rsid w:val="5B1A676E"/>
    <w:rsid w:val="5B317840"/>
    <w:rsid w:val="5B431982"/>
    <w:rsid w:val="5B5163B3"/>
    <w:rsid w:val="5B6D2930"/>
    <w:rsid w:val="5B7773DB"/>
    <w:rsid w:val="5B785C7F"/>
    <w:rsid w:val="5B834092"/>
    <w:rsid w:val="5B8538BA"/>
    <w:rsid w:val="5B8878FB"/>
    <w:rsid w:val="5B9C33A6"/>
    <w:rsid w:val="5BA33ED1"/>
    <w:rsid w:val="5BC03546"/>
    <w:rsid w:val="5BDE751B"/>
    <w:rsid w:val="5BE74621"/>
    <w:rsid w:val="5BF714F0"/>
    <w:rsid w:val="5C205FD2"/>
    <w:rsid w:val="5C2A0D3A"/>
    <w:rsid w:val="5C3B2BBF"/>
    <w:rsid w:val="5C553C81"/>
    <w:rsid w:val="5C66072D"/>
    <w:rsid w:val="5C926EDB"/>
    <w:rsid w:val="5CE26B6F"/>
    <w:rsid w:val="5D0631CD"/>
    <w:rsid w:val="5D1F603D"/>
    <w:rsid w:val="5D414205"/>
    <w:rsid w:val="5D700646"/>
    <w:rsid w:val="5D72616D"/>
    <w:rsid w:val="5D7D3014"/>
    <w:rsid w:val="5DC7295C"/>
    <w:rsid w:val="5DCB3ACF"/>
    <w:rsid w:val="5DD71F0B"/>
    <w:rsid w:val="5DD94F09"/>
    <w:rsid w:val="5E1E62F4"/>
    <w:rsid w:val="5E2C6C63"/>
    <w:rsid w:val="5E357973"/>
    <w:rsid w:val="5E3818C6"/>
    <w:rsid w:val="5E6455AF"/>
    <w:rsid w:val="5E7258E9"/>
    <w:rsid w:val="5E827B7B"/>
    <w:rsid w:val="5E8C7702"/>
    <w:rsid w:val="5EEB1EC9"/>
    <w:rsid w:val="5EFF6126"/>
    <w:rsid w:val="5F2819ED"/>
    <w:rsid w:val="5F2C67EF"/>
    <w:rsid w:val="5F517BED"/>
    <w:rsid w:val="5F75492A"/>
    <w:rsid w:val="5F84662B"/>
    <w:rsid w:val="5F9C58DA"/>
    <w:rsid w:val="5FA32F55"/>
    <w:rsid w:val="5FC061D4"/>
    <w:rsid w:val="5FE74F09"/>
    <w:rsid w:val="5FF74B0F"/>
    <w:rsid w:val="5FFA2BA8"/>
    <w:rsid w:val="5FFB0414"/>
    <w:rsid w:val="600734E4"/>
    <w:rsid w:val="600808F0"/>
    <w:rsid w:val="601B6F8F"/>
    <w:rsid w:val="60343BAD"/>
    <w:rsid w:val="603E01B7"/>
    <w:rsid w:val="603E346F"/>
    <w:rsid w:val="60485D7E"/>
    <w:rsid w:val="60691B0E"/>
    <w:rsid w:val="60891C05"/>
    <w:rsid w:val="608C5F4B"/>
    <w:rsid w:val="60A46F85"/>
    <w:rsid w:val="60C63ADF"/>
    <w:rsid w:val="60CA62C0"/>
    <w:rsid w:val="60E62582"/>
    <w:rsid w:val="60F779CA"/>
    <w:rsid w:val="60FE6D20"/>
    <w:rsid w:val="610362D4"/>
    <w:rsid w:val="6125059E"/>
    <w:rsid w:val="6126799A"/>
    <w:rsid w:val="61573869"/>
    <w:rsid w:val="616B7AA3"/>
    <w:rsid w:val="616D0E9D"/>
    <w:rsid w:val="6175447D"/>
    <w:rsid w:val="617E77D6"/>
    <w:rsid w:val="61C97752"/>
    <w:rsid w:val="61CD42B9"/>
    <w:rsid w:val="61FA2BD4"/>
    <w:rsid w:val="621E7A80"/>
    <w:rsid w:val="62232B09"/>
    <w:rsid w:val="62410803"/>
    <w:rsid w:val="624F020E"/>
    <w:rsid w:val="628F7873"/>
    <w:rsid w:val="62917095"/>
    <w:rsid w:val="629372B1"/>
    <w:rsid w:val="62A019CE"/>
    <w:rsid w:val="62C256EB"/>
    <w:rsid w:val="62C63B33"/>
    <w:rsid w:val="62D41677"/>
    <w:rsid w:val="62D43425"/>
    <w:rsid w:val="62FA228F"/>
    <w:rsid w:val="632C14B3"/>
    <w:rsid w:val="632E2B36"/>
    <w:rsid w:val="633151E2"/>
    <w:rsid w:val="63351850"/>
    <w:rsid w:val="63391DE2"/>
    <w:rsid w:val="6343411C"/>
    <w:rsid w:val="63475A0F"/>
    <w:rsid w:val="634E16F7"/>
    <w:rsid w:val="635449BB"/>
    <w:rsid w:val="635E7280"/>
    <w:rsid w:val="636F70CC"/>
    <w:rsid w:val="638F7399"/>
    <w:rsid w:val="63AA3963"/>
    <w:rsid w:val="63BA261B"/>
    <w:rsid w:val="63F27EFF"/>
    <w:rsid w:val="641D434E"/>
    <w:rsid w:val="641D74E0"/>
    <w:rsid w:val="64233EFA"/>
    <w:rsid w:val="643B19AE"/>
    <w:rsid w:val="644A6DB8"/>
    <w:rsid w:val="64777776"/>
    <w:rsid w:val="647933CC"/>
    <w:rsid w:val="648439EE"/>
    <w:rsid w:val="649642AC"/>
    <w:rsid w:val="64AA08E2"/>
    <w:rsid w:val="64B654D9"/>
    <w:rsid w:val="65075D34"/>
    <w:rsid w:val="6532513B"/>
    <w:rsid w:val="65641AD2"/>
    <w:rsid w:val="65855B7B"/>
    <w:rsid w:val="65E16AA2"/>
    <w:rsid w:val="66537411"/>
    <w:rsid w:val="66805D9E"/>
    <w:rsid w:val="668D496E"/>
    <w:rsid w:val="66A517AB"/>
    <w:rsid w:val="66DA4365"/>
    <w:rsid w:val="66ED1A86"/>
    <w:rsid w:val="66F45E44"/>
    <w:rsid w:val="66F861C6"/>
    <w:rsid w:val="670D1063"/>
    <w:rsid w:val="67114C48"/>
    <w:rsid w:val="67364560"/>
    <w:rsid w:val="67416175"/>
    <w:rsid w:val="67513297"/>
    <w:rsid w:val="678F3DBF"/>
    <w:rsid w:val="67C7477A"/>
    <w:rsid w:val="67FB41E6"/>
    <w:rsid w:val="681162F3"/>
    <w:rsid w:val="681E4749"/>
    <w:rsid w:val="68464DC5"/>
    <w:rsid w:val="685409C3"/>
    <w:rsid w:val="68751207"/>
    <w:rsid w:val="687952FC"/>
    <w:rsid w:val="6888718C"/>
    <w:rsid w:val="689E3B31"/>
    <w:rsid w:val="6904039B"/>
    <w:rsid w:val="69067557"/>
    <w:rsid w:val="691B590A"/>
    <w:rsid w:val="698E2580"/>
    <w:rsid w:val="69923A21"/>
    <w:rsid w:val="69B30239"/>
    <w:rsid w:val="69BB533F"/>
    <w:rsid w:val="69D34437"/>
    <w:rsid w:val="69D97A56"/>
    <w:rsid w:val="69EE74C3"/>
    <w:rsid w:val="6A154662"/>
    <w:rsid w:val="6A2E3D63"/>
    <w:rsid w:val="6A42336B"/>
    <w:rsid w:val="6A627569"/>
    <w:rsid w:val="6A7F0414"/>
    <w:rsid w:val="6AC81AC2"/>
    <w:rsid w:val="6AD06DD2"/>
    <w:rsid w:val="6AD14246"/>
    <w:rsid w:val="6ADF6E0B"/>
    <w:rsid w:val="6B2C28D7"/>
    <w:rsid w:val="6B3C600C"/>
    <w:rsid w:val="6B413622"/>
    <w:rsid w:val="6B43739A"/>
    <w:rsid w:val="6B884FF1"/>
    <w:rsid w:val="6BB139C7"/>
    <w:rsid w:val="6BD61981"/>
    <w:rsid w:val="6C1256EA"/>
    <w:rsid w:val="6C134FBF"/>
    <w:rsid w:val="6C302A39"/>
    <w:rsid w:val="6C3C2119"/>
    <w:rsid w:val="6C4C227F"/>
    <w:rsid w:val="6C586E75"/>
    <w:rsid w:val="6C622427"/>
    <w:rsid w:val="6C7D4B2E"/>
    <w:rsid w:val="6C920CDA"/>
    <w:rsid w:val="6CBB719C"/>
    <w:rsid w:val="6CF2784B"/>
    <w:rsid w:val="6D286848"/>
    <w:rsid w:val="6D360E1C"/>
    <w:rsid w:val="6D505D9E"/>
    <w:rsid w:val="6D635AD2"/>
    <w:rsid w:val="6D733121"/>
    <w:rsid w:val="6D9D7236"/>
    <w:rsid w:val="6DAF6F69"/>
    <w:rsid w:val="6DC960AE"/>
    <w:rsid w:val="6DD67814"/>
    <w:rsid w:val="6E0127B0"/>
    <w:rsid w:val="6E0653B5"/>
    <w:rsid w:val="6E166FE8"/>
    <w:rsid w:val="6E3A103C"/>
    <w:rsid w:val="6E4A5C33"/>
    <w:rsid w:val="6E4C2A0A"/>
    <w:rsid w:val="6E502D20"/>
    <w:rsid w:val="6E6405F8"/>
    <w:rsid w:val="6E873A42"/>
    <w:rsid w:val="6E895E3C"/>
    <w:rsid w:val="6E922B12"/>
    <w:rsid w:val="6EDF562C"/>
    <w:rsid w:val="6EE102CE"/>
    <w:rsid w:val="6EFB9B1C"/>
    <w:rsid w:val="6EFF182A"/>
    <w:rsid w:val="6F190B3E"/>
    <w:rsid w:val="6F3A0AB4"/>
    <w:rsid w:val="6F4B1580"/>
    <w:rsid w:val="6F54601A"/>
    <w:rsid w:val="6F900CF0"/>
    <w:rsid w:val="6F912ADE"/>
    <w:rsid w:val="6F9500AA"/>
    <w:rsid w:val="6FA348AB"/>
    <w:rsid w:val="6FBB1BF5"/>
    <w:rsid w:val="6FBB5B8B"/>
    <w:rsid w:val="7005270A"/>
    <w:rsid w:val="70135A39"/>
    <w:rsid w:val="70455963"/>
    <w:rsid w:val="705057B8"/>
    <w:rsid w:val="706109EE"/>
    <w:rsid w:val="70760621"/>
    <w:rsid w:val="70790236"/>
    <w:rsid w:val="709F32C5"/>
    <w:rsid w:val="70C40F7D"/>
    <w:rsid w:val="70FC02D9"/>
    <w:rsid w:val="710162BC"/>
    <w:rsid w:val="710A33ED"/>
    <w:rsid w:val="711335D5"/>
    <w:rsid w:val="711D3CCE"/>
    <w:rsid w:val="713741DD"/>
    <w:rsid w:val="713B077F"/>
    <w:rsid w:val="717007BD"/>
    <w:rsid w:val="71924FC1"/>
    <w:rsid w:val="71956476"/>
    <w:rsid w:val="719C7804"/>
    <w:rsid w:val="71A46B79"/>
    <w:rsid w:val="71AB709E"/>
    <w:rsid w:val="71B57C78"/>
    <w:rsid w:val="71B66B18"/>
    <w:rsid w:val="71CB353B"/>
    <w:rsid w:val="71D051F9"/>
    <w:rsid w:val="71D277C6"/>
    <w:rsid w:val="71FA447D"/>
    <w:rsid w:val="724265FE"/>
    <w:rsid w:val="724647D2"/>
    <w:rsid w:val="724B71DA"/>
    <w:rsid w:val="728C5ACB"/>
    <w:rsid w:val="72932477"/>
    <w:rsid w:val="72A2709C"/>
    <w:rsid w:val="72B8241C"/>
    <w:rsid w:val="72C74980"/>
    <w:rsid w:val="72E503E5"/>
    <w:rsid w:val="72F032AC"/>
    <w:rsid w:val="730B69EF"/>
    <w:rsid w:val="731E21D2"/>
    <w:rsid w:val="732E26DE"/>
    <w:rsid w:val="734759D4"/>
    <w:rsid w:val="73504D4A"/>
    <w:rsid w:val="738B7B30"/>
    <w:rsid w:val="7393089D"/>
    <w:rsid w:val="73A9715C"/>
    <w:rsid w:val="73BB6581"/>
    <w:rsid w:val="73C05A2C"/>
    <w:rsid w:val="73E9464B"/>
    <w:rsid w:val="7410392F"/>
    <w:rsid w:val="741D0343"/>
    <w:rsid w:val="745E567C"/>
    <w:rsid w:val="74836A59"/>
    <w:rsid w:val="749924DF"/>
    <w:rsid w:val="749F1AE5"/>
    <w:rsid w:val="74AF68BE"/>
    <w:rsid w:val="74B636D9"/>
    <w:rsid w:val="74B90999"/>
    <w:rsid w:val="74C432FA"/>
    <w:rsid w:val="74D15A17"/>
    <w:rsid w:val="74E03C1D"/>
    <w:rsid w:val="74F811F5"/>
    <w:rsid w:val="750D7D7F"/>
    <w:rsid w:val="752C5111"/>
    <w:rsid w:val="755E3A4D"/>
    <w:rsid w:val="75695C4F"/>
    <w:rsid w:val="758111EB"/>
    <w:rsid w:val="759A04FF"/>
    <w:rsid w:val="75B275F6"/>
    <w:rsid w:val="75B769B0"/>
    <w:rsid w:val="75E20C71"/>
    <w:rsid w:val="76170E62"/>
    <w:rsid w:val="764A32DB"/>
    <w:rsid w:val="764F753B"/>
    <w:rsid w:val="765E3A15"/>
    <w:rsid w:val="76883A7E"/>
    <w:rsid w:val="76BD1FB6"/>
    <w:rsid w:val="76BF5D5C"/>
    <w:rsid w:val="76C21ABB"/>
    <w:rsid w:val="76C310D4"/>
    <w:rsid w:val="76CA2D4F"/>
    <w:rsid w:val="76D01A14"/>
    <w:rsid w:val="76F507BA"/>
    <w:rsid w:val="76FF5C5B"/>
    <w:rsid w:val="77063A83"/>
    <w:rsid w:val="7719556E"/>
    <w:rsid w:val="771A5176"/>
    <w:rsid w:val="7727273A"/>
    <w:rsid w:val="77404A94"/>
    <w:rsid w:val="77997808"/>
    <w:rsid w:val="779C67B0"/>
    <w:rsid w:val="77AF64E3"/>
    <w:rsid w:val="77B8543C"/>
    <w:rsid w:val="77BC38DB"/>
    <w:rsid w:val="77D048EE"/>
    <w:rsid w:val="77D53B2E"/>
    <w:rsid w:val="77E3063E"/>
    <w:rsid w:val="78054592"/>
    <w:rsid w:val="782555FC"/>
    <w:rsid w:val="78320EC2"/>
    <w:rsid w:val="78532FC3"/>
    <w:rsid w:val="78850FF2"/>
    <w:rsid w:val="78981BAF"/>
    <w:rsid w:val="78B426B2"/>
    <w:rsid w:val="78BB6F7C"/>
    <w:rsid w:val="78CD2873"/>
    <w:rsid w:val="78D15FE5"/>
    <w:rsid w:val="78D836D4"/>
    <w:rsid w:val="78E90652"/>
    <w:rsid w:val="78E90EED"/>
    <w:rsid w:val="78FD736A"/>
    <w:rsid w:val="79017606"/>
    <w:rsid w:val="7904460D"/>
    <w:rsid w:val="79090AC0"/>
    <w:rsid w:val="79451B04"/>
    <w:rsid w:val="794F33AE"/>
    <w:rsid w:val="79A656C4"/>
    <w:rsid w:val="79B25E17"/>
    <w:rsid w:val="79BA72C8"/>
    <w:rsid w:val="79BB7B93"/>
    <w:rsid w:val="79BF0CC0"/>
    <w:rsid w:val="79C33B54"/>
    <w:rsid w:val="79CA2CA8"/>
    <w:rsid w:val="79D06593"/>
    <w:rsid w:val="79E17F5D"/>
    <w:rsid w:val="79E85CDC"/>
    <w:rsid w:val="79ED369C"/>
    <w:rsid w:val="79FF4DD4"/>
    <w:rsid w:val="7A180863"/>
    <w:rsid w:val="7A301431"/>
    <w:rsid w:val="7A307C87"/>
    <w:rsid w:val="7A376ADB"/>
    <w:rsid w:val="7A433E64"/>
    <w:rsid w:val="7A505630"/>
    <w:rsid w:val="7A7C01D3"/>
    <w:rsid w:val="7A920268"/>
    <w:rsid w:val="7A9947A7"/>
    <w:rsid w:val="7AAF053F"/>
    <w:rsid w:val="7AD24297"/>
    <w:rsid w:val="7AF465F8"/>
    <w:rsid w:val="7B037F6F"/>
    <w:rsid w:val="7B096D22"/>
    <w:rsid w:val="7B130B37"/>
    <w:rsid w:val="7B3459C8"/>
    <w:rsid w:val="7B3649BC"/>
    <w:rsid w:val="7B3702FB"/>
    <w:rsid w:val="7B4B6285"/>
    <w:rsid w:val="7B646804"/>
    <w:rsid w:val="7B947887"/>
    <w:rsid w:val="7BA5620B"/>
    <w:rsid w:val="7BC167E5"/>
    <w:rsid w:val="7BED75DA"/>
    <w:rsid w:val="7C016BE2"/>
    <w:rsid w:val="7C043085"/>
    <w:rsid w:val="7C217284"/>
    <w:rsid w:val="7C353720"/>
    <w:rsid w:val="7C354873"/>
    <w:rsid w:val="7C594C70"/>
    <w:rsid w:val="7C5D4489"/>
    <w:rsid w:val="7C75463E"/>
    <w:rsid w:val="7CA02AFD"/>
    <w:rsid w:val="7CCA16C9"/>
    <w:rsid w:val="7CD74885"/>
    <w:rsid w:val="7CE43A4E"/>
    <w:rsid w:val="7CF81394"/>
    <w:rsid w:val="7CF93D5D"/>
    <w:rsid w:val="7D096956"/>
    <w:rsid w:val="7D252552"/>
    <w:rsid w:val="7D353AC0"/>
    <w:rsid w:val="7D670C49"/>
    <w:rsid w:val="7D9F4260"/>
    <w:rsid w:val="7DA272B5"/>
    <w:rsid w:val="7DCFF207"/>
    <w:rsid w:val="7DDA1DE0"/>
    <w:rsid w:val="7DFC118C"/>
    <w:rsid w:val="7DFD61F1"/>
    <w:rsid w:val="7E5A6A7D"/>
    <w:rsid w:val="7E5C0B3D"/>
    <w:rsid w:val="7E85299E"/>
    <w:rsid w:val="7E8A4F78"/>
    <w:rsid w:val="7ECA128F"/>
    <w:rsid w:val="7ED14F91"/>
    <w:rsid w:val="7EE12CFA"/>
    <w:rsid w:val="7EEF5417"/>
    <w:rsid w:val="7F014F89"/>
    <w:rsid w:val="7F207CC7"/>
    <w:rsid w:val="7F254573"/>
    <w:rsid w:val="7F47533B"/>
    <w:rsid w:val="7F6C2F0C"/>
    <w:rsid w:val="7F8A15E4"/>
    <w:rsid w:val="7FBF1BFB"/>
    <w:rsid w:val="7FD7385E"/>
    <w:rsid w:val="7FE01BC0"/>
    <w:rsid w:val="BEEE620F"/>
    <w:rsid w:val="BFFBBAA1"/>
    <w:rsid w:val="C77D3980"/>
    <w:rsid w:val="EEF75EDD"/>
    <w:rsid w:val="EF9EF29D"/>
    <w:rsid w:val="EFD9968A"/>
    <w:rsid w:val="F5EF2FED"/>
    <w:rsid w:val="F79C8256"/>
    <w:rsid w:val="FBFFEB84"/>
    <w:rsid w:val="FDF740A7"/>
    <w:rsid w:val="FF7A0AE3"/>
    <w:rsid w:val="FFF20E28"/>
    <w:rsid w:val="FFF7BA0B"/>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qFormat/>
    <w:uiPriority w:val="0"/>
    <w:pPr>
      <w:keepNext/>
      <w:keepLines/>
      <w:spacing w:before="260" w:after="260" w:line="416" w:lineRule="auto"/>
      <w:outlineLvl w:val="2"/>
    </w:pPr>
    <w:rPr>
      <w:b/>
      <w:bCs/>
      <w:kern w:val="0"/>
      <w:sz w:val="32"/>
      <w:szCs w:val="32"/>
    </w:rPr>
  </w:style>
  <w:style w:type="paragraph" w:styleId="5">
    <w:name w:val="heading 5"/>
    <w:basedOn w:val="1"/>
    <w:next w:val="6"/>
    <w:qFormat/>
    <w:uiPriority w:val="0"/>
    <w:pPr>
      <w:keepNext/>
      <w:keepLines/>
      <w:numPr>
        <w:ilvl w:val="4"/>
        <w:numId w:val="1"/>
      </w:numPr>
      <w:spacing w:before="280" w:after="290" w:line="376" w:lineRule="auto"/>
      <w:outlineLvl w:val="4"/>
    </w:pPr>
    <w:rPr>
      <w:b/>
      <w:sz w:val="28"/>
    </w:rPr>
  </w:style>
  <w:style w:type="paragraph" w:styleId="7">
    <w:name w:val="heading 6"/>
    <w:basedOn w:val="1"/>
    <w:next w:val="1"/>
    <w:qFormat/>
    <w:uiPriority w:val="0"/>
    <w:pPr>
      <w:keepNext/>
      <w:keepLines/>
      <w:numPr>
        <w:ilvl w:val="5"/>
        <w:numId w:val="2"/>
      </w:numPr>
      <w:adjustRightInd w:val="0"/>
      <w:spacing w:before="240" w:after="64" w:line="320" w:lineRule="atLeast"/>
      <w:jc w:val="left"/>
      <w:textAlignment w:val="baseline"/>
      <w:outlineLvl w:val="5"/>
    </w:pPr>
    <w:rPr>
      <w:rFonts w:ascii="Arial" w:hAnsi="Arial" w:eastAsia="黑体"/>
      <w:b/>
      <w:bCs/>
      <w:kern w:val="0"/>
      <w:sz w:val="24"/>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annotation text"/>
    <w:basedOn w:val="1"/>
    <w:unhideWhenUsed/>
    <w:qFormat/>
    <w:uiPriority w:val="0"/>
    <w:pPr>
      <w:jc w:val="left"/>
    </w:pPr>
  </w:style>
  <w:style w:type="paragraph" w:styleId="11">
    <w:name w:val="Body Text 3"/>
    <w:basedOn w:val="1"/>
    <w:qFormat/>
    <w:uiPriority w:val="0"/>
    <w:pPr>
      <w:spacing w:line="500" w:lineRule="exact"/>
    </w:pPr>
    <w:rPr>
      <w:b/>
      <w:bCs/>
      <w:kern w:val="0"/>
      <w:sz w:val="24"/>
    </w:rPr>
  </w:style>
  <w:style w:type="paragraph" w:styleId="12">
    <w:name w:val="Body Text"/>
    <w:basedOn w:val="1"/>
    <w:qFormat/>
    <w:uiPriority w:val="99"/>
    <w:pPr>
      <w:spacing w:line="380" w:lineRule="exact"/>
    </w:pPr>
    <w:rPr>
      <w:kern w:val="0"/>
      <w:sz w:val="24"/>
    </w:rPr>
  </w:style>
  <w:style w:type="paragraph" w:styleId="13">
    <w:name w:val="Body Text Indent"/>
    <w:basedOn w:val="1"/>
    <w:qFormat/>
    <w:uiPriority w:val="0"/>
    <w:pPr>
      <w:ind w:firstLine="830" w:firstLineChars="352"/>
    </w:pPr>
    <w:rPr>
      <w:rFonts w:ascii="仿宋_GB2312" w:eastAsia="仿宋_GB2312"/>
      <w:kern w:val="0"/>
      <w:sz w:val="32"/>
      <w:szCs w:val="20"/>
    </w:rPr>
  </w:style>
  <w:style w:type="paragraph" w:styleId="14">
    <w:name w:val="toc 5"/>
    <w:basedOn w:val="1"/>
    <w:next w:val="1"/>
    <w:unhideWhenUsed/>
    <w:qFormat/>
    <w:uiPriority w:val="39"/>
    <w:pPr>
      <w:jc w:val="left"/>
    </w:pPr>
    <w:rPr>
      <w:rFonts w:ascii="Calibri" w:hAnsi="Calibri"/>
      <w:sz w:val="22"/>
      <w:szCs w:val="22"/>
    </w:rPr>
  </w:style>
  <w:style w:type="paragraph" w:styleId="15">
    <w:name w:val="Plain Text"/>
    <w:basedOn w:val="1"/>
    <w:next w:val="16"/>
    <w:qFormat/>
    <w:uiPriority w:val="0"/>
    <w:rPr>
      <w:rFonts w:ascii="宋体" w:hAnsi="Courier New"/>
      <w:kern w:val="0"/>
      <w:sz w:val="20"/>
      <w:szCs w:val="21"/>
    </w:rPr>
  </w:style>
  <w:style w:type="paragraph" w:styleId="16">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17">
    <w:name w:val="Body Text Indent 2"/>
    <w:basedOn w:val="1"/>
    <w:qFormat/>
    <w:uiPriority w:val="99"/>
    <w:pPr>
      <w:spacing w:line="400" w:lineRule="exact"/>
      <w:ind w:firstLine="480"/>
    </w:pPr>
    <w:rPr>
      <w:sz w:val="24"/>
      <w:szCs w:val="20"/>
    </w:rPr>
  </w:style>
  <w:style w:type="paragraph" w:styleId="18">
    <w:name w:val="footer"/>
    <w:basedOn w:val="1"/>
    <w:unhideWhenUsed/>
    <w:qFormat/>
    <w:uiPriority w:val="99"/>
    <w:pPr>
      <w:tabs>
        <w:tab w:val="center" w:pos="4153"/>
        <w:tab w:val="right" w:pos="8306"/>
      </w:tabs>
      <w:snapToGrid w:val="0"/>
      <w:jc w:val="left"/>
    </w:pPr>
    <w:rPr>
      <w:kern w:val="0"/>
      <w:sz w:val="18"/>
      <w:szCs w:val="18"/>
    </w:rPr>
  </w:style>
  <w:style w:type="paragraph" w:styleId="19">
    <w:name w:val="header"/>
    <w:basedOn w:val="1"/>
    <w:unhideWhenUsed/>
    <w:qFormat/>
    <w:uiPriority w:val="99"/>
    <w:pPr>
      <w:pBdr>
        <w:bottom w:val="single" w:color="auto" w:sz="6" w:space="1"/>
      </w:pBdr>
      <w:tabs>
        <w:tab w:val="center" w:pos="0"/>
        <w:tab w:val="left" w:pos="8306"/>
      </w:tabs>
      <w:snapToGrid w:val="0"/>
      <w:jc w:val="center"/>
    </w:pPr>
    <w:rPr>
      <w:sz w:val="18"/>
      <w:szCs w:val="18"/>
    </w:rPr>
  </w:style>
  <w:style w:type="paragraph" w:styleId="20">
    <w:name w:val="List"/>
    <w:basedOn w:val="1"/>
    <w:qFormat/>
    <w:uiPriority w:val="0"/>
    <w:pPr>
      <w:ind w:left="200" w:hanging="200" w:hangingChars="200"/>
    </w:pPr>
    <w:rPr>
      <w:sz w:val="28"/>
    </w:rPr>
  </w:style>
  <w:style w:type="paragraph" w:styleId="21">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paragraph" w:styleId="22">
    <w:name w:val="Body Text First Indent"/>
    <w:basedOn w:val="12"/>
    <w:semiHidden/>
    <w:unhideWhenUsed/>
    <w:qFormat/>
    <w:uiPriority w:val="0"/>
    <w:pPr>
      <w:spacing w:line="360" w:lineRule="auto"/>
      <w:ind w:firstLine="420" w:firstLineChars="100"/>
    </w:pPr>
    <w:rPr>
      <w:rFonts w:cstheme="minorBidi"/>
      <w:sz w:val="28"/>
    </w:rPr>
  </w:style>
  <w:style w:type="paragraph" w:styleId="23">
    <w:name w:val="Body Text First Indent 2"/>
    <w:basedOn w:val="13"/>
    <w:next w:val="1"/>
    <w:qFormat/>
    <w:uiPriority w:val="0"/>
    <w:pPr>
      <w:spacing w:after="120" w:line="240" w:lineRule="auto"/>
      <w:ind w:left="420" w:leftChars="200" w:firstLine="420" w:firstLineChars="200"/>
    </w:pPr>
    <w:rPr>
      <w:rFonts w:ascii="Calibri" w:hAnsi="Calibri" w:eastAsia="宋体" w:cs="Times New Roman"/>
      <w:spacing w:val="0"/>
      <w:sz w:val="21"/>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qFormat/>
    <w:uiPriority w:val="0"/>
  </w:style>
  <w:style w:type="character" w:styleId="29">
    <w:name w:val="annotation reference"/>
    <w:unhideWhenUsed/>
    <w:qFormat/>
    <w:uiPriority w:val="0"/>
    <w:rPr>
      <w:sz w:val="21"/>
      <w:szCs w:val="21"/>
    </w:rPr>
  </w:style>
  <w:style w:type="paragraph" w:customStyle="1" w:styleId="30">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3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2">
    <w:name w:val="正文2"/>
    <w:basedOn w:val="1"/>
    <w:qFormat/>
    <w:uiPriority w:val="0"/>
    <w:pPr>
      <w:adjustRightInd w:val="0"/>
      <w:spacing w:before="156" w:line="360" w:lineRule="auto"/>
      <w:ind w:firstLine="510" w:firstLineChars="200"/>
    </w:pPr>
    <w:rPr>
      <w:sz w:val="24"/>
      <w:szCs w:val="20"/>
    </w:rPr>
  </w:style>
  <w:style w:type="paragraph" w:customStyle="1" w:styleId="33">
    <w:name w:val="表格文字"/>
    <w:basedOn w:val="1"/>
    <w:qFormat/>
    <w:uiPriority w:val="99"/>
    <w:pPr>
      <w:spacing w:before="25" w:after="25"/>
      <w:jc w:val="left"/>
    </w:pPr>
    <w:rPr>
      <w:rFonts w:ascii="Verdana" w:hAnsi="Verdana"/>
      <w:bCs/>
      <w:spacing w:val="10"/>
      <w:kern w:val="0"/>
      <w:sz w:val="24"/>
    </w:rPr>
  </w:style>
  <w:style w:type="table" w:customStyle="1" w:styleId="34">
    <w:name w:val="Table Normal_0"/>
    <w:unhideWhenUsed/>
    <w:qFormat/>
    <w:uiPriority w:val="0"/>
    <w:tblPr>
      <w:tblCellMar>
        <w:top w:w="0" w:type="dxa"/>
        <w:left w:w="0" w:type="dxa"/>
        <w:bottom w:w="0" w:type="dxa"/>
        <w:right w:w="0" w:type="dxa"/>
      </w:tblCellMar>
    </w:tblPr>
  </w:style>
  <w:style w:type="paragraph" w:customStyle="1" w:styleId="35">
    <w:name w:val="Table Text"/>
    <w:basedOn w:val="1"/>
    <w:semiHidden/>
    <w:qFormat/>
    <w:uiPriority w:val="0"/>
    <w:rPr>
      <w:rFonts w:ascii="Times New Roman" w:hAnsi="Times New Roman" w:eastAsia="Times New Roman" w:cs="Times New Roman"/>
      <w:sz w:val="28"/>
      <w:szCs w:val="28"/>
      <w:lang w:val="en-US" w:eastAsia="en-US" w:bidi="ar-SA"/>
    </w:rPr>
  </w:style>
  <w:style w:type="character" w:customStyle="1" w:styleId="36">
    <w:name w:val="font71"/>
    <w:basedOn w:val="26"/>
    <w:qFormat/>
    <w:uiPriority w:val="0"/>
    <w:rPr>
      <w:rFonts w:hint="eastAsia" w:ascii="宋体" w:hAnsi="宋体" w:eastAsia="宋体" w:cs="宋体"/>
      <w:b/>
      <w:bCs/>
      <w:color w:val="000000"/>
      <w:sz w:val="22"/>
      <w:szCs w:val="22"/>
      <w:u w:val="none"/>
    </w:rPr>
  </w:style>
  <w:style w:type="character" w:customStyle="1" w:styleId="37">
    <w:name w:val="font161"/>
    <w:basedOn w:val="26"/>
    <w:qFormat/>
    <w:uiPriority w:val="0"/>
    <w:rPr>
      <w:rFonts w:ascii="宋体" w:hAnsi="宋体" w:eastAsia="宋体" w:cs="宋体"/>
      <w:b/>
      <w:bCs/>
      <w:color w:val="000000"/>
      <w:sz w:val="22"/>
      <w:szCs w:val="22"/>
      <w:u w:val="none"/>
    </w:r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
    <w:name w:val="二级条标题"/>
    <w:basedOn w:val="1"/>
    <w:next w:val="38"/>
    <w:qFormat/>
    <w:uiPriority w:val="0"/>
    <w:pPr>
      <w:widowControl/>
      <w:outlineLvl w:val="3"/>
    </w:pPr>
    <w:rPr>
      <w:rFonts w:ascii="黑体" w:eastAsia="黑体"/>
      <w:kern w:val="0"/>
      <w:szCs w:val="20"/>
    </w:rPr>
  </w:style>
  <w:style w:type="table" w:customStyle="1" w:styleId="4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142</Pages>
  <Words>180</Words>
  <Characters>210</Characters>
  <Lines>0</Lines>
  <Paragraphs>0</Paragraphs>
  <TotalTime>13</TotalTime>
  <ScaleCrop>false</ScaleCrop>
  <LinksUpToDate>false</LinksUpToDate>
  <CharactersWithSpaces>221</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2025-02-21T00:39:00Z</dcterms:created>
  <dc:creator>Administrator.PC-20240312AXHC</dc:creator>
  <cp:lastModifiedBy>liang</cp:lastModifiedBy>
  <cp:lastPrinted>2026-07-27T10:10:00Z</cp:lastPrinted>
  <dcterms:modified xsi:type="dcterms:W3CDTF">2026-08-05T11:36:52Z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1868E42C5EA74D888D0C74374A384AD5_13</vt:lpwstr>
  </property>
  <property fmtid="{D5CDD505-2E9C-101B-9397-08002B2CF9AE}" pid="3" name="KSOProductBuildVer">
    <vt:lpwstr>2052-12.1.0.26885</vt:lpwstr>
  </property>
  <property fmtid="{D5CDD505-2E9C-101B-9397-08002B2CF9AE}" pid="4" name="KSOTemplateDocerSaveRecord">
    <vt:lpwstr>eyJoZGlkIjoiMzlhOGI2ODk1OTk4MTBlMWJlYWY5NjljMjRjNjQ3YWEiLCJ1c2VySWQiOiI4NDE0MDQxMTQifQ==</vt:lpwstr>
  </property>
</Properties>
</file>