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宋体" w:hAnsi="宋体" w:eastAsia="宋体" w:cs="宋体"/>
          <w:b/>
          <w:color w:val="auto"/>
          <w:sz w:val="32"/>
          <w:szCs w:val="32"/>
          <w:highlight w:val="none"/>
        </w:rPr>
      </w:pPr>
      <w:bookmarkStart w:id="0" w:name="_Toc16677918"/>
    </w:p>
    <w:p>
      <w:pPr>
        <w:spacing w:line="400" w:lineRule="exact"/>
        <w:jc w:val="center"/>
        <w:rPr>
          <w:rFonts w:hint="eastAsia" w:ascii="宋体" w:hAnsi="宋体" w:eastAsia="宋体" w:cs="宋体"/>
          <w:b/>
          <w:color w:val="auto"/>
          <w:sz w:val="32"/>
          <w:szCs w:val="32"/>
          <w:highlight w:val="none"/>
        </w:rPr>
      </w:pPr>
    </w:p>
    <w:bookmarkEnd w:id="0"/>
    <w:p>
      <w:pPr>
        <w:ind w:firstLine="198" w:firstLineChars="41"/>
        <w:jc w:val="center"/>
        <w:rPr>
          <w:rFonts w:hint="eastAsia" w:ascii="宋体" w:hAnsi="宋体" w:eastAsia="宋体" w:cs="宋体"/>
          <w:b/>
          <w:bCs/>
          <w:color w:val="auto"/>
          <w:sz w:val="48"/>
          <w:szCs w:val="48"/>
          <w:highlight w:val="none"/>
        </w:rPr>
      </w:pPr>
      <w:bookmarkStart w:id="1" w:name="_bookmark0"/>
      <w:bookmarkEnd w:id="1"/>
      <w:r>
        <w:rPr>
          <w:rFonts w:hint="eastAsia" w:ascii="宋体" w:hAnsi="宋体" w:eastAsia="宋体" w:cs="宋体"/>
          <w:b/>
          <w:bCs/>
          <w:color w:val="auto"/>
          <w:sz w:val="48"/>
          <w:szCs w:val="48"/>
          <w:highlight w:val="none"/>
        </w:rPr>
        <w:t>广西德元工程项目管理有限责任公司</w:t>
      </w:r>
    </w:p>
    <w:p>
      <w:pPr>
        <w:pStyle w:val="20"/>
        <w:ind w:left="5250" w:firstLine="400"/>
        <w:rPr>
          <w:rFonts w:hint="eastAsia" w:ascii="宋体" w:hAnsi="宋体" w:eastAsia="宋体" w:cs="宋体"/>
          <w:color w:val="auto"/>
          <w:szCs w:val="21"/>
          <w:highlight w:val="none"/>
        </w:rPr>
      </w:pPr>
      <w:r>
        <w:rPr>
          <w:rFonts w:hint="eastAsia" w:ascii="宋体" w:hAnsi="宋体" w:eastAsia="宋体" w:cs="宋体"/>
          <w:color w:val="auto"/>
          <w:sz w:val="20"/>
          <w:highlight w:val="none"/>
          <w:u w:val="single"/>
        </w:rPr>
        <mc:AlternateContent>
          <mc:Choice Requires="wps">
            <w:drawing>
              <wp:anchor distT="0" distB="0" distL="114300" distR="114300" simplePos="0" relativeHeight="251670528" behindDoc="0" locked="0" layoutInCell="1" allowOverlap="1">
                <wp:simplePos x="0" y="0"/>
                <wp:positionH relativeFrom="column">
                  <wp:posOffset>-132715</wp:posOffset>
                </wp:positionH>
                <wp:positionV relativeFrom="paragraph">
                  <wp:posOffset>69215</wp:posOffset>
                </wp:positionV>
                <wp:extent cx="5944235" cy="8255"/>
                <wp:effectExtent l="0" t="13970" r="14605" b="23495"/>
                <wp:wrapNone/>
                <wp:docPr id="1026" name="直接连接符 1026"/>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miter/>
                          <a:headEnd type="none" w="med" len="med"/>
                          <a:tailEnd type="none" w="med" len="med"/>
                        </a:ln>
                        <a:effectLst/>
                      </wps:spPr>
                      <wps:bodyPr/>
                    </wps:wsp>
                  </a:graphicData>
                </a:graphic>
              </wp:anchor>
            </w:drawing>
          </mc:Choice>
          <mc:Fallback>
            <w:pict>
              <v:line id="_x0000_s1026" o:spid="_x0000_s1026" o:spt="20" style="position:absolute;left:0pt;flip:y;margin-left:-10.45pt;margin-top:5.45pt;height:0.65pt;width:468.05pt;z-index:251670528;mso-width-relative:page;mso-height-relative:page;" filled="f" stroked="t" coordsize="21600,21600" o:gfxdata="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nCSaU2AAAAAkBAAAPAAAAAAAAAAEAIAAAACIAAABkcnMv&#10;ZG93bnJldi54bWxQSwECFAAUAAAACACHTuJA5VwypAMCAAAEBAAADgAAAAAAAAABACAAAAAnAQAA&#10;ZHJzL2Uyb0RvYy54bWxQSwUGAAAAAAYABgBZAQAAnAUAAAAA&#10;">
                <v:fill on="f" focussize="0,0"/>
                <v:stroke weight="2.25pt" color="#000000" joinstyle="miter"/>
                <v:imagedata o:title=""/>
                <o:lock v:ext="edit" aspectratio="f"/>
              </v:line>
            </w:pict>
          </mc:Fallback>
        </mc:AlternateContent>
      </w:r>
      <w:r>
        <w:rPr>
          <w:rFonts w:hint="eastAsia" w:ascii="宋体" w:hAnsi="宋体" w:eastAsia="宋体" w:cs="宋体"/>
          <w:b/>
          <w:bCs/>
          <w:color w:val="auto"/>
          <w:sz w:val="10"/>
          <w:highlight w:val="none"/>
        </w:rPr>
        <w:t xml:space="preserve">                                                                                                </w:t>
      </w:r>
    </w:p>
    <w:p>
      <w:pPr>
        <w:snapToGrid w:val="0"/>
        <w:jc w:val="center"/>
        <w:rPr>
          <w:rFonts w:hint="eastAsia" w:ascii="宋体" w:hAnsi="宋体" w:eastAsia="宋体" w:cs="宋体"/>
          <w:b/>
          <w:color w:val="auto"/>
          <w:sz w:val="72"/>
          <w:szCs w:val="72"/>
          <w:highlight w:val="none"/>
        </w:rPr>
      </w:pPr>
    </w:p>
    <w:p>
      <w:pPr>
        <w:jc w:val="center"/>
        <w:rPr>
          <w:rFonts w:hint="eastAsia" w:ascii="宋体" w:hAnsi="宋体" w:eastAsia="宋体" w:cs="宋体"/>
          <w:b/>
          <w:color w:val="auto"/>
          <w:sz w:val="72"/>
          <w:szCs w:val="72"/>
          <w:highlight w:val="none"/>
          <w:lang w:eastAsia="zh-CN"/>
        </w:rPr>
      </w:pPr>
      <w:r>
        <w:rPr>
          <w:rFonts w:hint="eastAsia" w:ascii="宋体" w:hAnsi="宋体" w:eastAsia="宋体" w:cs="宋体"/>
          <w:b/>
          <w:color w:val="auto"/>
          <w:sz w:val="72"/>
          <w:szCs w:val="72"/>
          <w:highlight w:val="none"/>
          <w:lang w:eastAsia="zh-CN"/>
        </w:rPr>
        <w:t>竞争性磋商采购文件</w:t>
      </w:r>
    </w:p>
    <w:p>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（服务类）</w:t>
      </w:r>
    </w:p>
    <w:p>
      <w:pPr>
        <w:jc w:val="center"/>
        <w:rPr>
          <w:rFonts w:hint="eastAsia" w:ascii="宋体" w:hAnsi="宋体" w:eastAsia="宋体" w:cs="宋体"/>
          <w:b/>
          <w:color w:val="auto"/>
          <w:sz w:val="32"/>
          <w:szCs w:val="32"/>
          <w:highlight w:val="none"/>
        </w:rPr>
      </w:pPr>
    </w:p>
    <w:p>
      <w:pPr>
        <w:jc w:val="center"/>
        <w:rPr>
          <w:rFonts w:hint="eastAsia" w:ascii="宋体" w:hAnsi="宋体" w:eastAsia="宋体" w:cs="宋体"/>
          <w:b/>
          <w:color w:val="auto"/>
          <w:sz w:val="32"/>
          <w:szCs w:val="32"/>
          <w:highlight w:val="none"/>
        </w:rPr>
      </w:pPr>
    </w:p>
    <w:p>
      <w:pPr>
        <w:jc w:val="center"/>
        <w:rPr>
          <w:rFonts w:hint="eastAsia" w:ascii="宋体" w:hAnsi="宋体" w:eastAsia="宋体" w:cs="宋体"/>
          <w:b/>
          <w:color w:val="auto"/>
          <w:sz w:val="32"/>
          <w:szCs w:val="32"/>
          <w:highlight w:val="none"/>
        </w:rPr>
      </w:pPr>
      <w:r>
        <w:rPr>
          <w:rFonts w:hint="eastAsia" w:ascii="宋体" w:hAnsi="宋体" w:eastAsia="宋体" w:cs="宋体"/>
          <w:color w:val="auto"/>
          <w:highlight w:val="none"/>
          <w:lang w:eastAsia="zh-CN"/>
        </w:rPr>
        <w:drawing>
          <wp:anchor distT="0" distB="0" distL="114300" distR="114300" simplePos="0" relativeHeight="251671552" behindDoc="0" locked="0" layoutInCell="1" allowOverlap="1">
            <wp:simplePos x="0" y="0"/>
            <wp:positionH relativeFrom="column">
              <wp:posOffset>1999615</wp:posOffset>
            </wp:positionH>
            <wp:positionV relativeFrom="paragraph">
              <wp:posOffset>49530</wp:posOffset>
            </wp:positionV>
            <wp:extent cx="1991995" cy="2016760"/>
            <wp:effectExtent l="0" t="0" r="4445" b="10160"/>
            <wp:wrapSquare wrapText="bothSides"/>
            <wp:docPr id="5" name="图片 12" descr="公司logo"/>
            <wp:cNvGraphicFramePr/>
            <a:graphic xmlns:a="http://schemas.openxmlformats.org/drawingml/2006/main">
              <a:graphicData uri="http://schemas.openxmlformats.org/drawingml/2006/picture">
                <pic:pic xmlns:pic="http://schemas.openxmlformats.org/drawingml/2006/picture">
                  <pic:nvPicPr>
                    <pic:cNvPr id="5" name="图片 12" descr="公司logo"/>
                    <pic:cNvPicPr/>
                  </pic:nvPicPr>
                  <pic:blipFill>
                    <a:blip r:embed="rId14"/>
                    <a:stretch>
                      <a:fillRect/>
                    </a:stretch>
                  </pic:blipFill>
                  <pic:spPr>
                    <a:xfrm>
                      <a:off x="0" y="0"/>
                      <a:ext cx="1991995" cy="2016760"/>
                    </a:xfrm>
                    <a:prstGeom prst="rect">
                      <a:avLst/>
                    </a:prstGeom>
                    <a:noFill/>
                    <a:ln>
                      <a:noFill/>
                    </a:ln>
                  </pic:spPr>
                </pic:pic>
              </a:graphicData>
            </a:graphic>
          </wp:anchor>
        </w:drawing>
      </w:r>
    </w:p>
    <w:p>
      <w:pPr>
        <w:spacing w:line="360" w:lineRule="auto"/>
        <w:ind w:left="2243" w:leftChars="456" w:hanging="1285" w:hangingChars="400"/>
        <w:rPr>
          <w:rFonts w:hint="eastAsia" w:ascii="宋体" w:hAnsi="宋体" w:eastAsia="宋体" w:cs="宋体"/>
          <w:b/>
          <w:color w:val="auto"/>
          <w:sz w:val="32"/>
          <w:szCs w:val="32"/>
          <w:highlight w:val="none"/>
        </w:rPr>
      </w:pPr>
    </w:p>
    <w:p>
      <w:pPr>
        <w:spacing w:line="360" w:lineRule="auto"/>
        <w:ind w:left="2243" w:leftChars="456" w:hanging="1285" w:hangingChars="400"/>
        <w:rPr>
          <w:rFonts w:hint="eastAsia" w:ascii="宋体" w:hAnsi="宋体" w:eastAsia="宋体" w:cs="宋体"/>
          <w:b/>
          <w:color w:val="auto"/>
          <w:sz w:val="32"/>
          <w:szCs w:val="32"/>
          <w:highlight w:val="none"/>
        </w:rPr>
      </w:pPr>
    </w:p>
    <w:p>
      <w:pPr>
        <w:spacing w:line="360" w:lineRule="auto"/>
        <w:ind w:left="2243" w:leftChars="456" w:hanging="1285" w:hangingChars="400"/>
        <w:rPr>
          <w:rFonts w:hint="eastAsia" w:ascii="宋体" w:hAnsi="宋体" w:eastAsia="宋体" w:cs="宋体"/>
          <w:b/>
          <w:color w:val="auto"/>
          <w:sz w:val="32"/>
          <w:szCs w:val="32"/>
          <w:highlight w:val="none"/>
        </w:rPr>
      </w:pPr>
    </w:p>
    <w:p>
      <w:pPr>
        <w:spacing w:line="360" w:lineRule="auto"/>
        <w:ind w:left="420" w:leftChars="200" w:firstLine="0" w:firstLineChars="0"/>
        <w:rPr>
          <w:rFonts w:hint="eastAsia" w:ascii="宋体" w:hAnsi="宋体" w:eastAsia="宋体" w:cs="宋体"/>
          <w:b/>
          <w:color w:val="auto"/>
          <w:sz w:val="32"/>
          <w:szCs w:val="32"/>
          <w:highlight w:val="none"/>
        </w:rPr>
      </w:pPr>
    </w:p>
    <w:p>
      <w:pPr>
        <w:spacing w:line="360" w:lineRule="auto"/>
        <w:ind w:left="-199" w:leftChars="-95" w:firstLine="0" w:firstLineChars="0"/>
        <w:rPr>
          <w:rFonts w:hint="eastAsia" w:ascii="宋体" w:hAnsi="宋体" w:eastAsia="宋体" w:cs="宋体"/>
          <w:b/>
          <w:color w:val="auto"/>
          <w:sz w:val="32"/>
          <w:szCs w:val="32"/>
          <w:highlight w:val="none"/>
        </w:rPr>
      </w:pPr>
    </w:p>
    <w:p>
      <w:pPr>
        <w:spacing w:line="360" w:lineRule="auto"/>
        <w:ind w:left="-199" w:leftChars="-95" w:firstLine="0" w:firstLineChars="0"/>
        <w:rPr>
          <w:rFonts w:hint="eastAsia" w:ascii="宋体" w:hAnsi="宋体" w:eastAsia="宋体" w:cs="宋体"/>
          <w:b/>
          <w:color w:val="auto"/>
          <w:sz w:val="32"/>
          <w:szCs w:val="32"/>
          <w:highlight w:val="none"/>
        </w:rPr>
      </w:pPr>
    </w:p>
    <w:p>
      <w:pPr>
        <w:spacing w:line="360" w:lineRule="auto"/>
        <w:ind w:left="-199" w:leftChars="-95" w:firstLine="0" w:firstLineChars="0"/>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项目名称：</w:t>
      </w:r>
      <w:r>
        <w:rPr>
          <w:rFonts w:hint="eastAsia" w:ascii="宋体" w:hAnsi="宋体" w:cs="宋体"/>
          <w:b/>
          <w:color w:val="auto"/>
          <w:sz w:val="32"/>
          <w:szCs w:val="32"/>
          <w:highlight w:val="none"/>
          <w:lang w:eastAsia="zh-CN"/>
        </w:rPr>
        <w:t>广西壮族自治区脑科医院保安服务项目（重）</w:t>
      </w:r>
    </w:p>
    <w:p>
      <w:pPr>
        <w:spacing w:line="360" w:lineRule="auto"/>
        <w:ind w:left="-199" w:leftChars="-95" w:firstLine="0" w:firstLineChars="0"/>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项目编号</w:t>
      </w:r>
      <w:r>
        <w:rPr>
          <w:rFonts w:hint="eastAsia" w:ascii="宋体" w:hAnsi="宋体" w:cs="宋体"/>
          <w:b/>
          <w:color w:val="auto"/>
          <w:sz w:val="32"/>
          <w:szCs w:val="32"/>
          <w:highlight w:val="none"/>
          <w:lang w:eastAsia="zh-CN"/>
        </w:rPr>
        <w:t>：GXZC2026-C3-001985-GXDY</w:t>
      </w:r>
    </w:p>
    <w:p>
      <w:pPr>
        <w:spacing w:line="360" w:lineRule="auto"/>
        <w:ind w:firstLine="890" w:firstLineChars="445"/>
        <w:rPr>
          <w:rFonts w:hint="eastAsia" w:ascii="宋体" w:hAnsi="宋体" w:eastAsia="宋体" w:cs="宋体"/>
          <w:b/>
          <w:color w:val="auto"/>
          <w:sz w:val="32"/>
          <w:szCs w:val="32"/>
          <w:highlight w:val="none"/>
        </w:rPr>
      </w:pPr>
      <w:r>
        <w:rPr>
          <w:rFonts w:hint="eastAsia" w:ascii="宋体" w:hAnsi="宋体" w:eastAsia="宋体" w:cs="宋体"/>
          <w:color w:val="auto"/>
          <w:sz w:val="20"/>
          <w:highlight w:val="none"/>
          <w:u w:val="single"/>
        </w:rPr>
        <mc:AlternateContent>
          <mc:Choice Requires="wps">
            <w:drawing>
              <wp:anchor distT="0" distB="0" distL="114300" distR="114300" simplePos="0" relativeHeight="251672576" behindDoc="0" locked="0" layoutInCell="1" allowOverlap="1">
                <wp:simplePos x="0" y="0"/>
                <wp:positionH relativeFrom="column">
                  <wp:posOffset>-160655</wp:posOffset>
                </wp:positionH>
                <wp:positionV relativeFrom="paragraph">
                  <wp:posOffset>167640</wp:posOffset>
                </wp:positionV>
                <wp:extent cx="5944235" cy="8255"/>
                <wp:effectExtent l="0" t="13970" r="14605" b="23495"/>
                <wp:wrapNone/>
                <wp:docPr id="1028" name="直接连接符 1028"/>
                <wp:cNvGraphicFramePr/>
                <a:graphic xmlns:a="http://schemas.openxmlformats.org/drawingml/2006/main">
                  <a:graphicData uri="http://schemas.microsoft.com/office/word/2010/wordprocessingShape">
                    <wps:wsp>
                      <wps:cNvCnPr/>
                      <wps:spPr>
                        <a:xfrm flipV="1">
                          <a:off x="0" y="0"/>
                          <a:ext cx="5944235" cy="8254"/>
                        </a:xfrm>
                        <a:prstGeom prst="line">
                          <a:avLst/>
                        </a:prstGeom>
                        <a:ln w="28575" cap="flat" cmpd="sng">
                          <a:solidFill>
                            <a:srgbClr val="000000"/>
                          </a:solidFill>
                          <a:prstDash val="solid"/>
                          <a:miter/>
                          <a:headEnd type="none" w="med" len="med"/>
                          <a:tailEnd type="none" w="med" len="med"/>
                        </a:ln>
                        <a:effectLst/>
                      </wps:spPr>
                      <wps:bodyPr/>
                    </wps:wsp>
                  </a:graphicData>
                </a:graphic>
              </wp:anchor>
            </w:drawing>
          </mc:Choice>
          <mc:Fallback>
            <w:pict>
              <v:line id="_x0000_s1026" o:spid="_x0000_s1026" o:spt="20" style="position:absolute;left:0pt;flip:y;margin-left:-12.65pt;margin-top:13.2pt;height:0.65pt;width:468.05pt;z-index:251672576;mso-width-relative:page;mso-height-relative:page;" filled="f" stroked="t" coordsize="21600,21600" o:gfxdata="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UpXWNkAAAAJAQAADwAAAAAAAAABACAAAAAiAAAAZHJz&#10;L2Rvd25yZXYueG1sUEsBAhQAFAAAAAgAh07iQGqPCp8DAgAABAQAAA4AAAAAAAAAAQAgAAAAKAEA&#10;AGRycy9lMm9Eb2MueG1sUEsFBgAAAAAGAAYAWQEAAJ0FAAAAAA==&#10;">
                <v:fill on="f" focussize="0,0"/>
                <v:stroke weight="2.25pt" color="#000000" joinstyle="miter"/>
                <v:imagedata o:title=""/>
                <o:lock v:ext="edit" aspectratio="f"/>
              </v:line>
            </w:pict>
          </mc:Fallback>
        </mc:AlternateContent>
      </w:r>
    </w:p>
    <w:p>
      <w:pPr>
        <w:spacing w:line="360" w:lineRule="auto"/>
        <w:ind w:firstLine="1430" w:firstLineChars="445"/>
        <w:rPr>
          <w:rFonts w:hint="eastAsia" w:ascii="宋体" w:hAnsi="宋体" w:eastAsia="宋体" w:cs="宋体"/>
          <w:b/>
          <w:color w:val="auto"/>
          <w:sz w:val="32"/>
          <w:szCs w:val="32"/>
          <w:highlight w:val="none"/>
        </w:rPr>
      </w:pPr>
    </w:p>
    <w:p>
      <w:pPr>
        <w:spacing w:line="360" w:lineRule="auto"/>
        <w:ind w:left="0" w:leftChars="-95" w:hanging="199" w:hangingChars="62"/>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采购人：</w:t>
      </w:r>
      <w:r>
        <w:rPr>
          <w:rFonts w:hint="eastAsia" w:ascii="宋体" w:hAnsi="宋体" w:eastAsia="宋体" w:cs="宋体"/>
          <w:b/>
          <w:color w:val="auto"/>
          <w:sz w:val="32"/>
          <w:szCs w:val="32"/>
          <w:highlight w:val="none"/>
          <w:lang w:eastAsia="zh-CN"/>
        </w:rPr>
        <w:t>广西壮族自治区脑科医院</w:t>
      </w:r>
    </w:p>
    <w:p>
      <w:pPr>
        <w:spacing w:line="360" w:lineRule="auto"/>
        <w:ind w:left="0" w:leftChars="-95" w:hanging="199" w:hangingChars="62"/>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采购代理机构：广西德元工程项目管理有限责任公司</w:t>
      </w:r>
    </w:p>
    <w:p>
      <w:pPr>
        <w:spacing w:line="360" w:lineRule="auto"/>
        <w:rPr>
          <w:rFonts w:hint="eastAsia" w:ascii="宋体" w:hAnsi="宋体" w:eastAsia="宋体" w:cs="宋体"/>
          <w:b/>
          <w:color w:val="auto"/>
          <w:sz w:val="32"/>
          <w:szCs w:val="32"/>
          <w:highlight w:val="none"/>
        </w:rPr>
      </w:pPr>
    </w:p>
    <w:p>
      <w:pPr>
        <w:bidi w:val="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202</w:t>
      </w:r>
      <w:r>
        <w:rPr>
          <w:rFonts w:hint="eastAsia" w:ascii="宋体" w:hAnsi="宋体" w:eastAsia="宋体" w:cs="宋体"/>
          <w:b/>
          <w:color w:val="auto"/>
          <w:sz w:val="32"/>
          <w:szCs w:val="32"/>
          <w:highlight w:val="none"/>
          <w:lang w:val="en-US" w:eastAsia="zh-CN"/>
        </w:rPr>
        <w:t>6</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0</w:t>
      </w:r>
      <w:r>
        <w:rPr>
          <w:rFonts w:hint="eastAsia" w:ascii="宋体" w:hAnsi="宋体" w:cs="宋体"/>
          <w:b/>
          <w:color w:val="auto"/>
          <w:sz w:val="32"/>
          <w:szCs w:val="32"/>
          <w:highlight w:val="none"/>
          <w:lang w:val="en-US" w:eastAsia="zh-CN"/>
        </w:rPr>
        <w:t>6</w:t>
      </w:r>
      <w:r>
        <w:rPr>
          <w:rFonts w:hint="eastAsia" w:ascii="宋体" w:hAnsi="宋体" w:eastAsia="宋体" w:cs="宋体"/>
          <w:b/>
          <w:color w:val="auto"/>
          <w:sz w:val="32"/>
          <w:szCs w:val="32"/>
          <w:highlight w:val="none"/>
        </w:rPr>
        <w:t>月</w:t>
      </w:r>
    </w:p>
    <w:p>
      <w:pPr>
        <w:pStyle w:val="27"/>
        <w:snapToGrid w:val="0"/>
        <w:spacing w:before="120" w:after="120" w:line="360" w:lineRule="auto"/>
        <w:jc w:val="both"/>
        <w:rPr>
          <w:rFonts w:hint="eastAsia" w:ascii="宋体" w:hAnsi="宋体" w:eastAsia="宋体" w:cs="宋体"/>
          <w:b/>
          <w:bCs/>
          <w:color w:val="auto"/>
          <w:sz w:val="44"/>
          <w:szCs w:val="44"/>
          <w:highlight w:val="none"/>
        </w:rPr>
        <w:sectPr>
          <w:headerReference r:id="rId3" w:type="default"/>
          <w:footerReference r:id="rId4" w:type="default"/>
          <w:pgSz w:w="11906" w:h="16838"/>
          <w:pgMar w:top="1134" w:right="1247" w:bottom="1134" w:left="1417" w:header="851" w:footer="567" w:gutter="0"/>
          <w:pgBorders>
            <w:top w:val="none" w:sz="0" w:space="0"/>
            <w:left w:val="none" w:sz="0" w:space="0"/>
            <w:bottom w:val="none" w:sz="0" w:space="0"/>
            <w:right w:val="none" w:sz="0" w:space="0"/>
          </w:pgBorders>
          <w:pgNumType w:fmt="decimal"/>
          <w:cols w:space="720" w:num="1"/>
          <w:docGrid w:linePitch="312" w:charSpace="0"/>
        </w:sectPr>
      </w:pPr>
    </w:p>
    <w:p>
      <w:pPr>
        <w:pStyle w:val="27"/>
        <w:ind w:firstLine="402"/>
        <w:rPr>
          <w:color w:val="auto"/>
          <w:w w:val="95"/>
          <w:highlight w:val="none"/>
        </w:rPr>
      </w:pPr>
    </w:p>
    <w:p>
      <w:pPr>
        <w:pStyle w:val="27"/>
        <w:ind w:firstLine="402"/>
        <w:rPr>
          <w:color w:val="auto"/>
          <w:w w:val="95"/>
          <w:highlight w:val="none"/>
        </w:rPr>
      </w:pPr>
    </w:p>
    <w:p>
      <w:pPr>
        <w:spacing w:line="400" w:lineRule="exact"/>
        <w:ind w:firstLine="883"/>
        <w:jc w:val="center"/>
        <w:rPr>
          <w:rFonts w:ascii="宋体" w:hAnsi="宋体" w:cs="宋体"/>
          <w:color w:val="auto"/>
          <w:sz w:val="44"/>
          <w:szCs w:val="44"/>
          <w:highlight w:val="none"/>
        </w:rPr>
      </w:pPr>
    </w:p>
    <w:p>
      <w:pPr>
        <w:spacing w:line="360" w:lineRule="auto"/>
        <w:ind w:firstLine="883"/>
        <w:jc w:val="center"/>
        <w:rPr>
          <w:rFonts w:ascii="宋体" w:hAnsi="宋体" w:cs="宋体"/>
          <w:color w:val="auto"/>
          <w:sz w:val="44"/>
          <w:szCs w:val="44"/>
          <w:highlight w:val="none"/>
        </w:rPr>
      </w:pPr>
      <w:r>
        <w:rPr>
          <w:rFonts w:hint="eastAsia" w:ascii="宋体" w:hAnsi="宋体" w:cs="宋体"/>
          <w:color w:val="auto"/>
          <w:sz w:val="44"/>
          <w:szCs w:val="44"/>
          <w:highlight w:val="none"/>
        </w:rPr>
        <w:t>目       录</w:t>
      </w:r>
    </w:p>
    <w:p>
      <w:pPr>
        <w:spacing w:line="360" w:lineRule="auto"/>
        <w:ind w:firstLine="643"/>
        <w:jc w:val="left"/>
        <w:rPr>
          <w:rFonts w:ascii="宋体" w:hAnsi="宋体" w:cs="宋体"/>
          <w:color w:val="auto"/>
          <w:sz w:val="32"/>
          <w:szCs w:val="32"/>
          <w:highlight w:val="none"/>
        </w:rPr>
      </w:pPr>
    </w:p>
    <w:p>
      <w:pPr>
        <w:pStyle w:val="32"/>
        <w:spacing w:before="0" w:after="0" w:line="240" w:lineRule="auto"/>
        <w:ind w:left="0" w:leftChars="0" w:firstLine="0" w:firstLineChars="0"/>
        <w:jc w:val="both"/>
        <w:rPr>
          <w:rFonts w:ascii="Calibri" w:hAnsi="Calibri"/>
          <w:b w:val="0"/>
          <w:bCs w:val="0"/>
          <w:caps w:val="0"/>
          <w:color w:val="auto"/>
          <w:sz w:val="21"/>
          <w:szCs w:val="22"/>
          <w:highlight w:val="none"/>
        </w:rPr>
      </w:pPr>
      <w:r>
        <w:rPr>
          <w:rFonts w:hint="eastAsia" w:cs="宋体"/>
          <w:color w:val="auto"/>
          <w:sz w:val="32"/>
          <w:szCs w:val="32"/>
          <w:highlight w:val="none"/>
        </w:rPr>
        <w:fldChar w:fldCharType="begin"/>
      </w:r>
      <w:r>
        <w:rPr>
          <w:rStyle w:val="51"/>
          <w:rFonts w:hint="eastAsia" w:cs="宋体"/>
          <w:color w:val="auto"/>
          <w:sz w:val="32"/>
          <w:szCs w:val="32"/>
          <w:highlight w:val="none"/>
        </w:rPr>
        <w:instrText xml:space="preserve"> TOC \o "1-3" \h \z </w:instrText>
      </w:r>
      <w:r>
        <w:rPr>
          <w:rFonts w:hint="eastAsia"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"_Toc88747291" </w:instrText>
      </w:r>
      <w:r>
        <w:rPr>
          <w:color w:val="auto"/>
          <w:highlight w:val="none"/>
        </w:rPr>
        <w:fldChar w:fldCharType="separate"/>
      </w:r>
      <w:r>
        <w:rPr>
          <w:rStyle w:val="51"/>
          <w:rFonts w:hint="eastAsia" w:cs="宋体"/>
          <w:color w:val="auto"/>
          <w:highlight w:val="none"/>
        </w:rPr>
        <w:t>第一章</w:t>
      </w:r>
      <w:r>
        <w:rPr>
          <w:rStyle w:val="51"/>
          <w:rFonts w:hint="eastAsia" w:cs="宋体"/>
          <w:color w:val="auto"/>
          <w:highlight w:val="none"/>
          <w:lang w:val="en-US" w:eastAsia="zh-CN"/>
        </w:rPr>
        <w:t xml:space="preserve"> </w:t>
      </w:r>
      <w:r>
        <w:rPr>
          <w:rStyle w:val="51"/>
          <w:rFonts w:hint="eastAsia" w:cs="宋体"/>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_Toc88747291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pPr>
        <w:pStyle w:val="32"/>
        <w:ind w:left="0" w:leftChars="0" w:firstLine="0" w:firstLineChars="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"_Toc88747292" </w:instrText>
      </w:r>
      <w:r>
        <w:rPr>
          <w:color w:val="auto"/>
          <w:highlight w:val="none"/>
        </w:rPr>
        <w:fldChar w:fldCharType="separate"/>
      </w:r>
      <w:r>
        <w:rPr>
          <w:rStyle w:val="51"/>
          <w:rFonts w:hint="eastAsia" w:cs="宋体"/>
          <w:color w:val="auto"/>
          <w:highlight w:val="none"/>
        </w:rPr>
        <w:t>第二章</w:t>
      </w:r>
      <w:r>
        <w:rPr>
          <w:rStyle w:val="51"/>
          <w:rFonts w:hint="eastAsia" w:cs="宋体"/>
          <w:color w:val="auto"/>
          <w:highlight w:val="none"/>
          <w:lang w:val="en-US" w:eastAsia="zh-CN"/>
        </w:rPr>
        <w:t xml:space="preserve"> 采购需求</w:t>
      </w:r>
      <w:r>
        <w:rPr>
          <w:color w:val="auto"/>
          <w:highlight w:val="none"/>
        </w:rPr>
        <w:tab/>
      </w:r>
      <w:r>
        <w:rPr>
          <w:color w:val="auto"/>
          <w:highlight w:val="none"/>
        </w:rPr>
        <w:fldChar w:fldCharType="begin"/>
      </w:r>
      <w:r>
        <w:rPr>
          <w:color w:val="auto"/>
          <w:highlight w:val="none"/>
        </w:rPr>
        <w:instrText xml:space="preserve"> PAGEREF _Toc88747292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pPr>
        <w:pStyle w:val="32"/>
        <w:ind w:left="0" w:leftChars="0" w:firstLine="0" w:firstLineChars="0"/>
        <w:rPr>
          <w:rFonts w:hint="eastAsia" w:ascii="Calibri" w:hAnsi="Calibri" w:eastAsia="宋体"/>
          <w:b w:val="0"/>
          <w:bCs w:val="0"/>
          <w: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"_Toc88747293" </w:instrText>
      </w:r>
      <w:r>
        <w:rPr>
          <w:color w:val="auto"/>
          <w:highlight w:val="none"/>
        </w:rPr>
        <w:fldChar w:fldCharType="separate"/>
      </w:r>
      <w:r>
        <w:rPr>
          <w:rStyle w:val="51"/>
          <w:rFonts w:hint="eastAsia" w:cs="宋体"/>
          <w:color w:val="auto"/>
          <w:highlight w:val="none"/>
        </w:rPr>
        <w:t>第三章</w:t>
      </w:r>
      <w:r>
        <w:rPr>
          <w:rStyle w:val="51"/>
          <w:rFonts w:hint="eastAsia" w:cs="宋体"/>
          <w:color w:val="auto"/>
          <w:highlight w:val="none"/>
          <w:lang w:val="en-US" w:eastAsia="zh-CN"/>
        </w:rPr>
        <w:t xml:space="preserve"> 供应商须知</w:t>
      </w:r>
      <w:r>
        <w:rPr>
          <w:color w:val="auto"/>
          <w:highlight w:val="none"/>
        </w:rPr>
        <w:tab/>
      </w:r>
      <w:r>
        <w:rPr>
          <w:rFonts w:hint="eastAsia"/>
          <w:color w:val="auto"/>
          <w:highlight w:val="none"/>
          <w:lang w:val="en-US" w:eastAsia="zh-CN"/>
        </w:rPr>
        <w:t>1</w:t>
      </w:r>
      <w:r>
        <w:rPr>
          <w:color w:val="auto"/>
          <w:highlight w:val="none"/>
        </w:rPr>
        <w:fldChar w:fldCharType="end"/>
      </w:r>
      <w:r>
        <w:rPr>
          <w:rFonts w:hint="eastAsia"/>
          <w:color w:val="auto"/>
          <w:highlight w:val="none"/>
          <w:lang w:val="en-US" w:eastAsia="zh-CN"/>
        </w:rPr>
        <w:t>5</w:t>
      </w:r>
    </w:p>
    <w:p>
      <w:pPr>
        <w:pStyle w:val="32"/>
        <w:ind w:left="0" w:leftChars="0" w:firstLine="0" w:firstLineChars="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"_Toc88747294" </w:instrText>
      </w:r>
      <w:r>
        <w:rPr>
          <w:color w:val="auto"/>
          <w:highlight w:val="none"/>
        </w:rPr>
        <w:fldChar w:fldCharType="separate"/>
      </w:r>
      <w:r>
        <w:rPr>
          <w:rStyle w:val="51"/>
          <w:rFonts w:hint="eastAsia" w:cs="宋体"/>
          <w:color w:val="auto"/>
          <w:highlight w:val="none"/>
        </w:rPr>
        <w:t>第四章</w:t>
      </w:r>
      <w:r>
        <w:rPr>
          <w:rStyle w:val="51"/>
          <w:rFonts w:hint="eastAsia" w:cs="宋体"/>
          <w:color w:val="auto"/>
          <w:highlight w:val="none"/>
          <w:lang w:val="en-US" w:eastAsia="zh-CN"/>
        </w:rPr>
        <w:t xml:space="preserve"> </w:t>
      </w:r>
      <w:r>
        <w:rPr>
          <w:rStyle w:val="51"/>
          <w:rFonts w:hint="eastAsia" w:cs="宋体"/>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_Toc88747294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pPr>
        <w:pStyle w:val="32"/>
        <w:ind w:left="0" w:leftChars="0" w:firstLine="0" w:firstLineChars="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"_Toc88747295" </w:instrText>
      </w:r>
      <w:r>
        <w:rPr>
          <w:color w:val="auto"/>
          <w:highlight w:val="none"/>
        </w:rPr>
        <w:fldChar w:fldCharType="separate"/>
      </w:r>
      <w:r>
        <w:rPr>
          <w:rStyle w:val="51"/>
          <w:rFonts w:hint="eastAsia" w:cs="宋体"/>
          <w:color w:val="auto"/>
          <w:highlight w:val="none"/>
        </w:rPr>
        <w:t>第五章</w:t>
      </w:r>
      <w:r>
        <w:rPr>
          <w:rStyle w:val="51"/>
          <w:rFonts w:hint="eastAsia" w:cs="宋体"/>
          <w:color w:val="auto"/>
          <w:highlight w:val="none"/>
          <w:lang w:val="en-US" w:eastAsia="zh-CN"/>
        </w:rPr>
        <w:t xml:space="preserve"> </w:t>
      </w:r>
      <w:r>
        <w:rPr>
          <w:rStyle w:val="51"/>
          <w:rFonts w:hint="eastAsia" w:cs="宋体"/>
          <w:color w:val="auto"/>
          <w:highlight w:val="none"/>
        </w:rPr>
        <w:t>合同主要条款</w:t>
      </w:r>
      <w:r>
        <w:rPr>
          <w:color w:val="auto"/>
          <w:highlight w:val="none"/>
        </w:rPr>
        <w:tab/>
      </w:r>
      <w:r>
        <w:rPr>
          <w:color w:val="auto"/>
          <w:highlight w:val="none"/>
        </w:rPr>
        <w:fldChar w:fldCharType="begin"/>
      </w:r>
      <w:r>
        <w:rPr>
          <w:color w:val="auto"/>
          <w:highlight w:val="none"/>
        </w:rPr>
        <w:instrText xml:space="preserve"> PAGEREF _Toc88747295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pPr>
        <w:pStyle w:val="32"/>
        <w:ind w:left="0" w:leftChars="0" w:firstLine="0" w:firstLineChars="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"_Toc88747296" </w:instrText>
      </w:r>
      <w:r>
        <w:rPr>
          <w:color w:val="auto"/>
          <w:highlight w:val="none"/>
        </w:rPr>
        <w:fldChar w:fldCharType="separate"/>
      </w:r>
      <w:r>
        <w:rPr>
          <w:rStyle w:val="51"/>
          <w:rFonts w:hint="eastAsia" w:cs="宋体"/>
          <w:color w:val="auto"/>
          <w:highlight w:val="none"/>
        </w:rPr>
        <w:t>第六章</w:t>
      </w:r>
      <w:r>
        <w:rPr>
          <w:rStyle w:val="51"/>
          <w:rFonts w:hint="eastAsia" w:cs="宋体"/>
          <w:color w:val="auto"/>
          <w:highlight w:val="none"/>
          <w:lang w:val="en-US" w:eastAsia="zh-CN"/>
        </w:rPr>
        <w:t xml:space="preserve"> </w:t>
      </w:r>
      <w:r>
        <w:rPr>
          <w:rStyle w:val="51"/>
          <w:rFonts w:hint="eastAsia" w:cs="宋体"/>
          <w:color w:val="auto"/>
          <w:highlight w:val="none"/>
        </w:rPr>
        <w:t>评审方法和评审标准</w:t>
      </w:r>
      <w:r>
        <w:rPr>
          <w:color w:val="auto"/>
          <w:highlight w:val="none"/>
        </w:rPr>
        <w:tab/>
      </w:r>
      <w:r>
        <w:rPr>
          <w:color w:val="auto"/>
          <w:highlight w:val="none"/>
        </w:rPr>
        <w:fldChar w:fldCharType="begin"/>
      </w:r>
      <w:r>
        <w:rPr>
          <w:color w:val="auto"/>
          <w:highlight w:val="none"/>
        </w:rPr>
        <w:instrText xml:space="preserve"> PAGEREF _Toc88747296 \h </w:instrText>
      </w:r>
      <w:r>
        <w:rPr>
          <w:color w:val="auto"/>
          <w:highlight w:val="none"/>
        </w:rPr>
        <w:fldChar w:fldCharType="separate"/>
      </w:r>
      <w:r>
        <w:rPr>
          <w:color w:val="auto"/>
          <w:highlight w:val="none"/>
        </w:rPr>
        <w:t>6</w:t>
      </w:r>
      <w:r>
        <w:rPr>
          <w:rFonts w:hint="eastAsia"/>
          <w:color w:val="auto"/>
          <w:highlight w:val="none"/>
          <w:lang w:val="en-US" w:eastAsia="zh-CN"/>
        </w:rPr>
        <w:t>7</w:t>
      </w:r>
      <w:r>
        <w:rPr>
          <w:color w:val="auto"/>
          <w:highlight w:val="none"/>
        </w:rPr>
        <w:fldChar w:fldCharType="end"/>
      </w:r>
      <w:r>
        <w:rPr>
          <w:color w:val="auto"/>
          <w:highlight w:val="none"/>
        </w:rPr>
        <w:fldChar w:fldCharType="end"/>
      </w:r>
    </w:p>
    <w:p>
      <w:pPr>
        <w:spacing w:line="400" w:lineRule="exact"/>
        <w:ind w:firstLine="640"/>
        <w:jc w:val="left"/>
        <w:rPr>
          <w:rStyle w:val="51"/>
          <w:rFonts w:ascii="宋体" w:hAnsi="宋体" w:cs="宋体"/>
          <w:b/>
          <w:color w:val="auto"/>
          <w:sz w:val="32"/>
          <w:szCs w:val="32"/>
          <w:highlight w:val="none"/>
        </w:rPr>
      </w:pPr>
      <w:r>
        <w:rPr>
          <w:rFonts w:hint="eastAsia" w:ascii="宋体" w:hAnsi="宋体" w:cs="宋体"/>
          <w:b/>
          <w:color w:val="auto"/>
          <w:sz w:val="32"/>
          <w:szCs w:val="32"/>
          <w:highlight w:val="none"/>
        </w:rPr>
        <w:fldChar w:fldCharType="end"/>
      </w:r>
    </w:p>
    <w:p>
      <w:pPr>
        <w:spacing w:line="400" w:lineRule="exact"/>
        <w:ind w:firstLine="643"/>
        <w:jc w:val="left"/>
        <w:rPr>
          <w:rFonts w:ascii="宋体" w:hAnsi="宋体" w:cs="宋体"/>
          <w:color w:val="auto"/>
          <w:sz w:val="32"/>
          <w:szCs w:val="32"/>
          <w:highlight w:val="none"/>
        </w:rPr>
      </w:pPr>
    </w:p>
    <w:p>
      <w:pPr>
        <w:pStyle w:val="4"/>
        <w:spacing w:line="480" w:lineRule="exact"/>
        <w:ind w:firstLine="643"/>
        <w:jc w:val="center"/>
        <w:rPr>
          <w:rFonts w:hint="eastAsia" w:ascii="宋体" w:hAnsi="宋体" w:cs="宋体"/>
          <w:color w:val="auto"/>
          <w:sz w:val="32"/>
          <w:szCs w:val="32"/>
          <w:highlight w:val="none"/>
        </w:rPr>
        <w:sectPr>
          <w:headerReference r:id="rId5" w:type="default"/>
          <w:footerReference r:id="rId6" w:type="default"/>
          <w:pgSz w:w="11906" w:h="16838"/>
          <w:pgMar w:top="1440" w:right="1797" w:bottom="1440" w:left="1797" w:header="851" w:footer="709" w:gutter="0"/>
          <w:pgNumType w:fmt="decimal"/>
          <w:cols w:space="720" w:num="1"/>
          <w:docGrid w:linePitch="312" w:charSpace="0"/>
        </w:sectPr>
      </w:pPr>
      <w:bookmarkStart w:id="2" w:name="_Toc88747291"/>
    </w:p>
    <w:p>
      <w:pPr>
        <w:pStyle w:val="4"/>
        <w:spacing w:line="480" w:lineRule="exact"/>
        <w:ind w:firstLine="643"/>
        <w:jc w:val="center"/>
        <w:rPr>
          <w:rFonts w:ascii="宋体" w:hAnsi="宋体" w:cs="宋体"/>
          <w:color w:val="auto"/>
          <w:sz w:val="32"/>
          <w:szCs w:val="32"/>
          <w:highlight w:val="none"/>
        </w:rPr>
      </w:pPr>
      <w:r>
        <w:rPr>
          <w:rFonts w:hint="eastAsia" w:ascii="宋体" w:hAnsi="宋体" w:cs="宋体"/>
          <w:color w:val="auto"/>
          <w:sz w:val="32"/>
          <w:szCs w:val="32"/>
          <w:highlight w:val="none"/>
        </w:rPr>
        <w:t>第一章 竞争性磋商公告</w:t>
      </w:r>
      <w:bookmarkEnd w:id="2"/>
    </w:p>
    <w:p>
      <w:pPr>
        <w:pStyle w:val="191"/>
        <w:keepNext w:val="0"/>
        <w:keepLines w:val="0"/>
        <w:pageBreakBefore w:val="0"/>
        <w:widowControl w:val="0"/>
        <w:kinsoku/>
        <w:wordWrap/>
        <w:overflowPunct/>
        <w:topLinePunct w:val="0"/>
        <w:autoSpaceDE/>
        <w:autoSpaceDN/>
        <w:bidi w:val="0"/>
        <w:adjustRightInd/>
        <w:spacing w:after="120" w:line="312"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pPr>
        <w:pStyle w:val="191"/>
        <w:keepNext w:val="0"/>
        <w:keepLines w:val="0"/>
        <w:pageBreakBefore w:val="0"/>
        <w:widowControl w:val="0"/>
        <w:kinsoku/>
        <w:wordWrap/>
        <w:overflowPunct/>
        <w:topLinePunct w:val="0"/>
        <w:autoSpaceDE/>
        <w:autoSpaceDN/>
        <w:bidi w:val="0"/>
        <w:adjustRightInd/>
        <w:spacing w:after="120" w:line="312" w:lineRule="auto"/>
        <w:ind w:firstLine="48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eastAsia="zh-CN"/>
        </w:rPr>
        <w:t>广西壮族自治区脑科医院保安服务项目（重）</w:t>
      </w:r>
      <w:r>
        <w:rPr>
          <w:rFonts w:hint="eastAsia" w:ascii="宋体" w:hAnsi="宋体" w:eastAsia="宋体" w:cs="宋体"/>
          <w:color w:val="auto"/>
          <w:sz w:val="24"/>
          <w:szCs w:val="24"/>
          <w:highlight w:val="none"/>
        </w:rPr>
        <w:t>的潜在供应商应在</w:t>
      </w:r>
      <w:r>
        <w:rPr>
          <w:rFonts w:hint="eastAsia" w:ascii="宋体" w:hAnsi="宋体" w:eastAsia="宋体" w:cs="宋体"/>
          <w:color w:val="auto"/>
          <w:sz w:val="24"/>
          <w:szCs w:val="24"/>
          <w:highlight w:val="none"/>
          <w:u w:val="single"/>
        </w:rPr>
        <w:t>广西政府采购云平台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https://www.gcy.zfcg.gxzf.gov.cn/</w:t>
      </w:r>
      <w:r>
        <w:rPr>
          <w:rFonts w:hint="eastAsia" w:ascii="宋体" w:hAnsi="宋体" w:eastAsia="宋体" w:cs="宋体"/>
          <w:color w:val="auto"/>
          <w:sz w:val="24"/>
          <w:szCs w:val="24"/>
          <w:highlight w:val="none"/>
        </w:rPr>
        <w:t>）获取（下载）获取采购文件，并于</w:t>
      </w:r>
      <w:r>
        <w:rPr>
          <w:rFonts w:hint="eastAsia" w:ascii="宋体" w:hAnsi="宋体" w:eastAsia="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07</w:t>
      </w:r>
      <w:r>
        <w:rPr>
          <w:rFonts w:hint="eastAsia" w:ascii="宋体" w:hAnsi="宋体" w:eastAsia="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03</w:t>
      </w:r>
      <w:r>
        <w:rPr>
          <w:rFonts w:hint="eastAsia" w:ascii="宋体" w:hAnsi="宋体" w:eastAsia="宋体" w:cs="宋体"/>
          <w:color w:val="auto"/>
          <w:sz w:val="24"/>
          <w:szCs w:val="24"/>
          <w:highlight w:val="none"/>
          <w:u w:val="single"/>
          <w:lang w:eastAsia="zh-CN"/>
        </w:rPr>
        <w:t>日</w:t>
      </w:r>
      <w:r>
        <w:rPr>
          <w:rFonts w:hint="eastAsia" w:ascii="宋体" w:hAnsi="宋体" w:eastAsia="宋体" w:cs="宋体"/>
          <w:bCs/>
          <w:color w:val="auto"/>
          <w:sz w:val="24"/>
          <w:szCs w:val="24"/>
          <w:highlight w:val="none"/>
          <w:u w:val="single"/>
        </w:rPr>
        <w:t>9点</w:t>
      </w:r>
      <w:r>
        <w:rPr>
          <w:rFonts w:hint="eastAsia" w:ascii="宋体" w:hAnsi="宋体" w:eastAsia="宋体" w:cs="宋体"/>
          <w:bCs/>
          <w:color w:val="auto"/>
          <w:sz w:val="24"/>
          <w:szCs w:val="24"/>
          <w:highlight w:val="none"/>
          <w:u w:val="single"/>
          <w:lang w:val="en-US" w:eastAsia="zh-CN"/>
        </w:rPr>
        <w:t>2</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北京时间）前递交（上传）响应文件</w:t>
      </w:r>
      <w:r>
        <w:rPr>
          <w:rFonts w:hint="eastAsia" w:ascii="宋体" w:hAnsi="宋体" w:eastAsia="宋体" w:cs="宋体"/>
          <w:color w:val="auto"/>
          <w:sz w:val="24"/>
          <w:szCs w:val="24"/>
          <w:highlight w:val="none"/>
        </w:rPr>
        <w:t>。</w:t>
      </w:r>
      <w:bookmarkStart w:id="3" w:name="_Hlk24379207"/>
      <w:bookmarkStart w:id="4" w:name="_Toc35393790"/>
      <w:bookmarkStart w:id="5" w:name="_Toc28359079"/>
      <w:bookmarkStart w:id="6" w:name="_Toc35393621"/>
      <w:bookmarkStart w:id="7" w:name="_Toc28359002"/>
    </w:p>
    <w:p>
      <w:pPr>
        <w:pStyle w:val="191"/>
        <w:keepNext w:val="0"/>
        <w:keepLines w:val="0"/>
        <w:pageBreakBefore w:val="0"/>
        <w:widowControl w:val="0"/>
        <w:kinsoku/>
        <w:wordWrap/>
        <w:overflowPunct/>
        <w:topLinePunct w:val="0"/>
        <w:autoSpaceDE/>
        <w:autoSpaceDN/>
        <w:bidi w:val="0"/>
        <w:adjustRightInd/>
        <w:spacing w:after="120" w:line="312"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一、项目基本情况</w:t>
      </w:r>
      <w:bookmarkEnd w:id="3"/>
      <w:bookmarkEnd w:id="4"/>
      <w:bookmarkEnd w:id="5"/>
      <w:bookmarkEnd w:id="6"/>
      <w:bookmarkEnd w:id="7"/>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i w:val="0"/>
          <w:iCs w:val="0"/>
          <w:caps w:val="0"/>
          <w:color w:val="auto"/>
          <w:spacing w:val="0"/>
          <w:kern w:val="0"/>
          <w:sz w:val="24"/>
          <w:szCs w:val="24"/>
          <w:highlight w:val="none"/>
          <w:u w:val="none"/>
          <w:shd w:val="clear"/>
        </w:rPr>
      </w:pPr>
      <w:r>
        <w:rPr>
          <w:rFonts w:hint="eastAsia" w:ascii="宋体" w:hAnsi="宋体" w:eastAsia="宋体" w:cs="宋体"/>
          <w:b w:val="0"/>
          <w:bCs w:val="0"/>
          <w:color w:val="auto"/>
          <w:kern w:val="0"/>
          <w:sz w:val="24"/>
          <w:szCs w:val="24"/>
          <w:highlight w:val="none"/>
          <w:u w:val="none"/>
        </w:rPr>
        <w:t>项目编号：</w:t>
      </w:r>
      <w:r>
        <w:rPr>
          <w:rFonts w:hint="eastAsia" w:ascii="宋体" w:hAnsi="宋体" w:eastAsia="宋体" w:cs="宋体"/>
          <w:i w:val="0"/>
          <w:iCs w:val="0"/>
          <w:caps w:val="0"/>
          <w:color w:val="auto"/>
          <w:spacing w:val="0"/>
          <w:kern w:val="0"/>
          <w:sz w:val="24"/>
          <w:szCs w:val="24"/>
          <w:highlight w:val="none"/>
          <w:u w:val="none"/>
          <w:shd w:val="clear"/>
        </w:rPr>
        <w:t>GXZC2026-C3-001985-GXDY</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kern w:val="0"/>
          <w:sz w:val="24"/>
          <w:szCs w:val="24"/>
          <w:highlight w:val="none"/>
          <w:u w:val="none"/>
        </w:rPr>
        <w:t>项</w:t>
      </w:r>
      <w:r>
        <w:rPr>
          <w:rFonts w:hint="eastAsia" w:ascii="宋体" w:hAnsi="宋体" w:eastAsia="宋体" w:cs="宋体"/>
          <w:b w:val="0"/>
          <w:bCs w:val="0"/>
          <w:color w:val="auto"/>
          <w:sz w:val="24"/>
          <w:szCs w:val="24"/>
          <w:highlight w:val="none"/>
          <w:u w:val="none"/>
        </w:rPr>
        <w:t>目名称：</w:t>
      </w:r>
      <w:r>
        <w:rPr>
          <w:rFonts w:hint="eastAsia" w:ascii="宋体" w:hAnsi="宋体" w:cs="宋体"/>
          <w:b w:val="0"/>
          <w:bCs w:val="0"/>
          <w:color w:val="auto"/>
          <w:sz w:val="24"/>
          <w:szCs w:val="24"/>
          <w:highlight w:val="none"/>
          <w:u w:val="none"/>
          <w:lang w:eastAsia="zh-CN"/>
        </w:rPr>
        <w:t>广西壮族自治区脑科医院保安服务项目（重）</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预算金额（元）：</w:t>
      </w:r>
      <w:r>
        <w:rPr>
          <w:rFonts w:hint="eastAsia" w:ascii="宋体" w:hAnsi="宋体" w:cs="宋体"/>
          <w:b w:val="0"/>
          <w:bCs w:val="0"/>
          <w:color w:val="auto"/>
          <w:sz w:val="24"/>
          <w:szCs w:val="24"/>
          <w:highlight w:val="none"/>
          <w:lang w:val="en-US" w:eastAsia="zh-CN"/>
        </w:rPr>
        <w:t>160</w:t>
      </w:r>
      <w:r>
        <w:rPr>
          <w:rFonts w:hint="eastAsia" w:ascii="宋体" w:hAnsi="宋体" w:eastAsia="宋体" w:cs="宋体"/>
          <w:b w:val="0"/>
          <w:bCs w:val="0"/>
          <w:color w:val="auto"/>
          <w:sz w:val="24"/>
          <w:szCs w:val="24"/>
          <w:highlight w:val="none"/>
          <w:lang w:val="en-US" w:eastAsia="zh-CN"/>
        </w:rPr>
        <w:t>0000</w:t>
      </w:r>
      <w:r>
        <w:rPr>
          <w:rFonts w:hint="eastAsia" w:ascii="宋体" w:hAnsi="宋体" w:eastAsia="宋体" w:cs="宋体"/>
          <w:b w:val="0"/>
          <w:bCs w:val="0"/>
          <w:color w:val="auto"/>
          <w:sz w:val="24"/>
          <w:szCs w:val="24"/>
          <w:highlight w:val="none"/>
          <w:lang w:eastAsia="zh-CN"/>
        </w:rPr>
        <w:t>.00</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采购需求：</w:t>
      </w:r>
    </w:p>
    <w:p>
      <w:pPr>
        <w:keepNext w:val="0"/>
        <w:keepLines w:val="0"/>
        <w:pageBreakBefore w:val="0"/>
        <w:kinsoku/>
        <w:wordWrap/>
        <w:overflowPunct/>
        <w:topLinePunct w:val="0"/>
        <w:autoSpaceDE/>
        <w:autoSpaceDN/>
        <w:bidi w:val="0"/>
        <w:adjustRightInd/>
        <w:spacing w:line="312" w:lineRule="auto"/>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标项名称:</w:t>
      </w:r>
      <w:r>
        <w:rPr>
          <w:rFonts w:hint="eastAsia" w:ascii="宋体" w:hAnsi="宋体" w:cs="宋体"/>
          <w:color w:val="auto"/>
          <w:sz w:val="24"/>
          <w:szCs w:val="24"/>
          <w:highlight w:val="none"/>
          <w:u w:val="none"/>
          <w:lang w:eastAsia="zh-CN"/>
        </w:rPr>
        <w:t>广西壮族自治区脑科医院保安服务项目（重）</w:t>
      </w:r>
    </w:p>
    <w:p>
      <w:pPr>
        <w:keepNext w:val="0"/>
        <w:keepLines w:val="0"/>
        <w:pageBreakBefore w:val="0"/>
        <w:widowControl w:val="0"/>
        <w:kinsoku/>
        <w:wordWrap w:val="0"/>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数量:</w:t>
      </w:r>
      <w:r>
        <w:rPr>
          <w:rFonts w:hint="eastAsia" w:ascii="宋体" w:hAnsi="宋体" w:cs="宋体"/>
          <w:color w:val="auto"/>
          <w:sz w:val="24"/>
          <w:szCs w:val="24"/>
          <w:highlight w:val="none"/>
          <w:lang w:val="en-US" w:eastAsia="zh-CN"/>
        </w:rPr>
        <w:t>1</w:t>
      </w:r>
    </w:p>
    <w:p>
      <w:pPr>
        <w:keepNext w:val="0"/>
        <w:keepLines w:val="0"/>
        <w:pageBreakBefore w:val="0"/>
        <w:widowControl w:val="0"/>
        <w:kinsoku/>
        <w:wordWrap w:val="0"/>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预算金额（元）:</w:t>
      </w:r>
      <w:r>
        <w:rPr>
          <w:rFonts w:hint="eastAsia" w:ascii="宋体" w:hAnsi="宋体" w:cs="宋体"/>
          <w:color w:val="auto"/>
          <w:sz w:val="24"/>
          <w:szCs w:val="24"/>
          <w:highlight w:val="none"/>
          <w:lang w:val="en-US" w:eastAsia="zh-CN"/>
        </w:rPr>
        <w:t>160</w:t>
      </w:r>
      <w:r>
        <w:rPr>
          <w:rFonts w:hint="eastAsia" w:ascii="宋体" w:hAnsi="宋体" w:eastAsia="宋体" w:cs="宋体"/>
          <w:color w:val="auto"/>
          <w:sz w:val="24"/>
          <w:szCs w:val="24"/>
          <w:highlight w:val="none"/>
          <w:lang w:val="en-US" w:eastAsia="zh-CN"/>
        </w:rPr>
        <w:t>0000</w:t>
      </w:r>
      <w:r>
        <w:rPr>
          <w:rFonts w:hint="eastAsia" w:ascii="宋体" w:hAnsi="宋体" w:eastAsia="宋体" w:cs="宋体"/>
          <w:color w:val="auto"/>
          <w:sz w:val="24"/>
          <w:szCs w:val="24"/>
          <w:highlight w:val="none"/>
          <w:lang w:eastAsia="zh-CN"/>
        </w:rPr>
        <w:t>.00</w:t>
      </w:r>
    </w:p>
    <w:p>
      <w:pPr>
        <w:keepNext w:val="0"/>
        <w:keepLines w:val="0"/>
        <w:pageBreakBefore w:val="0"/>
        <w:widowControl w:val="0"/>
        <w:kinsoku/>
        <w:wordWrap w:val="0"/>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szCs w:val="24"/>
          <w:highlight w:val="none"/>
          <w:u w:val="single"/>
          <w:lang w:eastAsia="zh-CN"/>
        </w:rPr>
      </w:pPr>
      <w:r>
        <w:rPr>
          <w:rFonts w:hint="eastAsia" w:ascii="宋体" w:hAnsi="宋体" w:eastAsia="宋体" w:cs="宋体"/>
          <w:color w:val="auto"/>
          <w:sz w:val="24"/>
          <w:szCs w:val="24"/>
          <w:highlight w:val="none"/>
        </w:rPr>
        <w:t>简要规格描述或项目基本概况介绍、用途：</w:t>
      </w:r>
      <w:bookmarkStart w:id="8" w:name="OLE_LINK2"/>
      <w:r>
        <w:rPr>
          <w:rFonts w:hint="eastAsia" w:ascii="宋体" w:hAnsi="宋体" w:cs="宋体"/>
          <w:color w:val="auto"/>
          <w:sz w:val="24"/>
          <w:szCs w:val="24"/>
          <w:highlight w:val="none"/>
          <w:u w:val="none"/>
          <w:lang w:eastAsia="zh-CN"/>
        </w:rPr>
        <w:t>广西壮族自治区脑科医院保安服务项目（重）1项，具体内容详见采购文件。</w:t>
      </w:r>
      <w:bookmarkEnd w:id="8"/>
    </w:p>
    <w:p>
      <w:pPr>
        <w:pStyle w:val="18"/>
        <w:keepNext w:val="0"/>
        <w:keepLines w:val="0"/>
        <w:pageBreakBefore w:val="0"/>
        <w:widowControl w:val="0"/>
        <w:kinsoku/>
        <w:wordWrap w:val="0"/>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最高限价（元）：</w:t>
      </w:r>
      <w:r>
        <w:rPr>
          <w:rFonts w:hint="eastAsia" w:ascii="宋体" w:hAnsi="宋体" w:cs="宋体"/>
          <w:color w:val="auto"/>
          <w:kern w:val="2"/>
          <w:sz w:val="24"/>
          <w:szCs w:val="24"/>
          <w:highlight w:val="none"/>
          <w:lang w:val="en-US" w:eastAsia="zh-CN" w:bidi="ar-SA"/>
        </w:rPr>
        <w:t>160</w:t>
      </w:r>
      <w:r>
        <w:rPr>
          <w:rFonts w:hint="eastAsia" w:ascii="宋体" w:hAnsi="宋体" w:eastAsia="宋体" w:cs="宋体"/>
          <w:color w:val="auto"/>
          <w:kern w:val="2"/>
          <w:sz w:val="24"/>
          <w:szCs w:val="24"/>
          <w:highlight w:val="none"/>
          <w:lang w:val="en-US" w:eastAsia="zh-CN" w:bidi="ar-SA"/>
        </w:rPr>
        <w:t>00</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lang w:eastAsia="zh-CN"/>
        </w:rPr>
        <w:t>.00</w:t>
      </w:r>
    </w:p>
    <w:p>
      <w:pPr>
        <w:pStyle w:val="18"/>
        <w:keepNext w:val="0"/>
        <w:keepLines w:val="0"/>
        <w:pageBreakBefore w:val="0"/>
        <w:widowControl w:val="0"/>
        <w:kinsoku/>
        <w:wordWrap w:val="0"/>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合同履约期限：自合同签订之日起2年</w:t>
      </w:r>
    </w:p>
    <w:p>
      <w:pPr>
        <w:keepNext w:val="0"/>
        <w:keepLines w:val="0"/>
        <w:pageBreakBefore w:val="0"/>
        <w:widowControl w:val="0"/>
        <w:kinsoku/>
        <w:wordWrap w:val="0"/>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本项目（是/否）接受联合体：□是/☑否。</w:t>
      </w:r>
    </w:p>
    <w:p>
      <w:pPr>
        <w:keepNext w:val="0"/>
        <w:keepLines w:val="0"/>
        <w:pageBreakBefore w:val="0"/>
        <w:widowControl w:val="0"/>
        <w:kinsoku/>
        <w:wordWrap w:val="0"/>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备注：本项目为线上电子招标项目，有意向参与本项目的供应商应当做好参与全流程电子招投标交易的充分准备。</w:t>
      </w:r>
    </w:p>
    <w:p>
      <w:pPr>
        <w:keepNext w:val="0"/>
        <w:keepLines w:val="0"/>
        <w:pageBreakBefore w:val="0"/>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二、申请人的资格要求：</w:t>
      </w:r>
    </w:p>
    <w:p>
      <w:pPr>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pPr>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2.落实政府采购政策需满足的资格要求：</w:t>
      </w:r>
      <w:bookmarkStart w:id="9" w:name="OLE_LINK10"/>
      <w:r>
        <w:rPr>
          <w:rFonts w:hint="eastAsia" w:ascii="宋体" w:hAnsi="宋体" w:eastAsia="宋体" w:cs="宋体"/>
          <w:color w:val="auto"/>
          <w:sz w:val="24"/>
          <w:szCs w:val="24"/>
          <w:highlight w:val="none"/>
          <w:lang w:val="en-US" w:eastAsia="zh-CN"/>
        </w:rPr>
        <w:t>本项目专门面向中小企业采购，仅限中小企业（含小微企业）、监狱企业、残疾人福利性单位参与投标，大型企业不得参与投标。供应商须按要求提供《中小企业声明函》或对应视同小微企业的证明文件。</w:t>
      </w:r>
    </w:p>
    <w:p>
      <w:pPr>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3.本项目的特定资格要求：</w:t>
      </w:r>
    </w:p>
    <w:bookmarkEnd w:id="9"/>
    <w:p>
      <w:pPr>
        <w:keepNext w:val="0"/>
        <w:keepLines w:val="0"/>
        <w:pageBreakBefore w:val="0"/>
        <w:numPr>
          <w:ilvl w:val="0"/>
          <w:numId w:val="0"/>
        </w:numPr>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3.1</w:t>
      </w:r>
      <w:r>
        <w:rPr>
          <w:rFonts w:hint="eastAsia" w:ascii="宋体" w:hAnsi="宋体" w:eastAsia="宋体" w:cs="宋体"/>
          <w:color w:val="auto"/>
          <w:sz w:val="24"/>
          <w:szCs w:val="24"/>
          <w:highlight w:val="none"/>
          <w:lang w:val="en-US" w:eastAsia="zh-CN"/>
        </w:rPr>
        <w:t>资质要求：</w:t>
      </w:r>
      <w:bookmarkStart w:id="10" w:name="OLE_LINK8"/>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须具备行政主管部门颁发的有效</w:t>
      </w:r>
      <w:r>
        <w:rPr>
          <w:rFonts w:hint="eastAsia" w:ascii="宋体" w:hAnsi="宋体" w:cs="宋体"/>
          <w:color w:val="auto"/>
          <w:sz w:val="24"/>
          <w:szCs w:val="24"/>
          <w:highlight w:val="none"/>
          <w:lang w:val="en-US" w:eastAsia="zh-CN"/>
        </w:rPr>
        <w:t>的</w:t>
      </w:r>
      <w:r>
        <w:rPr>
          <w:rFonts w:hint="eastAsia" w:ascii="宋体" w:hAnsi="宋体" w:eastAsia="宋体" w:cs="宋体"/>
          <w:color w:val="auto"/>
          <w:sz w:val="24"/>
          <w:szCs w:val="24"/>
          <w:highlight w:val="none"/>
          <w:lang w:val="en-US" w:eastAsia="zh-CN"/>
        </w:rPr>
        <w:t>《保安服务许可证》。</w:t>
      </w:r>
    </w:p>
    <w:bookmarkEnd w:id="10"/>
    <w:p>
      <w:pPr>
        <w:keepNext w:val="0"/>
        <w:keepLines w:val="0"/>
        <w:pageBreakBefore w:val="0"/>
        <w:numPr>
          <w:ilvl w:val="0"/>
          <w:numId w:val="0"/>
        </w:numPr>
        <w:kinsoku/>
        <w:wordWrap/>
        <w:overflowPunct/>
        <w:topLinePunct w:val="0"/>
        <w:autoSpaceDE/>
        <w:autoSpaceDN/>
        <w:bidi w:val="0"/>
        <w:adjustRightInd/>
        <w:spacing w:line="312" w:lineRule="auto"/>
        <w:ind w:firstLine="480" w:firstLineChars="200"/>
        <w:textAlignment w:val="auto"/>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3.2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pPr>
        <w:keepNext w:val="0"/>
        <w:keepLines w:val="0"/>
        <w:pageBreakBefore w:val="0"/>
        <w:numPr>
          <w:ilvl w:val="0"/>
          <w:numId w:val="0"/>
        </w:numPr>
        <w:kinsoku/>
        <w:wordWrap/>
        <w:overflowPunct/>
        <w:topLinePunct w:val="0"/>
        <w:autoSpaceDE/>
        <w:autoSpaceDN/>
        <w:bidi w:val="0"/>
        <w:adjustRightInd/>
        <w:spacing w:line="312" w:lineRule="auto"/>
        <w:ind w:firstLine="480" w:firstLineChars="200"/>
        <w:textAlignment w:val="auto"/>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3.3未被列入失信被执行人、重大税收违法失信主体、政府采购严重违法失信行为记录名单。</w:t>
      </w:r>
    </w:p>
    <w:p>
      <w:pPr>
        <w:keepNext w:val="0"/>
        <w:keepLines w:val="0"/>
        <w:pageBreakBefore w:val="0"/>
        <w:numPr>
          <w:ilvl w:val="0"/>
          <w:numId w:val="0"/>
        </w:numPr>
        <w:kinsoku/>
        <w:wordWrap/>
        <w:overflowPunct/>
        <w:topLinePunct w:val="0"/>
        <w:autoSpaceDE/>
        <w:autoSpaceDN/>
        <w:bidi w:val="0"/>
        <w:adjustRightInd/>
        <w:spacing w:line="312" w:lineRule="auto"/>
        <w:ind w:firstLine="480" w:firstLineChars="200"/>
        <w:textAlignment w:val="auto"/>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3.4本项目不允许分包，不接受联合体投标。</w:t>
      </w:r>
    </w:p>
    <w:p>
      <w:pPr>
        <w:keepNext w:val="0"/>
        <w:keepLines w:val="0"/>
        <w:pageBreakBefore w:val="0"/>
        <w:numPr>
          <w:ilvl w:val="0"/>
          <w:numId w:val="0"/>
        </w:numPr>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b/>
          <w:color w:val="auto"/>
          <w:sz w:val="24"/>
          <w:szCs w:val="24"/>
          <w:highlight w:val="none"/>
          <w:lang w:val="en-US" w:eastAsia="zh-CN"/>
        </w:rPr>
      </w:pPr>
    </w:p>
    <w:p>
      <w:pPr>
        <w:keepNext w:val="0"/>
        <w:keepLines w:val="0"/>
        <w:pageBreakBefore w:val="0"/>
        <w:numPr>
          <w:ilvl w:val="0"/>
          <w:numId w:val="0"/>
        </w:numPr>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、获取采购文件</w:t>
      </w:r>
    </w:p>
    <w:p>
      <w:pPr>
        <w:keepNext w:val="0"/>
        <w:keepLines w:val="0"/>
        <w:pageBreakBefore w:val="0"/>
        <w:kinsoku/>
        <w:wordWrap/>
        <w:overflowPunct/>
        <w:topLinePunct w:val="0"/>
        <w:autoSpaceDE/>
        <w:autoSpaceDN/>
        <w:bidi w:val="0"/>
        <w:adjustRightInd/>
        <w:spacing w:line="312"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cs="宋体"/>
          <w:color w:val="auto"/>
          <w:sz w:val="24"/>
          <w:szCs w:val="24"/>
          <w:highlight w:val="none"/>
          <w:lang w:val="en-US" w:eastAsia="zh-CN"/>
        </w:rPr>
        <w:t>06</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23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lang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cs="宋体"/>
          <w:color w:val="auto"/>
          <w:sz w:val="24"/>
          <w:szCs w:val="24"/>
          <w:highlight w:val="none"/>
          <w:lang w:val="en-US" w:eastAsia="zh-CN"/>
        </w:rPr>
        <w:t>06</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，每天上午0</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:00至12:00，下午12:00至</w:t>
      </w:r>
      <w:r>
        <w:rPr>
          <w:rFonts w:hint="eastAsia" w:ascii="宋体" w:hAnsi="宋体" w:cs="宋体"/>
          <w:color w:val="auto"/>
          <w:sz w:val="24"/>
          <w:szCs w:val="24"/>
          <w:highlight w:val="none"/>
          <w:lang w:val="en-US" w:eastAsia="zh-CN"/>
        </w:rPr>
        <w:t>23</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59</w:t>
      </w:r>
      <w:r>
        <w:rPr>
          <w:rFonts w:hint="eastAsia" w:ascii="宋体" w:hAnsi="宋体" w:eastAsia="宋体" w:cs="宋体"/>
          <w:color w:val="auto"/>
          <w:sz w:val="24"/>
          <w:szCs w:val="24"/>
          <w:highlight w:val="none"/>
        </w:rPr>
        <w:t>（北京时间，法定节假日除外）。</w:t>
      </w:r>
    </w:p>
    <w:p>
      <w:pPr>
        <w:keepNext w:val="0"/>
        <w:keepLines w:val="0"/>
        <w:pageBreakBefore w:val="0"/>
        <w:kinsoku/>
        <w:wordWrap/>
        <w:overflowPunct/>
        <w:topLinePunct w:val="0"/>
        <w:autoSpaceDE/>
        <w:autoSpaceDN/>
        <w:bidi w:val="0"/>
        <w:adjustRightInd/>
        <w:spacing w:line="312"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bookmarkStart w:id="11" w:name="OLE_LINK7"/>
      <w:bookmarkStart w:id="12" w:name="OLE_LINK25"/>
      <w:r>
        <w:rPr>
          <w:rFonts w:hint="eastAsia" w:ascii="宋体" w:hAnsi="宋体" w:eastAsia="宋体" w:cs="宋体"/>
          <w:color w:val="auto"/>
          <w:sz w:val="24"/>
          <w:szCs w:val="24"/>
          <w:highlight w:val="none"/>
        </w:rPr>
        <w:t>广西政府采购云平台（https://www.gcy.zfcg.gxzf.gov.cn/）</w:t>
      </w:r>
      <w:bookmarkEnd w:id="11"/>
      <w:r>
        <w:rPr>
          <w:rFonts w:hint="eastAsia" w:ascii="宋体" w:hAnsi="宋体" w:eastAsia="宋体" w:cs="宋体"/>
          <w:color w:val="auto"/>
          <w:sz w:val="24"/>
          <w:szCs w:val="24"/>
          <w:highlight w:val="none"/>
        </w:rPr>
        <w:t>。</w:t>
      </w:r>
      <w:bookmarkEnd w:id="12"/>
    </w:p>
    <w:p>
      <w:pPr>
        <w:keepNext w:val="0"/>
        <w:keepLines w:val="0"/>
        <w:pageBreakBefore w:val="0"/>
        <w:kinsoku/>
        <w:wordWrap/>
        <w:overflowPunct/>
        <w:topLinePunct w:val="0"/>
        <w:autoSpaceDE/>
        <w:autoSpaceDN/>
        <w:bidi w:val="0"/>
        <w:adjustRightInd/>
        <w:spacing w:line="312"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w:t>
      </w:r>
      <w:bookmarkStart w:id="13" w:name="OLE_LINK6"/>
      <w:r>
        <w:rPr>
          <w:rFonts w:hint="eastAsia" w:ascii="宋体" w:hAnsi="宋体" w:eastAsia="宋体" w:cs="宋体"/>
          <w:color w:val="auto"/>
          <w:sz w:val="24"/>
          <w:szCs w:val="24"/>
          <w:highlight w:val="none"/>
        </w:rPr>
        <w:t>网上下载。本项目为全流程电子化项目，不发放纸质文件，供应商可自行在“广西政府采购云平台”（https://www.gcy.zfcg.gxzf.gov.cn/）下载采购文件，实名申请获取磋商采购文件，如在操作过程中遇到问题或者需要技术支持，请致电广西政府采购云平台客服热线：95763。供应商</w:t>
      </w:r>
      <w:r>
        <w:rPr>
          <w:rFonts w:hint="eastAsia" w:ascii="宋体" w:hAnsi="宋体" w:eastAsia="宋体" w:cs="宋体"/>
          <w:color w:val="auto"/>
          <w:sz w:val="24"/>
          <w:szCs w:val="24"/>
          <w:highlight w:val="none"/>
          <w:lang w:eastAsia="zh-CN"/>
        </w:rPr>
        <w:t>登录</w:t>
      </w:r>
      <w:r>
        <w:rPr>
          <w:rFonts w:hint="eastAsia" w:ascii="宋体" w:hAnsi="宋体" w:eastAsia="宋体" w:cs="宋体"/>
          <w:color w:val="auto"/>
          <w:sz w:val="24"/>
          <w:szCs w:val="24"/>
          <w:highlight w:val="none"/>
        </w:rPr>
        <w:t>“广西政府采购云平台”平台，应进行“申请获取采购文件”操作，否则，有可能导致无法在线编制响应文件并参与竞标，其不利后果由供应商自行承担。</w:t>
      </w:r>
      <w:bookmarkEnd w:id="13"/>
    </w:p>
    <w:p>
      <w:pPr>
        <w:keepNext w:val="0"/>
        <w:keepLines w:val="0"/>
        <w:pageBreakBefore w:val="0"/>
        <w:kinsoku/>
        <w:wordWrap/>
        <w:overflowPunct/>
        <w:topLinePunct w:val="0"/>
        <w:autoSpaceDE/>
        <w:autoSpaceDN/>
        <w:bidi w:val="0"/>
        <w:adjustRightInd/>
        <w:spacing w:line="312"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售价（元）：0</w:t>
      </w:r>
    </w:p>
    <w:p>
      <w:pPr>
        <w:keepNext w:val="0"/>
        <w:keepLines w:val="0"/>
        <w:pageBreakBefore w:val="0"/>
        <w:kinsoku/>
        <w:wordWrap/>
        <w:overflowPunct/>
        <w:topLinePunct w:val="0"/>
        <w:autoSpaceDE/>
        <w:autoSpaceDN/>
        <w:bidi w:val="0"/>
        <w:adjustRightInd/>
        <w:spacing w:line="312" w:lineRule="auto"/>
        <w:ind w:firstLine="48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autoSpaceDE/>
        <w:autoSpaceDN/>
        <w:bidi w:val="0"/>
        <w:adjustRightInd/>
        <w:spacing w:line="312" w:lineRule="auto"/>
        <w:ind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四、</w:t>
      </w:r>
      <w:r>
        <w:rPr>
          <w:rFonts w:hint="eastAsia" w:ascii="宋体" w:hAnsi="宋体" w:eastAsia="宋体" w:cs="宋体"/>
          <w:b/>
          <w:color w:val="auto"/>
          <w:sz w:val="24"/>
          <w:szCs w:val="24"/>
          <w:highlight w:val="none"/>
          <w:lang w:eastAsia="zh-CN"/>
        </w:rPr>
        <w:t>响应文件提交</w:t>
      </w:r>
    </w:p>
    <w:p>
      <w:pPr>
        <w:keepNext w:val="0"/>
        <w:keepLines w:val="0"/>
        <w:pageBreakBefore w:val="0"/>
        <w:kinsoku/>
        <w:wordWrap/>
        <w:overflowPunct/>
        <w:topLinePunct w:val="0"/>
        <w:autoSpaceDE/>
        <w:autoSpaceDN/>
        <w:bidi w:val="0"/>
        <w:adjustRightInd/>
        <w:spacing w:line="312"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提交响应文件截止时间：</w:t>
      </w:r>
      <w:r>
        <w:rPr>
          <w:rFonts w:hint="eastAsia" w:ascii="宋体" w:hAnsi="宋体" w:eastAsia="宋体" w:cs="宋体"/>
          <w:color w:val="auto"/>
          <w:sz w:val="24"/>
          <w:szCs w:val="24"/>
          <w:highlight w:val="none"/>
          <w:lang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cs="宋体"/>
          <w:color w:val="auto"/>
          <w:sz w:val="24"/>
          <w:szCs w:val="24"/>
          <w:highlight w:val="none"/>
          <w:lang w:val="en-US" w:eastAsia="zh-CN"/>
        </w:rPr>
        <w:t>07</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03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 xml:space="preserve"> 09:</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0（北京时间）</w:t>
      </w:r>
    </w:p>
    <w:p>
      <w:pPr>
        <w:keepNext w:val="0"/>
        <w:keepLines w:val="0"/>
        <w:pageBreakBefore w:val="0"/>
        <w:kinsoku/>
        <w:wordWrap/>
        <w:overflowPunct/>
        <w:topLinePunct w:val="0"/>
        <w:autoSpaceDE/>
        <w:autoSpaceDN/>
        <w:bidi w:val="0"/>
        <w:adjustRightInd/>
        <w:spacing w:line="312"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投标地点（网址）：请登录广西政府采购云平台投标客户端投标。</w:t>
      </w:r>
    </w:p>
    <w:p>
      <w:pPr>
        <w:keepNext w:val="0"/>
        <w:keepLines w:val="0"/>
        <w:pageBreakBefore w:val="0"/>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五、</w:t>
      </w:r>
      <w:r>
        <w:rPr>
          <w:rFonts w:hint="eastAsia" w:ascii="宋体" w:hAnsi="宋体" w:eastAsia="宋体" w:cs="宋体"/>
          <w:b/>
          <w:color w:val="auto"/>
          <w:sz w:val="24"/>
          <w:szCs w:val="24"/>
          <w:highlight w:val="none"/>
          <w:lang w:eastAsia="zh-CN"/>
        </w:rPr>
        <w:t>响应文件开启</w:t>
      </w:r>
    </w:p>
    <w:p>
      <w:pPr>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07</w:t>
      </w:r>
      <w:r>
        <w:rPr>
          <w:rFonts w:hint="eastAsia" w:ascii="宋体" w:hAnsi="宋体" w:eastAsia="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03</w:t>
      </w:r>
      <w:r>
        <w:rPr>
          <w:rFonts w:hint="eastAsia" w:ascii="宋体" w:hAnsi="宋体" w:eastAsia="宋体" w:cs="宋体"/>
          <w:color w:val="auto"/>
          <w:sz w:val="24"/>
          <w:szCs w:val="24"/>
          <w:highlight w:val="none"/>
          <w:u w:val="single"/>
          <w:lang w:eastAsia="zh-CN"/>
        </w:rPr>
        <w:t>日</w:t>
      </w:r>
      <w:r>
        <w:rPr>
          <w:rFonts w:hint="eastAsia" w:ascii="宋体" w:hAnsi="宋体" w:eastAsia="宋体" w:cs="宋体"/>
          <w:color w:val="auto"/>
          <w:sz w:val="24"/>
          <w:szCs w:val="24"/>
          <w:highlight w:val="none"/>
          <w:u w:val="single"/>
        </w:rPr>
        <w:t>09点</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0分</w:t>
      </w:r>
      <w:r>
        <w:rPr>
          <w:rFonts w:hint="eastAsia" w:ascii="宋体" w:hAnsi="宋体" w:eastAsia="宋体" w:cs="宋体"/>
          <w:color w:val="auto"/>
          <w:sz w:val="24"/>
          <w:szCs w:val="24"/>
          <w:highlight w:val="none"/>
        </w:rPr>
        <w:t>（北京时间）开标后</w:t>
      </w:r>
    </w:p>
    <w:p>
      <w:pPr>
        <w:keepNext w:val="0"/>
        <w:keepLines w:val="0"/>
        <w:pageBreakBefore w:val="0"/>
        <w:kinsoku/>
        <w:wordWrap/>
        <w:overflowPunct/>
        <w:topLinePunct w:val="0"/>
        <w:autoSpaceDE/>
        <w:autoSpaceDN/>
        <w:bidi w:val="0"/>
        <w:adjustRightInd/>
        <w:spacing w:line="312"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地点：广西政府采购云平台（https://www.gcy.zfcg.gxzf.gov.cn/）。</w:t>
      </w:r>
    </w:p>
    <w:p>
      <w:pPr>
        <w:keepNext w:val="0"/>
        <w:keepLines w:val="0"/>
        <w:pageBreakBefore w:val="0"/>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
          <w:color w:val="auto"/>
          <w:sz w:val="24"/>
          <w:szCs w:val="24"/>
          <w:highlight w:val="none"/>
        </w:rPr>
        <w:t>六、公告期限</w:t>
      </w:r>
    </w:p>
    <w:p>
      <w:pPr>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个工作日。</w:t>
      </w:r>
    </w:p>
    <w:p>
      <w:pPr>
        <w:keepNext w:val="0"/>
        <w:keepLines w:val="0"/>
        <w:pageBreakBefore w:val="0"/>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七、其他补充事宜</w:t>
      </w:r>
    </w:p>
    <w:p>
      <w:pPr>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kern w:val="0"/>
          <w:sz w:val="24"/>
          <w:szCs w:val="24"/>
          <w:highlight w:val="none"/>
        </w:rPr>
        <w:t>.公告发布媒介：</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"http://www.ccgp.gov.cn/（中国政府采购网）、http:/zfcg.gxzf.gov.cn（广西壮族自治区政府采购网）" </w:instrText>
      </w:r>
      <w:r>
        <w:rPr>
          <w:rFonts w:hint="eastAsia" w:ascii="宋体" w:hAnsi="宋体" w:eastAsia="宋体" w:cs="宋体"/>
          <w:color w:val="auto"/>
          <w:sz w:val="24"/>
          <w:szCs w:val="24"/>
          <w:highlight w:val="none"/>
        </w:rPr>
        <w:fldChar w:fldCharType="separate"/>
      </w:r>
      <w:r>
        <w:rPr>
          <w:rStyle w:val="51"/>
          <w:rFonts w:hint="eastAsia" w:ascii="宋体" w:hAnsi="宋体" w:eastAsia="宋体" w:cs="宋体"/>
          <w:color w:val="auto"/>
          <w:sz w:val="24"/>
          <w:szCs w:val="24"/>
          <w:highlight w:val="none"/>
        </w:rPr>
        <w:t>http://www.ccgp.gov.cn/（中国政府采购网）、http://zfcg.gxzf.gov.cn（广西壮族自治区政府采购网）</w:t>
      </w:r>
      <w:r>
        <w:rPr>
          <w:rStyle w:val="51"/>
          <w:rFonts w:hint="eastAsia" w:ascii="宋体" w:hAnsi="宋体" w:eastAsia="宋体" w:cs="宋体"/>
          <w:color w:val="auto"/>
          <w:sz w:val="24"/>
          <w:szCs w:val="24"/>
          <w:highlight w:val="none"/>
        </w:rPr>
        <w:fldChar w:fldCharType="end"/>
      </w:r>
    </w:p>
    <w:p>
      <w:pPr>
        <w:pStyle w:val="27"/>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2.需落实的政府采购政策：本项目适用政府采购促进中小企业、监狱企业发展、促进残疾人就业、节能环保等有关政策，具体详见采购文件。</w:t>
      </w:r>
    </w:p>
    <w:p>
      <w:pPr>
        <w:pStyle w:val="27"/>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eastAsia="zh-CN"/>
        </w:rPr>
        <w:t>供应商</w:t>
      </w:r>
      <w:r>
        <w:rPr>
          <w:rFonts w:hint="eastAsia" w:ascii="宋体" w:hAnsi="宋体" w:eastAsia="宋体" w:cs="宋体"/>
          <w:color w:val="auto"/>
          <w:sz w:val="24"/>
          <w:szCs w:val="24"/>
          <w:highlight w:val="none"/>
        </w:rPr>
        <w:t>投标注意事项：</w:t>
      </w:r>
    </w:p>
    <w:p>
      <w:pPr>
        <w:pStyle w:val="18"/>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（1）本项目为全流程电子化采购项目，通过广西政府采购云平台（https://www.gcy.zfcg.gxzf.gov.cn/）实行在线电子投标，</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应先安装“广西政府采购云投标客户端”（请自行前往广西政府采购云平台进行下载），并按照本项目招标文件和广西政府采购云平台的要求编制、加密后在投标截止时间前通过网络上传至广西政府采购云平台（加密的电子投标文件是指后缀名为“jmbs”的文件），</w:t>
      </w:r>
      <w:r>
        <w:rPr>
          <w:rFonts w:hint="eastAsia" w:ascii="宋体" w:hAnsi="宋体" w:cs="宋体"/>
          <w:b/>
          <w:bCs/>
          <w:color w:val="auto"/>
          <w:sz w:val="24"/>
          <w:szCs w:val="24"/>
          <w:highlight w:val="none"/>
          <w:lang w:eastAsia="zh-CN"/>
        </w:rPr>
        <w:t>供应商</w:t>
      </w:r>
      <w:r>
        <w:rPr>
          <w:rFonts w:hint="eastAsia" w:ascii="宋体" w:hAnsi="宋体" w:eastAsia="宋体" w:cs="宋体"/>
          <w:b/>
          <w:bCs/>
          <w:color w:val="auto"/>
          <w:sz w:val="24"/>
          <w:szCs w:val="24"/>
          <w:highlight w:val="none"/>
          <w:lang w:eastAsia="zh-CN"/>
        </w:rPr>
        <w:t>在广西政府采购云平台提交电子投标文件时，请填写参加远程开标活动经办人联系方式</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登录广西政府采购云平台，依次进入“服务中心－项目采购－操作流程－电子招投标－政府采购项目电子交易管理操作指南－供应商”查看电子投标具体操作流程。</w:t>
      </w:r>
    </w:p>
    <w:p>
      <w:pPr>
        <w:pStyle w:val="18"/>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（2）未进行网上注册并办理数字证书（CA认证）的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将无法参与本项目政府采购活动，</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应当在投标截止时间前，完成电子交易平台上的CA数字证书办理及投标文件的提交（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95763）。</w:t>
      </w:r>
    </w:p>
    <w:p>
      <w:pPr>
        <w:pStyle w:val="18"/>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（3）CA证书在线解密：</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投标时，需凭制作投标文件时用来加密的有效数字证书（CA认证）登录广西政府采购云平台电子开标大厅现场按规定时间对加密的投标文件进行解密，否则后果自负。</w:t>
      </w:r>
    </w:p>
    <w:p>
      <w:pPr>
        <w:pStyle w:val="18"/>
        <w:keepNext w:val="0"/>
        <w:keepLines w:val="0"/>
        <w:pageBreakBefore w:val="0"/>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注：1）为确保网上操作合法、有效和安全，请</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确保在电子投标过程中能够对相关数据电文进行加密和使用电子签章，妥善保管CA数字证书并使用有效的CA数字证书参与整个招标活动。2）</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pPr>
        <w:pStyle w:val="18"/>
        <w:keepNext w:val="0"/>
        <w:keepLines w:val="0"/>
        <w:pageBreakBefore w:val="0"/>
        <w:numPr>
          <w:ilvl w:val="0"/>
          <w:numId w:val="2"/>
        </w:numPr>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电子标项目不要求参与投标的</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到达现场，但</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应派法定代表人或委托代理人准时在线出席电子开评标会议，随时关注开评标进度，如在开评标过程中有电子询标，应在规定的时间内对电子询标函进行澄清回复。</w:t>
      </w:r>
    </w:p>
    <w:p>
      <w:pPr>
        <w:pStyle w:val="18"/>
        <w:keepNext w:val="0"/>
        <w:keepLines w:val="0"/>
        <w:pageBreakBefore w:val="0"/>
        <w:numPr>
          <w:ilvl w:val="0"/>
          <w:numId w:val="2"/>
        </w:numPr>
        <w:kinsoku/>
        <w:wordWrap/>
        <w:overflowPunct/>
        <w:topLinePunct w:val="0"/>
        <w:autoSpaceDE/>
        <w:autoSpaceDN/>
        <w:bidi w:val="0"/>
        <w:adjustRightInd/>
        <w:spacing w:line="312"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rPr>
        <w:t>政府采购行政监管及投诉受理部门：广西壮族自治区财政厅政府采购监督管理处，联系电话：0771-5331544。</w:t>
      </w:r>
    </w:p>
    <w:p>
      <w:pPr>
        <w:keepNext w:val="0"/>
        <w:keepLines w:val="0"/>
        <w:pageBreakBefore w:val="0"/>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autoSpaceDE/>
        <w:autoSpaceDN/>
        <w:bidi w:val="0"/>
        <w:adjustRightInd/>
        <w:spacing w:line="312" w:lineRule="auto"/>
        <w:ind w:firstLine="482"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b/>
          <w:color w:val="auto"/>
          <w:sz w:val="24"/>
          <w:szCs w:val="24"/>
          <w:highlight w:val="none"/>
        </w:rPr>
        <w:t>八、对本次招标提出询问，请按以下方式联系。</w:t>
      </w:r>
    </w:p>
    <w:p>
      <w:pPr>
        <w:keepNext w:val="0"/>
        <w:keepLines w:val="0"/>
        <w:pageBreakBefore w:val="0"/>
        <w:widowControl/>
        <w:kinsoku/>
        <w:wordWrap/>
        <w:overflowPunct/>
        <w:topLinePunct w:val="0"/>
        <w:autoSpaceDE/>
        <w:autoSpaceDN/>
        <w:bidi w:val="0"/>
        <w:adjustRightInd/>
        <w:spacing w:line="312" w:lineRule="auto"/>
        <w:ind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pPr>
        <w:keepNext w:val="0"/>
        <w:keepLines w:val="0"/>
        <w:pageBreakBefore w:val="0"/>
        <w:widowControl/>
        <w:kinsoku/>
        <w:wordWrap/>
        <w:overflowPunct/>
        <w:topLinePunct w:val="0"/>
        <w:autoSpaceDE/>
        <w:autoSpaceDN/>
        <w:bidi w:val="0"/>
        <w:adjustRightInd/>
        <w:spacing w:line="312" w:lineRule="auto"/>
        <w:ind w:firstLine="482"/>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名 称：</w:t>
      </w:r>
      <w:r>
        <w:rPr>
          <w:rFonts w:hint="eastAsia" w:ascii="宋体" w:hAnsi="宋体" w:eastAsia="宋体" w:cs="宋体"/>
          <w:color w:val="auto"/>
          <w:sz w:val="24"/>
          <w:szCs w:val="24"/>
          <w:highlight w:val="none"/>
          <w:u w:val="none"/>
          <w:lang w:val="en-US" w:eastAsia="zh-CN"/>
        </w:rPr>
        <w:t>广西壮族自治区脑科医院</w:t>
      </w:r>
    </w:p>
    <w:p>
      <w:pPr>
        <w:keepNext w:val="0"/>
        <w:keepLines w:val="0"/>
        <w:pageBreakBefore w:val="0"/>
        <w:widowControl/>
        <w:kinsoku/>
        <w:wordWrap/>
        <w:overflowPunct/>
        <w:topLinePunct w:val="0"/>
        <w:autoSpaceDE/>
        <w:autoSpaceDN/>
        <w:bidi w:val="0"/>
        <w:adjustRightInd/>
        <w:spacing w:line="312" w:lineRule="auto"/>
        <w:ind w:firstLine="482"/>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地 址：</w:t>
      </w:r>
      <w:r>
        <w:rPr>
          <w:rFonts w:hint="eastAsia" w:ascii="宋体" w:hAnsi="宋体" w:eastAsia="宋体" w:cs="宋体"/>
          <w:color w:val="auto"/>
          <w:sz w:val="24"/>
          <w:szCs w:val="24"/>
          <w:highlight w:val="none"/>
          <w:u w:val="none"/>
          <w:lang w:val="en-US" w:eastAsia="zh-CN"/>
        </w:rPr>
        <w:t>柳州市鱼峰区鸡喇路1号</w:t>
      </w:r>
    </w:p>
    <w:p>
      <w:pPr>
        <w:keepNext w:val="0"/>
        <w:keepLines w:val="0"/>
        <w:pageBreakBefore w:val="0"/>
        <w:widowControl/>
        <w:kinsoku/>
        <w:wordWrap/>
        <w:overflowPunct/>
        <w:topLinePunct w:val="0"/>
        <w:autoSpaceDE/>
        <w:autoSpaceDN/>
        <w:bidi w:val="0"/>
        <w:adjustRightInd/>
        <w:spacing w:line="312" w:lineRule="auto"/>
        <w:ind w:firstLine="482"/>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项目联系人：</w:t>
      </w:r>
      <w:r>
        <w:rPr>
          <w:rFonts w:hint="eastAsia" w:ascii="宋体" w:hAnsi="宋体" w:eastAsia="宋体" w:cs="宋体"/>
          <w:color w:val="auto"/>
          <w:sz w:val="24"/>
          <w:szCs w:val="24"/>
          <w:highlight w:val="none"/>
          <w:u w:val="none"/>
          <w:lang w:val="en-US" w:eastAsia="zh-CN"/>
        </w:rPr>
        <w:t xml:space="preserve">朱红姣  </w:t>
      </w:r>
    </w:p>
    <w:p>
      <w:pPr>
        <w:keepNext w:val="0"/>
        <w:keepLines w:val="0"/>
        <w:pageBreakBefore w:val="0"/>
        <w:widowControl/>
        <w:kinsoku/>
        <w:wordWrap/>
        <w:overflowPunct/>
        <w:topLinePunct w:val="0"/>
        <w:autoSpaceDE/>
        <w:autoSpaceDN/>
        <w:bidi w:val="0"/>
        <w:adjustRightInd/>
        <w:spacing w:line="312" w:lineRule="auto"/>
        <w:ind w:firstLine="482"/>
        <w:jc w:val="lef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项目联系方式：</w:t>
      </w:r>
      <w:bookmarkStart w:id="14" w:name="OLE_LINK3"/>
      <w:r>
        <w:rPr>
          <w:rFonts w:hint="eastAsia" w:ascii="宋体" w:hAnsi="宋体" w:eastAsia="宋体" w:cs="宋体"/>
          <w:color w:val="auto"/>
          <w:sz w:val="24"/>
          <w:szCs w:val="24"/>
          <w:highlight w:val="none"/>
          <w:u w:val="none"/>
          <w:lang w:val="en-US" w:eastAsia="zh-CN"/>
        </w:rPr>
        <w:t>0772-3129073</w:t>
      </w:r>
    </w:p>
    <w:bookmarkEnd w:id="14"/>
    <w:p>
      <w:pPr>
        <w:keepNext w:val="0"/>
        <w:keepLines w:val="0"/>
        <w:pageBreakBefore w:val="0"/>
        <w:widowControl/>
        <w:kinsoku/>
        <w:wordWrap/>
        <w:overflowPunct/>
        <w:topLinePunct w:val="0"/>
        <w:autoSpaceDE/>
        <w:autoSpaceDN/>
        <w:bidi w:val="0"/>
        <w:adjustRightInd/>
        <w:spacing w:line="312" w:lineRule="auto"/>
        <w:ind w:firstLine="482"/>
        <w:jc w:val="lef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2.采购代理机构信息</w:t>
      </w:r>
    </w:p>
    <w:p>
      <w:pPr>
        <w:keepNext w:val="0"/>
        <w:keepLines w:val="0"/>
        <w:pageBreakBefore w:val="0"/>
        <w:widowControl/>
        <w:kinsoku/>
        <w:wordWrap/>
        <w:overflowPunct/>
        <w:topLinePunct w:val="0"/>
        <w:autoSpaceDE/>
        <w:autoSpaceDN/>
        <w:bidi w:val="0"/>
        <w:adjustRightInd/>
        <w:spacing w:line="312" w:lineRule="auto"/>
        <w:ind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称：广西德元工程项目管理有限责任公司 </w:t>
      </w:r>
    </w:p>
    <w:p>
      <w:pPr>
        <w:keepNext w:val="0"/>
        <w:keepLines w:val="0"/>
        <w:pageBreakBefore w:val="0"/>
        <w:widowControl/>
        <w:kinsoku/>
        <w:wordWrap/>
        <w:overflowPunct/>
        <w:topLinePunct w:val="0"/>
        <w:autoSpaceDE/>
        <w:autoSpaceDN/>
        <w:bidi w:val="0"/>
        <w:adjustRightInd/>
        <w:spacing w:line="312" w:lineRule="auto"/>
        <w:ind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址：柳州市跃进路19号天元金都1-4</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3室 </w:t>
      </w:r>
    </w:p>
    <w:p>
      <w:pPr>
        <w:keepNext w:val="0"/>
        <w:keepLines w:val="0"/>
        <w:pageBreakBefore w:val="0"/>
        <w:widowControl/>
        <w:kinsoku/>
        <w:wordWrap/>
        <w:overflowPunct/>
        <w:topLinePunct w:val="0"/>
        <w:autoSpaceDE/>
        <w:autoSpaceDN/>
        <w:bidi w:val="0"/>
        <w:adjustRightInd/>
        <w:spacing w:line="312" w:lineRule="auto"/>
        <w:ind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u w:val="none"/>
          <w:lang w:val="en-US" w:eastAsia="zh-CN"/>
        </w:rPr>
        <w:t>杨倩</w:t>
      </w:r>
      <w:r>
        <w:rPr>
          <w:rFonts w:hint="eastAsia" w:ascii="宋体" w:hAnsi="宋体" w:eastAsia="宋体" w:cs="宋体"/>
          <w:color w:val="auto"/>
          <w:sz w:val="24"/>
          <w:szCs w:val="24"/>
          <w:highlight w:val="none"/>
        </w:rPr>
        <w:t> </w:t>
      </w:r>
    </w:p>
    <w:p>
      <w:pPr>
        <w:keepNext w:val="0"/>
        <w:keepLines w:val="0"/>
        <w:pageBreakBefore w:val="0"/>
        <w:widowControl/>
        <w:kinsoku/>
        <w:wordWrap/>
        <w:overflowPunct/>
        <w:topLinePunct w:val="0"/>
        <w:autoSpaceDE/>
        <w:autoSpaceDN/>
        <w:bidi w:val="0"/>
        <w:adjustRightInd/>
        <w:spacing w:line="312" w:lineRule="auto"/>
        <w:ind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项目联系方式：0772-2</w:t>
      </w:r>
      <w:r>
        <w:rPr>
          <w:rFonts w:hint="eastAsia" w:ascii="宋体" w:hAnsi="宋体" w:eastAsia="宋体" w:cs="宋体"/>
          <w:color w:val="auto"/>
          <w:sz w:val="24"/>
          <w:szCs w:val="24"/>
          <w:highlight w:val="none"/>
          <w:lang w:val="en-US" w:eastAsia="zh-CN"/>
        </w:rPr>
        <w:t>203338</w:t>
      </w:r>
      <w:r>
        <w:rPr>
          <w:rFonts w:hint="eastAsia" w:ascii="宋体" w:hAnsi="宋体" w:eastAsia="宋体" w:cs="宋体"/>
          <w:color w:val="auto"/>
          <w:sz w:val="24"/>
          <w:szCs w:val="24"/>
          <w:highlight w:val="none"/>
        </w:rPr>
        <w:t> </w:t>
      </w:r>
    </w:p>
    <w:p>
      <w:pPr>
        <w:rPr>
          <w:rFonts w:hint="eastAsia" w:ascii="宋体" w:hAnsi="宋体" w:cs="宋体"/>
          <w:color w:val="auto"/>
          <w:sz w:val="32"/>
          <w:szCs w:val="32"/>
          <w:highlight w:val="none"/>
        </w:rPr>
      </w:pPr>
      <w:bookmarkStart w:id="15" w:name="_Toc88747292"/>
    </w:p>
    <w:p>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pPr>
        <w:pStyle w:val="4"/>
        <w:numPr>
          <w:ilvl w:val="0"/>
          <w:numId w:val="0"/>
        </w:numPr>
        <w:spacing w:line="420" w:lineRule="exact"/>
        <w:jc w:val="center"/>
        <w:rPr>
          <w:rFonts w:hint="eastAsia" w:ascii="宋体" w:hAnsi="宋体" w:cs="宋体"/>
          <w:color w:val="auto"/>
          <w:sz w:val="32"/>
          <w:szCs w:val="32"/>
          <w:highlight w:val="none"/>
        </w:rPr>
      </w:pPr>
      <w:bookmarkStart w:id="16" w:name="_Toc88747293"/>
      <w:r>
        <w:rPr>
          <w:rFonts w:hint="eastAsia" w:ascii="宋体" w:hAnsi="宋体" w:cs="宋体"/>
          <w:color w:val="auto"/>
          <w:sz w:val="32"/>
          <w:szCs w:val="32"/>
          <w:highlight w:val="none"/>
        </w:rPr>
        <w:t>第</w:t>
      </w:r>
      <w:r>
        <w:rPr>
          <w:rFonts w:hint="eastAsia" w:ascii="宋体" w:hAnsi="宋体" w:cs="宋体"/>
          <w:color w:val="auto"/>
          <w:sz w:val="32"/>
          <w:szCs w:val="32"/>
          <w:highlight w:val="none"/>
          <w:lang w:val="en-US" w:eastAsia="zh-CN"/>
        </w:rPr>
        <w:t>二</w:t>
      </w:r>
      <w:r>
        <w:rPr>
          <w:rFonts w:hint="eastAsia" w:ascii="宋体" w:hAnsi="宋体" w:cs="宋体"/>
          <w:color w:val="auto"/>
          <w:sz w:val="32"/>
          <w:szCs w:val="32"/>
          <w:highlight w:val="none"/>
        </w:rPr>
        <w:t>章 采购需求</w:t>
      </w:r>
      <w:bookmarkEnd w:id="16"/>
    </w:p>
    <w:p>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pPr>
        <w:spacing w:line="360" w:lineRule="auto"/>
        <w:ind w:firstLine="484" w:firstLineChars="202"/>
        <w:jc w:val="left"/>
        <w:rPr>
          <w:rFonts w:hint="eastAsia" w:ascii="宋体" w:hAnsi="宋体"/>
          <w:sz w:val="24"/>
          <w:highlight w:val="none"/>
        </w:rPr>
      </w:pPr>
      <w:r>
        <w:rPr>
          <w:rFonts w:hint="eastAsia" w:ascii="宋体" w:hAnsi="宋体"/>
          <w:sz w:val="24"/>
          <w:highlight w:val="none"/>
        </w:rPr>
        <w:t>1.为落实政府采购政策需满足的要求</w:t>
      </w:r>
    </w:p>
    <w:p>
      <w:pPr>
        <w:spacing w:line="360" w:lineRule="auto"/>
        <w:ind w:firstLine="484" w:firstLineChars="202"/>
        <w:jc w:val="left"/>
        <w:rPr>
          <w:rFonts w:ascii="宋体" w:hAnsi="宋体"/>
          <w:sz w:val="24"/>
          <w:highlight w:val="none"/>
        </w:rPr>
      </w:pPr>
      <w:r>
        <w:rPr>
          <w:rFonts w:hint="eastAsia" w:ascii="宋体" w:hAnsi="宋体"/>
          <w:sz w:val="24"/>
          <w:highlight w:val="none"/>
        </w:rPr>
        <w:t>（1）本招标文件所称中小企业必须符合《政府采购促进中小企业发展管理办法》（财库〔2020〕46号）的规定。</w:t>
      </w:r>
    </w:p>
    <w:p>
      <w:pPr>
        <w:spacing w:line="360" w:lineRule="auto"/>
        <w:ind w:firstLine="484" w:firstLineChars="202"/>
        <w:jc w:val="left"/>
        <w:rPr>
          <w:rFonts w:ascii="宋体" w:hAnsi="宋体" w:cs="宋体"/>
          <w:b/>
          <w:sz w:val="24"/>
          <w:highlight w:val="none"/>
        </w:rPr>
      </w:pPr>
      <w:r>
        <w:rPr>
          <w:rFonts w:hint="eastAsia" w:ascii="宋体" w:hAnsi="宋体"/>
          <w:sz w:val="24"/>
          <w:highlight w:val="none"/>
        </w:rPr>
        <w:t>2</w:t>
      </w:r>
      <w:r>
        <w:rPr>
          <w:rFonts w:hint="eastAsia" w:ascii="宋体" w:hAnsi="宋体" w:cs="宋体"/>
          <w:sz w:val="24"/>
          <w:highlight w:val="none"/>
        </w:rPr>
        <w:t>.“实质性要求”是指招标文件中已经指明不满足则投标无效的条款，或者不能负偏离的条款，或者采购需求中带“</w:t>
      </w:r>
      <w:bookmarkStart w:id="17" w:name="OLE_LINK1"/>
      <w:r>
        <w:rPr>
          <w:rFonts w:hint="eastAsia" w:ascii="宋体" w:hAnsi="宋体" w:cs="宋体"/>
          <w:sz w:val="24"/>
          <w:highlight w:val="none"/>
        </w:rPr>
        <w:t>▲</w:t>
      </w:r>
      <w:bookmarkEnd w:id="17"/>
      <w:r>
        <w:rPr>
          <w:rFonts w:hint="eastAsia" w:ascii="宋体" w:hAnsi="宋体" w:cs="宋体"/>
          <w:sz w:val="24"/>
          <w:highlight w:val="none"/>
        </w:rPr>
        <w:t>”的条款。</w:t>
      </w:r>
      <w:r>
        <w:rPr>
          <w:rFonts w:hint="eastAsia" w:ascii="宋体" w:hAnsi="宋体" w:cs="宋体"/>
          <w:b/>
          <w:sz w:val="24"/>
          <w:highlight w:val="none"/>
        </w:rPr>
        <w:t>本项目凡标注“▲”的条款或要求不响应或不满足的，投标文件即作无效投标处理。</w:t>
      </w:r>
    </w:p>
    <w:p>
      <w:pPr>
        <w:spacing w:line="360" w:lineRule="auto"/>
        <w:ind w:firstLine="484" w:firstLineChars="202"/>
        <w:jc w:val="left"/>
        <w:rPr>
          <w:rFonts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w:t>
      </w:r>
      <w:r>
        <w:rPr>
          <w:rFonts w:hint="eastAsia" w:ascii="宋体" w:hAnsi="宋体"/>
          <w:b/>
          <w:sz w:val="24"/>
          <w:highlight w:val="none"/>
          <w:u w:val="single"/>
        </w:rPr>
        <w:t>评标委员会认为</w:t>
      </w:r>
      <w:r>
        <w:rPr>
          <w:rFonts w:hint="eastAsia" w:ascii="宋体" w:hAnsi="宋体"/>
          <w:b/>
          <w:sz w:val="24"/>
          <w:highlight w:val="none"/>
          <w:u w:val="single"/>
          <w:lang w:eastAsia="zh-CN"/>
        </w:rPr>
        <w:t>供应商</w:t>
      </w:r>
      <w:r>
        <w:rPr>
          <w:rFonts w:hint="eastAsia" w:ascii="宋体" w:hAnsi="宋体"/>
          <w:b/>
          <w:sz w:val="24"/>
          <w:highlight w:val="none"/>
          <w:u w:val="single"/>
        </w:rPr>
        <w:t>的报价明显低于其他通过符合性审查</w:t>
      </w:r>
      <w:r>
        <w:rPr>
          <w:rFonts w:hint="eastAsia" w:ascii="宋体" w:hAnsi="宋体"/>
          <w:b/>
          <w:sz w:val="24"/>
          <w:highlight w:val="none"/>
          <w:u w:val="single"/>
          <w:lang w:eastAsia="zh-CN"/>
        </w:rPr>
        <w:t>供应商</w:t>
      </w:r>
      <w:r>
        <w:rPr>
          <w:rFonts w:hint="eastAsia" w:ascii="宋体" w:hAnsi="宋体"/>
          <w:b/>
          <w:sz w:val="24"/>
          <w:highlight w:val="none"/>
          <w:u w:val="single"/>
        </w:rPr>
        <w:t>的报价，有可能影响其服务或产品质量或者不能诚信履约的，应当要求其在评标现场合理的时间内提供书面说明，必要时提交相关证明材料；</w:t>
      </w:r>
      <w:r>
        <w:rPr>
          <w:rFonts w:hint="eastAsia" w:ascii="宋体" w:hAnsi="宋体"/>
          <w:b/>
          <w:sz w:val="24"/>
          <w:highlight w:val="none"/>
          <w:u w:val="single"/>
          <w:lang w:eastAsia="zh-CN"/>
        </w:rPr>
        <w:t>供应商</w:t>
      </w:r>
      <w:r>
        <w:rPr>
          <w:rFonts w:hint="eastAsia" w:ascii="宋体" w:hAnsi="宋体"/>
          <w:b/>
          <w:sz w:val="24"/>
          <w:highlight w:val="none"/>
          <w:u w:val="single"/>
        </w:rPr>
        <w:t>不能证明其报价合理性的，评标委员会应当将其作为无效投标处理</w:t>
      </w:r>
      <w:r>
        <w:rPr>
          <w:rFonts w:hint="eastAsia" w:ascii="宋体" w:hAnsi="宋体"/>
          <w:sz w:val="24"/>
          <w:highlight w:val="none"/>
        </w:rPr>
        <w:t>。</w:t>
      </w:r>
    </w:p>
    <w:p>
      <w:pPr>
        <w:spacing w:line="360" w:lineRule="auto"/>
        <w:ind w:firstLine="484" w:firstLineChars="202"/>
        <w:jc w:val="left"/>
        <w:rPr>
          <w:rFonts w:hint="eastAsia" w:ascii="宋体" w:hAnsi="宋体"/>
          <w:b/>
          <w:sz w:val="24"/>
          <w:highlight w:val="none"/>
          <w:u w:val="single"/>
        </w:rPr>
      </w:pPr>
      <w:r>
        <w:rPr>
          <w:rFonts w:hint="eastAsia" w:ascii="宋体" w:hAnsi="宋体"/>
          <w:sz w:val="24"/>
          <w:highlight w:val="none"/>
          <w:lang w:val="en-US" w:eastAsia="zh-CN"/>
        </w:rPr>
        <w:t>4</w:t>
      </w:r>
      <w:r>
        <w:rPr>
          <w:rFonts w:hint="eastAsia" w:ascii="宋体" w:hAnsi="宋体"/>
          <w:sz w:val="24"/>
          <w:highlight w:val="none"/>
        </w:rPr>
        <w:t>.</w:t>
      </w:r>
      <w:r>
        <w:rPr>
          <w:rFonts w:hint="eastAsia" w:ascii="宋体" w:hAnsi="宋体"/>
          <w:b/>
          <w:sz w:val="24"/>
          <w:highlight w:val="none"/>
          <w:u w:val="single"/>
        </w:rPr>
        <w:t>本项目采购需求表中如有要求提供文件材料或承诺书的，请在《技术要求偏离表》或《商务要求偏离表》中应答时，注明相关文件材料或承诺书放置的页码。</w:t>
      </w:r>
    </w:p>
    <w:p>
      <w:pPr>
        <w:spacing w:line="360" w:lineRule="auto"/>
        <w:ind w:firstLine="484" w:firstLineChars="202"/>
        <w:jc w:val="left"/>
        <w:rPr>
          <w:rFonts w:hint="eastAsia" w:ascii="宋体" w:hAnsi="宋体"/>
          <w:bCs/>
          <w:sz w:val="24"/>
          <w:highlight w:val="none"/>
          <w:u w:val="single"/>
        </w:rPr>
      </w:pPr>
      <w:r>
        <w:rPr>
          <w:rFonts w:hint="eastAsia" w:ascii="宋体" w:hAnsi="宋体"/>
          <w:bCs/>
          <w:sz w:val="24"/>
          <w:highlight w:val="none"/>
          <w:u w:val="single"/>
          <w:lang w:val="en-US" w:eastAsia="zh-CN"/>
        </w:rPr>
        <w:t>5</w:t>
      </w:r>
      <w:r>
        <w:rPr>
          <w:rFonts w:hint="eastAsia" w:ascii="宋体" w:hAnsi="宋体"/>
          <w:bCs/>
          <w:sz w:val="24"/>
          <w:highlight w:val="none"/>
          <w:u w:val="single"/>
        </w:rPr>
        <w:t>.本项目所属行业：租赁和商务服务业</w:t>
      </w:r>
    </w:p>
    <w:p>
      <w:pPr>
        <w:pStyle w:val="21"/>
        <w:ind w:firstLine="480" w:firstLineChars="200"/>
        <w:rPr>
          <w:rFonts w:hint="eastAsia" w:ascii="宋体" w:hAnsi="宋体" w:eastAsia="宋体" w:cs="Times New Roman"/>
          <w:bCs/>
          <w:kern w:val="2"/>
          <w:sz w:val="24"/>
          <w:szCs w:val="24"/>
          <w:highlight w:val="none"/>
          <w:u w:val="single"/>
          <w:lang w:val="en-US" w:eastAsia="zh-CN" w:bidi="ar-SA"/>
        </w:rPr>
      </w:pPr>
      <w:r>
        <w:rPr>
          <w:rFonts w:hint="eastAsia" w:ascii="宋体" w:hAnsi="宋体" w:eastAsia="宋体" w:cs="Times New Roman"/>
          <w:bCs/>
          <w:kern w:val="2"/>
          <w:sz w:val="24"/>
          <w:szCs w:val="24"/>
          <w:highlight w:val="none"/>
          <w:u w:val="single"/>
          <w:lang w:val="en-US" w:eastAsia="zh-CN" w:bidi="ar-SA"/>
        </w:rPr>
        <w:t>本项目为服务类项目，不设核心产品。</w:t>
      </w:r>
    </w:p>
    <w:p>
      <w:pPr>
        <w:pStyle w:val="2"/>
        <w:rPr>
          <w:rFonts w:hint="eastAsia"/>
          <w:highlight w:val="none"/>
        </w:rPr>
      </w:pPr>
    </w:p>
    <w:p>
      <w:pPr>
        <w:widowControl/>
        <w:spacing w:line="240" w:lineRule="auto"/>
        <w:ind w:firstLine="480"/>
        <w:jc w:val="left"/>
        <w:rPr>
          <w:rFonts w:hint="eastAsia" w:ascii="宋体" w:hAnsi="宋体" w:cs="宋体"/>
          <w:color w:val="auto"/>
          <w:kern w:val="32"/>
          <w:szCs w:val="21"/>
          <w:highlight w:val="none"/>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一、基本情况</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服务内容：</w:t>
      </w:r>
      <w:r>
        <w:rPr>
          <w:rFonts w:hint="eastAsia" w:ascii="宋体" w:hAnsi="宋体" w:cs="宋体"/>
          <w:color w:val="auto"/>
          <w:sz w:val="24"/>
          <w:szCs w:val="24"/>
          <w:highlight w:val="none"/>
          <w:lang w:eastAsia="zh-CN"/>
        </w:rPr>
        <w:t>广西壮族自治区脑科医院保安服务项目（重）</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服务地点：柳州市鱼峰区鸡喇路1号（广西壮族自治区脑科医院）。</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3.预算金额：160万元</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服务时间：自合同签订之日起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年。</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服务要求</w:t>
      </w:r>
    </w:p>
    <w:p>
      <w:pPr>
        <w:keepNext w:val="0"/>
        <w:keepLines w:val="0"/>
        <w:pageBreakBefore w:val="0"/>
        <w:widowControl w:val="0"/>
        <w:numPr>
          <w:ilvl w:val="0"/>
          <w:numId w:val="0"/>
        </w:numPr>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（一）医院</w:t>
      </w:r>
      <w:r>
        <w:rPr>
          <w:rFonts w:hint="eastAsia" w:ascii="宋体" w:hAnsi="宋体" w:eastAsia="宋体" w:cs="宋体"/>
          <w:b/>
          <w:bCs/>
          <w:color w:val="auto"/>
          <w:sz w:val="24"/>
          <w:szCs w:val="24"/>
          <w:highlight w:val="none"/>
        </w:rPr>
        <w:t>概况</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保安服务地点在柳州市鸡喇路1号广西壮族自治区脑科医院内。医院占地面积5万多平方米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建筑面积6万多平方米。建筑楼宇包括1号楼（急诊及行政办公）、2号楼（内科楼）、3号楼（外科楼）、5号楼（儿少心理科）、6号楼（教学楼）及7号楼（女精神科）、8号楼（男精神科），设置24小时执勤岗点</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个：</w:t>
      </w:r>
      <w:r>
        <w:rPr>
          <w:rFonts w:hint="eastAsia" w:ascii="宋体" w:hAnsi="宋体" w:eastAsia="宋体" w:cs="宋体"/>
          <w:color w:val="auto"/>
          <w:sz w:val="24"/>
          <w:szCs w:val="24"/>
          <w:highlight w:val="none"/>
          <w:lang w:val="en-US" w:eastAsia="zh-CN"/>
        </w:rPr>
        <w:t>警务室、消防控制室、巡逻岗、1号楼执勤岗、3号楼大厅执勤岗、5号楼执勤岗、7-8号楼执勤岗、大门岗（成交供应商自付薪金）、电动车保管处（成交供应商自付薪金），另设置4个白天执勤岗（7：00--19:00，院方可根据需要调整上班时间，如8:00--20:00）；2号楼大厅执勤岗、医院西南门岗（成交供应商自付薪金）、医院北门岗（成交供应商自付薪金）、车辆引导管理岗（成交供应商自付薪金），全面负责医院权属范围内的安全保卫服务。</w:t>
      </w:r>
    </w:p>
    <w:p>
      <w:pPr>
        <w:keepNext w:val="0"/>
        <w:keepLines w:val="0"/>
        <w:pageBreakBefore w:val="0"/>
        <w:widowControl w:val="0"/>
        <w:numPr>
          <w:ilvl w:val="0"/>
          <w:numId w:val="3"/>
        </w:numPr>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停车场概况：</w:t>
      </w:r>
    </w:p>
    <w:p>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医院地下停车场车位264个，地面露天停车位123个，共计车位</w:t>
      </w:r>
      <w:r>
        <w:rPr>
          <w:rFonts w:hint="eastAsia" w:ascii="宋体" w:hAnsi="宋体" w:eastAsia="宋体" w:cs="宋体"/>
          <w:color w:val="auto"/>
          <w:sz w:val="24"/>
          <w:szCs w:val="24"/>
          <w:highlight w:val="none"/>
          <w:lang w:val="en-US" w:eastAsia="zh-CN"/>
        </w:rPr>
        <w:t>387</w:t>
      </w:r>
      <w:r>
        <w:rPr>
          <w:rFonts w:hint="eastAsia" w:ascii="宋体" w:hAnsi="宋体" w:eastAsia="宋体" w:cs="宋体"/>
          <w:color w:val="auto"/>
          <w:sz w:val="24"/>
          <w:szCs w:val="24"/>
          <w:highlight w:val="none"/>
        </w:rPr>
        <w:t>个。成交供应商按照合同使用院方现有设备（承担维护保养和电费）</w:t>
      </w:r>
      <w:r>
        <w:rPr>
          <w:rFonts w:hint="eastAsia" w:ascii="宋体" w:hAnsi="宋体" w:eastAsia="宋体" w:cs="宋体"/>
          <w:color w:val="auto"/>
          <w:sz w:val="24"/>
          <w:szCs w:val="24"/>
          <w:highlight w:val="none"/>
          <w:lang w:eastAsia="zh-CN"/>
        </w:rPr>
        <w:t>及根据需要自行增加设备</w:t>
      </w:r>
      <w:r>
        <w:rPr>
          <w:rFonts w:hint="eastAsia" w:ascii="宋体" w:hAnsi="宋体" w:eastAsia="宋体" w:cs="宋体"/>
          <w:color w:val="auto"/>
          <w:sz w:val="24"/>
          <w:szCs w:val="24"/>
          <w:highlight w:val="none"/>
        </w:rPr>
        <w:t xml:space="preserve">，按要求派驻人员负责入院车辆引导、指挥停放、秩序维持和收费管理，车辆管理人员薪资自付，按柳州市物价局批复的价格收取停车费，自负盈亏。 </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服务内容</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广西壮族自治区脑科医院的治安防范、消防安全管理、消防控制室值班、交通管理、安全事件的处置、燥狂精神病人入院约束（防止精神病人出逃）、全院范围内的人员和设备设施的安全保卫服务。</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合同期2年，自 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年7月 21日至 202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年7月 20 日止。</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工作要求</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1、基本要求：</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（1）成交供应商</w:t>
      </w:r>
      <w:r>
        <w:rPr>
          <w:rFonts w:hint="eastAsia" w:ascii="宋体" w:hAnsi="宋体" w:eastAsia="宋体" w:cs="宋体"/>
          <w:color w:val="auto"/>
          <w:sz w:val="24"/>
          <w:szCs w:val="24"/>
          <w:highlight w:val="none"/>
          <w:lang w:eastAsia="zh-CN"/>
        </w:rPr>
        <w:t>需</w:t>
      </w:r>
      <w:r>
        <w:rPr>
          <w:rFonts w:hint="eastAsia" w:ascii="宋体" w:hAnsi="宋体" w:eastAsia="宋体" w:cs="宋体"/>
          <w:color w:val="auto"/>
          <w:sz w:val="24"/>
          <w:szCs w:val="24"/>
          <w:highlight w:val="none"/>
        </w:rPr>
        <w:t>具备行政主管部门颁发的有效《保安服务许可证》。</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（2）2号楼大厅执勤岗、医院西南门岗、医院北门岗每天、车辆引导管理岗7：00～19：00值守，其余岗位每天24小时值守。不得出现缺员少员、脱岗、离岗</w:t>
      </w:r>
      <w:r>
        <w:rPr>
          <w:rFonts w:hint="eastAsia" w:ascii="宋体" w:hAnsi="宋体" w:eastAsia="宋体" w:cs="宋体"/>
          <w:color w:val="auto"/>
          <w:sz w:val="24"/>
          <w:szCs w:val="24"/>
          <w:highlight w:val="none"/>
          <w:lang w:eastAsia="zh-CN"/>
        </w:rPr>
        <w:t>、睡岗等</w:t>
      </w:r>
      <w:r>
        <w:rPr>
          <w:rFonts w:hint="eastAsia" w:ascii="宋体" w:hAnsi="宋体" w:eastAsia="宋体" w:cs="宋体"/>
          <w:color w:val="auto"/>
          <w:sz w:val="24"/>
          <w:szCs w:val="24"/>
          <w:highlight w:val="none"/>
        </w:rPr>
        <w:t>现象。</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（3）成交供应商派驻的执勤人员须配备必要的工作用具。如保安人员配备对讲机、手提强光照明、警棍等必备的自卫械具和专业用具。详见下表：</w:t>
      </w:r>
    </w:p>
    <w:tbl>
      <w:tblPr>
        <w:tblStyle w:val="44"/>
        <w:tblW w:w="0" w:type="auto"/>
        <w:tblInd w:w="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992"/>
        <w:gridCol w:w="2295"/>
        <w:gridCol w:w="1118"/>
        <w:gridCol w:w="2673"/>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1" w:hRule="atLeast"/>
        </w:trPr>
        <w:tc>
          <w:tcPr>
            <w:tcW w:w="992" w:type="dxa"/>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295" w:type="dxa"/>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1118" w:type="dxa"/>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2673" w:type="dxa"/>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432" w:type="dxa"/>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9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295"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对讲机</w:t>
            </w:r>
          </w:p>
        </w:tc>
        <w:tc>
          <w:tcPr>
            <w:tcW w:w="1118"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2673"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20（含保卫科2人）</w:t>
            </w:r>
          </w:p>
        </w:tc>
        <w:tc>
          <w:tcPr>
            <w:tcW w:w="143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9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295"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强光电筒</w:t>
            </w:r>
          </w:p>
        </w:tc>
        <w:tc>
          <w:tcPr>
            <w:tcW w:w="1118"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2673"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43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夜间巡逻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9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295"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警棍</w:t>
            </w:r>
          </w:p>
        </w:tc>
        <w:tc>
          <w:tcPr>
            <w:tcW w:w="1118"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w:t>
            </w:r>
          </w:p>
        </w:tc>
        <w:tc>
          <w:tcPr>
            <w:tcW w:w="2673"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3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警用器材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9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295"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头盔</w:t>
            </w:r>
          </w:p>
        </w:tc>
        <w:tc>
          <w:tcPr>
            <w:tcW w:w="1118"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顶</w:t>
            </w:r>
          </w:p>
        </w:tc>
        <w:tc>
          <w:tcPr>
            <w:tcW w:w="2673"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3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警用器材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9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295"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防剌背心</w:t>
            </w:r>
          </w:p>
        </w:tc>
        <w:tc>
          <w:tcPr>
            <w:tcW w:w="1118"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件</w:t>
            </w:r>
          </w:p>
        </w:tc>
        <w:tc>
          <w:tcPr>
            <w:tcW w:w="2673"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3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警用器材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9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295"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防割手套</w:t>
            </w:r>
          </w:p>
        </w:tc>
        <w:tc>
          <w:tcPr>
            <w:tcW w:w="1118"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w:t>
            </w:r>
          </w:p>
        </w:tc>
        <w:tc>
          <w:tcPr>
            <w:tcW w:w="2673"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3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警用器材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9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295"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盾牌</w:t>
            </w:r>
          </w:p>
        </w:tc>
        <w:tc>
          <w:tcPr>
            <w:tcW w:w="1118"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w:t>
            </w:r>
          </w:p>
        </w:tc>
        <w:tc>
          <w:tcPr>
            <w:tcW w:w="2673"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3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警用器材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9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295"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抓捕叉</w:t>
            </w:r>
          </w:p>
        </w:tc>
        <w:tc>
          <w:tcPr>
            <w:tcW w:w="1118"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2673"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3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警用器材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9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295"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催泪剂</w:t>
            </w:r>
          </w:p>
        </w:tc>
        <w:tc>
          <w:tcPr>
            <w:tcW w:w="1118"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2673"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32" w:type="dxa"/>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警用器材</w:t>
            </w:r>
          </w:p>
        </w:tc>
      </w:tr>
    </w:tbl>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（4）成交供应商派驻的执勤人员在值勤期间，必须穿戴与工作相统一的制式服装、依法文明执勤。</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（5）停车场交付使用后，需要增加的车辆导向标识由成交供应商自费规范制作、确保院内整洁美观。</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2、派驻的人员要求</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（1）派驻人员的年龄在18至55周岁且50岁以下保安员不低于总数的20%</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即不少于9人</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，男性占比例大于80% ，身体健康，相貌端正，无传染性疾病，初中以上文化，语言表达及沟通良好。</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（2）保安人员必须经过保安技能培训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获得《保安员职业资格证》。消防控制室的保安人员必须熟练掌握电脑操作技能以及医院消防监控系统设备的使用，</w:t>
      </w:r>
      <w:r>
        <w:rPr>
          <w:rFonts w:hint="eastAsia" w:ascii="宋体" w:hAnsi="宋体" w:eastAsia="宋体" w:cs="宋体"/>
          <w:color w:val="auto"/>
          <w:sz w:val="24"/>
          <w:szCs w:val="24"/>
          <w:highlight w:val="none"/>
          <w:lang w:eastAsia="zh-CN"/>
        </w:rPr>
        <w:t>必</w:t>
      </w:r>
      <w:r>
        <w:rPr>
          <w:rFonts w:hint="eastAsia" w:ascii="宋体" w:hAnsi="宋体" w:eastAsia="宋体" w:cs="宋体"/>
          <w:color w:val="auto"/>
          <w:sz w:val="24"/>
          <w:szCs w:val="24"/>
          <w:highlight w:val="none"/>
        </w:rPr>
        <w:t>须取得</w:t>
      </w:r>
      <w:r>
        <w:rPr>
          <w:rFonts w:hint="eastAsia" w:ascii="宋体" w:hAnsi="宋体" w:eastAsia="宋体" w:cs="宋体"/>
          <w:b/>
          <w:bCs/>
          <w:color w:val="auto"/>
          <w:sz w:val="24"/>
          <w:szCs w:val="24"/>
          <w:highlight w:val="none"/>
        </w:rPr>
        <w:t>中级或以上《消防设施操作员证》</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（3）保安人员遵纪守法，无刑事、劳动教养、收容教育、吸毒、打架斗殴、强制戒毒或者被开除公职、开除军籍的记录。</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（4）保安人员业务技能要求：具备相关法律法规知识及安保知识、消防知识和一定的擒拿格斗技能。</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3、职数和岗位职责</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成交供应商履行合同期间按以下职责履职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并负责车场消防安全及卫生工作，成交供应商派驻职数不得低于</w:t>
      </w:r>
      <w:r>
        <w:rPr>
          <w:rFonts w:hint="eastAsia" w:ascii="宋体" w:hAnsi="宋体" w:eastAsia="宋体" w:cs="宋体"/>
          <w:color w:val="auto"/>
          <w:sz w:val="24"/>
          <w:szCs w:val="24"/>
          <w:highlight w:val="none"/>
          <w:lang w:val="en-US" w:eastAsia="zh-CN"/>
        </w:rPr>
        <w:t>44个</w:t>
      </w:r>
      <w:r>
        <w:rPr>
          <w:rFonts w:hint="eastAsia" w:ascii="宋体" w:hAnsi="宋体" w:eastAsia="宋体" w:cs="宋体"/>
          <w:color w:val="auto"/>
          <w:sz w:val="24"/>
          <w:szCs w:val="24"/>
          <w:highlight w:val="none"/>
        </w:rPr>
        <w:t>职数，其中消防控制室人员不低于</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eastAsia="zh-CN"/>
        </w:rPr>
        <w:t>。另储备应急保障服务人员</w:t>
      </w:r>
      <w:r>
        <w:rPr>
          <w:rFonts w:hint="eastAsia" w:ascii="宋体" w:hAnsi="宋体" w:eastAsia="宋体" w:cs="宋体"/>
          <w:color w:val="auto"/>
          <w:sz w:val="24"/>
          <w:szCs w:val="24"/>
          <w:highlight w:val="none"/>
          <w:lang w:val="en-US" w:eastAsia="zh-CN"/>
        </w:rPr>
        <w:t>16个，随时响应应急保障服务</w:t>
      </w:r>
      <w:r>
        <w:rPr>
          <w:rFonts w:hint="eastAsia" w:ascii="宋体" w:hAnsi="宋体" w:eastAsia="宋体" w:cs="宋体"/>
          <w:color w:val="auto"/>
          <w:sz w:val="24"/>
          <w:szCs w:val="24"/>
          <w:highlight w:val="none"/>
        </w:rPr>
        <w:t>。医院有权增减保安岗位，并根据中标价格，双方协商增减相应费用。</w:t>
      </w:r>
    </w:p>
    <w:tbl>
      <w:tblPr>
        <w:tblStyle w:val="44"/>
        <w:tblW w:w="9928" w:type="dxa"/>
        <w:tblInd w:w="-3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28"/>
        <w:gridCol w:w="1263"/>
        <w:gridCol w:w="846"/>
        <w:gridCol w:w="3009"/>
        <w:gridCol w:w="1133"/>
        <w:gridCol w:w="2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7" w:hRule="atLeast"/>
        </w:trPr>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b/>
                <w:bCs/>
                <w:color w:val="auto"/>
                <w:kern w:val="0"/>
                <w:sz w:val="24"/>
                <w:szCs w:val="24"/>
                <w:highlight w:val="none"/>
                <w:shd w:val="clear" w:color="auto" w:fill="FFFFFF"/>
                <w:lang w:bidi="ar"/>
              </w:rPr>
            </w:pPr>
            <w:r>
              <w:rPr>
                <w:rFonts w:hint="eastAsia" w:ascii="宋体" w:hAnsi="宋体" w:eastAsia="宋体" w:cs="宋体"/>
                <w:b/>
                <w:bCs/>
                <w:color w:val="auto"/>
                <w:kern w:val="0"/>
                <w:sz w:val="24"/>
                <w:szCs w:val="24"/>
                <w:highlight w:val="none"/>
                <w:shd w:val="clear" w:color="auto" w:fill="FFFFFF"/>
                <w:lang w:bidi="ar"/>
              </w:rPr>
              <w:t>序号</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b/>
                <w:bCs/>
                <w:color w:val="auto"/>
                <w:kern w:val="0"/>
                <w:sz w:val="24"/>
                <w:szCs w:val="24"/>
                <w:highlight w:val="none"/>
                <w:shd w:val="clear" w:color="auto" w:fill="FFFFFF"/>
                <w:lang w:bidi="ar"/>
              </w:rPr>
            </w:pPr>
            <w:r>
              <w:rPr>
                <w:rFonts w:hint="eastAsia" w:ascii="宋体" w:hAnsi="宋体" w:eastAsia="宋体" w:cs="宋体"/>
                <w:b/>
                <w:bCs/>
                <w:color w:val="auto"/>
                <w:kern w:val="0"/>
                <w:sz w:val="24"/>
                <w:szCs w:val="24"/>
                <w:highlight w:val="none"/>
                <w:shd w:val="clear" w:color="auto" w:fill="FFFFFF"/>
                <w:lang w:bidi="ar"/>
              </w:rPr>
              <w:t>岗位</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b/>
                <w:bCs/>
                <w:color w:val="auto"/>
                <w:kern w:val="0"/>
                <w:sz w:val="24"/>
                <w:szCs w:val="24"/>
                <w:highlight w:val="none"/>
                <w:shd w:val="clear" w:color="auto" w:fill="FFFFFF"/>
                <w:lang w:bidi="ar"/>
              </w:rPr>
            </w:pPr>
            <w:r>
              <w:rPr>
                <w:rFonts w:hint="eastAsia" w:ascii="宋体" w:hAnsi="宋体" w:eastAsia="宋体" w:cs="宋体"/>
                <w:b/>
                <w:bCs/>
                <w:color w:val="auto"/>
                <w:kern w:val="0"/>
                <w:sz w:val="24"/>
                <w:szCs w:val="24"/>
                <w:highlight w:val="none"/>
                <w:shd w:val="clear" w:color="auto" w:fill="FFFFFF"/>
                <w:lang w:bidi="ar"/>
              </w:rPr>
              <w:t>岗位</w:t>
            </w:r>
          </w:p>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b/>
                <w:bCs/>
                <w:color w:val="auto"/>
                <w:kern w:val="0"/>
                <w:sz w:val="24"/>
                <w:szCs w:val="24"/>
                <w:highlight w:val="none"/>
                <w:shd w:val="clear" w:color="auto" w:fill="FFFFFF"/>
                <w:lang w:bidi="ar"/>
              </w:rPr>
            </w:pPr>
            <w:r>
              <w:rPr>
                <w:rFonts w:hint="eastAsia" w:ascii="宋体" w:hAnsi="宋体" w:eastAsia="宋体" w:cs="宋体"/>
                <w:b/>
                <w:bCs/>
                <w:color w:val="auto"/>
                <w:kern w:val="0"/>
                <w:sz w:val="24"/>
                <w:szCs w:val="24"/>
                <w:highlight w:val="none"/>
                <w:shd w:val="clear" w:color="auto" w:fill="FFFFFF"/>
                <w:lang w:bidi="ar"/>
              </w:rPr>
              <w:t>职数</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b/>
                <w:bCs/>
                <w:color w:val="auto"/>
                <w:kern w:val="0"/>
                <w:sz w:val="24"/>
                <w:szCs w:val="24"/>
                <w:highlight w:val="none"/>
                <w:shd w:val="clear" w:color="auto" w:fill="FFFFFF"/>
                <w:lang w:bidi="ar"/>
              </w:rPr>
            </w:pPr>
            <w:r>
              <w:rPr>
                <w:rFonts w:hint="eastAsia" w:ascii="宋体" w:hAnsi="宋体" w:eastAsia="宋体" w:cs="宋体"/>
                <w:b/>
                <w:bCs/>
                <w:color w:val="auto"/>
                <w:kern w:val="0"/>
                <w:sz w:val="24"/>
                <w:szCs w:val="24"/>
                <w:highlight w:val="none"/>
                <w:shd w:val="clear" w:color="auto" w:fill="FFFFFF"/>
                <w:lang w:bidi="ar"/>
              </w:rPr>
              <w:t>岗位职责</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b/>
                <w:bCs/>
                <w:color w:val="auto"/>
                <w:kern w:val="0"/>
                <w:sz w:val="24"/>
                <w:szCs w:val="24"/>
                <w:highlight w:val="none"/>
                <w:shd w:val="clear" w:color="auto" w:fill="FFFFFF"/>
                <w:lang w:bidi="ar"/>
              </w:rPr>
            </w:pPr>
            <w:r>
              <w:rPr>
                <w:rFonts w:hint="eastAsia" w:ascii="宋体" w:hAnsi="宋体" w:eastAsia="宋体" w:cs="宋体"/>
                <w:b/>
                <w:bCs/>
                <w:color w:val="auto"/>
                <w:kern w:val="0"/>
                <w:sz w:val="24"/>
                <w:szCs w:val="24"/>
                <w:highlight w:val="none"/>
                <w:shd w:val="clear" w:color="auto" w:fill="FFFFFF"/>
                <w:lang w:bidi="ar"/>
              </w:rPr>
              <w:t>时间</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b/>
                <w:bCs/>
                <w:color w:val="auto"/>
                <w:kern w:val="0"/>
                <w:sz w:val="24"/>
                <w:szCs w:val="24"/>
                <w:highlight w:val="none"/>
                <w:shd w:val="clear" w:color="auto" w:fill="FFFFFF"/>
                <w:lang w:bidi="ar"/>
              </w:rPr>
            </w:pPr>
            <w:r>
              <w:rPr>
                <w:rFonts w:hint="eastAsia" w:ascii="宋体" w:hAnsi="宋体" w:eastAsia="宋体" w:cs="宋体"/>
                <w:b/>
                <w:bCs/>
                <w:color w:val="auto"/>
                <w:kern w:val="0"/>
                <w:sz w:val="24"/>
                <w:szCs w:val="24"/>
                <w:highlight w:val="none"/>
                <w:shd w:val="clear" w:color="auto" w:fill="FFFFFF"/>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49" w:hRule="atLeast"/>
        </w:trPr>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1</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保安队长</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1</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负责全院保安服务管理</w:t>
            </w:r>
            <w:r>
              <w:rPr>
                <w:rFonts w:hint="eastAsia" w:ascii="宋体" w:hAnsi="宋体" w:eastAsia="宋体" w:cs="宋体"/>
                <w:color w:val="auto"/>
                <w:kern w:val="0"/>
                <w:sz w:val="24"/>
                <w:szCs w:val="24"/>
                <w:highlight w:val="none"/>
                <w:shd w:val="clear" w:color="auto" w:fill="FFFFFF"/>
                <w:lang w:eastAsia="zh-CN" w:bidi="ar"/>
              </w:rPr>
              <w:t>、队伍培训、沟通协调等相关工作</w:t>
            </w:r>
            <w:r>
              <w:rPr>
                <w:rFonts w:hint="eastAsia" w:ascii="宋体" w:hAnsi="宋体" w:eastAsia="宋体" w:cs="宋体"/>
                <w:color w:val="auto"/>
                <w:kern w:val="0"/>
                <w:sz w:val="24"/>
                <w:szCs w:val="24"/>
                <w:highlight w:val="none"/>
                <w:shd w:val="clear" w:color="auto" w:fill="FFFFFF"/>
                <w:lang w:bidi="ar"/>
              </w:rPr>
              <w:t>。</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8小时</w:t>
            </w:r>
          </w:p>
        </w:tc>
        <w:tc>
          <w:tcPr>
            <w:tcW w:w="2949" w:type="dxa"/>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（1）年龄 20-55 岁之间； </w:t>
            </w:r>
          </w:p>
          <w:p>
            <w:pPr>
              <w:keepNext w:val="0"/>
              <w:keepLines w:val="0"/>
              <w:pageBreakBefore w:val="0"/>
              <w:widowControl/>
              <w:suppressLineNumbers w:val="0"/>
              <w:kinsoku/>
              <w:wordWrap/>
              <w:overflowPunct/>
              <w:topLinePunct w:val="0"/>
              <w:autoSpaceDE/>
              <w:autoSpaceDN/>
              <w:bidi w:val="0"/>
              <w:adjustRightInd/>
              <w:snapToGrid/>
              <w:spacing w:line="460" w:lineRule="exact"/>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（2）大专及以上文化程度，身体健康、有组织协调能力、无违法犯罪记录； </w:t>
            </w:r>
          </w:p>
          <w:p>
            <w:pPr>
              <w:keepNext w:val="0"/>
              <w:keepLines w:val="0"/>
              <w:pageBreakBefore w:val="0"/>
              <w:widowControl/>
              <w:suppressLineNumbers w:val="0"/>
              <w:kinsoku/>
              <w:wordWrap/>
              <w:overflowPunct/>
              <w:topLinePunct w:val="0"/>
              <w:autoSpaceDE/>
              <w:autoSpaceDN/>
              <w:bidi w:val="0"/>
              <w:adjustRightInd/>
              <w:snapToGrid/>
              <w:spacing w:line="460" w:lineRule="exact"/>
              <w:jc w:val="left"/>
              <w:rPr>
                <w:rFonts w:hint="default" w:ascii="宋体" w:hAnsi="宋体" w:eastAsia="宋体" w:cs="宋体"/>
                <w:color w:val="auto"/>
                <w:kern w:val="0"/>
                <w:sz w:val="24"/>
                <w:szCs w:val="24"/>
                <w:highlight w:val="none"/>
                <w:shd w:val="clear" w:color="auto" w:fill="FFFFFF"/>
                <w:lang w:val="en-US" w:bidi="ar"/>
              </w:rPr>
            </w:pPr>
            <w:r>
              <w:rPr>
                <w:rFonts w:hint="eastAsia" w:ascii="宋体" w:hAnsi="宋体" w:eastAsia="宋体" w:cs="宋体"/>
                <w:color w:val="auto"/>
                <w:kern w:val="0"/>
                <w:sz w:val="24"/>
                <w:szCs w:val="24"/>
                <w:highlight w:val="none"/>
                <w:lang w:val="en-US" w:eastAsia="zh-CN" w:bidi="ar"/>
              </w:rPr>
              <w:t>（3）经过正规保安公司培训并持有保安员证。</w:t>
            </w:r>
            <w:r>
              <w:rPr>
                <w:rFonts w:hint="eastAsia" w:ascii="宋体" w:hAnsi="宋体" w:cs="宋体"/>
                <w:color w:val="auto"/>
                <w:kern w:val="0"/>
                <w:sz w:val="24"/>
                <w:szCs w:val="24"/>
                <w:highlight w:val="none"/>
                <w:lang w:val="en-US" w:eastAsia="zh-CN" w:bidi="ar"/>
              </w:rPr>
              <w:t>（成交供应商自付薪资）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2</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消控室</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8</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消防控制室值守和公共区域巡查、视频、电梯急救电话。</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24小时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eastAsia="zh-CN" w:bidi="ar"/>
              </w:rPr>
            </w:pPr>
            <w:r>
              <w:rPr>
                <w:rFonts w:hint="eastAsia" w:ascii="宋体" w:hAnsi="宋体" w:eastAsia="宋体" w:cs="宋体"/>
                <w:color w:val="auto"/>
                <w:sz w:val="24"/>
                <w:szCs w:val="24"/>
                <w:highlight w:val="none"/>
              </w:rPr>
              <w:t>人员全部持有不低于中级《消防设施操作员证》</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2" w:hRule="atLeast"/>
        </w:trPr>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3</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警务室</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4</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突发情况出警处置。</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24小时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sz w:val="24"/>
                <w:szCs w:val="24"/>
                <w:highlight w:val="none"/>
              </w:rPr>
              <w:t>年龄在20-40周岁，且必须固定人员。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4</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巡逻岗</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4</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sz w:val="24"/>
                <w:szCs w:val="24"/>
                <w:highlight w:val="none"/>
              </w:rPr>
              <w:t>负责全院24小时治安巡查，至少每2小时巡查一次。</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24小时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5</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1号楼执勤</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4</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eastAsia="zh-CN" w:bidi="ar"/>
              </w:rPr>
              <w:t>入门安检和</w:t>
            </w:r>
            <w:r>
              <w:rPr>
                <w:rFonts w:hint="eastAsia" w:ascii="宋体" w:hAnsi="宋体" w:eastAsia="宋体" w:cs="宋体"/>
                <w:color w:val="auto"/>
                <w:kern w:val="0"/>
                <w:sz w:val="24"/>
                <w:szCs w:val="24"/>
                <w:highlight w:val="none"/>
                <w:shd w:val="clear" w:color="auto" w:fill="FFFFFF"/>
                <w:lang w:bidi="ar"/>
              </w:rPr>
              <w:t>治安</w:t>
            </w:r>
            <w:r>
              <w:rPr>
                <w:rFonts w:hint="eastAsia" w:ascii="宋体" w:hAnsi="宋体" w:eastAsia="宋体" w:cs="宋体"/>
                <w:color w:val="auto"/>
                <w:kern w:val="0"/>
                <w:sz w:val="24"/>
                <w:szCs w:val="24"/>
                <w:highlight w:val="none"/>
                <w:shd w:val="clear" w:color="auto" w:fill="FFFFFF"/>
                <w:lang w:eastAsia="zh-CN" w:bidi="ar"/>
              </w:rPr>
              <w:t>、</w:t>
            </w:r>
            <w:r>
              <w:rPr>
                <w:rFonts w:hint="eastAsia" w:ascii="宋体" w:hAnsi="宋体" w:eastAsia="宋体" w:cs="宋体"/>
                <w:color w:val="auto"/>
                <w:kern w:val="0"/>
                <w:sz w:val="24"/>
                <w:szCs w:val="24"/>
                <w:highlight w:val="none"/>
                <w:shd w:val="clear" w:color="auto" w:fill="FFFFFF"/>
                <w:lang w:bidi="ar"/>
              </w:rPr>
              <w:t>秩序维持</w:t>
            </w:r>
            <w:r>
              <w:rPr>
                <w:rFonts w:hint="eastAsia" w:ascii="宋体" w:hAnsi="宋体" w:eastAsia="宋体" w:cs="宋体"/>
                <w:color w:val="auto"/>
                <w:kern w:val="0"/>
                <w:sz w:val="24"/>
                <w:szCs w:val="24"/>
                <w:highlight w:val="none"/>
                <w:shd w:val="clear" w:color="auto" w:fill="FFFFFF"/>
                <w:lang w:eastAsia="zh-CN" w:bidi="ar"/>
              </w:rPr>
              <w:t>，</w:t>
            </w:r>
            <w:r>
              <w:rPr>
                <w:rFonts w:hint="eastAsia" w:ascii="宋体" w:hAnsi="宋体" w:eastAsia="宋体" w:cs="宋体"/>
                <w:color w:val="auto"/>
                <w:kern w:val="0"/>
                <w:sz w:val="24"/>
                <w:szCs w:val="24"/>
                <w:highlight w:val="none"/>
              </w:rPr>
              <w:t>大楼1楼内治安巡逻并做好驱赶医托工作。</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24小时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sz w:val="24"/>
                <w:szCs w:val="24"/>
                <w:highlight w:val="none"/>
              </w:rPr>
              <w:t>年龄在20-40周岁，且必须固定人员。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6</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2号楼执勤</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2</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eastAsia="zh-CN" w:bidi="ar"/>
              </w:rPr>
              <w:t>入门安检和</w:t>
            </w:r>
            <w:r>
              <w:rPr>
                <w:rFonts w:hint="eastAsia" w:ascii="宋体" w:hAnsi="宋体" w:eastAsia="宋体" w:cs="宋体"/>
                <w:color w:val="auto"/>
                <w:kern w:val="0"/>
                <w:sz w:val="24"/>
                <w:szCs w:val="24"/>
                <w:highlight w:val="none"/>
                <w:shd w:val="clear" w:color="auto" w:fill="FFFFFF"/>
                <w:lang w:bidi="ar"/>
              </w:rPr>
              <w:t>治安</w:t>
            </w:r>
            <w:r>
              <w:rPr>
                <w:rFonts w:hint="eastAsia" w:ascii="宋体" w:hAnsi="宋体" w:eastAsia="宋体" w:cs="宋体"/>
                <w:color w:val="auto"/>
                <w:kern w:val="0"/>
                <w:sz w:val="24"/>
                <w:szCs w:val="24"/>
                <w:highlight w:val="none"/>
                <w:shd w:val="clear" w:color="auto" w:fill="FFFFFF"/>
                <w:lang w:eastAsia="zh-CN" w:bidi="ar"/>
              </w:rPr>
              <w:t>、</w:t>
            </w:r>
            <w:r>
              <w:rPr>
                <w:rFonts w:hint="eastAsia" w:ascii="宋体" w:hAnsi="宋体" w:eastAsia="宋体" w:cs="宋体"/>
                <w:color w:val="auto"/>
                <w:kern w:val="0"/>
                <w:sz w:val="24"/>
                <w:szCs w:val="24"/>
                <w:highlight w:val="none"/>
                <w:shd w:val="clear" w:color="auto" w:fill="FFFFFF"/>
                <w:lang w:bidi="ar"/>
              </w:rPr>
              <w:t>秩序维持</w:t>
            </w:r>
            <w:r>
              <w:rPr>
                <w:rFonts w:hint="eastAsia" w:ascii="宋体" w:hAnsi="宋体" w:eastAsia="宋体" w:cs="宋体"/>
                <w:color w:val="auto"/>
                <w:kern w:val="0"/>
                <w:sz w:val="24"/>
                <w:szCs w:val="24"/>
                <w:highlight w:val="none"/>
                <w:shd w:val="clear" w:color="auto" w:fill="FFFFFF"/>
                <w:lang w:eastAsia="zh-CN" w:bidi="ar"/>
              </w:rPr>
              <w:t>，</w:t>
            </w:r>
            <w:r>
              <w:rPr>
                <w:rFonts w:hint="eastAsia" w:ascii="宋体" w:hAnsi="宋体" w:eastAsia="宋体" w:cs="宋体"/>
                <w:color w:val="auto"/>
                <w:kern w:val="0"/>
                <w:sz w:val="24"/>
                <w:szCs w:val="24"/>
                <w:highlight w:val="none"/>
              </w:rPr>
              <w:t>住院大楼1楼内治安巡逻并做好驱赶医托工作。</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lef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7</w:t>
            </w:r>
            <w:r>
              <w:rPr>
                <w:rFonts w:hint="eastAsia" w:ascii="宋体" w:hAnsi="宋体" w:eastAsia="宋体" w:cs="宋体"/>
                <w:color w:val="auto"/>
                <w:kern w:val="0"/>
                <w:sz w:val="24"/>
                <w:szCs w:val="24"/>
                <w:highlight w:val="none"/>
                <w:shd w:val="clear" w:color="auto" w:fill="FFFFFF"/>
                <w:lang w:eastAsia="zh-CN" w:bidi="ar"/>
              </w:rPr>
              <w:t>：</w:t>
            </w:r>
            <w:r>
              <w:rPr>
                <w:rFonts w:hint="eastAsia" w:ascii="宋体" w:hAnsi="宋体" w:eastAsia="宋体" w:cs="宋体"/>
                <w:color w:val="auto"/>
                <w:kern w:val="0"/>
                <w:sz w:val="24"/>
                <w:szCs w:val="24"/>
                <w:highlight w:val="none"/>
                <w:shd w:val="clear" w:color="auto" w:fill="FFFFFF"/>
                <w:lang w:bidi="ar"/>
              </w:rPr>
              <w:t>00</w:t>
            </w:r>
          </w:p>
          <w:p>
            <w:pPr>
              <w:keepNext w:val="0"/>
              <w:keepLines w:val="0"/>
              <w:pageBreakBefore w:val="0"/>
              <w:widowControl/>
              <w:kinsoku/>
              <w:wordWrap/>
              <w:overflowPunct/>
              <w:topLinePunct w:val="0"/>
              <w:autoSpaceDE/>
              <w:autoSpaceDN/>
              <w:bidi w:val="0"/>
              <w:adjustRightInd/>
              <w:snapToGrid/>
              <w:spacing w:line="460" w:lineRule="exact"/>
              <w:jc w:val="lef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-19：00</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33" w:hRule="atLeast"/>
        </w:trPr>
        <w:tc>
          <w:tcPr>
            <w:tcW w:w="728" w:type="dxa"/>
            <w:vMerge w:val="restart"/>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7</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3号楼执勤</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4</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eastAsia="zh-CN" w:bidi="ar"/>
              </w:rPr>
              <w:t>入门安检和</w:t>
            </w:r>
            <w:r>
              <w:rPr>
                <w:rFonts w:hint="eastAsia" w:ascii="宋体" w:hAnsi="宋体" w:eastAsia="宋体" w:cs="宋体"/>
                <w:color w:val="auto"/>
                <w:kern w:val="0"/>
                <w:sz w:val="24"/>
                <w:szCs w:val="24"/>
                <w:highlight w:val="none"/>
                <w:shd w:val="clear" w:color="auto" w:fill="FFFFFF"/>
                <w:lang w:bidi="ar"/>
              </w:rPr>
              <w:t>治安</w:t>
            </w:r>
            <w:r>
              <w:rPr>
                <w:rFonts w:hint="eastAsia" w:ascii="宋体" w:hAnsi="宋体" w:eastAsia="宋体" w:cs="宋体"/>
                <w:color w:val="auto"/>
                <w:kern w:val="0"/>
                <w:sz w:val="24"/>
                <w:szCs w:val="24"/>
                <w:highlight w:val="none"/>
                <w:shd w:val="clear" w:color="auto" w:fill="FFFFFF"/>
                <w:lang w:eastAsia="zh-CN" w:bidi="ar"/>
              </w:rPr>
              <w:t>、</w:t>
            </w:r>
            <w:r>
              <w:rPr>
                <w:rFonts w:hint="eastAsia" w:ascii="宋体" w:hAnsi="宋体" w:eastAsia="宋体" w:cs="宋体"/>
                <w:color w:val="auto"/>
                <w:kern w:val="0"/>
                <w:sz w:val="24"/>
                <w:szCs w:val="24"/>
                <w:highlight w:val="none"/>
                <w:shd w:val="clear" w:color="auto" w:fill="FFFFFF"/>
                <w:lang w:bidi="ar"/>
              </w:rPr>
              <w:t>秩序维持</w:t>
            </w:r>
            <w:r>
              <w:rPr>
                <w:rFonts w:hint="eastAsia" w:ascii="宋体" w:hAnsi="宋体" w:eastAsia="宋体" w:cs="宋体"/>
                <w:color w:val="auto"/>
                <w:kern w:val="0"/>
                <w:sz w:val="24"/>
                <w:szCs w:val="24"/>
                <w:highlight w:val="none"/>
                <w:shd w:val="clear" w:color="auto" w:fill="FFFFFF"/>
                <w:lang w:eastAsia="zh-CN" w:bidi="ar"/>
              </w:rPr>
              <w:t>，</w:t>
            </w:r>
            <w:r>
              <w:rPr>
                <w:rFonts w:hint="eastAsia" w:ascii="宋体" w:hAnsi="宋体" w:eastAsia="宋体" w:cs="宋体"/>
                <w:color w:val="auto"/>
                <w:kern w:val="0"/>
                <w:sz w:val="24"/>
                <w:szCs w:val="24"/>
                <w:highlight w:val="none"/>
              </w:rPr>
              <w:t>大楼1楼内治安巡逻并做好驱赶医托工作。</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24小时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74" w:hRule="atLeast"/>
        </w:trPr>
        <w:tc>
          <w:tcPr>
            <w:tcW w:w="728" w:type="dxa"/>
            <w:vMerge w:val="continue"/>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5号楼执勤</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4</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eastAsia="zh-CN" w:bidi="ar"/>
              </w:rPr>
              <w:t>入门安检和</w:t>
            </w:r>
            <w:r>
              <w:rPr>
                <w:rFonts w:hint="eastAsia" w:ascii="宋体" w:hAnsi="宋体" w:eastAsia="宋体" w:cs="宋体"/>
                <w:color w:val="auto"/>
                <w:kern w:val="0"/>
                <w:sz w:val="24"/>
                <w:szCs w:val="24"/>
                <w:highlight w:val="none"/>
                <w:shd w:val="clear" w:color="auto" w:fill="FFFFFF"/>
                <w:lang w:bidi="ar"/>
              </w:rPr>
              <w:t>治安</w:t>
            </w:r>
            <w:r>
              <w:rPr>
                <w:rFonts w:hint="eastAsia" w:ascii="宋体" w:hAnsi="宋体" w:eastAsia="宋体" w:cs="宋体"/>
                <w:color w:val="auto"/>
                <w:kern w:val="0"/>
                <w:sz w:val="24"/>
                <w:szCs w:val="24"/>
                <w:highlight w:val="none"/>
                <w:shd w:val="clear" w:color="auto" w:fill="FFFFFF"/>
                <w:lang w:eastAsia="zh-CN" w:bidi="ar"/>
              </w:rPr>
              <w:t>、</w:t>
            </w:r>
            <w:r>
              <w:rPr>
                <w:rFonts w:hint="eastAsia" w:ascii="宋体" w:hAnsi="宋体" w:eastAsia="宋体" w:cs="宋体"/>
                <w:color w:val="auto"/>
                <w:kern w:val="0"/>
                <w:sz w:val="24"/>
                <w:szCs w:val="24"/>
                <w:highlight w:val="none"/>
                <w:shd w:val="clear" w:color="auto" w:fill="FFFFFF"/>
                <w:lang w:bidi="ar"/>
              </w:rPr>
              <w:t>秩序维持</w:t>
            </w:r>
            <w:r>
              <w:rPr>
                <w:rFonts w:hint="eastAsia" w:ascii="宋体" w:hAnsi="宋体" w:eastAsia="宋体" w:cs="宋体"/>
                <w:color w:val="auto"/>
                <w:kern w:val="0"/>
                <w:sz w:val="24"/>
                <w:szCs w:val="24"/>
                <w:highlight w:val="none"/>
                <w:shd w:val="clear" w:color="auto" w:fill="FFFFFF"/>
                <w:lang w:eastAsia="zh-CN" w:bidi="ar"/>
              </w:rPr>
              <w:t>，</w:t>
            </w:r>
            <w:r>
              <w:rPr>
                <w:rFonts w:hint="eastAsia" w:ascii="宋体" w:hAnsi="宋体" w:eastAsia="宋体" w:cs="宋体"/>
                <w:color w:val="auto"/>
                <w:kern w:val="0"/>
                <w:sz w:val="24"/>
                <w:szCs w:val="24"/>
                <w:highlight w:val="none"/>
              </w:rPr>
              <w:t>大楼1楼内治安巡逻并做好驱赶医托工作。</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24小时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8</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精神科楼执勤</w:t>
            </w:r>
            <w:r>
              <w:rPr>
                <w:rFonts w:hint="eastAsia" w:ascii="宋体" w:hAnsi="宋体" w:eastAsia="宋体" w:cs="宋体"/>
                <w:color w:val="auto"/>
                <w:sz w:val="24"/>
                <w:szCs w:val="24"/>
                <w:highlight w:val="none"/>
              </w:rPr>
              <w:t>（7-8号楼）</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4</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治安和秩序维持，协助燥狂精神病人入院约束（防止精神病人出逃）。</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24小时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9" w:hRule="atLeast"/>
        </w:trPr>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9</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大门岗</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eastAsia="zh-CN" w:bidi="ar"/>
              </w:rPr>
            </w:pPr>
            <w:r>
              <w:rPr>
                <w:rFonts w:hint="eastAsia" w:ascii="宋体" w:hAnsi="宋体" w:eastAsia="宋体" w:cs="宋体"/>
                <w:color w:val="auto"/>
                <w:kern w:val="0"/>
                <w:sz w:val="24"/>
                <w:szCs w:val="24"/>
                <w:highlight w:val="none"/>
                <w:shd w:val="clear" w:color="auto" w:fill="FFFFFF"/>
                <w:lang w:val="en-US" w:eastAsia="zh-CN" w:bidi="ar"/>
              </w:rPr>
              <w:t>3</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治安和秩序维持，</w:t>
            </w:r>
            <w:r>
              <w:rPr>
                <w:rFonts w:hint="eastAsia" w:ascii="宋体" w:hAnsi="宋体" w:eastAsia="宋体" w:cs="宋体"/>
                <w:color w:val="auto"/>
                <w:kern w:val="0"/>
                <w:sz w:val="24"/>
                <w:szCs w:val="24"/>
                <w:highlight w:val="none"/>
              </w:rPr>
              <w:t>并做好人员出入的管理工作，严禁无关人员进入医院，做好出入车辆的管理工作，与车辆引导岗维护好车辆出入、停放秩序。</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24小时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eastAsia="zh-CN" w:bidi="ar"/>
              </w:rPr>
            </w:pPr>
            <w:r>
              <w:rPr>
                <w:rFonts w:hint="eastAsia" w:ascii="宋体" w:hAnsi="宋体" w:eastAsia="宋体" w:cs="宋体"/>
                <w:color w:val="auto"/>
                <w:kern w:val="0"/>
                <w:sz w:val="24"/>
                <w:szCs w:val="24"/>
                <w:highlight w:val="none"/>
                <w:shd w:val="clear" w:color="auto" w:fill="FFFFFF"/>
                <w:lang w:bidi="ar"/>
              </w:rPr>
              <w:t>成交供应商自付</w:t>
            </w:r>
            <w:r>
              <w:rPr>
                <w:rFonts w:hint="eastAsia" w:ascii="宋体" w:hAnsi="宋体" w:cs="宋体"/>
                <w:color w:val="auto"/>
                <w:kern w:val="0"/>
                <w:sz w:val="24"/>
                <w:szCs w:val="24"/>
                <w:highlight w:val="none"/>
                <w:shd w:val="clear" w:color="auto" w:fill="FFFFFF"/>
                <w:lang w:val="en-US" w:eastAsia="zh-CN" w:bidi="ar"/>
              </w:rPr>
              <w:t>薪资</w:t>
            </w:r>
            <w:r>
              <w:rPr>
                <w:rFonts w:hint="eastAsia" w:ascii="宋体" w:hAnsi="宋体" w:eastAsia="宋体" w:cs="宋体"/>
                <w:color w:val="auto"/>
                <w:kern w:val="0"/>
                <w:sz w:val="24"/>
                <w:szCs w:val="24"/>
                <w:highlight w:val="none"/>
                <w:shd w:val="clear" w:color="auto" w:fill="FFFFFF"/>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10</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西南门岗</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eastAsia="zh-CN" w:bidi="ar"/>
              </w:rPr>
            </w:pPr>
            <w:r>
              <w:rPr>
                <w:rFonts w:hint="eastAsia" w:ascii="宋体" w:hAnsi="宋体" w:eastAsia="宋体" w:cs="宋体"/>
                <w:color w:val="auto"/>
                <w:kern w:val="0"/>
                <w:sz w:val="24"/>
                <w:szCs w:val="24"/>
                <w:highlight w:val="none"/>
                <w:shd w:val="clear" w:color="auto" w:fill="FFFFFF"/>
                <w:lang w:val="en-US" w:eastAsia="zh-CN" w:bidi="ar"/>
              </w:rPr>
              <w:t>1</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eastAsia="zh-CN" w:bidi="ar"/>
              </w:rPr>
            </w:pPr>
            <w:r>
              <w:rPr>
                <w:rFonts w:hint="eastAsia" w:ascii="宋体" w:hAnsi="宋体" w:eastAsia="宋体" w:cs="宋体"/>
                <w:color w:val="auto"/>
                <w:kern w:val="0"/>
                <w:sz w:val="24"/>
                <w:szCs w:val="24"/>
                <w:highlight w:val="none"/>
                <w:shd w:val="clear" w:color="auto" w:fill="FFFFFF"/>
                <w:lang w:eastAsia="zh-CN" w:bidi="ar"/>
              </w:rPr>
              <w:t>同上</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8小时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成交供应商自付</w:t>
            </w:r>
            <w:r>
              <w:rPr>
                <w:rFonts w:hint="eastAsia" w:ascii="宋体" w:hAnsi="宋体" w:cs="宋体"/>
                <w:color w:val="auto"/>
                <w:kern w:val="0"/>
                <w:sz w:val="24"/>
                <w:szCs w:val="24"/>
                <w:highlight w:val="none"/>
                <w:shd w:val="clear" w:color="auto" w:fill="FFFFFF"/>
                <w:lang w:val="en-US" w:eastAsia="zh-CN" w:bidi="ar"/>
              </w:rPr>
              <w:t>薪资</w:t>
            </w:r>
            <w:r>
              <w:rPr>
                <w:rFonts w:hint="eastAsia" w:ascii="宋体" w:hAnsi="宋体" w:eastAsia="宋体" w:cs="宋体"/>
                <w:color w:val="auto"/>
                <w:kern w:val="0"/>
                <w:sz w:val="24"/>
                <w:szCs w:val="24"/>
                <w:highlight w:val="none"/>
                <w:shd w:val="clear" w:color="auto" w:fill="FFFFFF"/>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 w:hRule="atLeast"/>
        </w:trPr>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11</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北门收费</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eastAsia="zh-CN" w:bidi="ar"/>
              </w:rPr>
            </w:pPr>
            <w:r>
              <w:rPr>
                <w:rFonts w:hint="eastAsia" w:ascii="宋体" w:hAnsi="宋体" w:eastAsia="宋体" w:cs="宋体"/>
                <w:color w:val="auto"/>
                <w:kern w:val="0"/>
                <w:sz w:val="24"/>
                <w:szCs w:val="24"/>
                <w:highlight w:val="none"/>
                <w:shd w:val="clear" w:color="auto" w:fill="FFFFFF"/>
                <w:lang w:val="en-US" w:eastAsia="zh-CN" w:bidi="ar"/>
              </w:rPr>
              <w:t>1</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eastAsia="zh-CN" w:bidi="ar"/>
              </w:rPr>
              <w:t>同上</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val="en-US" w:eastAsia="zh-CN" w:bidi="ar"/>
              </w:rPr>
              <w:t>8小时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成交供应商自付</w:t>
            </w:r>
            <w:r>
              <w:rPr>
                <w:rFonts w:hint="eastAsia" w:ascii="宋体" w:hAnsi="宋体" w:cs="宋体"/>
                <w:color w:val="auto"/>
                <w:kern w:val="0"/>
                <w:sz w:val="24"/>
                <w:szCs w:val="24"/>
                <w:highlight w:val="none"/>
                <w:shd w:val="clear" w:color="auto" w:fill="FFFFFF"/>
                <w:lang w:val="en-US" w:eastAsia="zh-CN" w:bidi="ar"/>
              </w:rPr>
              <w:t>薪资</w:t>
            </w:r>
            <w:r>
              <w:rPr>
                <w:rFonts w:hint="eastAsia" w:ascii="宋体" w:hAnsi="宋体" w:eastAsia="宋体" w:cs="宋体"/>
                <w:color w:val="auto"/>
                <w:kern w:val="0"/>
                <w:sz w:val="24"/>
                <w:szCs w:val="24"/>
                <w:highlight w:val="none"/>
                <w:shd w:val="clear" w:color="auto" w:fill="FFFFFF"/>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3" w:hRule="atLeast"/>
        </w:trPr>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12</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车辆引导</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eastAsia="zh-CN" w:bidi="ar"/>
              </w:rPr>
            </w:pPr>
            <w:r>
              <w:rPr>
                <w:rFonts w:hint="eastAsia" w:ascii="宋体" w:hAnsi="宋体" w:eastAsia="宋体" w:cs="宋体"/>
                <w:color w:val="auto"/>
                <w:kern w:val="0"/>
                <w:sz w:val="24"/>
                <w:szCs w:val="24"/>
                <w:highlight w:val="none"/>
                <w:shd w:val="clear" w:color="auto" w:fill="FFFFFF"/>
                <w:lang w:val="en-US" w:eastAsia="zh-CN" w:bidi="ar"/>
              </w:rPr>
              <w:t>1</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停车场安全卫生和车辆引导</w:t>
            </w:r>
            <w:r>
              <w:rPr>
                <w:rFonts w:hint="eastAsia" w:ascii="宋体" w:hAnsi="宋体" w:eastAsia="宋体" w:cs="宋体"/>
                <w:color w:val="auto"/>
                <w:kern w:val="0"/>
                <w:sz w:val="24"/>
                <w:szCs w:val="24"/>
                <w:highlight w:val="none"/>
                <w:shd w:val="clear" w:color="auto" w:fill="FFFFFF"/>
                <w:lang w:eastAsia="zh-CN" w:bidi="ar"/>
              </w:rPr>
              <w:t>、</w:t>
            </w:r>
            <w:r>
              <w:rPr>
                <w:rFonts w:hint="eastAsia" w:ascii="宋体" w:hAnsi="宋体" w:eastAsia="宋体" w:cs="宋体"/>
                <w:color w:val="auto"/>
                <w:kern w:val="0"/>
                <w:sz w:val="24"/>
                <w:szCs w:val="24"/>
                <w:highlight w:val="none"/>
                <w:shd w:val="clear" w:color="auto" w:fill="FFFFFF"/>
                <w:lang w:bidi="ar"/>
              </w:rPr>
              <w:t>治安和秩序维持。</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val="en-US" w:eastAsia="zh-CN" w:bidi="ar"/>
              </w:rPr>
              <w:t>8小时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成交供应商自付</w:t>
            </w:r>
            <w:r>
              <w:rPr>
                <w:rFonts w:hint="eastAsia" w:ascii="宋体" w:hAnsi="宋体" w:cs="宋体"/>
                <w:color w:val="auto"/>
                <w:kern w:val="0"/>
                <w:sz w:val="24"/>
                <w:szCs w:val="24"/>
                <w:highlight w:val="none"/>
                <w:shd w:val="clear" w:color="auto" w:fill="FFFFFF"/>
                <w:lang w:val="en-US" w:eastAsia="zh-CN" w:bidi="ar"/>
              </w:rPr>
              <w:t>薪资</w:t>
            </w:r>
            <w:r>
              <w:rPr>
                <w:rFonts w:hint="eastAsia" w:ascii="宋体" w:hAnsi="宋体" w:eastAsia="宋体" w:cs="宋体"/>
                <w:color w:val="auto"/>
                <w:kern w:val="0"/>
                <w:sz w:val="24"/>
                <w:szCs w:val="24"/>
                <w:highlight w:val="none"/>
                <w:shd w:val="clear" w:color="auto" w:fill="FFFFFF"/>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3" w:hRule="atLeast"/>
        </w:trPr>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13</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车辆保管</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3</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电动自行车保管、安全、卫生。</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24小时</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成交供应商自付</w:t>
            </w:r>
            <w:r>
              <w:rPr>
                <w:rFonts w:hint="eastAsia" w:ascii="宋体" w:hAnsi="宋体" w:cs="宋体"/>
                <w:color w:val="auto"/>
                <w:kern w:val="0"/>
                <w:sz w:val="24"/>
                <w:szCs w:val="24"/>
                <w:highlight w:val="none"/>
                <w:shd w:val="clear" w:color="auto" w:fill="FFFFFF"/>
                <w:lang w:val="en-US" w:eastAsia="zh-CN" w:bidi="ar"/>
              </w:rPr>
              <w:t>薪资</w:t>
            </w:r>
            <w:r>
              <w:rPr>
                <w:rFonts w:hint="eastAsia" w:ascii="宋体" w:hAnsi="宋体" w:eastAsia="宋体" w:cs="宋体"/>
                <w:color w:val="auto"/>
                <w:kern w:val="0"/>
                <w:sz w:val="24"/>
                <w:szCs w:val="24"/>
                <w:highlight w:val="none"/>
                <w:shd w:val="clear" w:color="auto" w:fill="FFFFFF"/>
                <w:lang w:bidi="ar"/>
              </w:rPr>
              <w:t>，8小时</w:t>
            </w:r>
            <w:r>
              <w:rPr>
                <w:rFonts w:hint="eastAsia" w:ascii="宋体" w:hAnsi="宋体" w:eastAsia="宋体" w:cs="宋体"/>
                <w:color w:val="auto"/>
                <w:kern w:val="0"/>
                <w:sz w:val="24"/>
                <w:szCs w:val="24"/>
                <w:highlight w:val="none"/>
                <w:shd w:val="clear" w:color="auto" w:fill="FFFFFF"/>
                <w:lang w:val="en-US" w:eastAsia="zh-CN" w:bidi="ar"/>
              </w:rPr>
              <w:t>/班制</w:t>
            </w:r>
            <w:r>
              <w:rPr>
                <w:rFonts w:hint="eastAsia" w:ascii="宋体" w:hAnsi="宋体" w:eastAsia="宋体" w:cs="宋体"/>
                <w:color w:val="auto"/>
                <w:kern w:val="0"/>
                <w:sz w:val="24"/>
                <w:szCs w:val="24"/>
                <w:highlight w:val="none"/>
                <w:shd w:val="clear" w:color="auto" w:fill="FFFFFF"/>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2" w:hRule="atLeast"/>
        </w:trPr>
        <w:tc>
          <w:tcPr>
            <w:tcW w:w="728"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合计</w:t>
            </w:r>
          </w:p>
        </w:tc>
        <w:tc>
          <w:tcPr>
            <w:tcW w:w="126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14</w:t>
            </w:r>
          </w:p>
        </w:tc>
        <w:tc>
          <w:tcPr>
            <w:tcW w:w="846"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44</w:t>
            </w:r>
          </w:p>
        </w:tc>
        <w:tc>
          <w:tcPr>
            <w:tcW w:w="300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w:t>
            </w:r>
          </w:p>
        </w:tc>
        <w:tc>
          <w:tcPr>
            <w:tcW w:w="1133"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w:t>
            </w:r>
          </w:p>
        </w:tc>
        <w:tc>
          <w:tcPr>
            <w:tcW w:w="2949" w:type="dxa"/>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top"/>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w:t>
            </w:r>
          </w:p>
        </w:tc>
      </w:tr>
    </w:tbl>
    <w:p>
      <w:pPr>
        <w:pStyle w:val="18"/>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保安队长</w:t>
      </w:r>
      <w:r>
        <w:rPr>
          <w:rFonts w:hint="eastAsia" w:ascii="宋体" w:hAnsi="宋体" w:eastAsia="宋体" w:cs="宋体"/>
          <w:color w:val="auto"/>
          <w:sz w:val="24"/>
          <w:szCs w:val="24"/>
          <w:highlight w:val="none"/>
          <w:lang w:eastAsia="zh-CN"/>
        </w:rPr>
        <w:t>职责：</w:t>
      </w:r>
      <w:r>
        <w:rPr>
          <w:rFonts w:hint="eastAsia" w:ascii="宋体" w:hAnsi="宋体" w:eastAsia="宋体" w:cs="宋体"/>
          <w:color w:val="auto"/>
          <w:sz w:val="24"/>
          <w:szCs w:val="24"/>
          <w:highlight w:val="none"/>
        </w:rPr>
        <w:t>负责全院保安服务管理</w:t>
      </w:r>
      <w:r>
        <w:rPr>
          <w:rFonts w:hint="eastAsia" w:ascii="宋体" w:hAnsi="宋体" w:eastAsia="宋体" w:cs="宋体"/>
          <w:color w:val="auto"/>
          <w:sz w:val="24"/>
          <w:szCs w:val="24"/>
          <w:highlight w:val="none"/>
          <w:lang w:eastAsia="zh-CN"/>
        </w:rPr>
        <w:t>、队伍培训、沟通协调等相关工作，做好相关出警记录并定期汇总给医院管理部门（后勤保障部）</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消防控制室职责：派驻人员全部持有不低于中级《消防设施操作员证》，熟悉消防系统设备器材使用，负责消防控制室值守（含监控）、开展日常消防巡查、信息传递、事件处理和报告，完善值班记录等文档资料。</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警务室职责：负责治安类事件信息收集、传递、处理和报告，做好出警记录，做好交接班。</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巡逻岗职责：按照院方安全需要和巡更系统布局要求，每2小时巡逻院区一遍。发现医院范围内的安全隐患和可疑情况，及时报告并妥善处理。</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其他执勤岗：</w:t>
      </w:r>
      <w:r>
        <w:rPr>
          <w:rFonts w:hint="eastAsia" w:ascii="宋体" w:hAnsi="宋体" w:eastAsia="宋体" w:cs="宋体"/>
          <w:color w:val="auto"/>
          <w:sz w:val="24"/>
          <w:szCs w:val="24"/>
          <w:highlight w:val="none"/>
          <w:lang w:eastAsia="zh-CN"/>
        </w:rPr>
        <w:t>楼栋岗位做好入门安检并</w:t>
      </w:r>
      <w:r>
        <w:rPr>
          <w:rFonts w:hint="eastAsia" w:ascii="宋体" w:hAnsi="宋体" w:eastAsia="宋体" w:cs="宋体"/>
          <w:color w:val="auto"/>
          <w:sz w:val="24"/>
          <w:szCs w:val="24"/>
          <w:highlight w:val="none"/>
        </w:rPr>
        <w:t>依法妥善处理纠纷，发现医托、“医闹”及时报告和处置，发现过激行为及时劝阻并合理处置，热情解答病人的询问，维持正常医疗秩序。</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车场管理岗：负责进入院内的车辆安全管理，如车辆引导、指挥停放、秩序维持、车辆保管和收费，必要时清理违章停放车辆等。</w:t>
      </w:r>
    </w:p>
    <w:p>
      <w:pPr>
        <w:rPr>
          <w:rFonts w:hint="eastAsia" w:ascii="宋体" w:hAnsi="宋体" w:eastAsia="宋体" w:cs="宋体"/>
          <w:b/>
          <w:bCs/>
          <w:color w:val="auto"/>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服务需求</w:t>
      </w:r>
    </w:p>
    <w:p>
      <w:pPr>
        <w:pStyle w:val="18"/>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1、合同期内，成交供应商负责队员的工资和按照当地政策缴纳社保，当地社保机构提高社会保险缴纳基数至使社会保险费用增加，由成交供应商自行解决。</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2、因成交供应商服务人员的旷工、缺岗、脱岗、失职、不负责任等行为造成医院发生不良事件和安全事件，造成损失和不良影响的，成交供应商应足额赔偿和消除影响。</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3、保安人员在当班期间，对院内被用暴力撬开门窗盗走、损坏物品或盗走大件物品的，成交供应商先按实际价值的30%进行赔偿，查清责任后，再按责任大小承担相应赔偿责任。</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4、成交供应商人员必须遵纪守法，根据相关法律法规及医院的各项规章制度进行文明执勤。</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成交供应商派驻人员因伤病、突发事件等不能坚守岗位（或到岗）的，成交供应商自行调配有资质的人员到岗执勤，并向医院报告。成交供应商派驻人员在甲方工作期间发生疾病、人身伤亡等意外情况均由成交供应商负责处理和支付相关费用，与医院无关。</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6、采购方遇重大活动或突发其他特殊情况能组建或调配</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人以上的应急队伍参加维稳。</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五、管理与考核</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（一）管理办法</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1、成交供应商与医院签订服务合同后，成交供应商派驻人员与医院不存在劳务关系。</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2、医院后勤保障部是保安服务管理部门，成交供应商派驻人员应服从医院及公司的双重管理。</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3、成交供应商要保持人员的稳定，</w:t>
      </w:r>
      <w:r>
        <w:rPr>
          <w:rFonts w:hint="eastAsia" w:ascii="宋体" w:hAnsi="宋体" w:eastAsia="宋体" w:cs="宋体"/>
          <w:color w:val="auto"/>
          <w:sz w:val="24"/>
          <w:szCs w:val="24"/>
          <w:highlight w:val="none"/>
          <w:lang w:eastAsia="zh-CN"/>
        </w:rPr>
        <w:t>月内不能调换保安超过</w:t>
      </w:r>
      <w:r>
        <w:rPr>
          <w:rFonts w:hint="eastAsia" w:ascii="宋体" w:hAnsi="宋体" w:eastAsia="宋体" w:cs="宋体"/>
          <w:color w:val="auto"/>
          <w:sz w:val="24"/>
          <w:szCs w:val="24"/>
          <w:highlight w:val="none"/>
          <w:lang w:val="en-US" w:eastAsia="zh-CN"/>
        </w:rPr>
        <w:t>2人，如有超过2人的按每超1人扣罚50元服务费；</w:t>
      </w:r>
      <w:r>
        <w:rPr>
          <w:rFonts w:hint="eastAsia" w:ascii="宋体" w:hAnsi="宋体" w:eastAsia="宋体" w:cs="宋体"/>
          <w:color w:val="auto"/>
          <w:sz w:val="24"/>
          <w:szCs w:val="24"/>
          <w:highlight w:val="none"/>
        </w:rPr>
        <w:t>调换人员应事前告知院后勤保障部，并将人员的基本情况向后勤保障部备案</w:t>
      </w:r>
      <w:r>
        <w:rPr>
          <w:rFonts w:hint="eastAsia" w:ascii="宋体" w:hAnsi="宋体" w:eastAsia="宋体" w:cs="宋体"/>
          <w:color w:val="auto"/>
          <w:sz w:val="24"/>
          <w:szCs w:val="24"/>
          <w:highlight w:val="none"/>
          <w:lang w:eastAsia="zh-CN"/>
        </w:rPr>
        <w:t>（包括将保安员身份证、保安员证、或</w:t>
      </w:r>
      <w:r>
        <w:rPr>
          <w:rFonts w:hint="eastAsia" w:ascii="宋体" w:hAnsi="宋体" w:eastAsia="宋体" w:cs="宋体"/>
          <w:color w:val="auto"/>
          <w:sz w:val="24"/>
          <w:szCs w:val="24"/>
          <w:highlight w:val="none"/>
          <w:lang w:val="en-US" w:eastAsia="zh-CN"/>
        </w:rPr>
        <w:t>中级消防设施操作员证</w:t>
      </w:r>
      <w:r>
        <w:rPr>
          <w:rFonts w:hint="eastAsia" w:ascii="宋体" w:hAnsi="宋体" w:eastAsia="宋体" w:cs="宋体"/>
          <w:color w:val="auto"/>
          <w:sz w:val="24"/>
          <w:szCs w:val="24"/>
          <w:highlight w:val="none"/>
          <w:lang w:eastAsia="zh-CN"/>
        </w:rPr>
        <w:t>交给后勤保障部管理人员备案）</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每月开会进行总结，按规定进行业务学习</w:t>
      </w:r>
      <w:r>
        <w:rPr>
          <w:rFonts w:hint="eastAsia" w:ascii="宋体" w:hAnsi="宋体" w:eastAsia="宋体" w:cs="宋体"/>
          <w:color w:val="auto"/>
          <w:sz w:val="24"/>
          <w:szCs w:val="24"/>
          <w:highlight w:val="none"/>
          <w:lang w:eastAsia="zh-CN"/>
        </w:rPr>
        <w:t>和技能培训并做好记录；</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4、成交供应商派驻人员应认真履行岗位职责，遵守医院的规章制度，接受全院职工、病友及广大群众的监督，遇紧急突发事件发生，必须积极作为，工作需要时服从医院的统一安排（调配）。</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（二）考核</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1.日常考核</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医院按照岗位职责和工作要求对保安人员的工作进行日常履职质量考核，对不称职的提出批评或劝退。</w:t>
      </w:r>
    </w:p>
    <w:tbl>
      <w:tblPr>
        <w:tblStyle w:val="44"/>
        <w:tblW w:w="9358" w:type="dxa"/>
        <w:jc w:val="center"/>
        <w:tblLayout w:type="fixed"/>
        <w:tblCellMar>
          <w:top w:w="0" w:type="dxa"/>
          <w:left w:w="0" w:type="dxa"/>
          <w:bottom w:w="0" w:type="dxa"/>
          <w:right w:w="0" w:type="dxa"/>
        </w:tblCellMar>
      </w:tblPr>
      <w:tblGrid>
        <w:gridCol w:w="734"/>
        <w:gridCol w:w="1312"/>
        <w:gridCol w:w="2911"/>
        <w:gridCol w:w="4401"/>
      </w:tblGrid>
      <w:tr>
        <w:tblPrEx>
          <w:tblCellMar>
            <w:top w:w="0" w:type="dxa"/>
            <w:left w:w="0" w:type="dxa"/>
            <w:bottom w:w="0" w:type="dxa"/>
            <w:right w:w="0" w:type="dxa"/>
          </w:tblCellMar>
        </w:tblPrEx>
        <w:trPr>
          <w:trHeight w:val="1020" w:hRule="atLeast"/>
          <w:jc w:val="center"/>
        </w:trPr>
        <w:tc>
          <w:tcPr>
            <w:tcW w:w="9358" w:type="dxa"/>
            <w:gridSpan w:val="4"/>
            <w:tcBorders>
              <w:top w:val="single" w:color="auto" w:sz="6" w:space="0"/>
              <w:left w:val="double" w:color="auto" w:sz="6" w:space="0"/>
              <w:bottom w:val="single" w:color="auto" w:sz="6" w:space="0"/>
              <w:right w:val="single" w:color="auto" w:sz="6" w:space="0"/>
            </w:tcBorders>
            <w:noWrap w:val="0"/>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保安人员日常服务质量考核表</w:t>
            </w:r>
          </w:p>
        </w:tc>
      </w:tr>
      <w:tr>
        <w:tblPrEx>
          <w:tblCellMar>
            <w:top w:w="0" w:type="dxa"/>
            <w:left w:w="0" w:type="dxa"/>
            <w:bottom w:w="0" w:type="dxa"/>
            <w:right w:w="0" w:type="dxa"/>
          </w:tblCellMar>
        </w:tblPrEx>
        <w:trPr>
          <w:trHeight w:val="397" w:hRule="atLeast"/>
          <w:jc w:val="center"/>
        </w:trPr>
        <w:tc>
          <w:tcPr>
            <w:tcW w:w="734"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312"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考核类别</w:t>
            </w: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考核内容及要求</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项目及扣分</w:t>
            </w:r>
          </w:p>
        </w:tc>
      </w:tr>
      <w:tr>
        <w:tblPrEx>
          <w:tblCellMar>
            <w:top w:w="0" w:type="dxa"/>
            <w:left w:w="0" w:type="dxa"/>
            <w:bottom w:w="0" w:type="dxa"/>
            <w:right w:w="0" w:type="dxa"/>
          </w:tblCellMar>
        </w:tblPrEx>
        <w:trPr>
          <w:trHeight w:val="1336" w:hRule="atLeast"/>
          <w:jc w:val="center"/>
        </w:trPr>
        <w:tc>
          <w:tcPr>
            <w:tcW w:w="734"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12"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仪容仪表</w:t>
            </w: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严格履行岗位职责，仪表端庄，着装整齐，装备齐全</w:t>
            </w:r>
            <w:r>
              <w:rPr>
                <w:rFonts w:hint="eastAsia" w:ascii="宋体" w:hAnsi="宋体" w:eastAsia="宋体" w:cs="宋体"/>
                <w:color w:val="auto"/>
                <w:sz w:val="24"/>
                <w:szCs w:val="24"/>
                <w:highlight w:val="none"/>
                <w:lang w:eastAsia="zh-CN"/>
              </w:rPr>
              <w:t>。</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上班时间着装不整、坐姿站姿不端正，首次进行教育，之后每次扣罚20元。</w:t>
            </w:r>
          </w:p>
        </w:tc>
      </w:tr>
      <w:tr>
        <w:tblPrEx>
          <w:tblCellMar>
            <w:top w:w="0" w:type="dxa"/>
            <w:left w:w="0" w:type="dxa"/>
            <w:bottom w:w="0" w:type="dxa"/>
            <w:right w:w="0" w:type="dxa"/>
          </w:tblCellMar>
        </w:tblPrEx>
        <w:trPr>
          <w:trHeight w:val="793" w:hRule="atLeast"/>
          <w:jc w:val="center"/>
        </w:trPr>
        <w:tc>
          <w:tcPr>
            <w:tcW w:w="734"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12"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劳动纪律</w:t>
            </w: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坚守工作岗位，不无故缺岗、看手机、睡觉、擅离岗位</w:t>
            </w:r>
            <w:r>
              <w:rPr>
                <w:rFonts w:hint="eastAsia" w:ascii="宋体" w:hAnsi="宋体" w:eastAsia="宋体" w:cs="宋体"/>
                <w:color w:val="auto"/>
                <w:sz w:val="24"/>
                <w:szCs w:val="24"/>
                <w:highlight w:val="none"/>
                <w:lang w:eastAsia="zh-CN"/>
              </w:rPr>
              <w:t>。</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迟到、早退、闲聊、玩手机、离岗等，每次扣罚50元。当班睡觉的每期次扣罚100元。酒后（酒醉）上岗的辞退</w:t>
            </w:r>
            <w:r>
              <w:rPr>
                <w:rFonts w:hint="eastAsia" w:ascii="宋体" w:hAnsi="宋体" w:eastAsia="宋体" w:cs="宋体"/>
                <w:color w:val="auto"/>
                <w:sz w:val="24"/>
                <w:szCs w:val="24"/>
                <w:highlight w:val="none"/>
                <w:lang w:eastAsia="zh-CN"/>
              </w:rPr>
              <w:t>。</w:t>
            </w:r>
          </w:p>
        </w:tc>
      </w:tr>
      <w:tr>
        <w:tblPrEx>
          <w:tblCellMar>
            <w:top w:w="0" w:type="dxa"/>
            <w:left w:w="0" w:type="dxa"/>
            <w:bottom w:w="0" w:type="dxa"/>
            <w:right w:w="0" w:type="dxa"/>
          </w:tblCellMar>
        </w:tblPrEx>
        <w:trPr>
          <w:trHeight w:val="1777" w:hRule="atLeast"/>
          <w:jc w:val="center"/>
        </w:trPr>
        <w:tc>
          <w:tcPr>
            <w:tcW w:w="734" w:type="dxa"/>
            <w:tcBorders>
              <w:top w:val="single" w:color="auto" w:sz="6"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12" w:type="dxa"/>
            <w:tcBorders>
              <w:top w:val="single" w:color="auto" w:sz="6"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安全管理</w:t>
            </w:r>
          </w:p>
        </w:tc>
        <w:tc>
          <w:tcPr>
            <w:tcW w:w="2911" w:type="dxa"/>
            <w:tcBorders>
              <w:top w:val="single" w:color="auto" w:sz="6" w:space="0"/>
              <w:left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爱护</w:t>
            </w:r>
            <w:r>
              <w:rPr>
                <w:rFonts w:hint="eastAsia" w:ascii="宋体" w:hAnsi="宋体" w:eastAsia="宋体" w:cs="宋体"/>
                <w:color w:val="auto"/>
                <w:sz w:val="24"/>
                <w:szCs w:val="24"/>
                <w:highlight w:val="none"/>
                <w:lang w:eastAsia="zh-CN"/>
              </w:rPr>
              <w:t>医院设施及</w:t>
            </w:r>
            <w:r>
              <w:rPr>
                <w:rFonts w:hint="eastAsia" w:ascii="宋体" w:hAnsi="宋体" w:eastAsia="宋体" w:cs="宋体"/>
                <w:color w:val="auto"/>
                <w:sz w:val="24"/>
                <w:szCs w:val="24"/>
                <w:highlight w:val="none"/>
              </w:rPr>
              <w:t>交通设施，发现交通设施损坏应及时报告医院有关部门</w:t>
            </w:r>
          </w:p>
        </w:tc>
        <w:tc>
          <w:tcPr>
            <w:tcW w:w="4401" w:type="dxa"/>
            <w:tcBorders>
              <w:top w:val="single" w:color="auto" w:sz="6" w:space="0"/>
              <w:left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发现交通</w:t>
            </w:r>
            <w:r>
              <w:rPr>
                <w:rFonts w:hint="eastAsia" w:ascii="宋体" w:hAnsi="宋体" w:eastAsia="宋体" w:cs="宋体"/>
                <w:color w:val="auto"/>
                <w:sz w:val="24"/>
                <w:szCs w:val="24"/>
                <w:highlight w:val="none"/>
                <w:lang w:eastAsia="zh-CN"/>
              </w:rPr>
              <w:t>设施</w:t>
            </w:r>
            <w:r>
              <w:rPr>
                <w:rFonts w:hint="eastAsia" w:ascii="宋体" w:hAnsi="宋体" w:eastAsia="宋体" w:cs="宋体"/>
                <w:color w:val="auto"/>
                <w:sz w:val="24"/>
                <w:szCs w:val="24"/>
                <w:highlight w:val="none"/>
              </w:rPr>
              <w:t>损坏未及时报告，每次扣20元。</w:t>
            </w:r>
          </w:p>
        </w:tc>
      </w:tr>
      <w:tr>
        <w:tblPrEx>
          <w:tblCellMar>
            <w:top w:w="0" w:type="dxa"/>
            <w:left w:w="0" w:type="dxa"/>
            <w:bottom w:w="0" w:type="dxa"/>
            <w:right w:w="0" w:type="dxa"/>
          </w:tblCellMar>
        </w:tblPrEx>
        <w:trPr>
          <w:trHeight w:val="397" w:hRule="atLeast"/>
          <w:jc w:val="center"/>
        </w:trPr>
        <w:tc>
          <w:tcPr>
            <w:tcW w:w="734" w:type="dxa"/>
            <w:vMerge w:val="restart"/>
            <w:tcBorders>
              <w:top w:val="single" w:color="auto" w:sz="6"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312" w:type="dxa"/>
            <w:vMerge w:val="restart"/>
            <w:tcBorders>
              <w:top w:val="single" w:color="auto" w:sz="6"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服务履职</w:t>
            </w: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加强对医院重点地方的巡查工作，维护正常医疗工作秩序</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不按巡更系统规定点位和时间巡逻，每次扣20元，发现安全隐患，不及时报告或处理不当的，每次扣50元，给医院造成经济损失的，扣罚200元并视情节严重给予警告或要求更换员工。</w:t>
            </w:r>
          </w:p>
        </w:tc>
      </w:tr>
      <w:tr>
        <w:tblPrEx>
          <w:tblCellMar>
            <w:top w:w="0" w:type="dxa"/>
            <w:left w:w="0" w:type="dxa"/>
            <w:bottom w:w="0" w:type="dxa"/>
            <w:right w:w="0" w:type="dxa"/>
          </w:tblCellMar>
        </w:tblPrEx>
        <w:trPr>
          <w:trHeight w:val="765" w:hRule="atLeast"/>
          <w:jc w:val="center"/>
        </w:trPr>
        <w:tc>
          <w:tcPr>
            <w:tcW w:w="734"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1312"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文明执勤，服务态度端正，礼貌礼节到位</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pStyle w:val="18"/>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上班期间有粗暴无礼行为或有损医院形象的，首次扣罚50元，再次发现的扣罚100元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因服务态度不好被投诉的每次扣罚</w:t>
            </w:r>
            <w:r>
              <w:rPr>
                <w:rFonts w:hint="eastAsia" w:ascii="宋体" w:hAnsi="宋体" w:eastAsia="宋体" w:cs="宋体"/>
                <w:color w:val="auto"/>
                <w:sz w:val="24"/>
                <w:szCs w:val="24"/>
                <w:highlight w:val="none"/>
                <w:lang w:val="en-US" w:eastAsia="zh-CN"/>
              </w:rPr>
              <w:t>50元。</w:t>
            </w:r>
          </w:p>
        </w:tc>
      </w:tr>
      <w:tr>
        <w:tblPrEx>
          <w:tblCellMar>
            <w:top w:w="0" w:type="dxa"/>
            <w:left w:w="0" w:type="dxa"/>
            <w:bottom w:w="0" w:type="dxa"/>
            <w:right w:w="0" w:type="dxa"/>
          </w:tblCellMar>
        </w:tblPrEx>
        <w:trPr>
          <w:trHeight w:val="397" w:hRule="atLeast"/>
          <w:jc w:val="center"/>
        </w:trPr>
        <w:tc>
          <w:tcPr>
            <w:tcW w:w="734"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1312"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车辆停放秩序统一管理，保证停车场秩序, 确保道路畅通，无随意占用道路</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车辆乱停乱放现象严重的，发现一次扣20元，造成医院道路拥堵，发现一次扣50元。</w:t>
            </w:r>
          </w:p>
        </w:tc>
      </w:tr>
      <w:tr>
        <w:tblPrEx>
          <w:tblCellMar>
            <w:top w:w="0" w:type="dxa"/>
            <w:left w:w="0" w:type="dxa"/>
            <w:bottom w:w="0" w:type="dxa"/>
            <w:right w:w="0" w:type="dxa"/>
          </w:tblCellMar>
        </w:tblPrEx>
        <w:trPr>
          <w:trHeight w:val="397" w:hRule="atLeast"/>
          <w:jc w:val="center"/>
        </w:trPr>
        <w:tc>
          <w:tcPr>
            <w:tcW w:w="734"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1312"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按照消防要求进行巡查，重要部位每日巡查1次，公共部位每月巡查2次，有记录</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不按规定开展治安巡逻、消防巡查的，每次扣罚50元，导致偷盗损失的，另行处理。不按要求完善值班记录、出警记录、巡查记录的，每次扣20元。发现安防设备故障不报告，扣罚50元。</w:t>
            </w:r>
          </w:p>
        </w:tc>
      </w:tr>
      <w:tr>
        <w:tblPrEx>
          <w:tblCellMar>
            <w:top w:w="0" w:type="dxa"/>
            <w:left w:w="0" w:type="dxa"/>
            <w:bottom w:w="0" w:type="dxa"/>
            <w:right w:w="0" w:type="dxa"/>
          </w:tblCellMar>
        </w:tblPrEx>
        <w:trPr>
          <w:trHeight w:val="397" w:hRule="atLeast"/>
          <w:jc w:val="center"/>
        </w:trPr>
        <w:tc>
          <w:tcPr>
            <w:tcW w:w="734"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1312"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减少服务投诉的发生。</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经核实并视情节轻重，属影响较大投诉每次扣100元，其他投诉每次扣50元。</w:t>
            </w:r>
          </w:p>
        </w:tc>
      </w:tr>
      <w:tr>
        <w:tblPrEx>
          <w:tblCellMar>
            <w:top w:w="0" w:type="dxa"/>
            <w:left w:w="0" w:type="dxa"/>
            <w:bottom w:w="0" w:type="dxa"/>
            <w:right w:w="0" w:type="dxa"/>
          </w:tblCellMar>
        </w:tblPrEx>
        <w:trPr>
          <w:trHeight w:val="1872" w:hRule="atLeast"/>
          <w:jc w:val="center"/>
        </w:trPr>
        <w:tc>
          <w:tcPr>
            <w:tcW w:w="734"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1312"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911" w:type="dxa"/>
            <w:tcBorders>
              <w:top w:val="single" w:color="auto" w:sz="6" w:space="0"/>
              <w:left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院内发现初起小火处理及时或阻止病人或抓获小偷等。</w:t>
            </w:r>
          </w:p>
        </w:tc>
        <w:tc>
          <w:tcPr>
            <w:tcW w:w="4401" w:type="dxa"/>
            <w:tcBorders>
              <w:top w:val="single" w:color="auto" w:sz="6" w:space="0"/>
              <w:left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发现</w:t>
            </w:r>
            <w:r>
              <w:rPr>
                <w:rFonts w:hint="eastAsia" w:ascii="宋体" w:hAnsi="宋体" w:eastAsia="宋体" w:cs="宋体"/>
                <w:color w:val="auto"/>
                <w:sz w:val="24"/>
                <w:szCs w:val="24"/>
                <w:highlight w:val="none"/>
              </w:rPr>
              <w:t>初起小火</w:t>
            </w:r>
            <w:r>
              <w:rPr>
                <w:rFonts w:hint="eastAsia" w:ascii="宋体" w:hAnsi="宋体" w:eastAsia="宋体" w:cs="宋体"/>
                <w:color w:val="auto"/>
                <w:sz w:val="24"/>
                <w:szCs w:val="24"/>
                <w:highlight w:val="none"/>
                <w:lang w:eastAsia="zh-CN"/>
              </w:rPr>
              <w:t>不报告的</w:t>
            </w:r>
            <w:r>
              <w:rPr>
                <w:rFonts w:hint="eastAsia" w:ascii="宋体" w:hAnsi="宋体" w:eastAsia="宋体" w:cs="宋体"/>
                <w:color w:val="auto"/>
                <w:sz w:val="24"/>
                <w:szCs w:val="24"/>
                <w:highlight w:val="none"/>
              </w:rPr>
              <w:t>1次</w:t>
            </w:r>
            <w:r>
              <w:rPr>
                <w:rFonts w:hint="eastAsia" w:ascii="宋体" w:hAnsi="宋体" w:eastAsia="宋体" w:cs="宋体"/>
                <w:color w:val="auto"/>
                <w:sz w:val="24"/>
                <w:szCs w:val="24"/>
                <w:highlight w:val="none"/>
                <w:lang w:eastAsia="zh-CN"/>
              </w:rPr>
              <w:t>扣罚</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0元，</w:t>
            </w:r>
            <w:r>
              <w:rPr>
                <w:rFonts w:hint="eastAsia" w:ascii="宋体" w:hAnsi="宋体" w:eastAsia="宋体" w:cs="宋体"/>
                <w:color w:val="auto"/>
                <w:sz w:val="24"/>
                <w:szCs w:val="24"/>
                <w:highlight w:val="none"/>
                <w:lang w:eastAsia="zh-CN"/>
              </w:rPr>
              <w:t>严重的</w:t>
            </w:r>
            <w:r>
              <w:rPr>
                <w:rFonts w:hint="eastAsia" w:ascii="宋体" w:hAnsi="宋体" w:eastAsia="宋体" w:cs="宋体"/>
                <w:color w:val="auto"/>
                <w:sz w:val="24"/>
                <w:szCs w:val="24"/>
                <w:highlight w:val="none"/>
                <w:lang w:val="en-US" w:eastAsia="zh-CN"/>
              </w:rPr>
              <w:t>1次</w:t>
            </w:r>
            <w:r>
              <w:rPr>
                <w:rFonts w:hint="eastAsia" w:ascii="宋体" w:hAnsi="宋体" w:eastAsia="宋体" w:cs="宋体"/>
                <w:color w:val="auto"/>
                <w:sz w:val="24"/>
                <w:szCs w:val="24"/>
                <w:highlight w:val="none"/>
                <w:lang w:eastAsia="zh-CN"/>
              </w:rPr>
              <w:t>扣罚</w:t>
            </w:r>
            <w:r>
              <w:rPr>
                <w:rFonts w:hint="eastAsia" w:ascii="宋体" w:hAnsi="宋体" w:eastAsia="宋体" w:cs="宋体"/>
                <w:color w:val="auto"/>
                <w:sz w:val="24"/>
                <w:szCs w:val="24"/>
                <w:highlight w:val="none"/>
                <w:lang w:val="en-US" w:eastAsia="zh-CN"/>
              </w:rPr>
              <w:t>500元；</w:t>
            </w:r>
            <w:r>
              <w:rPr>
                <w:rFonts w:hint="eastAsia" w:ascii="宋体" w:hAnsi="宋体" w:eastAsia="宋体" w:cs="宋体"/>
                <w:color w:val="auto"/>
                <w:sz w:val="24"/>
                <w:szCs w:val="24"/>
                <w:highlight w:val="none"/>
              </w:rPr>
              <w:t>发现可疑人员不核实，扣罚50元。发现问题或险情（警情）不报告、不处理的，扣罚100元，情节严重直至辞退。</w:t>
            </w:r>
          </w:p>
        </w:tc>
      </w:tr>
      <w:tr>
        <w:tblPrEx>
          <w:tblCellMar>
            <w:top w:w="0" w:type="dxa"/>
            <w:left w:w="0" w:type="dxa"/>
            <w:bottom w:w="0" w:type="dxa"/>
            <w:right w:w="0" w:type="dxa"/>
          </w:tblCellMar>
        </w:tblPrEx>
        <w:trPr>
          <w:trHeight w:val="397" w:hRule="atLeast"/>
          <w:jc w:val="center"/>
        </w:trPr>
        <w:tc>
          <w:tcPr>
            <w:tcW w:w="734" w:type="dxa"/>
            <w:tcBorders>
              <w:top w:val="single" w:color="auto" w:sz="4" w:space="0"/>
              <w:left w:val="doub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312" w:type="dxa"/>
            <w:tcBorders>
              <w:top w:val="single" w:color="auto" w:sz="4" w:space="0"/>
              <w:left w:val="doub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学习培训</w:t>
            </w: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经过岗前培训和调岗培训，胜任岗位要求。</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安全器材使用不当或出勤不按规定携带器材，每次扣罚50元。培训后仍不会操作视频和消防系统设备的，必要时辞退，因误操作造成设备故障（损坏）的，酌价赔偿。</w:t>
            </w:r>
          </w:p>
        </w:tc>
      </w:tr>
      <w:tr>
        <w:tblPrEx>
          <w:tblCellMar>
            <w:top w:w="0" w:type="dxa"/>
            <w:left w:w="0" w:type="dxa"/>
            <w:bottom w:w="0" w:type="dxa"/>
            <w:right w:w="0" w:type="dxa"/>
          </w:tblCellMar>
        </w:tblPrEx>
        <w:trPr>
          <w:trHeight w:val="989" w:hRule="atLeast"/>
          <w:jc w:val="center"/>
        </w:trPr>
        <w:tc>
          <w:tcPr>
            <w:tcW w:w="734" w:type="dxa"/>
            <w:vMerge w:val="restart"/>
            <w:tcBorders>
              <w:top w:val="single" w:color="auto" w:sz="4"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312" w:type="dxa"/>
            <w:vMerge w:val="restart"/>
            <w:tcBorders>
              <w:top w:val="single" w:color="auto" w:sz="4"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奖励</w:t>
            </w: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追回病人</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精神病人逃跑</w:t>
            </w:r>
            <w:r>
              <w:rPr>
                <w:rFonts w:hint="eastAsia" w:ascii="宋体" w:hAnsi="宋体" w:eastAsia="宋体" w:cs="宋体"/>
                <w:color w:val="auto"/>
                <w:sz w:val="24"/>
                <w:szCs w:val="24"/>
                <w:highlight w:val="none"/>
                <w:lang w:eastAsia="zh-CN"/>
              </w:rPr>
              <w:t>院内追回每次奖励</w:t>
            </w:r>
            <w:r>
              <w:rPr>
                <w:rFonts w:hint="eastAsia" w:ascii="宋体" w:hAnsi="宋体" w:eastAsia="宋体" w:cs="宋体"/>
                <w:color w:val="auto"/>
                <w:sz w:val="24"/>
                <w:szCs w:val="24"/>
                <w:highlight w:val="none"/>
                <w:lang w:val="en-US" w:eastAsia="zh-CN"/>
              </w:rPr>
              <w:t>50元，跑</w:t>
            </w:r>
            <w:r>
              <w:rPr>
                <w:rFonts w:hint="eastAsia" w:ascii="宋体" w:hAnsi="宋体" w:eastAsia="宋体" w:cs="宋体"/>
                <w:color w:val="auto"/>
                <w:sz w:val="24"/>
                <w:szCs w:val="24"/>
                <w:highlight w:val="none"/>
              </w:rPr>
              <w:t>出院外成功追回的，每次奖励100元。</w:t>
            </w:r>
          </w:p>
        </w:tc>
      </w:tr>
      <w:tr>
        <w:tblPrEx>
          <w:tblCellMar>
            <w:top w:w="0" w:type="dxa"/>
            <w:left w:w="0" w:type="dxa"/>
            <w:bottom w:w="0" w:type="dxa"/>
            <w:right w:w="0" w:type="dxa"/>
          </w:tblCellMar>
        </w:tblPrEx>
        <w:trPr>
          <w:trHeight w:val="989" w:hRule="atLeast"/>
          <w:jc w:val="center"/>
        </w:trPr>
        <w:tc>
          <w:tcPr>
            <w:tcW w:w="734"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1312"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91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不良事件</w:t>
            </w:r>
            <w:r>
              <w:rPr>
                <w:rFonts w:hint="eastAsia" w:ascii="宋体" w:hAnsi="宋体" w:eastAsia="宋体" w:cs="宋体"/>
                <w:color w:val="auto"/>
                <w:sz w:val="24"/>
                <w:szCs w:val="24"/>
                <w:highlight w:val="none"/>
                <w:lang w:eastAsia="zh-CN"/>
              </w:rPr>
              <w:t>处置</w:t>
            </w:r>
          </w:p>
        </w:tc>
        <w:tc>
          <w:tcPr>
            <w:tcW w:w="44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巡查发现不良事件并阻止不良事件发生或正确处理不良事件避免对医院造成不良影响的经医院相关部门认定的每次奖励200元。</w:t>
            </w:r>
          </w:p>
        </w:tc>
      </w:tr>
      <w:tr>
        <w:tblPrEx>
          <w:tblCellMar>
            <w:top w:w="0" w:type="dxa"/>
            <w:left w:w="0" w:type="dxa"/>
            <w:bottom w:w="0" w:type="dxa"/>
            <w:right w:w="0" w:type="dxa"/>
          </w:tblCellMar>
        </w:tblPrEx>
        <w:trPr>
          <w:trHeight w:val="989" w:hRule="atLeast"/>
          <w:jc w:val="center"/>
        </w:trPr>
        <w:tc>
          <w:tcPr>
            <w:tcW w:w="734" w:type="dxa"/>
            <w:vMerge w:val="continue"/>
            <w:tcBorders>
              <w:left w:val="doub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1312" w:type="dxa"/>
            <w:vMerge w:val="continue"/>
            <w:tcBorders>
              <w:left w:val="doub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911" w:type="dxa"/>
            <w:tcBorders>
              <w:top w:val="single" w:color="auto" w:sz="6" w:space="0"/>
              <w:left w:val="sing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火灾隐患处理或</w:t>
            </w:r>
            <w:r>
              <w:rPr>
                <w:rFonts w:hint="eastAsia" w:ascii="宋体" w:hAnsi="宋体" w:eastAsia="宋体" w:cs="宋体"/>
                <w:color w:val="auto"/>
                <w:sz w:val="24"/>
                <w:szCs w:val="24"/>
                <w:highlight w:val="none"/>
              </w:rPr>
              <w:t>抓获小偷</w:t>
            </w:r>
          </w:p>
        </w:tc>
        <w:tc>
          <w:tcPr>
            <w:tcW w:w="4401" w:type="dxa"/>
            <w:tcBorders>
              <w:top w:val="single" w:color="auto" w:sz="6" w:space="0"/>
              <w:left w:val="sing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正确处理初起小火</w:t>
            </w:r>
            <w:r>
              <w:rPr>
                <w:rFonts w:hint="eastAsia" w:ascii="宋体" w:hAnsi="宋体" w:eastAsia="宋体" w:cs="宋体"/>
                <w:color w:val="auto"/>
                <w:sz w:val="24"/>
                <w:szCs w:val="24"/>
                <w:highlight w:val="none"/>
                <w:lang w:eastAsia="zh-CN"/>
              </w:rPr>
              <w:t>阻止火灾发生的</w:t>
            </w:r>
            <w:r>
              <w:rPr>
                <w:rFonts w:hint="eastAsia" w:ascii="宋体" w:hAnsi="宋体" w:eastAsia="宋体" w:cs="宋体"/>
                <w:color w:val="auto"/>
                <w:sz w:val="24"/>
                <w:szCs w:val="24"/>
                <w:highlight w:val="none"/>
              </w:rPr>
              <w:t>1次奖励</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0元，阻止病人或抓获小偷等每次奖励100元。</w:t>
            </w:r>
          </w:p>
        </w:tc>
      </w:tr>
    </w:tbl>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2.月度考核</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医院按照工作要求和保安各岗位履行职责情况，每月进行中标商的服务质量考核，按照业务能力强、较好履行岗位职责的，考核为优秀；业务能力合格，能够履行岗位职责的，考核周期没有投诉或考核检查没有被扣罚情况，考核为合格；业务能力合格，能够履行岗位职责的，考核周期发生过投诉或考核检查没有被扣罚情况，考核为基本合格；考核结果作为服务费用转账和续签服务合同的依据。</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tbl>
      <w:tblPr>
        <w:tblStyle w:val="44"/>
        <w:tblW w:w="9910" w:type="dxa"/>
        <w:jc w:val="center"/>
        <w:tblLayout w:type="fixed"/>
        <w:tblCellMar>
          <w:top w:w="0" w:type="dxa"/>
          <w:left w:w="0" w:type="dxa"/>
          <w:bottom w:w="0" w:type="dxa"/>
          <w:right w:w="0" w:type="dxa"/>
        </w:tblCellMar>
      </w:tblPr>
      <w:tblGrid>
        <w:gridCol w:w="665"/>
        <w:gridCol w:w="1131"/>
        <w:gridCol w:w="2332"/>
        <w:gridCol w:w="3996"/>
        <w:gridCol w:w="804"/>
        <w:gridCol w:w="982"/>
      </w:tblGrid>
      <w:tr>
        <w:tblPrEx>
          <w:tblCellMar>
            <w:top w:w="0" w:type="dxa"/>
            <w:left w:w="0" w:type="dxa"/>
            <w:bottom w:w="0" w:type="dxa"/>
            <w:right w:w="0" w:type="dxa"/>
          </w:tblCellMar>
        </w:tblPrEx>
        <w:trPr>
          <w:trHeight w:val="1020" w:hRule="atLeast"/>
          <w:jc w:val="center"/>
        </w:trPr>
        <w:tc>
          <w:tcPr>
            <w:tcW w:w="9910" w:type="dxa"/>
            <w:gridSpan w:val="6"/>
            <w:tcBorders>
              <w:top w:val="double" w:color="auto" w:sz="6" w:space="0"/>
              <w:left w:val="doub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广西脑科医院保安公司服务质量考核表</w:t>
            </w:r>
          </w:p>
        </w:tc>
      </w:tr>
      <w:tr>
        <w:tblPrEx>
          <w:tblCellMar>
            <w:top w:w="0" w:type="dxa"/>
            <w:left w:w="0" w:type="dxa"/>
            <w:bottom w:w="0" w:type="dxa"/>
            <w:right w:w="0" w:type="dxa"/>
          </w:tblCellMar>
        </w:tblPrEx>
        <w:trPr>
          <w:trHeight w:val="397" w:hRule="atLeast"/>
          <w:jc w:val="center"/>
        </w:trPr>
        <w:tc>
          <w:tcPr>
            <w:tcW w:w="665"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131"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考核类别</w:t>
            </w: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考核内容及要求</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项目及扣分</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得分</w:t>
            </w:r>
          </w:p>
        </w:tc>
      </w:tr>
      <w:tr>
        <w:tblPrEx>
          <w:tblCellMar>
            <w:top w:w="0" w:type="dxa"/>
            <w:left w:w="0" w:type="dxa"/>
            <w:bottom w:w="0" w:type="dxa"/>
            <w:right w:w="0" w:type="dxa"/>
          </w:tblCellMar>
        </w:tblPrEx>
        <w:trPr>
          <w:trHeight w:val="808" w:hRule="atLeast"/>
          <w:jc w:val="center"/>
        </w:trPr>
        <w:tc>
          <w:tcPr>
            <w:tcW w:w="665"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31"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着装仪表</w:t>
            </w: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严格履行岗位职责，仪表端庄，做好交接班记录</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上班时间仪表不端庄，着装不整齐，精神不振，发现一人扣1分；没有交接班记录或填写不完整，每发现一次扣1分，所有分数扣完为止。</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793" w:hRule="atLeast"/>
          <w:jc w:val="center"/>
        </w:trPr>
        <w:tc>
          <w:tcPr>
            <w:tcW w:w="665"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31"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劳动纪律</w:t>
            </w: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坚守工作岗位，不无故缺岗，擅离岗位</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上班迟到、早退、脱岗、睡觉、看电视、酒后上岗等做其他与工作无关的事，每发现一次扣</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分，扣完为止。</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703" w:hRule="atLeast"/>
          <w:jc w:val="center"/>
        </w:trPr>
        <w:tc>
          <w:tcPr>
            <w:tcW w:w="665" w:type="dxa"/>
            <w:vMerge w:val="restart"/>
            <w:tcBorders>
              <w:top w:val="single" w:color="auto" w:sz="6"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31" w:type="dxa"/>
            <w:vMerge w:val="restart"/>
            <w:tcBorders>
              <w:top w:val="single" w:color="auto" w:sz="6"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安全管理</w:t>
            </w:r>
          </w:p>
        </w:tc>
        <w:tc>
          <w:tcPr>
            <w:tcW w:w="2332" w:type="dxa"/>
            <w:tcBorders>
              <w:top w:val="single" w:color="auto" w:sz="6" w:space="0"/>
              <w:left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爱护交通设施，发现交通设施损坏应及时报告医院有关部门</w:t>
            </w:r>
          </w:p>
        </w:tc>
        <w:tc>
          <w:tcPr>
            <w:tcW w:w="3996" w:type="dxa"/>
            <w:tcBorders>
              <w:top w:val="single" w:color="auto" w:sz="6" w:space="0"/>
              <w:left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发现交通设施损坏未及时报告，每次扣1分，扣完为止。</w:t>
            </w:r>
          </w:p>
        </w:tc>
        <w:tc>
          <w:tcPr>
            <w:tcW w:w="804" w:type="dxa"/>
            <w:tcBorders>
              <w:top w:val="single" w:color="auto" w:sz="6" w:space="0"/>
              <w:left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684" w:hRule="atLeast"/>
          <w:jc w:val="center"/>
        </w:trPr>
        <w:tc>
          <w:tcPr>
            <w:tcW w:w="665" w:type="dxa"/>
            <w:vMerge w:val="continue"/>
            <w:tcBorders>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1131" w:type="dxa"/>
            <w:vMerge w:val="continue"/>
            <w:tcBorders>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每月进行保安员、消防员培训，培训需有记录</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对保安员、消防员的培训记录进行检查，未按照时间培训的，每一次扣1分，扣完为止。</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397" w:hRule="atLeast"/>
          <w:jc w:val="center"/>
        </w:trPr>
        <w:tc>
          <w:tcPr>
            <w:tcW w:w="665" w:type="dxa"/>
            <w:vMerge w:val="restart"/>
            <w:tcBorders>
              <w:top w:val="single" w:color="auto" w:sz="6"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31" w:type="dxa"/>
            <w:vMerge w:val="restart"/>
            <w:tcBorders>
              <w:top w:val="single" w:color="auto" w:sz="6"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服务履职</w:t>
            </w: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加强对医院重点地方的巡查工作，维护正常医疗工作秩序</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不按巡更系统规定点位和时间巡逻，每次扣1分，发现安全隐患，不及时报告或处理不当的，每次扣2分，给医院造成经济损失的，视情节严重给予警告或要求更换员工。</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397" w:hRule="atLeast"/>
          <w:jc w:val="center"/>
        </w:trPr>
        <w:tc>
          <w:tcPr>
            <w:tcW w:w="665"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1131"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服务态度端正，礼貌礼节到位</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上班期间有粗暴无礼行为或有损医院形象的，发现一次扣2分，扣完为止。</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397" w:hRule="atLeast"/>
          <w:jc w:val="center"/>
        </w:trPr>
        <w:tc>
          <w:tcPr>
            <w:tcW w:w="665"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1131"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车辆停放秩序统一管理，保证停车场秩序, 确保道路畅通，无随意占用道路</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车辆乱停乱放现象严重的，发现一次扣1分，造成医院道路拥堵，发现一次扣2分，扣完为止。</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397" w:hRule="atLeast"/>
          <w:jc w:val="center"/>
        </w:trPr>
        <w:tc>
          <w:tcPr>
            <w:tcW w:w="665"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1131" w:type="dxa"/>
            <w:vMerge w:val="continue"/>
            <w:tcBorders>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按照消防要求进行巡查，重要部位每日巡查1次，公共部位每月巡查2次，有记录</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不巡查或不按时做好巡查记录，每次扣1分，扣完为止。</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397" w:hRule="atLeast"/>
          <w:jc w:val="center"/>
        </w:trPr>
        <w:tc>
          <w:tcPr>
            <w:tcW w:w="665" w:type="dxa"/>
            <w:vMerge w:val="continue"/>
            <w:tcBorders>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1131" w:type="dxa"/>
            <w:vMerge w:val="continue"/>
            <w:tcBorders>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减少服务投诉的发生</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视情节严重，属重大投诉每次扣5分，属小型或其他投诉每次扣1分，扣完为止。</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397" w:hRule="atLeast"/>
          <w:jc w:val="center"/>
        </w:trPr>
        <w:tc>
          <w:tcPr>
            <w:tcW w:w="665" w:type="dxa"/>
            <w:vMerge w:val="restart"/>
            <w:tcBorders>
              <w:top w:val="single" w:color="auto" w:sz="6"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31" w:type="dxa"/>
            <w:vMerge w:val="restart"/>
            <w:tcBorders>
              <w:top w:val="single" w:color="auto" w:sz="6" w:space="0"/>
              <w:left w:val="doub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加分项</w:t>
            </w: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完成医院布置的工作，执行医院的规章制度</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遵守医院制度，积极配合医院完成任务，视保安员本院工作情况综合打分，1个考核周期最高加2分。</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rPr>
            </w:pPr>
            <w:r>
              <w:rPr>
                <w:rFonts w:hint="eastAsia" w:ascii="宋体" w:hAnsi="宋体" w:eastAsia="宋体" w:cs="宋体"/>
                <w:color w:val="auto"/>
                <w:sz w:val="24"/>
                <w:szCs w:val="24"/>
                <w:highlight w:val="none"/>
                <w:lang w:val="en-US" w:eastAsia="zh-CN"/>
              </w:rPr>
              <w:t>积极参加医院组织的公益性活动，每参加一次加0.5分/人次（参加公益性活动本项加分不设限）</w:t>
            </w:r>
            <w:r>
              <w:rPr>
                <w:rFonts w:hint="eastAsia" w:ascii="宋体" w:hAnsi="宋体" w:cs="宋体"/>
                <w:color w:val="auto"/>
                <w:sz w:val="24"/>
                <w:szCs w:val="24"/>
                <w:highlight w:val="none"/>
                <w:lang w:val="en-US" w:eastAsia="zh-CN"/>
              </w:rPr>
              <w:t>。</w:t>
            </w:r>
            <w:bookmarkStart w:id="57" w:name="_GoBack"/>
            <w:bookmarkEnd w:id="57"/>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397" w:hRule="atLeast"/>
          <w:jc w:val="center"/>
        </w:trPr>
        <w:tc>
          <w:tcPr>
            <w:tcW w:w="665" w:type="dxa"/>
            <w:vMerge w:val="continue"/>
            <w:tcBorders>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1131" w:type="dxa"/>
            <w:vMerge w:val="continue"/>
            <w:tcBorders>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院内发现初起小火处理及时或阻止病人或抓获小偷等</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正确处理初起小火1次加3分，阻止病人或抓获小偷等每次加2分。</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397" w:hRule="atLeast"/>
          <w:jc w:val="center"/>
        </w:trPr>
        <w:tc>
          <w:tcPr>
            <w:tcW w:w="665"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31" w:type="dxa"/>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一票否决项</w:t>
            </w:r>
          </w:p>
        </w:tc>
        <w:tc>
          <w:tcPr>
            <w:tcW w:w="233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无重大刑事案件及重大安全事故</w:t>
            </w:r>
          </w:p>
        </w:tc>
        <w:tc>
          <w:tcPr>
            <w:tcW w:w="399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出现重大刑事案件及重大安全事故的，当班责任保安予以辞退，保安公司管理责任的，除按合同规定执行、业绩带入下阶段的招标中。</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606" w:hRule="atLeast"/>
          <w:jc w:val="center"/>
        </w:trPr>
        <w:tc>
          <w:tcPr>
            <w:tcW w:w="8124" w:type="dxa"/>
            <w:gridSpan w:val="4"/>
            <w:tcBorders>
              <w:top w:val="single" w:color="auto" w:sz="6" w:space="0"/>
              <w:left w:val="doub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w:t>
            </w:r>
          </w:p>
        </w:tc>
        <w:tc>
          <w:tcPr>
            <w:tcW w:w="80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982" w:type="dxa"/>
            <w:tcBorders>
              <w:top w:val="single" w:color="auto" w:sz="6" w:space="0"/>
              <w:left w:val="single" w:color="auto" w:sz="6" w:space="0"/>
              <w:bottom w:val="sing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trHeight w:val="397" w:hRule="atLeast"/>
          <w:jc w:val="center"/>
        </w:trPr>
        <w:tc>
          <w:tcPr>
            <w:tcW w:w="9910" w:type="dxa"/>
            <w:gridSpan w:val="6"/>
            <w:tcBorders>
              <w:top w:val="single" w:color="auto" w:sz="6" w:space="0"/>
              <w:left w:val="double" w:color="auto" w:sz="6" w:space="0"/>
              <w:bottom w:val="double" w:color="auto" w:sz="6" w:space="0"/>
              <w:right w:val="doub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备注：每月随机对保安工作进行全面考核，90分为合格，低于90分每分扣50元，管理人员负连带责任。全院工作人员参与监督。本表仅用于考核保安员、消防员合格与否，发现违规行为时按合同执行。</w:t>
            </w:r>
          </w:p>
        </w:tc>
      </w:tr>
    </w:tbl>
    <w:p>
      <w:pPr>
        <w:rPr>
          <w:rFonts w:hint="eastAsia" w:ascii="宋体" w:hAnsi="宋体" w:eastAsia="宋体" w:cs="宋体"/>
          <w:b/>
          <w:bCs/>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cs="宋体"/>
          <w:sz w:val="24"/>
          <w:highlight w:val="none"/>
        </w:rPr>
        <w:t>▲</w:t>
      </w:r>
      <w:r>
        <w:rPr>
          <w:rFonts w:hint="eastAsia" w:ascii="宋体" w:hAnsi="宋体" w:eastAsia="宋体" w:cs="宋体"/>
          <w:b/>
          <w:bCs/>
          <w:color w:val="auto"/>
          <w:sz w:val="24"/>
          <w:szCs w:val="24"/>
          <w:highlight w:val="none"/>
        </w:rPr>
        <w:t xml:space="preserve">六、商务要求  </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1、报价要求</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报价必须包含以下部分，包括：</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（1）本项目响应报价、利润及风险由供应商自行考虑（包括柳州市人民政府调整最低工资标准后，按实际情况增加人工费及相应保险费用）；</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（2）供应商必须按照《劳动合同法》的规定与员工签订劳动合同并按照国家及省市的相关规定为投入本项目人员统一办理社会保险和人员意外伤害等各种保险并承担相关费用；</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（3）供应商报价必须包含本项目人员工资、保险费、福利费、加班费、管理费、交通费、服装费、增派保安员费用、税费等相关费用；</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（4）供应商须自行承担保安服务所需的专用工具、安保用品、器材、车辆等相关费用；</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（5）其他相关费用由供应商自行承担。</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2、付款方式：</w:t>
      </w:r>
      <w:r>
        <w:rPr>
          <w:rFonts w:hint="eastAsia" w:ascii="宋体" w:hAnsi="宋体" w:eastAsia="宋体" w:cs="宋体"/>
          <w:color w:val="auto"/>
          <w:sz w:val="24"/>
          <w:szCs w:val="24"/>
          <w:highlight w:val="none"/>
        </w:rPr>
        <w:t>签订后采购人按月向成交供应商支付服务费，成交供应商应当于下月前5个工作日内，将上月合法、有效发票开具给采购人，采购人在收到发票后5个工作日内启动支付流程，否则，采购人可以顺延付款（均不计利息）。</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3、服务交接时间及地点</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（1）自合同约定提供服务之日</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lang w:val="en-US" w:eastAsia="zh-CN"/>
        </w:rPr>
        <w:t>7日内</w:t>
      </w:r>
      <w:r>
        <w:rPr>
          <w:rFonts w:hint="eastAsia" w:ascii="宋体" w:hAnsi="宋体" w:eastAsia="宋体" w:cs="宋体"/>
          <w:color w:val="auto"/>
          <w:sz w:val="24"/>
          <w:szCs w:val="24"/>
          <w:highlight w:val="none"/>
          <w:lang w:eastAsia="zh-CN"/>
        </w:rPr>
        <w:t>要到服务地点熟悉相关的服务岗位并做好交接，合同约定提供服务之日要正常履职</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（2）服务地点：柳州市鸡喇路1号广西</w:t>
      </w:r>
      <w:r>
        <w:rPr>
          <w:rFonts w:hint="eastAsia" w:ascii="宋体" w:hAnsi="宋体" w:eastAsia="宋体" w:cs="宋体"/>
          <w:color w:val="auto"/>
          <w:sz w:val="24"/>
          <w:szCs w:val="24"/>
          <w:highlight w:val="none"/>
          <w:lang w:eastAsia="zh-CN"/>
        </w:rPr>
        <w:t>壮族自治区</w:t>
      </w:r>
      <w:r>
        <w:rPr>
          <w:rFonts w:hint="eastAsia" w:ascii="宋体" w:hAnsi="宋体" w:eastAsia="宋体" w:cs="宋体"/>
          <w:color w:val="auto"/>
          <w:sz w:val="24"/>
          <w:szCs w:val="24"/>
          <w:highlight w:val="none"/>
        </w:rPr>
        <w:t>脑科医院内采购人指定地点。</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4、其他要求：</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成交供应商派驻的实际人员应保证人员职数不变，在岗位上因不可抗力的因素，不能坚守岗位（或到岗）的，成交供应商可以自行调配具有同等资质的人员到岗执勤，但是必须保证该岗位人员累计在岗半年时间具有该岗位要求的资质条件，否则视为虚假应标，采购人有权立即解除合同。</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（2）成交供应商每月须向采购人提供全院的停车收费数据、现金流量（银行、微信或支付宝收费流水账单）。</w:t>
      </w:r>
    </w:p>
    <w:p>
      <w:pPr>
        <w:widowControl/>
        <w:spacing w:line="240" w:lineRule="auto"/>
        <w:ind w:firstLine="480"/>
        <w:jc w:val="left"/>
        <w:rPr>
          <w:rFonts w:hint="eastAsia" w:ascii="宋体" w:hAnsi="宋体" w:eastAsia="宋体" w:cs="宋体"/>
          <w:color w:val="auto"/>
          <w:highlight w:val="none"/>
          <w:lang w:val="en-US" w:eastAsia="zh-CN"/>
        </w:rPr>
      </w:pPr>
      <w:r>
        <w:rPr>
          <w:rFonts w:hint="eastAsia" w:ascii="宋体" w:hAnsi="宋体" w:eastAsia="宋体" w:cs="宋体"/>
          <w:color w:val="auto"/>
          <w:kern w:val="32"/>
          <w:szCs w:val="21"/>
          <w:highlight w:val="none"/>
        </w:rPr>
        <w:br w:type="page"/>
      </w:r>
    </w:p>
    <w:p>
      <w:pPr>
        <w:spacing w:line="360" w:lineRule="auto"/>
        <w:ind w:firstLine="42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附件1：</w:t>
      </w:r>
    </w:p>
    <w:p>
      <w:pPr>
        <w:spacing w:line="3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中小微企业划型标准</w:t>
      </w:r>
    </w:p>
    <w:tbl>
      <w:tblPr>
        <w:tblStyle w:val="44"/>
        <w:tblW w:w="9600" w:type="dxa"/>
        <w:tblInd w:w="250" w:type="dxa"/>
        <w:tblLayout w:type="fixed"/>
        <w:tblCellMar>
          <w:top w:w="0" w:type="dxa"/>
          <w:left w:w="108" w:type="dxa"/>
          <w:bottom w:w="0" w:type="dxa"/>
          <w:right w:w="108" w:type="dxa"/>
        </w:tblCellMar>
      </w:tblPr>
      <w:tblGrid>
        <w:gridCol w:w="1700"/>
        <w:gridCol w:w="1383"/>
        <w:gridCol w:w="913"/>
        <w:gridCol w:w="1898"/>
        <w:gridCol w:w="2256"/>
        <w:gridCol w:w="1450"/>
      </w:tblGrid>
      <w:tr>
        <w:tblPrEx>
          <w:tblCellMar>
            <w:top w:w="0" w:type="dxa"/>
            <w:left w:w="108" w:type="dxa"/>
            <w:bottom w:w="0" w:type="dxa"/>
            <w:right w:w="108" w:type="dxa"/>
          </w:tblCellMar>
        </w:tblPrEx>
        <w:trPr>
          <w:trHeight w:val="285" w:hRule="atLeast"/>
        </w:trPr>
        <w:tc>
          <w:tcPr>
            <w:tcW w:w="170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行业名称</w:t>
            </w:r>
          </w:p>
        </w:tc>
        <w:tc>
          <w:tcPr>
            <w:tcW w:w="1383"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指标名称</w:t>
            </w:r>
          </w:p>
        </w:tc>
        <w:tc>
          <w:tcPr>
            <w:tcW w:w="913"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计量单位</w:t>
            </w:r>
          </w:p>
        </w:tc>
        <w:tc>
          <w:tcPr>
            <w:tcW w:w="1898"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中型</w:t>
            </w:r>
          </w:p>
        </w:tc>
        <w:tc>
          <w:tcPr>
            <w:tcW w:w="225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小型</w:t>
            </w:r>
          </w:p>
        </w:tc>
        <w:tc>
          <w:tcPr>
            <w:tcW w:w="145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微型</w:t>
            </w:r>
          </w:p>
        </w:tc>
      </w:tr>
      <w:tr>
        <w:tblPrEx>
          <w:tblCellMar>
            <w:top w:w="0" w:type="dxa"/>
            <w:left w:w="108" w:type="dxa"/>
            <w:bottom w:w="0" w:type="dxa"/>
            <w:right w:w="108" w:type="dxa"/>
          </w:tblCellMar>
        </w:tblPrEx>
        <w:trPr>
          <w:trHeight w:val="225" w:hRule="atLeast"/>
        </w:trPr>
        <w:tc>
          <w:tcPr>
            <w:tcW w:w="1700" w:type="dxa"/>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农、林、牧、渔</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500≤Y＜20000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50≤Y＜500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Y＜50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工业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20≤X＜300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2000≤Y＜40000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300≤Y＜2000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Y＜300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建筑业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6000≤Y＜80000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300≤Y＜6000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Y＜300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资产总额（Z）</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5000≤Z＜80000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300≤Z＜5000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Z＜300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批发业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20≤X＜200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5≤X＜20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X＜5</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5000≤Y＜40000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1000≤Y＜5000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零售业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50≤X＜300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10≤X＜50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500≤Y＜20000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100≤Y＜500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交通运输业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20≤X＜300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3000≤Y＜30000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200≤Y＜3000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Y＜200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仓储业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100≤X＜200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20≤X＜100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1000≤Y＜30000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100≤Y＜1000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邮政业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20≤X＜300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2000≤Y＜30000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100≤Y＜2000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住宿业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2000≤Y＜10000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100≤Y＜2000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餐饮业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2000≤Y＜10000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100≤Y＜2000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信息传输业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100≤X＜2000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1000≤Y＜100000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100≤Y＜1000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软件和信息技术服务业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1000≤Y＜10000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50≤Y＜1000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Y＜50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房地产开发经营</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1000≤Y＜200000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100≤X＜1000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资产总额（Z）</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5000≤Z＜10000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2000≤Y＜5000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Y＜2000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物业管理</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1000≤Y＜5000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500≤Y＜1000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Y＜500</w:t>
            </w:r>
          </w:p>
        </w:tc>
      </w:tr>
      <w:tr>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租赁和商务服务业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资产总额（Z）</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8000≤Z＜120000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100≤Z＜8000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trPr>
        <w:tc>
          <w:tcPr>
            <w:tcW w:w="1700" w:type="dxa"/>
            <w:tcBorders>
              <w:top w:val="nil"/>
              <w:left w:val="single" w:color="auto" w:sz="4" w:space="0"/>
              <w:bottom w:val="single" w:color="auto" w:sz="4" w:space="0"/>
              <w:right w:val="single" w:color="auto" w:sz="4" w:space="0"/>
            </w:tcBorders>
            <w:vAlign w:val="bottom"/>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其他未列明行业</w:t>
            </w:r>
          </w:p>
        </w:tc>
        <w:tc>
          <w:tcPr>
            <w:tcW w:w="138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89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22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4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bl>
    <w:p>
      <w:pPr>
        <w:spacing w:line="360" w:lineRule="auto"/>
        <w:ind w:firstLine="525" w:firstLineChars="250"/>
        <w:rPr>
          <w:rFonts w:ascii="仿宋_GB2312" w:hAnsi="仿宋" w:eastAsia="仿宋_GB2312"/>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pPr>
        <w:pStyle w:val="42"/>
        <w:rPr>
          <w:rFonts w:hint="eastAsia"/>
          <w:highlight w:val="none"/>
        </w:rPr>
      </w:pPr>
    </w:p>
    <w:p>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pPr>
        <w:pStyle w:val="4"/>
        <w:spacing w:line="48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第</w:t>
      </w:r>
      <w:r>
        <w:rPr>
          <w:rFonts w:hint="eastAsia" w:ascii="宋体" w:hAnsi="宋体" w:cs="宋体"/>
          <w:color w:val="auto"/>
          <w:sz w:val="32"/>
          <w:szCs w:val="32"/>
          <w:highlight w:val="none"/>
          <w:lang w:val="en-US" w:eastAsia="zh-CN"/>
        </w:rPr>
        <w:t>三</w:t>
      </w:r>
      <w:r>
        <w:rPr>
          <w:rFonts w:hint="eastAsia" w:ascii="宋体" w:hAnsi="宋体" w:eastAsia="宋体" w:cs="宋体"/>
          <w:color w:val="auto"/>
          <w:sz w:val="32"/>
          <w:szCs w:val="32"/>
          <w:highlight w:val="none"/>
        </w:rPr>
        <w:t>章 供应商须知</w:t>
      </w:r>
      <w:bookmarkEnd w:id="15"/>
    </w:p>
    <w:tbl>
      <w:tblPr>
        <w:tblStyle w:val="44"/>
        <w:tblW w:w="87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79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7" w:type="dxa"/>
            <w:gridSpan w:val="2"/>
          </w:tcPr>
          <w:p>
            <w:pPr>
              <w:spacing w:before="120" w:beforeLines="50"/>
              <w:ind w:right="140" w:firstLine="562"/>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供应商须知前附表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6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7920" w:type="dxa"/>
          </w:tcPr>
          <w:p>
            <w:pPr>
              <w:spacing w:line="46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920" w:type="dxa"/>
            <w:vAlign w:val="center"/>
          </w:tcPr>
          <w:p>
            <w:pPr>
              <w:spacing w:line="360" w:lineRule="exact"/>
              <w:rPr>
                <w:rFonts w:hint="eastAsia" w:ascii="宋体" w:hAnsi="宋体" w:cs="宋体"/>
                <w:color w:val="auto"/>
                <w:sz w:val="21"/>
                <w:szCs w:val="21"/>
                <w:highlight w:val="none"/>
                <w:u w:val="singl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u w:val="single"/>
                <w:lang w:eastAsia="zh-CN"/>
              </w:rPr>
              <w:t>广西壮族自治区脑科医院保安服务项目（重）</w:t>
            </w:r>
          </w:p>
          <w:p>
            <w:pPr>
              <w:spacing w:line="360" w:lineRule="exact"/>
              <w:rPr>
                <w:rFonts w:hint="eastAsia"/>
                <w:highlight w:val="none"/>
                <w:lang w:eastAsia="zh-CN"/>
              </w:rPr>
            </w:pP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编号</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eastAsia="zh-CN"/>
              </w:rPr>
              <w:t>GXZC2026-C3-001985-GXDY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920" w:type="dxa"/>
            <w:vAlign w:val="center"/>
          </w:tcPr>
          <w:p>
            <w:pPr>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供应商资格要求：</w:t>
            </w:r>
          </w:p>
          <w:p>
            <w:pPr>
              <w:pStyle w:val="27"/>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pPr>
              <w:pStyle w:val="27"/>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val="en-US" w:eastAsia="zh-CN"/>
              </w:rPr>
              <w:t>本项目专门面向中小企业采购，仅限中小企业（含小微企业）、监狱企业、残疾人福利性单位参与投标，大型企业不得参与投标。供应商须按要求提供《中小企业声明函》或对应视同小微企业的证明文件</w:t>
            </w:r>
            <w:r>
              <w:rPr>
                <w:rFonts w:hint="eastAsia" w:ascii="宋体" w:hAnsi="宋体" w:eastAsia="宋体" w:cs="宋体"/>
                <w:color w:val="auto"/>
                <w:sz w:val="21"/>
                <w:szCs w:val="21"/>
                <w:highlight w:val="none"/>
              </w:rPr>
              <w:t>。</w:t>
            </w:r>
          </w:p>
          <w:p>
            <w:pPr>
              <w:pStyle w:val="27"/>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p>
          <w:p>
            <w:pPr>
              <w:pStyle w:val="27"/>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3.1资质要求：</w:t>
            </w:r>
            <w:r>
              <w:rPr>
                <w:rFonts w:hint="eastAsia" w:cs="宋体"/>
                <w:color w:val="auto"/>
                <w:sz w:val="21"/>
                <w:szCs w:val="21"/>
                <w:highlight w:val="none"/>
                <w:lang w:eastAsia="zh-CN"/>
              </w:rPr>
              <w:t>供应商</w:t>
            </w:r>
            <w:r>
              <w:rPr>
                <w:rFonts w:hint="eastAsia" w:ascii="宋体" w:hAnsi="宋体" w:eastAsia="宋体" w:cs="宋体"/>
                <w:color w:val="auto"/>
                <w:sz w:val="21"/>
                <w:szCs w:val="21"/>
                <w:highlight w:val="none"/>
              </w:rPr>
              <w:t>须具备行政主管部门颁发的有效的《保安服务许可证》。</w:t>
            </w:r>
          </w:p>
          <w:p>
            <w:pPr>
              <w:pStyle w:val="27"/>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pPr>
              <w:pStyle w:val="27"/>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3.3未被列入失信被执行人、重大税收违法失信主体、政府采购严重违法失信行为记录名单。</w:t>
            </w:r>
          </w:p>
          <w:p>
            <w:pPr>
              <w:pStyle w:val="27"/>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3.4本项目不允许分包，不接受联合体投标。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920" w:type="dxa"/>
            <w:vAlign w:val="center"/>
          </w:tcPr>
          <w:p>
            <w:pPr>
              <w:pStyle w:val="27"/>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本项目不收取磋商保证金。 </w:t>
            </w:r>
          </w:p>
          <w:p>
            <w:pPr>
              <w:pStyle w:val="27"/>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 xml:space="preserve">本项目收取磋商保证金，具体规定如下： </w:t>
            </w:r>
          </w:p>
          <w:p>
            <w:pPr>
              <w:spacing w:line="340" w:lineRule="exact"/>
              <w:ind w:firstLine="422"/>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磋商保证金为：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16000.00</w:t>
            </w:r>
            <w:r>
              <w:rPr>
                <w:rFonts w:hint="eastAsia" w:ascii="宋体" w:hAnsi="宋体" w:eastAsia="宋体" w:cs="宋体"/>
                <w:color w:val="auto"/>
                <w:sz w:val="21"/>
                <w:szCs w:val="21"/>
                <w:highlight w:val="none"/>
                <w:lang w:val="en-US" w:eastAsia="zh-CN"/>
              </w:rPr>
              <w:t>元（人民币</w:t>
            </w:r>
            <w:r>
              <w:rPr>
                <w:rFonts w:hint="eastAsia" w:ascii="宋体" w:hAnsi="宋体" w:cs="宋体"/>
                <w:color w:val="auto"/>
                <w:sz w:val="21"/>
                <w:szCs w:val="21"/>
                <w:highlight w:val="none"/>
                <w:lang w:val="en-US" w:eastAsia="zh-CN"/>
              </w:rPr>
              <w:t>壹万陆仟元整</w:t>
            </w:r>
            <w:r>
              <w:rPr>
                <w:rFonts w:hint="eastAsia" w:ascii="宋体" w:hAnsi="宋体" w:eastAsia="宋体" w:cs="宋体"/>
                <w:color w:val="auto"/>
                <w:sz w:val="21"/>
                <w:szCs w:val="21"/>
                <w:highlight w:val="none"/>
                <w:lang w:val="en-US" w:eastAsia="zh-CN"/>
              </w:rPr>
              <w:t>）</w:t>
            </w:r>
          </w:p>
          <w:p>
            <w:pPr>
              <w:pStyle w:val="27"/>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须足额交纳，不得少于规定金额交纳，否则响应无效。磋商保证金应在响应文件有效期内保持有效。</w:t>
            </w:r>
          </w:p>
          <w:p>
            <w:pPr>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磋商保证金的交纳方式：转账、电汇、网上银行、支票、汇票、本票或者银行、保险机构出具的保函，禁止采用现钞方式。采用转账、电汇、网上银行方式的，在首次提交响应文件截止时间前交至</w:t>
            </w:r>
            <w:r>
              <w:rPr>
                <w:rFonts w:hint="eastAsia" w:ascii="宋体" w:hAnsi="宋体" w:eastAsia="宋体" w:cs="宋体"/>
                <w:color w:val="auto"/>
                <w:sz w:val="21"/>
                <w:szCs w:val="21"/>
                <w:highlight w:val="none"/>
                <w:u w:val="single"/>
              </w:rPr>
              <w:t>广西德元工程项目管理有限责任公司</w:t>
            </w:r>
            <w:r>
              <w:rPr>
                <w:rFonts w:hint="eastAsia" w:ascii="宋体" w:hAnsi="宋体" w:eastAsia="宋体" w:cs="宋体"/>
                <w:color w:val="auto"/>
                <w:sz w:val="21"/>
                <w:szCs w:val="21"/>
                <w:highlight w:val="none"/>
              </w:rPr>
              <w:t>（收款单位名称），开户银行：</w:t>
            </w:r>
            <w:r>
              <w:rPr>
                <w:rFonts w:hint="eastAsia" w:ascii="宋体" w:hAnsi="宋体" w:eastAsia="宋体" w:cs="宋体"/>
                <w:color w:val="auto"/>
                <w:sz w:val="21"/>
                <w:szCs w:val="21"/>
                <w:highlight w:val="none"/>
                <w:u w:val="single"/>
              </w:rPr>
              <w:t>柳州银行北站支行营业部</w:t>
            </w: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707002011010900000108</w:t>
            </w:r>
            <w:r>
              <w:rPr>
                <w:rFonts w:hint="eastAsia" w:ascii="宋体" w:hAnsi="宋体" w:eastAsia="宋体" w:cs="宋体"/>
                <w:color w:val="auto"/>
                <w:sz w:val="21"/>
                <w:szCs w:val="21"/>
                <w:highlight w:val="none"/>
              </w:rPr>
              <w:t>；采用支票、汇票、本票或者保函等方式的，在首次提交响应文件截止时间前，供应商应当递交单独密封的支票、汇票、本票或者保函原件，</w:t>
            </w:r>
            <w:r>
              <w:rPr>
                <w:rFonts w:hint="eastAsia" w:ascii="宋体" w:hAnsi="宋体" w:eastAsia="宋体" w:cs="宋体"/>
                <w:b/>
                <w:bCs/>
                <w:color w:val="auto"/>
                <w:sz w:val="21"/>
                <w:szCs w:val="21"/>
                <w:highlight w:val="none"/>
              </w:rPr>
              <w:t>否则视为无效磋商保证金。</w:t>
            </w:r>
            <w:r>
              <w:rPr>
                <w:rFonts w:hint="eastAsia" w:ascii="宋体" w:hAnsi="宋体" w:eastAsia="宋体" w:cs="宋体"/>
                <w:color w:val="auto"/>
                <w:sz w:val="21"/>
                <w:szCs w:val="21"/>
                <w:highlight w:val="none"/>
              </w:rPr>
              <w:t>原件递交的形式可以是在线下开标现场（柳州市公共资源交易中心对应开标室）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广西德元工程项目管理有限责任公司在保证金规定递交时间内没有收到上述原件的，</w:t>
            </w:r>
            <w:r>
              <w:rPr>
                <w:rFonts w:hint="eastAsia" w:ascii="宋体" w:hAnsi="宋体" w:eastAsia="宋体" w:cs="宋体"/>
                <w:b/>
                <w:color w:val="auto"/>
                <w:sz w:val="21"/>
                <w:szCs w:val="21"/>
                <w:highlight w:val="none"/>
              </w:rPr>
              <w:t>其响应无效</w:t>
            </w:r>
            <w:r>
              <w:rPr>
                <w:rFonts w:hint="eastAsia" w:ascii="宋体" w:hAnsi="宋体" w:eastAsia="宋体" w:cs="宋体"/>
                <w:color w:val="auto"/>
                <w:sz w:val="21"/>
                <w:szCs w:val="21"/>
                <w:highlight w:val="none"/>
              </w:rPr>
              <w:t>；因此供应商无论采用现场或者是邮寄递交上述原件时应充分考虑到达时间，以免影响竞标。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920" w:type="dxa"/>
            <w:vAlign w:val="center"/>
          </w:tcPr>
          <w:p>
            <w:pPr>
              <w:spacing w:line="32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现场考察或答疑会：</w:t>
            </w:r>
          </w:p>
          <w:p>
            <w:pPr>
              <w:spacing w:line="32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□组织。集中考察时间：，集中考察地点：，联系人：。</w:t>
            </w:r>
          </w:p>
          <w:p>
            <w:pPr>
              <w:spacing w:line="320" w:lineRule="exact"/>
              <w:ind w:firstLine="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sym w:font="Wingdings 2" w:char="0052"/>
            </w:r>
            <w:r>
              <w:rPr>
                <w:rFonts w:hint="eastAsia" w:ascii="宋体" w:hAnsi="宋体" w:eastAsia="宋体" w:cs="宋体"/>
                <w:b/>
                <w:bCs/>
                <w:color w:val="auto"/>
                <w:sz w:val="21"/>
                <w:szCs w:val="21"/>
                <w:highlight w:val="none"/>
              </w:rPr>
              <w:t>不组织</w:t>
            </w:r>
            <w:r>
              <w:rPr>
                <w:rFonts w:hint="eastAsia" w:ascii="宋体" w:hAnsi="宋体" w:eastAsia="宋体" w:cs="宋体"/>
                <w:color w:val="auto"/>
                <w:sz w:val="21"/>
                <w:szCs w:val="21"/>
                <w:highlight w:val="none"/>
              </w:rPr>
              <w:t>。供应商自行考察现场。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920" w:type="dxa"/>
            <w:vAlign w:val="center"/>
          </w:tcPr>
          <w:p>
            <w:pPr>
              <w:snapToGrid w:val="0"/>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是否需要演示：</w:t>
            </w:r>
          </w:p>
          <w:p>
            <w:pPr>
              <w:snapToGrid w:val="0"/>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sz w:val="21"/>
                <w:szCs w:val="21"/>
                <w:highlight w:val="none"/>
              </w:rPr>
              <w:t>不需演示</w:t>
            </w:r>
            <w:r>
              <w:rPr>
                <w:rFonts w:hint="eastAsia" w:ascii="宋体" w:hAnsi="宋体" w:eastAsia="宋体" w:cs="宋体"/>
                <w:color w:val="auto"/>
                <w:sz w:val="21"/>
                <w:szCs w:val="21"/>
                <w:highlight w:val="none"/>
              </w:rPr>
              <w:t>。</w:t>
            </w:r>
          </w:p>
          <w:p>
            <w:pPr>
              <w:snapToGrid w:val="0"/>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需要演示</w:t>
            </w:r>
          </w:p>
          <w:p>
            <w:pPr>
              <w:snapToGrid w:val="0"/>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演示时间：，地点：。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920" w:type="dxa"/>
            <w:vAlign w:val="center"/>
          </w:tcPr>
          <w:p>
            <w:pPr>
              <w:snapToGrid w:val="0"/>
              <w:spacing w:line="360" w:lineRule="exact"/>
              <w:ind w:firstLine="42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联合体竞标：</w:t>
            </w:r>
          </w:p>
          <w:p>
            <w:pPr>
              <w:snapToGrid w:val="0"/>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接受联合体竞标。</w:t>
            </w:r>
          </w:p>
          <w:p>
            <w:pPr>
              <w:snapToGrid w:val="0"/>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sz w:val="21"/>
                <w:szCs w:val="21"/>
                <w:highlight w:val="none"/>
              </w:rPr>
              <w:t>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7920" w:type="dxa"/>
            <w:vAlign w:val="center"/>
          </w:tcPr>
          <w:p>
            <w:pPr>
              <w:snapToGrid w:val="0"/>
              <w:spacing w:line="360" w:lineRule="exact"/>
              <w:ind w:firstLine="42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是否允许分包：</w:t>
            </w:r>
          </w:p>
          <w:p>
            <w:pPr>
              <w:snapToGrid w:val="0"/>
              <w:spacing w:line="360" w:lineRule="exact"/>
              <w:ind w:firstLine="422"/>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☑不允许分包</w:t>
            </w:r>
          </w:p>
          <w:p>
            <w:pPr>
              <w:snapToGrid w:val="0"/>
              <w:spacing w:line="360" w:lineRule="exact"/>
              <w:ind w:firstLine="42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□允许分包</w:t>
            </w:r>
          </w:p>
          <w:p>
            <w:pPr>
              <w:snapToGrid w:val="0"/>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分包内容：。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7920" w:type="dxa"/>
            <w:vAlign w:val="center"/>
          </w:tcPr>
          <w:p>
            <w:pPr>
              <w:snapToGrid w:val="0"/>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响应文件组成：资格文件、商务和技术文件、报价文件。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7920" w:type="dxa"/>
            <w:vAlign w:val="center"/>
          </w:tcPr>
          <w:p>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bCs/>
                <w:color w:val="auto"/>
                <w:sz w:val="21"/>
                <w:szCs w:val="21"/>
                <w:highlight w:val="none"/>
              </w:rPr>
              <w:t>：人民币</w:t>
            </w:r>
            <w:r>
              <w:rPr>
                <w:rFonts w:hint="eastAsia" w:ascii="宋体" w:hAnsi="宋体" w:cs="宋体"/>
                <w:bCs/>
                <w:color w:val="auto"/>
                <w:sz w:val="21"/>
                <w:szCs w:val="21"/>
                <w:highlight w:val="none"/>
                <w:lang w:val="en-US" w:eastAsia="zh-CN"/>
              </w:rPr>
              <w:t>壹佰陆拾</w:t>
            </w:r>
            <w:r>
              <w:rPr>
                <w:rFonts w:hint="eastAsia" w:ascii="宋体" w:hAnsi="宋体" w:eastAsia="宋体" w:cs="宋体"/>
                <w:bCs/>
                <w:color w:val="auto"/>
                <w:sz w:val="21"/>
                <w:szCs w:val="21"/>
                <w:highlight w:val="none"/>
                <w:lang w:val="en-US" w:eastAsia="zh-CN"/>
              </w:rPr>
              <w:t>万</w:t>
            </w:r>
            <w:r>
              <w:rPr>
                <w:rFonts w:hint="eastAsia" w:ascii="宋体" w:hAnsi="宋体" w:eastAsia="宋体" w:cs="宋体"/>
                <w:bCs/>
                <w:color w:val="auto"/>
                <w:sz w:val="21"/>
                <w:szCs w:val="21"/>
                <w:highlight w:val="none"/>
                <w:lang w:eastAsia="zh-CN"/>
              </w:rPr>
              <w:t>元整</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160</w:t>
            </w:r>
            <w:r>
              <w:rPr>
                <w:rFonts w:hint="eastAsia" w:ascii="宋体" w:hAnsi="宋体" w:eastAsia="宋体" w:cs="宋体"/>
                <w:color w:val="auto"/>
                <w:sz w:val="21"/>
                <w:szCs w:val="21"/>
                <w:highlight w:val="none"/>
                <w:lang w:val="en-US" w:eastAsia="zh-CN"/>
              </w:rPr>
              <w:t>0000</w:t>
            </w:r>
            <w:r>
              <w:rPr>
                <w:rFonts w:hint="eastAsia" w:ascii="宋体" w:hAnsi="宋体" w:eastAsia="宋体" w:cs="宋体"/>
                <w:color w:val="auto"/>
                <w:sz w:val="21"/>
                <w:szCs w:val="21"/>
                <w:highlight w:val="none"/>
                <w:lang w:eastAsia="zh-CN"/>
              </w:rPr>
              <w:t>.00</w:t>
            </w:r>
            <w:r>
              <w:rPr>
                <w:rFonts w:hint="eastAsia" w:ascii="宋体" w:hAnsi="宋体" w:eastAsia="宋体" w:cs="宋体"/>
                <w:color w:val="auto"/>
                <w:sz w:val="21"/>
                <w:szCs w:val="21"/>
                <w:highlight w:val="none"/>
              </w:rPr>
              <w:t>），</w:t>
            </w:r>
          </w:p>
          <w:p>
            <w:pPr>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响应文件报价须小于等于最高限价，否则响应无效。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7920" w:type="dxa"/>
            <w:vAlign w:val="center"/>
          </w:tcPr>
          <w:p>
            <w:pPr>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竞标报价及费用：1、本项目竞标应以人民币报价；2、不论竞标结果如何，供应商均应自行承担所有与竞标有关的全部费用；3、</w:t>
            </w:r>
            <w:bookmarkStart w:id="18" w:name="OLE_LINK26"/>
            <w:r>
              <w:rPr>
                <w:rFonts w:hint="eastAsia" w:ascii="宋体" w:hAnsi="宋体" w:eastAsia="宋体" w:cs="宋体"/>
                <w:color w:val="auto"/>
                <w:sz w:val="21"/>
                <w:szCs w:val="21"/>
                <w:highlight w:val="none"/>
              </w:rPr>
              <w:t>成交服务费按《招标代理服务收费管理暂行办法》（计价格[2002]1980号）收费标准和发改办[2003]857号文规定</w:t>
            </w:r>
            <w:r>
              <w:rPr>
                <w:rFonts w:hint="eastAsia" w:ascii="宋体" w:hAnsi="宋体" w:eastAsia="宋体" w:cs="宋体"/>
                <w:color w:val="auto"/>
                <w:sz w:val="21"/>
                <w:szCs w:val="21"/>
                <w:highlight w:val="none"/>
                <w:lang w:val="en-US" w:eastAsia="zh-CN"/>
              </w:rPr>
              <w:t>下浮10%</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人收取。领取成交通知书时，成交人应向采购代理机构一次付清成交服务费。</w:t>
            </w:r>
            <w:bookmarkEnd w:id="18"/>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7920" w:type="dxa"/>
            <w:vAlign w:val="center"/>
          </w:tcPr>
          <w:p>
            <w:pPr>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提交响应文件截止时间：</w:t>
            </w:r>
            <w:r>
              <w:rPr>
                <w:rFonts w:hint="eastAsia" w:ascii="宋体" w:hAnsi="宋体" w:eastAsia="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07</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03</w:t>
            </w:r>
            <w:r>
              <w:rPr>
                <w:rFonts w:hint="eastAsia" w:ascii="宋体" w:hAnsi="宋体" w:eastAsia="宋体" w:cs="宋体"/>
                <w:color w:val="auto"/>
                <w:sz w:val="21"/>
                <w:szCs w:val="21"/>
                <w:highlight w:val="none"/>
                <w:lang w:eastAsia="zh-CN"/>
              </w:rPr>
              <w:t>日</w:t>
            </w:r>
            <w:r>
              <w:rPr>
                <w:rFonts w:hint="eastAsia" w:ascii="宋体" w:hAnsi="宋体" w:eastAsia="宋体" w:cs="宋体"/>
                <w:color w:val="auto"/>
                <w:sz w:val="21"/>
                <w:szCs w:val="21"/>
                <w:highlight w:val="none"/>
              </w:rPr>
              <w:t>09:</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0（北京时间）</w:t>
            </w:r>
          </w:p>
          <w:p>
            <w:pPr>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投标地点（网址）：登录广西政府采购云平台在线提交。</w:t>
            </w:r>
          </w:p>
          <w:p>
            <w:pPr>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w:t>
            </w:r>
            <w:r>
              <w:rPr>
                <w:rFonts w:hint="eastAsia" w:ascii="宋体" w:hAnsi="宋体" w:eastAsia="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07</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03</w:t>
            </w:r>
            <w:r>
              <w:rPr>
                <w:rFonts w:hint="eastAsia" w:ascii="宋体" w:hAnsi="宋体" w:eastAsia="宋体" w:cs="宋体"/>
                <w:color w:val="auto"/>
                <w:sz w:val="21"/>
                <w:szCs w:val="21"/>
                <w:highlight w:val="none"/>
                <w:lang w:eastAsia="zh-CN"/>
              </w:rPr>
              <w:t>日</w:t>
            </w:r>
            <w:r>
              <w:rPr>
                <w:rFonts w:hint="eastAsia" w:ascii="宋体" w:hAnsi="宋体" w:eastAsia="宋体" w:cs="宋体"/>
                <w:color w:val="auto"/>
                <w:sz w:val="21"/>
                <w:szCs w:val="21"/>
                <w:highlight w:val="none"/>
              </w:rPr>
              <w:t>09:</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w:t>
            </w:r>
          </w:p>
          <w:p>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开标地点：本次招标在广西政府采购云平台电子开标大厅开标。</w:t>
            </w:r>
          </w:p>
          <w:p>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CA 证书在线解密：供应商投标时，需携带制作响应文件时用来加密的有效数字证书（CA 认证）登录广西政府采购云平台电子开标大厅现场按规定时间对加密的响应文件进行解密，否则后果自负。</w:t>
            </w:r>
          </w:p>
          <w:p>
            <w:pPr>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当在首次响应文件提交截止时间前完成电子响应文件的上传、递交，响应文件提交截止时间前可以补充、修改或者撤回响应文件。补充或者修改响应文件的，应当先行撤回原文件，补充、修改后重新上传、递交。投标截止时间前未完成上传、递交的，视为撤回响应文件。响应文件提交截止时间以后上传递交的响应文件的，广西政府采购云平台将予以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3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7920" w:type="dxa"/>
            <w:vAlign w:val="center"/>
          </w:tcPr>
          <w:p>
            <w:pPr>
              <w:snapToGrid w:val="0"/>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首次响应文件开启时间</w:t>
            </w:r>
          </w:p>
          <w:p>
            <w:pPr>
              <w:snapToGrid w:val="0"/>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07</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03</w:t>
            </w:r>
            <w:r>
              <w:rPr>
                <w:rFonts w:hint="eastAsia" w:ascii="宋体" w:hAnsi="宋体" w:eastAsia="宋体" w:cs="宋体"/>
                <w:color w:val="auto"/>
                <w:sz w:val="21"/>
                <w:szCs w:val="21"/>
                <w:highlight w:val="none"/>
                <w:lang w:eastAsia="zh-CN"/>
              </w:rPr>
              <w:t>日</w:t>
            </w:r>
            <w:r>
              <w:rPr>
                <w:rFonts w:hint="eastAsia" w:ascii="宋体" w:hAnsi="宋体" w:eastAsia="宋体" w:cs="宋体"/>
                <w:color w:val="auto"/>
                <w:sz w:val="21"/>
                <w:szCs w:val="21"/>
                <w:highlight w:val="none"/>
              </w:rPr>
              <w:t>09点</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0分（北京时间）开标后</w:t>
            </w:r>
          </w:p>
          <w:p>
            <w:pPr>
              <w:snapToGrid w:val="0"/>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地点：政府采购云平台开标大厅</w:t>
            </w:r>
          </w:p>
          <w:p>
            <w:pPr>
              <w:snapToGrid w:val="0"/>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磋商时间及地点：</w:t>
            </w:r>
          </w:p>
          <w:p>
            <w:pPr>
              <w:snapToGrid w:val="0"/>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07</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03</w:t>
            </w:r>
            <w:r>
              <w:rPr>
                <w:rFonts w:hint="eastAsia" w:ascii="宋体" w:hAnsi="宋体" w:eastAsia="宋体" w:cs="宋体"/>
                <w:color w:val="auto"/>
                <w:sz w:val="21"/>
                <w:szCs w:val="21"/>
                <w:highlight w:val="none"/>
                <w:lang w:eastAsia="zh-CN"/>
              </w:rPr>
              <w:t>日</w:t>
            </w:r>
            <w:r>
              <w:rPr>
                <w:rFonts w:hint="eastAsia" w:ascii="宋体" w:hAnsi="宋体" w:eastAsia="宋体" w:cs="宋体"/>
                <w:color w:val="auto"/>
                <w:sz w:val="21"/>
                <w:szCs w:val="21"/>
                <w:highlight w:val="none"/>
              </w:rPr>
              <w:t>上午9时</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0分截标后为与供应商磋商时间，具体时间由采购代理机构另行通知。</w:t>
            </w:r>
          </w:p>
          <w:p>
            <w:pPr>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地点：广西政府采购云平台电子开标大厅。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7920" w:type="dxa"/>
            <w:vAlign w:val="center"/>
          </w:tcPr>
          <w:p>
            <w:pPr>
              <w:keepNext w:val="0"/>
              <w:keepLines w:val="0"/>
              <w:pageBreakBefore w:val="0"/>
              <w:kinsoku/>
              <w:wordWrap/>
              <w:overflowPunct/>
              <w:topLinePunct w:val="0"/>
              <w:bidi w:val="0"/>
              <w:snapToGrid/>
              <w:spacing w:line="312"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磋商的顺序：</w:t>
            </w:r>
          </w:p>
          <w:p>
            <w:pPr>
              <w:keepNext w:val="0"/>
              <w:keepLines w:val="0"/>
              <w:pageBreakBefore w:val="0"/>
              <w:kinsoku/>
              <w:wordWrap/>
              <w:overflowPunct/>
              <w:topLinePunct w:val="0"/>
              <w:bidi w:val="0"/>
              <w:snapToGrid/>
              <w:spacing w:line="312"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☑按照提交首次响应文件的顺序</w:t>
            </w:r>
            <w:r>
              <w:rPr>
                <w:rFonts w:hint="eastAsia" w:ascii="宋体" w:hAnsi="宋体" w:eastAsia="宋体" w:cs="宋体"/>
                <w:color w:val="auto"/>
                <w:sz w:val="21"/>
                <w:szCs w:val="21"/>
                <w:highlight w:val="none"/>
              </w:rPr>
              <w:t>，通知磋商时，若某供应商不在通知现场时，该供应商排序到最后磋商，按照签到的顺序由其下一位供应商先参与磋商。</w:t>
            </w:r>
          </w:p>
          <w:p>
            <w:pPr>
              <w:keepNext w:val="0"/>
              <w:keepLines w:val="0"/>
              <w:pageBreakBefore w:val="0"/>
              <w:kinsoku/>
              <w:wordWrap/>
              <w:overflowPunct/>
              <w:topLinePunct w:val="0"/>
              <w:autoSpaceDE w:val="0"/>
              <w:autoSpaceDN w:val="0"/>
              <w:bidi w:val="0"/>
              <w:adjustRightInd w:val="0"/>
              <w:snapToGrid/>
              <w:spacing w:line="312" w:lineRule="auto"/>
              <w:ind w:firstLine="42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□随机排序。</w:t>
            </w:r>
          </w:p>
          <w:p>
            <w:pPr>
              <w:keepNext w:val="0"/>
              <w:keepLines w:val="0"/>
              <w:pageBreakBefore w:val="0"/>
              <w:kinsoku/>
              <w:wordWrap/>
              <w:overflowPunct/>
              <w:topLinePunct w:val="0"/>
              <w:bidi w:val="0"/>
              <w:snapToGrid/>
              <w:spacing w:line="312"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参与磋商前，</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小组如有要求，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7920" w:type="dxa"/>
            <w:vAlign w:val="center"/>
          </w:tcPr>
          <w:p>
            <w:pPr>
              <w:keepNext w:val="0"/>
              <w:keepLines w:val="0"/>
              <w:pageBreakBefore w:val="0"/>
              <w:widowControl/>
              <w:kinsoku/>
              <w:wordWrap/>
              <w:overflowPunct/>
              <w:topLinePunct w:val="0"/>
              <w:bidi w:val="0"/>
              <w:snapToGrid/>
              <w:spacing w:line="312" w:lineRule="auto"/>
              <w:ind w:firstLine="42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评标办法及评分标准：综合评分法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7920" w:type="dxa"/>
            <w:vAlign w:val="center"/>
          </w:tcPr>
          <w:p>
            <w:pPr>
              <w:keepNext w:val="0"/>
              <w:keepLines w:val="0"/>
              <w:pageBreakBefore w:val="0"/>
              <w:kinsoku/>
              <w:wordWrap/>
              <w:overflowPunct/>
              <w:topLinePunct w:val="0"/>
              <w:bidi w:val="0"/>
              <w:snapToGrid/>
              <w:spacing w:line="312"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发布媒体：</w:t>
            </w:r>
            <w:r>
              <w:rPr>
                <w:rStyle w:val="51"/>
                <w:rFonts w:hint="eastAsia" w:ascii="宋体" w:hAnsi="宋体" w:eastAsia="宋体" w:cs="宋体"/>
                <w:color w:val="auto"/>
                <w:sz w:val="21"/>
                <w:szCs w:val="21"/>
                <w:highlight w:val="none"/>
              </w:rPr>
              <w:t>ttp://www.ccgp.gov.cn/（中国政府采购网）、http://zfcg.gxzf.gov.cn（广西壮族自治区政府采购网）</w:t>
            </w:r>
            <w:r>
              <w:rPr>
                <w:rFonts w:hint="eastAsia" w:ascii="宋体" w:hAnsi="宋体" w:eastAsia="宋体" w:cs="宋体"/>
                <w:color w:val="auto"/>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7920" w:type="dxa"/>
            <w:vAlign w:val="center"/>
          </w:tcPr>
          <w:p>
            <w:pPr>
              <w:keepNext w:val="0"/>
              <w:keepLines w:val="0"/>
              <w:pageBreakBefore w:val="0"/>
              <w:kinsoku/>
              <w:wordWrap/>
              <w:overflowPunct/>
              <w:topLinePunct w:val="0"/>
              <w:autoSpaceDE w:val="0"/>
              <w:autoSpaceDN w:val="0"/>
              <w:bidi w:val="0"/>
              <w:adjustRightInd w:val="0"/>
              <w:snapToGrid/>
              <w:spacing w:line="312" w:lineRule="auto"/>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成交公告及成交通知书：成交供应商确定后，采购代理机构或采购人须在“信用中国”网站（www.creditchina.gov.cn）和中国政府采购网（http://www.ccgp.gov.cn/）查询中标供应商主体信用记录，如其未被列入失信被执行人、重大税收违法案件当事人名单、政府采购严重违法失信行为记录名单，则采购代理机构在中国政府采购网、广西政府采购网、柳州市政府采购网发布中标公告同时向中标供应商发出中标通知书；如其被列入失信被执行人、重大税收违法案件当事人名单、政府采购严重违法失信行为记录名单，则取消其中标资格，并确定排名第二的中标候选人为中标人。排名第二的中标候选人因前款规定的同样原因被取消中标资格的，采购人可以确定排名第三的中标候选人为中标人。以上信息查询记录及相关证据与采购文件一并保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7920" w:type="dxa"/>
            <w:vAlign w:val="center"/>
          </w:tcPr>
          <w:p>
            <w:pPr>
              <w:snapToGrid w:val="0"/>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签订合同时间：成交通知书发出之日起</w:t>
            </w:r>
            <w:r>
              <w:rPr>
                <w:rFonts w:hint="eastAsia" w:ascii="宋体" w:hAnsi="宋体" w:eastAsia="宋体" w:cs="宋体"/>
                <w:color w:val="auto"/>
                <w:sz w:val="21"/>
                <w:szCs w:val="21"/>
                <w:highlight w:val="none"/>
                <w:lang w:eastAsia="zh-CN"/>
              </w:rPr>
              <w:t>二十五</w:t>
            </w:r>
            <w:r>
              <w:rPr>
                <w:rFonts w:hint="eastAsia" w:ascii="宋体" w:hAnsi="宋体" w:eastAsia="宋体" w:cs="宋体"/>
                <w:color w:val="auto"/>
                <w:sz w:val="21"/>
                <w:szCs w:val="21"/>
                <w:highlight w:val="none"/>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7920" w:type="dxa"/>
            <w:vAlign w:val="center"/>
          </w:tcPr>
          <w:p>
            <w:pPr>
              <w:autoSpaceDE w:val="0"/>
              <w:autoSpaceDN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p>
            <w:pPr>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rPr>
              <w:sym w:font="Wingdings 2" w:char="00A3"/>
            </w:r>
            <w:r>
              <w:rPr>
                <w:rFonts w:hint="eastAsia" w:ascii="宋体" w:hAnsi="宋体" w:eastAsia="宋体" w:cs="宋体"/>
                <w:b w:val="0"/>
                <w:bCs w:val="0"/>
                <w:color w:val="auto"/>
                <w:sz w:val="21"/>
                <w:szCs w:val="21"/>
                <w:highlight w:val="none"/>
              </w:rPr>
              <w:t>不需要提交。</w:t>
            </w:r>
          </w:p>
          <w:p>
            <w:pPr>
              <w:spacing w:line="360" w:lineRule="exact"/>
              <w:rPr>
                <w:rFonts w:hint="eastAsia" w:ascii="宋体" w:hAnsi="宋体" w:eastAsia="宋体" w:cs="宋体"/>
                <w:b/>
                <w:bCs/>
                <w:color w:val="auto"/>
                <w:sz w:val="21"/>
                <w:szCs w:val="21"/>
                <w:highlight w:val="none"/>
              </w:rPr>
            </w:pPr>
            <w:r>
              <w:rPr>
                <w:rFonts w:hint="eastAsia" w:ascii="宋体" w:hAnsi="宋体" w:cs="宋体"/>
                <w:b/>
                <w:bCs/>
                <w:color w:val="auto"/>
                <w:kern w:val="0"/>
                <w:sz w:val="21"/>
                <w:szCs w:val="21"/>
                <w:highlight w:val="none"/>
                <w:lang w:eastAsia="zh-CN"/>
              </w:rPr>
              <w:t>☑</w:t>
            </w:r>
            <w:r>
              <w:rPr>
                <w:rFonts w:hint="eastAsia" w:ascii="宋体" w:hAnsi="宋体" w:eastAsia="宋体" w:cs="宋体"/>
                <w:b/>
                <w:bCs/>
                <w:color w:val="auto"/>
                <w:sz w:val="21"/>
                <w:szCs w:val="21"/>
                <w:highlight w:val="none"/>
              </w:rPr>
              <w:t>需要提交：</w:t>
            </w:r>
          </w:p>
          <w:p>
            <w:pPr>
              <w:autoSpaceDE w:val="0"/>
              <w:autoSpaceDN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本项目专门面向中小企业采购</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履约保证金按合同价款的2%收取。履约保证金在签订合同前</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日内支付。</w:t>
            </w:r>
          </w:p>
          <w:p>
            <w:pPr>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2.履约保证金提交方式：银行转账、支票、汇票、本票或者金融、担保机构出具的保函等非现金方式。</w:t>
            </w:r>
          </w:p>
          <w:p>
            <w:pPr>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3.履约保证金提交要求：</w:t>
            </w:r>
          </w:p>
          <w:p>
            <w:pPr>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（1）履约保证金采用银行转账方式的，成交人在签订合同前</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日内交至采购人指定账户并且到账，履约保证金指定账户：</w:t>
            </w:r>
          </w:p>
          <w:p>
            <w:pPr>
              <w:spacing w:line="360" w:lineRule="exact"/>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开户名称：</w:t>
            </w:r>
            <w:r>
              <w:rPr>
                <w:rFonts w:hint="eastAsia" w:ascii="宋体" w:hAnsi="宋体" w:cs="宋体"/>
                <w:color w:val="auto"/>
                <w:kern w:val="0"/>
                <w:sz w:val="21"/>
                <w:szCs w:val="21"/>
                <w:highlight w:val="none"/>
                <w:lang w:val="en-US" w:eastAsia="zh-CN"/>
              </w:rPr>
              <w:t>广西壮族自治区脑科医院</w:t>
            </w:r>
          </w:p>
          <w:p>
            <w:pPr>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银行账号：交通银行柳州西江支行</w:t>
            </w:r>
          </w:p>
          <w:p>
            <w:pPr>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开户银行：4520 6060 6013 0004 8870 3</w:t>
            </w:r>
          </w:p>
          <w:p>
            <w:pPr>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转帐时注明：履约保证金+项目编号</w:t>
            </w:r>
          </w:p>
          <w:p>
            <w:pPr>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履约保证金采用支票、汇票或本票交纳方式的，成交人在签订合同前，向采购人提交支票、汇票或本票原件。履约保证金采用金融、担保机构出具的保函交纳方式的，成交供应商在签订合同前，向采购人提交保函原件。</w:t>
            </w:r>
          </w:p>
          <w:p>
            <w:pPr>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3.履约保证金退付方式、时间及条件：成交人在本项目合同期限内履行完本项目合同约定的权利义务事项后，由成交人向采购人提出退付履约保证金书面申请书，采购人在收到申请书后</w:t>
            </w:r>
            <w:r>
              <w:rPr>
                <w:rFonts w:hint="eastAsia" w:ascii="宋体" w:hAnsi="宋体" w:eastAsia="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rPr>
              <w:t>个工作日内办理退还手续（不计利息）。</w:t>
            </w:r>
          </w:p>
          <w:p>
            <w:pPr>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备注：</w:t>
            </w:r>
          </w:p>
          <w:p>
            <w:pPr>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成交人未按规定缴纳履约保证金或者履约保证金不足额缴纳的，或者银行、保险机构出具的保函额度不足的或者保函有效期低于合同履行期限（即签订采购合同之日起至履行完合同约定的权利及义务之日止）的，不予签订合同。</w:t>
            </w:r>
          </w:p>
          <w:p>
            <w:pPr>
              <w:snapToGrid w:val="0"/>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2.采用银行、保险机构出具保函的，必须为无条件保函，否则不予签订合同。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7920" w:type="dxa"/>
            <w:vAlign w:val="center"/>
          </w:tcPr>
          <w:p>
            <w:pPr>
              <w:snapToGrid w:val="0"/>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供应商应在响应文件中注明投标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7920" w:type="dxa"/>
            <w:vAlign w:val="center"/>
          </w:tcPr>
          <w:p>
            <w:pPr>
              <w:snapToGrid w:val="0"/>
              <w:spacing w:line="34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响应文件有效期：提交首次响应文件截止之日起60天内。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7920" w:type="dxa"/>
            <w:vAlign w:val="center"/>
          </w:tcPr>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采购资金来源：</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预算资金、预算外资金、其他资金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7920" w:type="dxa"/>
            <w:vAlign w:val="center"/>
          </w:tcPr>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val="en-US" w:eastAsia="zh-CN"/>
              </w:rPr>
              <w:t>分阶段按进度付款由</w:t>
            </w:r>
            <w:r>
              <w:rPr>
                <w:rFonts w:hint="eastAsia" w:ascii="宋体" w:hAnsi="宋体" w:eastAsia="宋体" w:cs="宋体"/>
                <w:color w:val="auto"/>
                <w:sz w:val="21"/>
                <w:szCs w:val="21"/>
                <w:highlight w:val="none"/>
              </w:rPr>
              <w:t>采购人自行支付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7920" w:type="dxa"/>
            <w:vAlign w:val="center"/>
          </w:tcPr>
          <w:p>
            <w:pPr>
              <w:snapToGrid w:val="0"/>
              <w:spacing w:line="360" w:lineRule="exact"/>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解释：本招标文件的解释权属于采购人。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7920" w:type="dxa"/>
            <w:vAlign w:val="center"/>
          </w:tcPr>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1、参与电子投标的准备工作：</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文件提交方式：本项目为全流程电子化项目，通过广西政府采购云平台（http：//www.zcygov.cn）实行在线电子投标，供应商应先安装“广西政府采购云平台电子交易客户端”（请自行前往广西政府采购云平台进行下载），并按照本项目采购文件和广西政府采购云平台的要求编制、加密后在投标截止时间前通过网络上传至柳州市广西政府采购云平台，供应商在广西政府采购云平台提交电子版响应文件时，请填写参加远程采购活动经办人联系方式，电子响应文件具体操作流程详见《政府采购项目电子交易管理操作指南-供应商》。</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2、CA证书在线解密：响应文件开启时，须要供应商携带制作响应文件时用来加密的有效数字证书（CA认证）登录广西政府采购云平台电子开标大厅现场按规定时间对加密的响应文件进行解密，否则后果自负。</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3、若对项目采购电子交易系统操作有疑问，可</w:t>
            </w:r>
            <w:r>
              <w:rPr>
                <w:rFonts w:hint="eastAsia" w:ascii="宋体" w:hAnsi="宋体" w:eastAsia="宋体" w:cs="宋体"/>
                <w:color w:val="auto"/>
                <w:sz w:val="21"/>
                <w:szCs w:val="21"/>
                <w:highlight w:val="none"/>
                <w:lang w:eastAsia="zh-CN"/>
              </w:rPr>
              <w:t>登录</w:t>
            </w:r>
            <w:r>
              <w:rPr>
                <w:rFonts w:hint="eastAsia" w:ascii="宋体" w:hAnsi="宋体" w:eastAsia="宋体" w:cs="宋体"/>
                <w:color w:val="auto"/>
                <w:sz w:val="21"/>
                <w:szCs w:val="21"/>
                <w:highlight w:val="none"/>
              </w:rPr>
              <w:t>广西政府采购云平台（http：//www.zcygov.cn），点击右侧咨询小采，获取采小蜜智能服务管家帮助，或拨打广西政府采购云平台技术支持热线95763获取热线服务帮助。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p>
        </w:tc>
        <w:tc>
          <w:tcPr>
            <w:tcW w:w="7920" w:type="dxa"/>
            <w:vAlign w:val="center"/>
          </w:tcPr>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电子响应文件的制作、加密：</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1、供应商制作电子响应文件前，应</w:t>
            </w:r>
            <w:r>
              <w:rPr>
                <w:rFonts w:hint="eastAsia" w:ascii="宋体" w:hAnsi="宋体" w:eastAsia="宋体" w:cs="宋体"/>
                <w:color w:val="auto"/>
                <w:sz w:val="21"/>
                <w:szCs w:val="21"/>
                <w:highlight w:val="none"/>
                <w:lang w:eastAsia="zh-CN"/>
              </w:rPr>
              <w:t>登录</w:t>
            </w:r>
            <w:r>
              <w:rPr>
                <w:rFonts w:hint="eastAsia" w:ascii="宋体" w:hAnsi="宋体" w:eastAsia="宋体" w:cs="宋体"/>
                <w:color w:val="auto"/>
                <w:sz w:val="21"/>
                <w:szCs w:val="21"/>
                <w:highlight w:val="none"/>
              </w:rPr>
              <w:t>广西政府采购云平台进行“申请获取采购文件”操作，否则，有可能导致无法在线编制响应文件并参与竞标，其不利后果由供应商自行承担。</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下载或获取招标文件后，登录“广西政府采购云平台电子投标客户端”，按照本招标文件规定的响应文件格式、顺序以及广西政府采购云平台的要求，通过“广西政府采购云平台电子投标客户端”编制电子响应文件。</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应按“广西政府采购云平台电子投标客户端”载明的“标书关联”功能进行电子响应文件的关联定位，以便评标小组在评审时点击相应评审项可直接定位到该评审内容；如供应商的电子响应文件未能关联定位相应内容，或者关联定位的内容与该评审项不符，导致评标小组无法查询并做出对供应商不利的评审，相关后果由供应商自行承担。</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子响应文件不得涂改，若有修改错漏处，须由法定代表人（负责人、自然人）或授权委托代理人通过“广西政府采购云平台电子投标客户端”采用广西政府采购云平台个人CA证书签章，没有办理广西政府采购云平台个人CA证书签章的，在响应文件中响应位置手写签字后扫描或者拍照做成 PDF 的格式上传。因响应文件字迹潦草、表达不清、内容不完整、编排混乱导致响应文件被误读、漏读，或者在按招标文件规定的部位查找不到相关内容的，其不利后果由供应商自行承担。</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5、供应商编制、生成电子响应文件后应当加密响应文件。供应商未按规定编制并加密的响应文件，广西政府采购云平台将予以拒收。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7920" w:type="dxa"/>
            <w:vAlign w:val="center"/>
          </w:tcPr>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供应商公章及签字：</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1、本招标文件中描述供应商的“公章”是指供应商通过指定电子化政府采购平台办理数字证书（CA认证证书）获得的以法定主体行为名称制作的电子印章。</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2、本招标文件中要求供应商对其电子响应文件的相关内容加盖公章的，均指采用CA证书签章。</w:t>
            </w:r>
          </w:p>
          <w:p>
            <w:pPr>
              <w:pStyle w:val="211"/>
              <w:autoSpaceDE w:val="0"/>
              <w:autoSpaceDN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招标文件中描述供应商的“签字”是指供应商通过指定电子化政府采购平台办理数字证书（CA认证证书）获得的以供应商法定代表人（负责人、自然人）或者委托代理人姓名制作的个人电子印章或手写签字。没有办理个人CA证书的，可以为手写签字的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pPr>
              <w:spacing w:line="3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p>
        </w:tc>
        <w:tc>
          <w:tcPr>
            <w:tcW w:w="7920" w:type="dxa"/>
            <w:vAlign w:val="center"/>
          </w:tcPr>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响应文件的解密：</w:t>
            </w:r>
          </w:p>
          <w:p>
            <w:pPr>
              <w:autoSpaceDE w:val="0"/>
              <w:autoSpaceDN w:val="0"/>
              <w:snapToGrid w:val="0"/>
              <w:spacing w:line="360" w:lineRule="exact"/>
              <w:ind w:firstLine="422"/>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将在“招标公告”规定的时间通过电子交易平台组织响应文件开启，采购机构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发起解密指令之时起5分钟内供应商还未进行解密的，代理机构通知供应商，供应商没预留联系方式或预留联系方式无效，非代理机构原因导致代理机构无法联系到供应商进行解密的，视为响应文件无效。(解密异常情况处理：</w:t>
            </w:r>
            <w:r>
              <w:rPr>
                <w:rFonts w:hint="eastAsia" w:ascii="宋体" w:hAnsi="宋体" w:eastAsia="宋体" w:cs="宋体"/>
                <w:bCs/>
                <w:color w:val="auto"/>
                <w:sz w:val="21"/>
                <w:szCs w:val="21"/>
                <w:highlight w:val="none"/>
              </w:rPr>
              <w:t>详见本章30.电子交易活动的中止</w:t>
            </w:r>
            <w:r>
              <w:rPr>
                <w:rFonts w:hint="eastAsia" w:ascii="宋体" w:hAnsi="宋体" w:eastAsia="宋体" w:cs="宋体"/>
                <w:color w:val="auto"/>
                <w:sz w:val="21"/>
                <w:szCs w:val="21"/>
                <w:highlight w:val="none"/>
              </w:rPr>
              <w:t>。)</w:t>
            </w:r>
          </w:p>
        </w:tc>
      </w:tr>
    </w:tbl>
    <w:p>
      <w:pPr>
        <w:spacing w:line="360" w:lineRule="exact"/>
        <w:ind w:firstLine="640"/>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一、总　则</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1. 适用范围</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1.1 </w:t>
      </w:r>
      <w:r>
        <w:rPr>
          <w:rFonts w:hint="eastAsia" w:ascii="宋体" w:hAnsi="宋体"/>
          <w:color w:val="auto"/>
          <w:szCs w:val="21"/>
          <w:highlight w:val="none"/>
        </w:rPr>
        <w:t>本竞争性磋商采购文件适用于本项目的竞争性磋商采购、竞争性磋商响应、评审、定标、验收、合同履约、付款等行为（法律、法规另有规定的，从其规定）。</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2. 定义</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2.1“采购人”：详见竞争性磋商公告。</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2.2“采购代理机构”是指：广西德元工程项目管理有限责任公司。 </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2.3“供应商”是</w:t>
      </w:r>
      <w:r>
        <w:rPr>
          <w:rFonts w:ascii="宋体" w:hAnsi="宋体"/>
          <w:color w:val="auto"/>
          <w:highlight w:val="none"/>
        </w:rPr>
        <w:t>指响应</w:t>
      </w:r>
      <w:r>
        <w:rPr>
          <w:rFonts w:hint="eastAsia" w:ascii="宋体" w:hAnsi="宋体"/>
          <w:color w:val="auto"/>
          <w:highlight w:val="none"/>
        </w:rPr>
        <w:t>磋商</w:t>
      </w:r>
      <w:r>
        <w:rPr>
          <w:rFonts w:ascii="宋体" w:hAnsi="宋体"/>
          <w:color w:val="auto"/>
          <w:highlight w:val="none"/>
        </w:rPr>
        <w:t>文件、参加磋商竞争的法人、其他组织或者自然人</w:t>
      </w:r>
      <w:r>
        <w:rPr>
          <w:rFonts w:hint="eastAsia" w:ascii="宋体" w:hAnsi="宋体" w:cs="宋体"/>
          <w:color w:val="auto"/>
          <w:szCs w:val="21"/>
          <w:highlight w:val="none"/>
        </w:rPr>
        <w:t>。如果该供应商在本次磋商采购中成交,即成为“成交供应商”。</w:t>
      </w:r>
      <w:r>
        <w:rPr>
          <w:rFonts w:ascii="宋体" w:hAnsi="宋体"/>
          <w:color w:val="auto"/>
          <w:szCs w:val="21"/>
          <w:highlight w:val="none"/>
        </w:rPr>
        <w:t>本</w:t>
      </w:r>
      <w:r>
        <w:rPr>
          <w:rFonts w:hint="eastAsia" w:ascii="宋体" w:hAnsi="宋体"/>
          <w:color w:val="auto"/>
          <w:szCs w:val="21"/>
          <w:highlight w:val="none"/>
        </w:rPr>
        <w:t>文件</w:t>
      </w:r>
      <w:r>
        <w:rPr>
          <w:rFonts w:ascii="宋体" w:hAnsi="宋体"/>
          <w:color w:val="auto"/>
          <w:szCs w:val="21"/>
          <w:highlight w:val="none"/>
        </w:rPr>
        <w:t>中的</w:t>
      </w:r>
      <w:r>
        <w:rPr>
          <w:rFonts w:hint="eastAsia" w:ascii="宋体" w:hAnsi="宋体"/>
          <w:color w:val="auto"/>
          <w:szCs w:val="21"/>
          <w:highlight w:val="none"/>
        </w:rPr>
        <w:t>“法定代表人”若无特别说明，当</w:t>
      </w:r>
      <w:r>
        <w:rPr>
          <w:rFonts w:ascii="宋体" w:hAnsi="宋体"/>
          <w:color w:val="auto"/>
          <w:szCs w:val="21"/>
          <w:highlight w:val="none"/>
        </w:rPr>
        <w:t>供应商是</w:t>
      </w:r>
      <w:r>
        <w:rPr>
          <w:rFonts w:hint="eastAsia" w:ascii="宋体" w:hAnsi="宋体"/>
          <w:color w:val="auto"/>
          <w:szCs w:val="21"/>
          <w:highlight w:val="none"/>
        </w:rPr>
        <w:t>企业的，是指企业法人营业执照上的法定代表人；当</w:t>
      </w:r>
      <w:r>
        <w:rPr>
          <w:rFonts w:ascii="宋体" w:hAnsi="宋体"/>
          <w:color w:val="auto"/>
          <w:szCs w:val="21"/>
          <w:highlight w:val="none"/>
        </w:rPr>
        <w:t>供应商是</w:t>
      </w:r>
      <w:r>
        <w:rPr>
          <w:rFonts w:hint="eastAsia" w:ascii="宋体" w:hAnsi="宋体"/>
          <w:color w:val="auto"/>
          <w:szCs w:val="21"/>
          <w:highlight w:val="none"/>
        </w:rPr>
        <w:t>事业单位的，是指事业单位法人证书上的法定代表人；当</w:t>
      </w:r>
      <w:r>
        <w:rPr>
          <w:rFonts w:ascii="宋体" w:hAnsi="宋体"/>
          <w:color w:val="auto"/>
          <w:szCs w:val="21"/>
          <w:highlight w:val="none"/>
        </w:rPr>
        <w:t>供应商是</w:t>
      </w:r>
      <w:r>
        <w:rPr>
          <w:rFonts w:hint="eastAsia" w:ascii="宋体" w:hAnsi="宋体"/>
          <w:color w:val="auto"/>
          <w:szCs w:val="21"/>
          <w:highlight w:val="none"/>
        </w:rPr>
        <w:t>社会团体、民办非企业的，是指法人登记证书中的法定代表人；当供应商是分支机构的，是指分支机构营业执照上的负责人；当</w:t>
      </w:r>
      <w:r>
        <w:rPr>
          <w:rFonts w:ascii="宋体" w:hAnsi="宋体"/>
          <w:color w:val="auto"/>
          <w:szCs w:val="21"/>
          <w:highlight w:val="none"/>
        </w:rPr>
        <w:t>供应商是</w:t>
      </w:r>
      <w:r>
        <w:rPr>
          <w:rFonts w:hint="eastAsia" w:ascii="宋体" w:hAnsi="宋体"/>
          <w:color w:val="auto"/>
          <w:szCs w:val="21"/>
          <w:highlight w:val="none"/>
        </w:rPr>
        <w:t>个体工商户的，是指个体工商户营业执照上的经营者；</w:t>
      </w:r>
      <w:r>
        <w:rPr>
          <w:rFonts w:ascii="宋体" w:hAnsi="宋体"/>
          <w:color w:val="auto"/>
          <w:szCs w:val="21"/>
          <w:highlight w:val="none"/>
        </w:rPr>
        <w:t>当供应商是自然人</w:t>
      </w:r>
      <w:r>
        <w:rPr>
          <w:rFonts w:hint="eastAsia" w:ascii="宋体" w:hAnsi="宋体"/>
          <w:color w:val="auto"/>
          <w:szCs w:val="21"/>
          <w:highlight w:val="none"/>
        </w:rPr>
        <w:t>的，是指参与本项目响应的自然人本人。</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2.6“书面形式”包括是指合同书、信件和数据电文（包括电报、电传、传真、电子数据交换和电子邮件）等可以有形地表现所载内容的形式。</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2.7“响应文件”是指：供应商根据本文件要求，编制包含价格、商务、技术和服务等所有内容的文件。</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2.8“签字/签名”是指：指</w:t>
      </w:r>
      <w:r>
        <w:rPr>
          <w:rFonts w:hint="eastAsia" w:ascii="宋体" w:hAnsi="宋体" w:cs="宋体"/>
          <w:color w:val="auto"/>
          <w:szCs w:val="21"/>
          <w:highlight w:val="none"/>
          <w:lang w:eastAsia="zh-CN"/>
        </w:rPr>
        <w:t>供应</w:t>
      </w:r>
      <w:r>
        <w:rPr>
          <w:rFonts w:hint="eastAsia" w:ascii="宋体" w:hAnsi="宋体" w:cs="宋体"/>
          <w:color w:val="auto"/>
          <w:szCs w:val="21"/>
          <w:highlight w:val="none"/>
        </w:rPr>
        <w:t>商通过指定电子化政府采购平台办理数字证书（CA认证证书）获得的以供应商法定代表人（负责人、自然人）或者委托代理人姓名制作的个人电子印章或手写签字。没有办理个人CA证书的，可以为手写签字的形式。</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2.9“公章”是指供应商通过指定电子化政府采购平台办理数字证书（CA认证证书）获得的以法定主体行为名称制作的电子印章。本招标文件中要求供应商对其电子响应文件的相关内容加盖公章的，均指采用CA证书签章。</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2.10“▲”是指实质性要求条款。</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2.11本磋商文件所称的“以上”“以下”“以内”“届满”，包括本数；所称的“不满”“超过”“以外”，不包括本数；如磋商文件另有特殊规定的从其规定。 </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3. 供应商的资格条件</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3.1 供应商资格：详见供应商须知前附表。</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4. 磋商费用</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4.1供应商应自行承担所有与编写和提交响应文件有关的费用，不论磋商结果如何，采购人和采购代理机构在任何情况下无义务和责任承担此类费用。</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5. 联合体竞标</w:t>
      </w:r>
    </w:p>
    <w:p>
      <w:pPr>
        <w:spacing w:line="360" w:lineRule="exact"/>
        <w:ind w:firstLine="422"/>
        <w:rPr>
          <w:rFonts w:ascii="宋体" w:hAnsi="宋体"/>
          <w:color w:val="auto"/>
          <w:szCs w:val="21"/>
          <w:highlight w:val="none"/>
        </w:rPr>
      </w:pPr>
      <w:r>
        <w:rPr>
          <w:rFonts w:hint="eastAsia" w:ascii="宋体" w:hAnsi="宋体"/>
          <w:color w:val="auto"/>
          <w:szCs w:val="21"/>
          <w:highlight w:val="none"/>
        </w:rPr>
        <w:t>5.1本项目是否接受联合体竞标，详见“供应商须知前附表”。</w:t>
      </w:r>
    </w:p>
    <w:p>
      <w:pPr>
        <w:spacing w:line="360" w:lineRule="exact"/>
        <w:ind w:firstLine="422"/>
        <w:rPr>
          <w:rFonts w:ascii="宋体" w:hAnsi="宋体"/>
          <w:color w:val="auto"/>
          <w:szCs w:val="21"/>
          <w:highlight w:val="none"/>
        </w:rPr>
      </w:pPr>
      <w:r>
        <w:rPr>
          <w:rFonts w:hint="eastAsia" w:ascii="宋体" w:hAnsi="宋体"/>
          <w:color w:val="auto"/>
          <w:szCs w:val="21"/>
          <w:highlight w:val="none"/>
        </w:rPr>
        <w:t>5.2联合体要求（联合体竞标时应满足下列要求）：</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（1）两个以上供应商可以组成一个竞标联合体，以一个供应商的身份共同参加竞标，联合体供应商的名称应统一按“XXX公司与XXX公司的联合体”的规则填写。</w:t>
      </w:r>
    </w:p>
    <w:p>
      <w:pPr>
        <w:spacing w:line="360" w:lineRule="exact"/>
        <w:ind w:firstLine="422"/>
        <w:rPr>
          <w:rFonts w:ascii="宋体" w:hAnsi="宋体"/>
          <w:color w:val="auto"/>
          <w:szCs w:val="21"/>
          <w:highlight w:val="none"/>
        </w:rPr>
      </w:pPr>
      <w:r>
        <w:rPr>
          <w:rFonts w:hint="eastAsia" w:ascii="宋体" w:hAnsi="宋体"/>
          <w:color w:val="auto"/>
          <w:szCs w:val="21"/>
          <w:highlight w:val="none"/>
        </w:rPr>
        <w:t>（2）以联合体形式参加竞标的，联合体各方均应当符合“具有独立承担民事责任的能力”的条件。 本项目有特殊要求规定供应商特定条件的，联合体各方中至少应当有一方符合招标文件规定的特定条件。</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联合体竞标的，须提供《联合体竞标协议书》，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pPr>
        <w:spacing w:line="360" w:lineRule="exact"/>
        <w:ind w:firstLine="422"/>
        <w:rPr>
          <w:rFonts w:ascii="宋体" w:hAnsi="宋体"/>
          <w:color w:val="auto"/>
          <w:szCs w:val="21"/>
          <w:highlight w:val="none"/>
        </w:rPr>
      </w:pPr>
      <w:r>
        <w:rPr>
          <w:rFonts w:hint="eastAsia" w:ascii="宋体" w:hAnsi="宋体"/>
          <w:color w:val="auto"/>
          <w:szCs w:val="21"/>
          <w:highlight w:val="none"/>
        </w:rPr>
        <w:t>（4）以联合体形式参加政府采购活动的，联合体各方不得再单独参加或者与其他供应商另外组成联合体参加同一合同项下的政府采购活动，否则与之相关的响应文件作废。</w:t>
      </w:r>
    </w:p>
    <w:p>
      <w:pPr>
        <w:spacing w:line="360" w:lineRule="exact"/>
        <w:ind w:firstLine="422"/>
        <w:rPr>
          <w:rFonts w:ascii="宋体" w:hAnsi="宋体"/>
          <w:color w:val="auto"/>
          <w:szCs w:val="21"/>
          <w:highlight w:val="none"/>
        </w:rPr>
      </w:pPr>
      <w:r>
        <w:rPr>
          <w:rFonts w:hint="eastAsia" w:ascii="宋体" w:hAnsi="宋体"/>
          <w:color w:val="auto"/>
          <w:szCs w:val="21"/>
          <w:highlight w:val="none"/>
        </w:rPr>
        <w:t>（5）联合体中有同类资质的供应商按照联合体分工承担相同工作的，应当按照资质等级较低的供应商确定资质等级。</w:t>
      </w:r>
    </w:p>
    <w:p>
      <w:pPr>
        <w:spacing w:line="360" w:lineRule="exact"/>
        <w:ind w:firstLine="422"/>
        <w:rPr>
          <w:rFonts w:ascii="宋体" w:hAnsi="宋体"/>
          <w:color w:val="auto"/>
          <w:szCs w:val="21"/>
          <w:highlight w:val="none"/>
        </w:rPr>
      </w:pPr>
      <w:r>
        <w:rPr>
          <w:rFonts w:hint="eastAsia" w:ascii="宋体" w:hAnsi="宋体"/>
          <w:color w:val="auto"/>
          <w:szCs w:val="21"/>
          <w:highlight w:val="none"/>
        </w:rPr>
        <w:t>（6）联合体竞标业绩、履约能力按照联合体各方其中较高的一方认定并计算（招标文件另有规定的除外）。</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（7）联合体各方均应按照招标文件的规定提交资格证明文件。</w:t>
      </w:r>
    </w:p>
    <w:p>
      <w:pPr>
        <w:spacing w:line="360" w:lineRule="exact"/>
        <w:ind w:firstLine="422"/>
        <w:rPr>
          <w:rFonts w:ascii="宋体" w:hAnsi="宋体"/>
          <w:color w:val="auto"/>
          <w:szCs w:val="21"/>
          <w:highlight w:val="none"/>
        </w:rPr>
      </w:pPr>
      <w:r>
        <w:rPr>
          <w:rFonts w:hint="eastAsia" w:ascii="宋体" w:hAnsi="宋体"/>
          <w:color w:val="auto"/>
          <w:szCs w:val="21"/>
          <w:highlight w:val="none"/>
        </w:rPr>
        <w:t>5.3根据《政府采购促进中小企业发展管理办法》（财库</w:t>
      </w:r>
      <w:r>
        <w:rPr>
          <w:rFonts w:ascii="宋体" w:hAnsi="宋体"/>
          <w:color w:val="auto"/>
          <w:szCs w:val="21"/>
          <w:highlight w:val="none"/>
        </w:rPr>
        <w:t>[2020]46</w:t>
      </w:r>
      <w:r>
        <w:rPr>
          <w:rFonts w:hint="eastAsia" w:ascii="宋体" w:hAnsi="宋体"/>
          <w:color w:val="auto"/>
          <w:szCs w:val="21"/>
          <w:highlight w:val="none"/>
        </w:rPr>
        <w:t>号）第九条规定，接受大中型企业与小微企业组成联合体的采购项目，对于联合协议约定小微企业的合同份额占到合同总金额</w:t>
      </w:r>
      <w:r>
        <w:rPr>
          <w:rFonts w:ascii="宋体" w:hAnsi="宋体"/>
          <w:color w:val="auto"/>
          <w:szCs w:val="21"/>
          <w:highlight w:val="none"/>
        </w:rPr>
        <w:t xml:space="preserve"> 30%</w:t>
      </w:r>
      <w:r>
        <w:rPr>
          <w:rFonts w:hint="eastAsia" w:ascii="宋体" w:hAnsi="宋体"/>
          <w:color w:val="auto"/>
          <w:szCs w:val="21"/>
          <w:highlight w:val="none"/>
        </w:rPr>
        <w:t>以上的，采购人、采购代理机构应当对联合体的报价给予4</w:t>
      </w:r>
      <w:r>
        <w:rPr>
          <w:rFonts w:ascii="宋体" w:hAnsi="宋体"/>
          <w:color w:val="auto"/>
          <w:szCs w:val="21"/>
          <w:highlight w:val="none"/>
        </w:rPr>
        <w:t>%-</w:t>
      </w: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（工程项目为</w:t>
      </w:r>
      <w:r>
        <w:rPr>
          <w:rFonts w:ascii="宋体" w:hAnsi="宋体"/>
          <w:color w:val="auto"/>
          <w:szCs w:val="21"/>
          <w:highlight w:val="none"/>
        </w:rPr>
        <w:t xml:space="preserve"> 1%</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）的扣除，用扣除后的价格参加评审。组成联合体的小微企业与联合体内其他企业、分包企业之间存在直接控股、管理关系的，不享受价格扣除优惠政策。</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 xml:space="preserve">6. 分包与转包 </w:t>
      </w:r>
    </w:p>
    <w:p>
      <w:pPr>
        <w:spacing w:line="360" w:lineRule="exact"/>
        <w:ind w:firstLine="422"/>
        <w:rPr>
          <w:rFonts w:ascii="宋体" w:hAnsi="宋体"/>
          <w:color w:val="auto"/>
          <w:szCs w:val="21"/>
          <w:highlight w:val="none"/>
        </w:rPr>
      </w:pPr>
      <w:r>
        <w:rPr>
          <w:rFonts w:hint="eastAsia" w:ascii="宋体" w:hAnsi="宋体"/>
          <w:color w:val="auto"/>
          <w:szCs w:val="21"/>
          <w:highlight w:val="none"/>
        </w:rPr>
        <w:t>6.1本项目是否允许分包详见“供应商须知前附表”，本项目不允许违法分包。供应商根据招标文件的规定和采购项目的实际情况，拟在中标后将中标项目的非主体、非关键性工作分包的，应当在响应文件中载明分包承担主体，分包承担主体应当具备相应资质条件且不得再次分包。</w:t>
      </w:r>
    </w:p>
    <w:p>
      <w:pPr>
        <w:spacing w:line="360" w:lineRule="exact"/>
        <w:ind w:firstLine="422"/>
        <w:rPr>
          <w:rFonts w:ascii="宋体" w:hAnsi="宋体"/>
          <w:color w:val="auto"/>
          <w:szCs w:val="21"/>
          <w:highlight w:val="none"/>
        </w:rPr>
      </w:pPr>
      <w:r>
        <w:rPr>
          <w:rFonts w:hint="eastAsia" w:ascii="宋体" w:hAnsi="宋体"/>
          <w:color w:val="auto"/>
          <w:szCs w:val="21"/>
          <w:highlight w:val="none"/>
        </w:rPr>
        <w:t>6.2根据《政府采购促进中小企业发展管理办法》（财库[2020]46号）第九条规定，允许大中型企业向一家或者多家小微企业分包的采购项目，对于分包意向协议约定小微企业的合同份额占到合同总金额30%以上的，采购人、采购代理机构应当对大中型企业的报价给予 4%-6%的扣除，用扣除后的价格参加评审。接受分包的小微企业与分包企业之间存在直接控股、管理关系的，不享受价格扣除优惠政策。</w:t>
      </w:r>
    </w:p>
    <w:p>
      <w:pPr>
        <w:spacing w:line="360" w:lineRule="exact"/>
        <w:ind w:firstLine="422"/>
        <w:rPr>
          <w:rFonts w:ascii="宋体" w:hAnsi="宋体"/>
          <w:color w:val="auto"/>
          <w:szCs w:val="21"/>
          <w:highlight w:val="none"/>
        </w:rPr>
      </w:pPr>
      <w:r>
        <w:rPr>
          <w:rFonts w:hint="eastAsia" w:ascii="宋体" w:hAnsi="宋体"/>
          <w:color w:val="auto"/>
          <w:szCs w:val="21"/>
          <w:highlight w:val="none"/>
        </w:rPr>
        <w:t>6.3本项目不允许转包。</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7. 特别说明</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7.1出现下列情形之一的，在评审过程中，按一家供应商计算，评审后得分最高的同品牌供应商获得中标人推荐资格；评审得分相同的，以报价最低的供应商获得中标人推荐资格；评审得分及投标报价相同的，以技术得分最高的供应商获得中标人推荐资格；其他同品牌供应商不作为中标候选人：</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（1）提供相同品牌产品且通过资格审查、符合性审查的不同供应商参加单一产品的同一合同项下的政府采购活动的。</w:t>
      </w:r>
    </w:p>
    <w:p>
      <w:pPr>
        <w:spacing w:line="360" w:lineRule="exact"/>
        <w:ind w:firstLine="422"/>
        <w:rPr>
          <w:rFonts w:ascii="宋体" w:hAnsi="宋体"/>
          <w:color w:val="auto"/>
          <w:szCs w:val="21"/>
          <w:highlight w:val="none"/>
        </w:rPr>
      </w:pPr>
      <w:r>
        <w:rPr>
          <w:rFonts w:hint="eastAsia" w:ascii="宋体" w:hAnsi="宋体"/>
          <w:color w:val="auto"/>
          <w:szCs w:val="21"/>
          <w:highlight w:val="none"/>
        </w:rPr>
        <w:t>（2）非单一产品采购项目中，多家供应商提供的核心产品品牌相同的，视为提供相同品牌产品。核心产品的名称应当在招标文件中载明。</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7.2供应商投标所使用的资格、信誉、荣誉、业绩与企业认证必须为本供应商所拥有。</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7.3供应商应仔细阅读招标文件的所有内容，按照招标文件的要求提交响应文件，并对所提供的全部资料的真实性承担法律责任。</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7.4供应商在投标活动中提供任何虚假材料,其投标无效，并报监管部门查处；中标后发现的,中标供应商须依照《中华人民共和国消费者权益保护法》规定赔偿采购人，且民事赔偿并不免除违法供应商的行政与刑事责任。</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7.5在政府采购活动中，采购人员及相关人员与供应商有下列利害关系之一的，应当回避：</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（1）参加采购活动前3年内与供应商存在劳动关系；</w:t>
      </w:r>
    </w:p>
    <w:p>
      <w:pPr>
        <w:spacing w:line="360" w:lineRule="exact"/>
        <w:ind w:firstLine="422"/>
        <w:rPr>
          <w:rFonts w:ascii="宋体" w:hAnsi="宋体"/>
          <w:color w:val="auto"/>
          <w:szCs w:val="21"/>
          <w:highlight w:val="none"/>
        </w:rPr>
      </w:pPr>
      <w:r>
        <w:rPr>
          <w:rFonts w:hint="eastAsia" w:ascii="宋体" w:hAnsi="宋体"/>
          <w:color w:val="auto"/>
          <w:szCs w:val="21"/>
          <w:highlight w:val="none"/>
        </w:rPr>
        <w:t>（2）参加采购活动前3年内担任供应商的董事、监事；</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（3）参加采购活动前3年内是供应商的控股股东或者实际控制人；</w:t>
      </w:r>
    </w:p>
    <w:p>
      <w:pPr>
        <w:spacing w:line="360" w:lineRule="exact"/>
        <w:ind w:firstLine="422"/>
        <w:rPr>
          <w:rFonts w:ascii="宋体" w:hAnsi="宋体"/>
          <w:color w:val="auto"/>
          <w:szCs w:val="21"/>
          <w:highlight w:val="none"/>
        </w:rPr>
      </w:pPr>
      <w:r>
        <w:rPr>
          <w:rFonts w:hint="eastAsia" w:ascii="宋体" w:hAnsi="宋体"/>
          <w:color w:val="auto"/>
          <w:szCs w:val="21"/>
          <w:highlight w:val="none"/>
        </w:rPr>
        <w:t>（4）与供应商的法定代表人或者负责人有夫妻、直系血亲、三代以内旁系血亲或者近姻亲关系；</w:t>
      </w:r>
    </w:p>
    <w:p>
      <w:pPr>
        <w:spacing w:line="360" w:lineRule="exact"/>
        <w:ind w:firstLine="422"/>
        <w:rPr>
          <w:rFonts w:ascii="宋体" w:hAnsi="宋体"/>
          <w:color w:val="auto"/>
          <w:szCs w:val="21"/>
          <w:highlight w:val="none"/>
        </w:rPr>
      </w:pPr>
      <w:r>
        <w:rPr>
          <w:rFonts w:hint="eastAsia" w:ascii="宋体" w:hAnsi="宋体"/>
          <w:color w:val="auto"/>
          <w:szCs w:val="21"/>
          <w:highlight w:val="none"/>
        </w:rPr>
        <w:t>（5）与供应商有其他可能影响政府采购活动公平、公正进行的关系。</w:t>
      </w:r>
    </w:p>
    <w:p>
      <w:pPr>
        <w:spacing w:line="360" w:lineRule="exact"/>
        <w:ind w:firstLine="422"/>
        <w:rPr>
          <w:rFonts w:ascii="宋体" w:hAnsi="宋体"/>
          <w:color w:val="auto"/>
          <w:szCs w:val="21"/>
          <w:highlight w:val="none"/>
        </w:rPr>
      </w:pPr>
      <w:r>
        <w:rPr>
          <w:rFonts w:hint="eastAsia" w:ascii="宋体" w:hAnsi="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7.6有下列情形之一的视为供应商相互串通投标，其投标无效：</w:t>
      </w:r>
    </w:p>
    <w:p>
      <w:pPr>
        <w:spacing w:line="360" w:lineRule="exact"/>
        <w:ind w:firstLine="422"/>
        <w:rPr>
          <w:rFonts w:ascii="宋体" w:hAnsi="宋体"/>
          <w:color w:val="auto"/>
          <w:szCs w:val="21"/>
          <w:highlight w:val="none"/>
        </w:rPr>
      </w:pPr>
      <w:r>
        <w:rPr>
          <w:rFonts w:hint="eastAsia" w:ascii="宋体" w:hAnsi="宋体"/>
          <w:color w:val="auto"/>
          <w:szCs w:val="21"/>
          <w:highlight w:val="none"/>
        </w:rPr>
        <w:t xml:space="preserve">（1）不同供应商的响应文件由同一单位或者个人编制； </w:t>
      </w:r>
    </w:p>
    <w:p>
      <w:pPr>
        <w:spacing w:line="360" w:lineRule="exact"/>
        <w:ind w:firstLine="422"/>
        <w:rPr>
          <w:rFonts w:ascii="宋体" w:hAnsi="宋体"/>
          <w:color w:val="auto"/>
          <w:szCs w:val="21"/>
          <w:highlight w:val="none"/>
        </w:rPr>
      </w:pPr>
      <w:r>
        <w:rPr>
          <w:rFonts w:hint="eastAsia" w:ascii="宋体" w:hAnsi="宋体"/>
          <w:color w:val="auto"/>
          <w:szCs w:val="21"/>
          <w:highlight w:val="none"/>
        </w:rPr>
        <w:t>（2）不同供应商委托同一单位或者个人办理投标事宜；</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（3）不同供应商的响应文件载明的项目管理成员或者联系人员为同一人；</w:t>
      </w:r>
    </w:p>
    <w:p>
      <w:pPr>
        <w:spacing w:line="360" w:lineRule="exact"/>
        <w:ind w:firstLine="422"/>
        <w:rPr>
          <w:rFonts w:ascii="宋体" w:hAnsi="宋体"/>
          <w:color w:val="auto"/>
          <w:szCs w:val="21"/>
          <w:highlight w:val="none"/>
        </w:rPr>
      </w:pPr>
      <w:r>
        <w:rPr>
          <w:rFonts w:hint="eastAsia" w:ascii="宋体" w:hAnsi="宋体"/>
          <w:color w:val="auto"/>
          <w:szCs w:val="21"/>
          <w:highlight w:val="none"/>
        </w:rPr>
        <w:t>（4）不同供应商的响应文件异常一致或投标报价呈规律性差异；</w:t>
      </w:r>
    </w:p>
    <w:p>
      <w:pPr>
        <w:spacing w:line="360" w:lineRule="exact"/>
        <w:ind w:firstLine="422"/>
        <w:rPr>
          <w:rFonts w:ascii="宋体" w:hAnsi="宋体"/>
          <w:color w:val="auto"/>
          <w:szCs w:val="21"/>
          <w:highlight w:val="none"/>
        </w:rPr>
      </w:pPr>
      <w:r>
        <w:rPr>
          <w:rFonts w:hint="eastAsia" w:ascii="宋体" w:hAnsi="宋体"/>
          <w:color w:val="auto"/>
          <w:szCs w:val="21"/>
          <w:highlight w:val="none"/>
        </w:rPr>
        <w:t>（5）不同供应商的响应文件相互混装；</w:t>
      </w:r>
    </w:p>
    <w:p>
      <w:pPr>
        <w:spacing w:line="360" w:lineRule="exact"/>
        <w:ind w:firstLine="422"/>
        <w:rPr>
          <w:rFonts w:ascii="宋体" w:hAnsi="宋体"/>
          <w:color w:val="auto"/>
          <w:szCs w:val="21"/>
          <w:highlight w:val="none"/>
        </w:rPr>
      </w:pPr>
      <w:r>
        <w:rPr>
          <w:rFonts w:hint="eastAsia" w:ascii="宋体" w:hAnsi="宋体"/>
          <w:color w:val="auto"/>
          <w:szCs w:val="21"/>
          <w:highlight w:val="none"/>
        </w:rPr>
        <w:t>（6）不同供应商的投标保证金从同一单位或者个人账户转出。</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7.7供应商有下列情形之一的，属于恶意串通行为：</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（1）供应商直接或者间接从采购人或者采购代理机构处获得其他供应商的相关信息并修改其投标文件或者响应文件：</w:t>
      </w:r>
    </w:p>
    <w:p>
      <w:pPr>
        <w:spacing w:line="360" w:lineRule="exact"/>
        <w:ind w:firstLine="422"/>
        <w:rPr>
          <w:rFonts w:ascii="宋体" w:hAnsi="宋体"/>
          <w:color w:val="auto"/>
          <w:szCs w:val="21"/>
          <w:highlight w:val="none"/>
        </w:rPr>
      </w:pPr>
      <w:r>
        <w:rPr>
          <w:rFonts w:hint="eastAsia" w:ascii="宋体" w:hAnsi="宋体"/>
          <w:color w:val="auto"/>
          <w:szCs w:val="21"/>
          <w:highlight w:val="none"/>
        </w:rPr>
        <w:t>（2）供应商按照采购人或者采购代理机构的授意撤换、修改投标文件或者响应文件；</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（3）供应商之间协商报价、技术方案等投标文件或者响应文件的实质性内容；</w:t>
      </w:r>
    </w:p>
    <w:p>
      <w:pPr>
        <w:spacing w:line="360" w:lineRule="exact"/>
        <w:ind w:firstLine="422"/>
        <w:rPr>
          <w:rFonts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（4）属于同一集团、协会、商会等组织成员的供应商按照该组织要求协同参加政府采购活动；</w:t>
      </w:r>
    </w:p>
    <w:p>
      <w:pPr>
        <w:spacing w:line="360" w:lineRule="exact"/>
        <w:ind w:firstLine="422"/>
        <w:rPr>
          <w:rFonts w:ascii="宋体" w:hAnsi="宋体"/>
          <w:color w:val="auto"/>
          <w:szCs w:val="21"/>
          <w:highlight w:val="none"/>
        </w:rPr>
      </w:pPr>
      <w:r>
        <w:rPr>
          <w:rFonts w:hint="eastAsia" w:ascii="宋体" w:hAnsi="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pPr>
        <w:spacing w:line="360" w:lineRule="exact"/>
        <w:ind w:firstLine="422"/>
        <w:rPr>
          <w:rFonts w:ascii="宋体" w:hAnsi="宋体"/>
          <w:color w:val="auto"/>
          <w:szCs w:val="21"/>
          <w:highlight w:val="none"/>
        </w:rPr>
      </w:pPr>
      <w:r>
        <w:rPr>
          <w:rFonts w:hint="eastAsia" w:ascii="宋体" w:hAnsi="宋体"/>
          <w:color w:val="auto"/>
          <w:szCs w:val="21"/>
          <w:highlight w:val="none"/>
        </w:rPr>
        <w:t>（6）供应商之间商定部分供应商放弃参加政府采购活动或者放弃中标；</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（7）供应商与采购人或者采购代理机构之间、供应商相互之间，为谋求特定供应商中标或者排斥其他供应商的其他串通行为。</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7.8关联供应商不得参加同一合同项下政府采购活动，否则响应文件将被视为无效：</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（1）单位负责人为同一人或者存在直接控股、管理关系的不同的供应商，不得参加同一合同项下的政府采购活动；</w:t>
      </w:r>
    </w:p>
    <w:p>
      <w:pPr>
        <w:spacing w:line="360" w:lineRule="exact"/>
        <w:ind w:firstLine="422"/>
        <w:rPr>
          <w:rFonts w:ascii="宋体" w:hAnsi="宋体"/>
          <w:color w:val="auto"/>
          <w:szCs w:val="21"/>
          <w:highlight w:val="none"/>
        </w:rPr>
      </w:pPr>
      <w:r>
        <w:rPr>
          <w:rFonts w:hint="eastAsia" w:ascii="宋体" w:hAnsi="宋体"/>
          <w:color w:val="auto"/>
          <w:szCs w:val="21"/>
          <w:highlight w:val="none"/>
        </w:rPr>
        <w:t>（2）生产厂商授权给供应商后自己不得参加同一合同项下的政府采购活动；生产厂商对同一品牌同一型号的货物，仅能委托一个代理商参加投标。</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8.质疑和投诉</w:t>
      </w:r>
    </w:p>
    <w:p>
      <w:pPr>
        <w:spacing w:line="360" w:lineRule="exact"/>
        <w:ind w:firstLine="422"/>
        <w:rPr>
          <w:rFonts w:ascii="宋体" w:hAnsi="宋体"/>
          <w:color w:val="auto"/>
          <w:szCs w:val="21"/>
          <w:highlight w:val="none"/>
        </w:rPr>
      </w:pPr>
      <w:r>
        <w:rPr>
          <w:rFonts w:hint="eastAsia" w:ascii="宋体" w:hAnsi="宋体"/>
          <w:color w:val="auto"/>
          <w:szCs w:val="21"/>
          <w:highlight w:val="none"/>
        </w:rPr>
        <w:t>8.1供应商认为招标文件、招标过程或中标结果使自己的合法权益受到损害的，应当在知道或者应知其权益受到损害之日起七个工作日内，以书面形式向采购人、采购代理机构提出质疑。供应商对招标采购人的质疑答复不满意或者招标采购人未在规定时间内作出答复的，可以在答复期满后十五个工作日内向同级采购监管部门投诉。</w:t>
      </w:r>
    </w:p>
    <w:p>
      <w:pPr>
        <w:spacing w:line="360" w:lineRule="exact"/>
        <w:ind w:firstLine="422"/>
        <w:rPr>
          <w:rFonts w:ascii="宋体" w:hAnsi="宋体"/>
          <w:color w:val="auto"/>
          <w:szCs w:val="21"/>
          <w:highlight w:val="none"/>
        </w:rPr>
      </w:pPr>
      <w:r>
        <w:rPr>
          <w:rFonts w:hint="eastAsia" w:ascii="宋体" w:hAnsi="宋体"/>
          <w:color w:val="auto"/>
          <w:szCs w:val="21"/>
          <w:highlight w:val="none"/>
        </w:rPr>
        <w:t>8.2质疑、投诉应当采用书面形式，质疑书、投诉书均应明确阐述招标文件、招标过程或中标结果中使自己合法权益受到损害的实质性内容，提供相关事实、依据和证据及其来源或线索，便于有关单位调查、答复和处理。</w:t>
      </w:r>
    </w:p>
    <w:p>
      <w:pPr>
        <w:spacing w:line="360" w:lineRule="exact"/>
        <w:ind w:firstLine="422"/>
        <w:rPr>
          <w:rFonts w:ascii="宋体" w:hAnsi="宋体"/>
          <w:color w:val="auto"/>
          <w:szCs w:val="21"/>
          <w:highlight w:val="none"/>
        </w:rPr>
      </w:pPr>
      <w:r>
        <w:rPr>
          <w:rFonts w:hint="eastAsia" w:ascii="宋体" w:hAnsi="宋体"/>
          <w:color w:val="auto"/>
          <w:szCs w:val="21"/>
          <w:highlight w:val="none"/>
        </w:rPr>
        <w:t>8.3质疑和投诉书面要求</w:t>
      </w:r>
    </w:p>
    <w:p>
      <w:pPr>
        <w:spacing w:line="360" w:lineRule="exact"/>
        <w:ind w:firstLine="422"/>
        <w:rPr>
          <w:rFonts w:ascii="宋体" w:hAnsi="宋体"/>
          <w:color w:val="auto"/>
          <w:szCs w:val="21"/>
          <w:highlight w:val="none"/>
        </w:rPr>
      </w:pPr>
      <w:r>
        <w:rPr>
          <w:rFonts w:hint="eastAsia" w:ascii="宋体" w:hAnsi="宋体"/>
          <w:color w:val="auto"/>
          <w:szCs w:val="21"/>
          <w:highlight w:val="none"/>
        </w:rPr>
        <w:t>质疑人或投诉人提供的书面材料（如材料中有外文资料须同时附上中文译本）至少包括以下内容：</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（1）质疑人或投诉人的姓名或者名称、地址、邮编、联系人及联系电话；</w:t>
      </w:r>
    </w:p>
    <w:p>
      <w:pPr>
        <w:spacing w:line="360" w:lineRule="exact"/>
        <w:ind w:firstLine="422"/>
        <w:rPr>
          <w:rFonts w:ascii="宋体" w:hAnsi="宋体"/>
          <w:color w:val="auto"/>
          <w:szCs w:val="21"/>
          <w:highlight w:val="none"/>
        </w:rPr>
      </w:pPr>
      <w:r>
        <w:rPr>
          <w:rFonts w:hint="eastAsia" w:ascii="宋体" w:hAnsi="宋体"/>
          <w:color w:val="auto"/>
          <w:szCs w:val="21"/>
          <w:highlight w:val="none"/>
        </w:rPr>
        <w:t>（2）质疑项目的名称、编号；</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（3）具体、明确的质疑事项和与质疑事项相关的请求；</w:t>
      </w:r>
    </w:p>
    <w:p>
      <w:pPr>
        <w:spacing w:line="360" w:lineRule="exact"/>
        <w:ind w:firstLine="422"/>
        <w:rPr>
          <w:rFonts w:ascii="宋体" w:hAnsi="宋体"/>
          <w:color w:val="auto"/>
          <w:szCs w:val="21"/>
          <w:highlight w:val="none"/>
        </w:rPr>
      </w:pPr>
      <w:r>
        <w:rPr>
          <w:rFonts w:hint="eastAsia" w:ascii="宋体" w:hAnsi="宋体"/>
          <w:color w:val="auto"/>
          <w:szCs w:val="21"/>
          <w:highlight w:val="none"/>
        </w:rPr>
        <w:t>（4）事实依据；</w:t>
      </w:r>
    </w:p>
    <w:p>
      <w:pPr>
        <w:spacing w:line="360" w:lineRule="exact"/>
        <w:ind w:firstLine="422"/>
        <w:rPr>
          <w:rFonts w:ascii="宋体" w:hAnsi="宋体"/>
          <w:color w:val="auto"/>
          <w:szCs w:val="21"/>
          <w:highlight w:val="none"/>
        </w:rPr>
      </w:pPr>
      <w:r>
        <w:rPr>
          <w:rFonts w:hint="eastAsia" w:ascii="宋体" w:hAnsi="宋体"/>
          <w:color w:val="auto"/>
          <w:szCs w:val="21"/>
          <w:highlight w:val="none"/>
        </w:rPr>
        <w:t>（5）必要的法律依据；</w:t>
      </w:r>
    </w:p>
    <w:p>
      <w:pPr>
        <w:spacing w:line="360" w:lineRule="exact"/>
        <w:ind w:firstLine="422"/>
        <w:rPr>
          <w:rFonts w:ascii="宋体" w:hAnsi="宋体"/>
          <w:color w:val="auto"/>
          <w:szCs w:val="21"/>
          <w:highlight w:val="none"/>
        </w:rPr>
      </w:pPr>
      <w:r>
        <w:rPr>
          <w:rFonts w:hint="eastAsia" w:ascii="宋体" w:hAnsi="宋体"/>
          <w:color w:val="auto"/>
          <w:szCs w:val="21"/>
          <w:highlight w:val="none"/>
        </w:rPr>
        <w:t>（6）质疑人或投诉人的签章及质疑或投诉时间；</w:t>
      </w:r>
    </w:p>
    <w:p>
      <w:pPr>
        <w:spacing w:line="360" w:lineRule="exact"/>
        <w:ind w:firstLine="422"/>
        <w:rPr>
          <w:rFonts w:ascii="宋体" w:hAnsi="宋体"/>
          <w:color w:val="auto"/>
          <w:szCs w:val="21"/>
          <w:highlight w:val="none"/>
        </w:rPr>
      </w:pPr>
      <w:r>
        <w:rPr>
          <w:rFonts w:hint="eastAsia" w:ascii="宋体" w:hAnsi="宋体"/>
          <w:color w:val="auto"/>
          <w:szCs w:val="21"/>
          <w:highlight w:val="none"/>
        </w:rPr>
        <w:t>（7）质疑或投诉的书面材料须提供法定代表人签名和加盖单位公章的原件。</w:t>
      </w:r>
    </w:p>
    <w:p>
      <w:pPr>
        <w:spacing w:line="360" w:lineRule="exact"/>
        <w:ind w:firstLine="422"/>
        <w:rPr>
          <w:rFonts w:ascii="宋体" w:hAnsi="宋体"/>
          <w:color w:val="auto"/>
          <w:szCs w:val="21"/>
          <w:highlight w:val="none"/>
        </w:rPr>
      </w:pPr>
      <w:r>
        <w:rPr>
          <w:rFonts w:hint="eastAsia" w:ascii="宋体" w:hAnsi="宋体"/>
          <w:color w:val="auto"/>
          <w:szCs w:val="21"/>
          <w:highlight w:val="none"/>
        </w:rPr>
        <w:t>（8）质疑人须一次性提出针对同一采购程序环节的质疑。</w:t>
      </w:r>
    </w:p>
    <w:p>
      <w:pPr>
        <w:spacing w:line="360" w:lineRule="exact"/>
        <w:ind w:firstLine="422"/>
        <w:rPr>
          <w:rFonts w:ascii="宋体" w:hAnsi="宋体"/>
          <w:color w:val="auto"/>
          <w:szCs w:val="21"/>
          <w:highlight w:val="none"/>
        </w:rPr>
      </w:pPr>
      <w:r>
        <w:rPr>
          <w:rFonts w:hint="eastAsia" w:ascii="宋体" w:hAnsi="宋体"/>
          <w:color w:val="auto"/>
          <w:szCs w:val="21"/>
          <w:highlight w:val="none"/>
        </w:rPr>
        <w:t>（9）如质疑或投诉委托代理人办理时，须提供质疑人的授权委托书，其授权委托书应当载明代理人的姓名或者名称、代理事项、具体权限、期限和相关事项。供应商为自然人的，应当由本人签字；供应商为法人或者其他组织的，应当由法定代表人、主要负责人签字或者盖章，并加盖公章。</w:t>
      </w:r>
    </w:p>
    <w:p>
      <w:pPr>
        <w:spacing w:line="360" w:lineRule="exact"/>
        <w:ind w:firstLine="422"/>
        <w:rPr>
          <w:rFonts w:ascii="宋体" w:hAnsi="宋体"/>
          <w:color w:val="auto"/>
          <w:szCs w:val="21"/>
          <w:highlight w:val="none"/>
        </w:rPr>
      </w:pPr>
      <w:r>
        <w:rPr>
          <w:rFonts w:hint="eastAsia" w:ascii="宋体" w:hAnsi="宋体"/>
          <w:color w:val="auto"/>
          <w:szCs w:val="21"/>
          <w:highlight w:val="none"/>
        </w:rPr>
        <w:t>未持有有效授权委托书的代理人提交的质疑函或不在法定质疑期内提交的质疑函，将不予受理。</w:t>
      </w:r>
    </w:p>
    <w:p>
      <w:pPr>
        <w:spacing w:line="360" w:lineRule="exact"/>
        <w:ind w:firstLine="422"/>
        <w:rPr>
          <w:rFonts w:ascii="宋体" w:hAnsi="宋体"/>
          <w:color w:val="auto"/>
          <w:szCs w:val="21"/>
          <w:highlight w:val="none"/>
        </w:rPr>
      </w:pPr>
      <w:r>
        <w:rPr>
          <w:rFonts w:hint="eastAsia" w:ascii="宋体" w:hAnsi="宋体"/>
          <w:color w:val="auto"/>
          <w:szCs w:val="21"/>
          <w:highlight w:val="none"/>
        </w:rPr>
        <w:t>8.4接受质疑函的联系方式等详见磋商公告中采购人、采购代理机构的联系方式。</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二、磋商文件</w:t>
      </w:r>
    </w:p>
    <w:p>
      <w:pPr>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9.竞争性磋商采购文件的组成</w:t>
      </w:r>
    </w:p>
    <w:p>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（1）磋商公告；</w:t>
      </w:r>
    </w:p>
    <w:p>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采购</w:t>
      </w:r>
      <w:r>
        <w:rPr>
          <w:rFonts w:hint="eastAsia" w:ascii="宋体" w:hAnsi="宋体"/>
          <w:color w:val="auto"/>
          <w:szCs w:val="21"/>
          <w:highlight w:val="none"/>
        </w:rPr>
        <w:t>需求；</w:t>
      </w:r>
    </w:p>
    <w:p>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（3）供应商须知；</w:t>
      </w:r>
    </w:p>
    <w:p>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（4）评审办法和定标标准；</w:t>
      </w:r>
    </w:p>
    <w:p>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（5）响应文件格式；</w:t>
      </w:r>
    </w:p>
    <w:p>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（6）合同主要条款；</w:t>
      </w:r>
    </w:p>
    <w:p>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（7）其他资料（如有）。</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10. 供应商的风险</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10.1供应商没有按照招标文件要求提供全部资料，或者供应商没有对招标文件在各方面作出实质性响应是供应商的风险，并可能导致其投标被拒绝。</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11.磋商文件的澄清与修改</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11.1供应商应</w:t>
      </w:r>
      <w:r>
        <w:rPr>
          <w:rFonts w:hint="eastAsia" w:hAnsi="宋体"/>
          <w:bCs/>
          <w:color w:val="auto"/>
          <w:highlight w:val="none"/>
        </w:rPr>
        <w:t>认真阅读本磋商文件，发现</w:t>
      </w:r>
      <w:r>
        <w:rPr>
          <w:rFonts w:hint="eastAsia" w:hAnsi="宋体"/>
          <w:color w:val="auto"/>
          <w:highlight w:val="none"/>
        </w:rPr>
        <w:t>磋商文件表述不清晰、存在歧视性、排他性或者其他违法内容的，应以书面形式要求招标采购人作出书面解释、澄清</w:t>
      </w:r>
      <w:r>
        <w:rPr>
          <w:rFonts w:hint="eastAsia" w:ascii="宋体" w:hAnsi="宋体"/>
          <w:color w:val="auto"/>
          <w:szCs w:val="21"/>
          <w:highlight w:val="none"/>
        </w:rPr>
        <w:t>，否则，由此产生的后果由供应商负责。</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11.2任何要求澄清竞争性磋商文件的供应商，均应在首次响应文件递交截止日期三日前的正常工作时间以书面形式通知采购人或采购代理机构，采购人或采购代理机构将以书面形式予以答复。</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11.3采购人或采购代理机构对已发出的磋商文件进行必要澄清或者修改的，澄清和修改对供应商编制响应文件造成实质影响的，在竞争性磋商文件要求提交竞争性磋商响应文件截止时间五日前（不足五日顺延），并将以书面形式通知（在“供应商须知前附表”规定的发布媒体上发布更正公告）所有获取磋商文件的供应商。该澄清或者修改的内容为竞争性磋商文件的组成部分。</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11.4采购人可视具体情况，延长响应文件递交截止时间和开标时间，并在“供应商须知前附表”规定的发布媒体上发布变更公告。</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12.现场考察或答疑会</w:t>
      </w:r>
    </w:p>
    <w:p>
      <w:pPr>
        <w:spacing w:line="360" w:lineRule="exact"/>
        <w:ind w:left="2" w:firstLine="422"/>
        <w:rPr>
          <w:rFonts w:ascii="宋体" w:hAnsi="宋体"/>
          <w:color w:val="auto"/>
          <w:szCs w:val="21"/>
          <w:highlight w:val="none"/>
        </w:rPr>
      </w:pPr>
      <w:r>
        <w:rPr>
          <w:rFonts w:hint="eastAsia" w:ascii="宋体" w:hAnsi="宋体"/>
          <w:color w:val="auto"/>
          <w:szCs w:val="21"/>
          <w:highlight w:val="none"/>
        </w:rPr>
        <w:t>12.1采购人可以视采购项目的具体情况，按须知前附表的规定组织供应商进行现场考察或召开磋商前答疑会，但不得单独或分别组织只有一个供应商参加的现场考察和答疑会。</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12.2供应商考察现场或参加答疑会发生的费用自理。</w:t>
      </w:r>
    </w:p>
    <w:p>
      <w:pPr>
        <w:spacing w:line="360" w:lineRule="exact"/>
        <w:ind w:firstLine="422"/>
        <w:rPr>
          <w:rFonts w:ascii="宋体" w:hAnsi="宋体"/>
          <w:color w:val="auto"/>
          <w:szCs w:val="21"/>
          <w:highlight w:val="none"/>
        </w:rPr>
      </w:pPr>
      <w:r>
        <w:rPr>
          <w:rFonts w:hint="eastAsia" w:ascii="宋体" w:hAnsi="宋体"/>
          <w:color w:val="auto"/>
          <w:szCs w:val="21"/>
          <w:highlight w:val="none"/>
        </w:rPr>
        <w:t>12.3供应商自行负责在考察现场或参加答疑会中所发生的人员伤亡和财产损失。</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三、响应文件的编制</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13.响应文件的组成</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响应文件由资格证明文件、商务和技术文件、报价文件组成。</w:t>
      </w:r>
    </w:p>
    <w:p>
      <w:pPr>
        <w:pStyle w:val="27"/>
        <w:ind w:firstLine="422"/>
        <w:rPr>
          <w:color w:val="auto"/>
          <w:highlight w:val="none"/>
        </w:rPr>
      </w:pPr>
      <w:r>
        <w:rPr>
          <w:rFonts w:hint="eastAsia"/>
          <w:color w:val="auto"/>
          <w:highlight w:val="none"/>
        </w:rPr>
        <w:t>13.1资格证明文件（以下文件标注“▲”的必须提供，否则投标无效，其他可根据实际情况提供）</w:t>
      </w:r>
    </w:p>
    <w:p>
      <w:pPr>
        <w:pStyle w:val="27"/>
        <w:ind w:firstLine="422"/>
        <w:rPr>
          <w:color w:val="auto"/>
          <w:highlight w:val="none"/>
        </w:rPr>
      </w:pPr>
      <w:r>
        <w:rPr>
          <w:rFonts w:hint="eastAsia"/>
          <w:color w:val="auto"/>
          <w:highlight w:val="none"/>
        </w:rPr>
        <w:t>▲注：以下各项属于均要加盖供应商电子公章。</w:t>
      </w:r>
    </w:p>
    <w:p>
      <w:pPr>
        <w:snapToGrid w:val="0"/>
        <w:spacing w:line="36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▲（1）磋商声明书(按第四章要求格式填写)；</w:t>
      </w:r>
    </w:p>
    <w:p>
      <w:pPr>
        <w:snapToGrid w:val="0"/>
        <w:spacing w:line="360" w:lineRule="exact"/>
        <w:ind w:firstLine="411" w:firstLineChars="196"/>
        <w:jc w:val="left"/>
        <w:rPr>
          <w:rFonts w:hint="eastAsia" w:ascii="宋体" w:hAnsi="宋体"/>
          <w:bCs/>
          <w:color w:val="auto"/>
          <w:szCs w:val="21"/>
          <w:highlight w:val="none"/>
        </w:rPr>
      </w:pPr>
      <w:r>
        <w:rPr>
          <w:rFonts w:hint="eastAsia" w:ascii="宋体" w:hAnsi="宋体"/>
          <w:bCs/>
          <w:color w:val="auto"/>
          <w:szCs w:val="21"/>
          <w:highlight w:val="none"/>
        </w:rPr>
        <w:t>▲（2）响应供应商合法的主体资格证明（如营业执照、事业单位法人证书、执业许可证、个体工商户营业执照、自然人身份证等）复印件；</w:t>
      </w:r>
    </w:p>
    <w:p>
      <w:pPr>
        <w:pStyle w:val="2"/>
        <w:ind w:firstLine="420" w:firstLineChars="200"/>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w:t>
      </w:r>
      <w:r>
        <w:rPr>
          <w:rFonts w:hint="eastAsia" w:ascii="宋体" w:hAnsi="宋体" w:cs="Times New Roman"/>
          <w:bCs/>
          <w:color w:val="auto"/>
          <w:kern w:val="2"/>
          <w:sz w:val="21"/>
          <w:szCs w:val="21"/>
          <w:highlight w:val="none"/>
          <w:lang w:val="en-US" w:eastAsia="zh-CN" w:bidi="ar-SA"/>
        </w:rPr>
        <w:t>3</w:t>
      </w:r>
      <w:r>
        <w:rPr>
          <w:rFonts w:hint="eastAsia" w:ascii="宋体" w:hAnsi="宋体" w:eastAsia="宋体" w:cs="Times New Roman"/>
          <w:bCs/>
          <w:color w:val="auto"/>
          <w:kern w:val="2"/>
          <w:sz w:val="21"/>
          <w:szCs w:val="21"/>
          <w:highlight w:val="none"/>
          <w:lang w:val="en-US" w:eastAsia="zh-CN" w:bidi="ar-SA"/>
        </w:rPr>
        <w:t>）中小企业声明函或残疾人福利性单位声明函或投标人属于监狱企业的证明材料[省级以上监狱管理局、戒毒管理局（含新疆生产建设兵团）出具]</w:t>
      </w:r>
    </w:p>
    <w:p>
      <w:pPr>
        <w:snapToGrid w:val="0"/>
        <w:spacing w:line="36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4</w:t>
      </w:r>
      <w:r>
        <w:rPr>
          <w:rFonts w:hint="eastAsia" w:ascii="宋体" w:hAnsi="宋体"/>
          <w:bCs/>
          <w:color w:val="auto"/>
          <w:szCs w:val="21"/>
          <w:highlight w:val="none"/>
        </w:rPr>
        <w:t>）政府采购供应商资格信用承诺函(按第</w:t>
      </w:r>
      <w:r>
        <w:rPr>
          <w:rFonts w:hint="eastAsia" w:ascii="宋体" w:hAnsi="宋体"/>
          <w:bCs/>
          <w:color w:val="auto"/>
          <w:szCs w:val="21"/>
          <w:highlight w:val="none"/>
          <w:lang w:eastAsia="zh-CN"/>
        </w:rPr>
        <w:t>四</w:t>
      </w:r>
      <w:r>
        <w:rPr>
          <w:rFonts w:hint="eastAsia" w:ascii="宋体" w:hAnsi="宋体"/>
          <w:bCs/>
          <w:color w:val="auto"/>
          <w:szCs w:val="21"/>
          <w:highlight w:val="none"/>
        </w:rPr>
        <w:t>章要求格式填写)；</w:t>
      </w:r>
    </w:p>
    <w:p>
      <w:pPr>
        <w:snapToGrid w:val="0"/>
        <w:spacing w:line="36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5</w:t>
      </w:r>
      <w:r>
        <w:rPr>
          <w:rFonts w:hint="eastAsia" w:ascii="宋体" w:hAnsi="宋体"/>
          <w:bCs/>
          <w:color w:val="auto"/>
          <w:szCs w:val="21"/>
          <w:highlight w:val="none"/>
        </w:rPr>
        <w:t xml:space="preserve">）参加政府采购活动前三年内在经营活动中没有重大违法记录和不良信用记录的书面声明书（格式自拟）； </w:t>
      </w:r>
    </w:p>
    <w:p>
      <w:pPr>
        <w:snapToGrid w:val="0"/>
        <w:spacing w:line="36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6</w:t>
      </w:r>
      <w:r>
        <w:rPr>
          <w:rFonts w:hint="eastAsia" w:ascii="宋体" w:hAnsi="宋体"/>
          <w:bCs/>
          <w:color w:val="auto"/>
          <w:szCs w:val="21"/>
          <w:highlight w:val="none"/>
        </w:rPr>
        <w:t>）供应商如为分支机构投标的，须提供其总公司“营业执照”副本复印件和总公司对供应商参与本项目投标的授权书原件；</w:t>
      </w:r>
    </w:p>
    <w:p>
      <w:pPr>
        <w:snapToGrid w:val="0"/>
        <w:spacing w:line="36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7</w:t>
      </w:r>
      <w:r>
        <w:rPr>
          <w:rFonts w:hint="eastAsia" w:ascii="宋体" w:hAnsi="宋体"/>
          <w:bCs/>
          <w:color w:val="auto"/>
          <w:szCs w:val="21"/>
          <w:highlight w:val="none"/>
        </w:rPr>
        <w:t>）供应商直接控股、管理关系信息表(按第四章要求格式填写)；</w:t>
      </w:r>
    </w:p>
    <w:p>
      <w:pPr>
        <w:snapToGrid w:val="0"/>
        <w:spacing w:line="360" w:lineRule="exact"/>
        <w:ind w:firstLine="411" w:firstLineChars="196"/>
        <w:jc w:val="left"/>
        <w:rPr>
          <w:rFonts w:hint="eastAsia" w:ascii="宋体" w:hAnsi="宋体" w:eastAsia="宋体" w:cs="Times New Roman"/>
          <w:bCs/>
          <w:color w:val="auto"/>
          <w:szCs w:val="21"/>
          <w:highlight w:val="none"/>
          <w:lang w:eastAsia="zh-CN"/>
        </w:rPr>
      </w:pPr>
      <w:r>
        <w:rPr>
          <w:rFonts w:hint="eastAsia" w:ascii="宋体" w:hAnsi="宋体"/>
          <w:bCs/>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）特定资格条件：供应商需具备行政主管部门颁发的有效《保安服务许可证》</w:t>
      </w:r>
      <w:r>
        <w:rPr>
          <w:rFonts w:hint="eastAsia" w:ascii="宋体" w:hAnsi="宋体"/>
          <w:color w:val="auto"/>
          <w:szCs w:val="21"/>
          <w:highlight w:val="none"/>
          <w:lang w:eastAsia="zh-CN"/>
        </w:rPr>
        <w:t>。</w:t>
      </w:r>
    </w:p>
    <w:p>
      <w:pPr>
        <w:snapToGrid w:val="0"/>
        <w:spacing w:before="120" w:beforeLines="50" w:line="360" w:lineRule="exact"/>
        <w:ind w:firstLine="420"/>
        <w:jc w:val="left"/>
        <w:rPr>
          <w:rFonts w:ascii="宋体" w:hAnsi="宋体"/>
          <w:color w:val="auto"/>
          <w:szCs w:val="21"/>
          <w:highlight w:val="none"/>
        </w:rPr>
      </w:pPr>
      <w:r>
        <w:rPr>
          <w:rFonts w:hint="eastAsia" w:ascii="宋体" w:hAnsi="宋体"/>
          <w:b/>
          <w:color w:val="auto"/>
          <w:szCs w:val="21"/>
          <w:highlight w:val="none"/>
        </w:rPr>
        <w:t>13.2商务和技术文件（</w:t>
      </w:r>
      <w:r>
        <w:rPr>
          <w:rFonts w:hint="eastAsia" w:ascii="宋体" w:hAnsi="宋体" w:cs="Courier New"/>
          <w:b/>
          <w:color w:val="auto"/>
          <w:szCs w:val="21"/>
          <w:highlight w:val="none"/>
        </w:rPr>
        <w:t>以下文件标注</w:t>
      </w:r>
      <w:r>
        <w:rPr>
          <w:rFonts w:hint="eastAsia" w:ascii="宋体" w:hAnsi="宋体"/>
          <w:b/>
          <w:color w:val="auto"/>
          <w:szCs w:val="21"/>
          <w:highlight w:val="none"/>
        </w:rPr>
        <w:t>“▲”的必须提供，“采购需求”要求“必须提供”的必须提供，其他可根据实际情况提供，</w:t>
      </w:r>
      <w:r>
        <w:rPr>
          <w:rFonts w:hint="eastAsia" w:ascii="宋体" w:hAnsi="宋体"/>
          <w:b/>
          <w:color w:val="auto"/>
          <w:highlight w:val="none"/>
        </w:rPr>
        <w:t>第</w:t>
      </w:r>
      <w:r>
        <w:rPr>
          <w:rFonts w:hint="eastAsia" w:ascii="宋体" w:hAnsi="宋体"/>
          <w:b/>
          <w:color w:val="auto"/>
          <w:szCs w:val="21"/>
          <w:highlight w:val="none"/>
        </w:rPr>
        <w:t>（1）（2）项由法定代表人签名，否则其投标无效</w:t>
      </w:r>
      <w:r>
        <w:rPr>
          <w:rFonts w:hint="eastAsia" w:ascii="宋体" w:hAnsi="宋体"/>
          <w:color w:val="auto"/>
          <w:szCs w:val="21"/>
          <w:highlight w:val="none"/>
        </w:rPr>
        <w:t>）</w:t>
      </w:r>
    </w:p>
    <w:p>
      <w:pPr>
        <w:snapToGrid w:val="0"/>
        <w:spacing w:line="360" w:lineRule="exact"/>
        <w:ind w:firstLine="422" w:firstLineChars="200"/>
        <w:jc w:val="left"/>
        <w:rPr>
          <w:rFonts w:ascii="宋体" w:hAnsi="宋体"/>
          <w:b/>
          <w:color w:val="auto"/>
          <w:highlight w:val="none"/>
        </w:rPr>
      </w:pPr>
      <w:r>
        <w:rPr>
          <w:rFonts w:hint="eastAsia" w:ascii="宋体" w:hAnsi="宋体"/>
          <w:b/>
          <w:color w:val="auto"/>
          <w:highlight w:val="none"/>
        </w:rPr>
        <w:t>▲注：以下标注“▲”均要加盖供应商单位电子公章</w:t>
      </w:r>
      <w:r>
        <w:rPr>
          <w:rFonts w:hint="eastAsia" w:ascii="宋体" w:hAnsi="宋体"/>
          <w:b/>
          <w:bCs/>
          <w:color w:val="auto"/>
          <w:szCs w:val="21"/>
          <w:highlight w:val="none"/>
        </w:rPr>
        <w:t>或</w:t>
      </w:r>
      <w:r>
        <w:rPr>
          <w:rFonts w:hint="eastAsia" w:hAnsi="宋体" w:cs="Courier New"/>
          <w:b/>
          <w:color w:val="auto"/>
          <w:highlight w:val="none"/>
        </w:rPr>
        <w:t>自然人加盖手指指印</w:t>
      </w:r>
      <w:r>
        <w:rPr>
          <w:rFonts w:hint="eastAsia" w:ascii="宋体" w:hAnsi="宋体"/>
          <w:b/>
          <w:color w:val="auto"/>
          <w:highlight w:val="none"/>
        </w:rPr>
        <w:t>，否则其投标无效。</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▲（1）法定代表人身份证明书(按第四章要求格式填写)； </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▲（2）法定代表人授权委托书及被授权委托人身份证复印件(委托代理时，按第四章要求格式填写)；</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▲（3）磋商保证金缴纳证明材料复印件（</w:t>
      </w:r>
      <w:r>
        <w:rPr>
          <w:rFonts w:hint="eastAsia" w:ascii="宋体" w:hAnsi="宋体"/>
          <w:color w:val="auto"/>
          <w:szCs w:val="21"/>
          <w:highlight w:val="none"/>
          <w:lang w:eastAsia="zh-CN"/>
        </w:rPr>
        <w:t>如有，</w:t>
      </w:r>
      <w:r>
        <w:rPr>
          <w:rFonts w:hint="eastAsia" w:ascii="宋体" w:hAnsi="宋体"/>
          <w:color w:val="auto"/>
          <w:szCs w:val="21"/>
          <w:highlight w:val="none"/>
        </w:rPr>
        <w:t>按第四章要求格式填写）；</w:t>
      </w:r>
    </w:p>
    <w:p>
      <w:pPr>
        <w:snapToGrid w:val="0"/>
        <w:spacing w:line="360" w:lineRule="exact"/>
        <w:ind w:firstLine="630" w:firstLineChars="300"/>
        <w:jc w:val="left"/>
        <w:rPr>
          <w:rFonts w:ascii="宋体" w:hAnsi="宋体"/>
          <w:color w:val="auto"/>
          <w:szCs w:val="21"/>
          <w:highlight w:val="none"/>
        </w:rPr>
      </w:pPr>
      <w:r>
        <w:rPr>
          <w:rFonts w:hint="eastAsia" w:ascii="宋体" w:hAnsi="宋体"/>
          <w:color w:val="auto"/>
          <w:szCs w:val="21"/>
          <w:highlight w:val="none"/>
        </w:rPr>
        <w:t>（4）供应商情况介绍（格式自拟）；</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▲（5）商务响应表(按第四章要求格式填写)；</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▲（6）技术响应表(按第四章要求格式填写，附“第</w:t>
      </w:r>
      <w:r>
        <w:rPr>
          <w:rFonts w:hint="eastAsia" w:ascii="宋体" w:hAnsi="宋体"/>
          <w:color w:val="auto"/>
          <w:szCs w:val="21"/>
          <w:highlight w:val="none"/>
          <w:lang w:val="en-US" w:eastAsia="zh-CN"/>
        </w:rPr>
        <w:t>二</w:t>
      </w:r>
      <w:r>
        <w:rPr>
          <w:rFonts w:hint="eastAsia" w:ascii="宋体" w:hAnsi="宋体"/>
          <w:color w:val="auto"/>
          <w:szCs w:val="21"/>
          <w:highlight w:val="none"/>
        </w:rPr>
        <w:t>章</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采购需求”中要求提供的相关材料)；</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▲（7）</w:t>
      </w:r>
      <w:r>
        <w:rPr>
          <w:rFonts w:hint="eastAsia" w:ascii="宋体" w:hAnsi="宋体" w:cs="宋体"/>
          <w:color w:val="auto"/>
          <w:szCs w:val="21"/>
          <w:highlight w:val="none"/>
        </w:rPr>
        <w:t>拟投入人员汇总表（附拟投入人员相关证书复印件，</w:t>
      </w:r>
      <w:r>
        <w:rPr>
          <w:rFonts w:hint="eastAsia" w:ascii="宋体" w:hAnsi="宋体" w:cs="宋体"/>
          <w:b/>
          <w:color w:val="auto"/>
          <w:szCs w:val="21"/>
          <w:highlight w:val="none"/>
        </w:rPr>
        <w:t>按第四章格式填写</w:t>
      </w:r>
      <w:r>
        <w:rPr>
          <w:rFonts w:hint="eastAsia" w:ascii="宋体" w:hAnsi="宋体" w:cs="宋体"/>
          <w:color w:val="auto"/>
          <w:szCs w:val="21"/>
          <w:highlight w:val="none"/>
        </w:rPr>
        <w:t>）</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▲（8）项目拟投入设备一览表；(按第四章要求格式填写)；</w:t>
      </w:r>
    </w:p>
    <w:p>
      <w:pPr>
        <w:snapToGrid w:val="0"/>
        <w:spacing w:line="360" w:lineRule="exact"/>
        <w:ind w:firstLine="420" w:firstLineChars="200"/>
        <w:jc w:val="left"/>
        <w:rPr>
          <w:rFonts w:ascii="宋体" w:hAnsi="宋体" w:cs="宋体"/>
          <w:color w:val="auto"/>
          <w:szCs w:val="21"/>
          <w:highlight w:val="none"/>
        </w:rPr>
      </w:pPr>
      <w:r>
        <w:rPr>
          <w:rFonts w:hint="eastAsia" w:ascii="宋体" w:hAnsi="宋体"/>
          <w:color w:val="auto"/>
          <w:szCs w:val="21"/>
          <w:highlight w:val="none"/>
        </w:rPr>
        <w:t>▲（9）项目实施方案(按第四章要求格式填写)；</w:t>
      </w:r>
    </w:p>
    <w:p>
      <w:pPr>
        <w:snapToGrid w:val="0"/>
        <w:spacing w:line="360" w:lineRule="exact"/>
        <w:ind w:firstLine="411" w:firstLineChars="196"/>
        <w:jc w:val="left"/>
        <w:rPr>
          <w:rFonts w:ascii="宋体" w:hAnsi="宋体"/>
          <w:color w:val="auto"/>
          <w:highlight w:val="none"/>
        </w:rPr>
      </w:pPr>
      <w:r>
        <w:rPr>
          <w:rFonts w:hint="eastAsia" w:ascii="宋体" w:hAnsi="宋体"/>
          <w:color w:val="auto"/>
          <w:highlight w:val="none"/>
        </w:rPr>
        <w:t>▲（10）</w:t>
      </w:r>
      <w:r>
        <w:rPr>
          <w:rFonts w:hint="eastAsia" w:ascii="宋体" w:hAnsi="宋体" w:cs="宋体"/>
          <w:color w:val="auto"/>
          <w:szCs w:val="21"/>
          <w:highlight w:val="none"/>
        </w:rPr>
        <w:t>服务承诺书（按第四章格式填写）；</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（11）供应商对本项目的合理化建议和改进措施（格式自拟）；</w:t>
      </w:r>
    </w:p>
    <w:p>
      <w:pPr>
        <w:snapToGrid w:val="0"/>
        <w:spacing w:line="360" w:lineRule="exact"/>
        <w:ind w:firstLine="411" w:firstLineChars="196"/>
        <w:jc w:val="left"/>
        <w:rPr>
          <w:rFonts w:ascii="宋体" w:hAnsi="宋体"/>
          <w:color w:val="auto"/>
          <w:highlight w:val="none"/>
        </w:rPr>
      </w:pPr>
      <w:r>
        <w:rPr>
          <w:rFonts w:hint="eastAsia" w:ascii="宋体" w:hAnsi="宋体"/>
          <w:color w:val="auto"/>
          <w:szCs w:val="21"/>
          <w:highlight w:val="none"/>
        </w:rPr>
        <w:t>（12）</w:t>
      </w:r>
      <w:r>
        <w:rPr>
          <w:rFonts w:hint="eastAsia" w:ascii="宋体" w:hAnsi="宋体"/>
          <w:color w:val="auto"/>
          <w:highlight w:val="none"/>
        </w:rPr>
        <w:t>供应商认为需要提供的其他证明材料。（供应商根据“第</w:t>
      </w:r>
      <w:r>
        <w:rPr>
          <w:rFonts w:hint="eastAsia" w:ascii="宋体" w:hAnsi="宋体"/>
          <w:color w:val="auto"/>
          <w:highlight w:val="none"/>
          <w:lang w:val="en-US" w:eastAsia="zh-CN"/>
        </w:rPr>
        <w:t>二</w:t>
      </w:r>
      <w:r>
        <w:rPr>
          <w:rFonts w:hint="eastAsia" w:ascii="宋体" w:hAnsi="宋体"/>
          <w:color w:val="auto"/>
          <w:highlight w:val="none"/>
        </w:rPr>
        <w:t>章 采购需求”及“第</w:t>
      </w:r>
      <w:r>
        <w:rPr>
          <w:rFonts w:hint="eastAsia" w:ascii="宋体" w:hAnsi="宋体"/>
          <w:color w:val="auto"/>
          <w:highlight w:val="none"/>
          <w:lang w:eastAsia="zh-CN"/>
        </w:rPr>
        <w:t>四</w:t>
      </w:r>
      <w:r>
        <w:rPr>
          <w:rFonts w:hint="eastAsia" w:ascii="宋体" w:hAnsi="宋体"/>
          <w:color w:val="auto"/>
          <w:highlight w:val="none"/>
        </w:rPr>
        <w:t>章 评标方法及评标标准”提供有关证明材料）。</w:t>
      </w:r>
    </w:p>
    <w:p>
      <w:pPr>
        <w:snapToGrid w:val="0"/>
        <w:spacing w:before="120" w:beforeLines="50" w:line="360" w:lineRule="exact"/>
        <w:ind w:firstLine="420"/>
        <w:jc w:val="left"/>
        <w:rPr>
          <w:rFonts w:ascii="宋体" w:hAnsi="宋体"/>
          <w:color w:val="auto"/>
          <w:szCs w:val="21"/>
          <w:highlight w:val="none"/>
        </w:rPr>
      </w:pPr>
      <w:r>
        <w:rPr>
          <w:rFonts w:hint="eastAsia" w:ascii="宋体" w:hAnsi="宋体"/>
          <w:b/>
          <w:color w:val="auto"/>
          <w:szCs w:val="21"/>
          <w:highlight w:val="none"/>
        </w:rPr>
        <w:t>13.3报价文件（</w:t>
      </w:r>
      <w:r>
        <w:rPr>
          <w:rFonts w:hint="eastAsia" w:ascii="宋体" w:hAnsi="宋体" w:cs="Courier New"/>
          <w:b/>
          <w:color w:val="auto"/>
          <w:szCs w:val="21"/>
          <w:highlight w:val="none"/>
        </w:rPr>
        <w:t>以下文件标注</w:t>
      </w:r>
      <w:r>
        <w:rPr>
          <w:rFonts w:hint="eastAsia" w:ascii="宋体" w:hAnsi="宋体"/>
          <w:b/>
          <w:color w:val="auto"/>
          <w:szCs w:val="21"/>
          <w:highlight w:val="none"/>
        </w:rPr>
        <w:t>“▲”的必须提供，要求“必须提供”的必须提供，其他可根据实际情况提供</w:t>
      </w:r>
      <w:r>
        <w:rPr>
          <w:rFonts w:hint="eastAsia" w:ascii="宋体" w:hAnsi="宋体"/>
          <w:color w:val="auto"/>
          <w:szCs w:val="21"/>
          <w:highlight w:val="none"/>
        </w:rPr>
        <w:t>）</w:t>
      </w:r>
    </w:p>
    <w:p>
      <w:pPr>
        <w:snapToGrid w:val="0"/>
        <w:spacing w:line="360" w:lineRule="exact"/>
        <w:ind w:firstLine="422" w:firstLineChars="200"/>
        <w:jc w:val="left"/>
        <w:rPr>
          <w:rFonts w:ascii="宋体" w:hAnsi="宋体"/>
          <w:b/>
          <w:color w:val="auto"/>
          <w:highlight w:val="none"/>
        </w:rPr>
      </w:pPr>
      <w:r>
        <w:rPr>
          <w:rFonts w:hint="eastAsia" w:ascii="宋体" w:hAnsi="宋体"/>
          <w:b/>
          <w:color w:val="auto"/>
          <w:highlight w:val="none"/>
        </w:rPr>
        <w:t>▲注：以下标注“▲”均要加盖供应商单位电子公章</w:t>
      </w:r>
      <w:r>
        <w:rPr>
          <w:rFonts w:hint="eastAsia" w:ascii="宋体" w:hAnsi="宋体"/>
          <w:b/>
          <w:bCs/>
          <w:color w:val="auto"/>
          <w:szCs w:val="21"/>
          <w:highlight w:val="none"/>
        </w:rPr>
        <w:t>或</w:t>
      </w:r>
      <w:r>
        <w:rPr>
          <w:rFonts w:hint="eastAsia" w:hAnsi="宋体" w:cs="Courier New"/>
          <w:b/>
          <w:color w:val="auto"/>
          <w:highlight w:val="none"/>
        </w:rPr>
        <w:t>自然人加盖手指指印</w:t>
      </w:r>
      <w:r>
        <w:rPr>
          <w:rFonts w:hint="eastAsia" w:ascii="宋体" w:hAnsi="宋体"/>
          <w:b/>
          <w:color w:val="auto"/>
          <w:highlight w:val="none"/>
        </w:rPr>
        <w:t>，否则其投标无效。</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▲（1）竞标函（按第四章要求格式填写）；</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▲（2）报价表 (按第四章要求格式填写) ； </w:t>
      </w:r>
    </w:p>
    <w:p>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olor w:val="auto"/>
          <w:szCs w:val="21"/>
          <w:highlight w:val="none"/>
        </w:rPr>
        <w:t>供应商针对报价需要说明的其他文件和说明（如有，格式自拟）</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s="Courier New"/>
          <w:b/>
          <w:bCs/>
          <w:color w:val="auto"/>
          <w:szCs w:val="21"/>
          <w:highlight w:val="none"/>
        </w:rPr>
        <w:t>注：若</w:t>
      </w:r>
      <w:r>
        <w:rPr>
          <w:rFonts w:hint="eastAsia" w:hAnsi="宋体"/>
          <w:b/>
          <w:bCs/>
          <w:color w:val="auto"/>
          <w:highlight w:val="none"/>
        </w:rPr>
        <w:t>竞争性磋商</w:t>
      </w:r>
      <w:r>
        <w:rPr>
          <w:rFonts w:hint="eastAsia" w:ascii="宋体" w:hAnsi="宋体" w:cs="Courier New"/>
          <w:b/>
          <w:bCs/>
          <w:color w:val="auto"/>
          <w:szCs w:val="21"/>
          <w:highlight w:val="none"/>
        </w:rPr>
        <w:t>文件中有专门标注的某关联点，并要求供应商在电子投标系统中作出响应的，如供应商未对关联点进行响应或者在响应文件其它内容进行描述，造成电子评审不能查询的责任由供应商自行承担。</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14. 响应文件的语言及计量</w:t>
      </w:r>
    </w:p>
    <w:p>
      <w:pPr>
        <w:snapToGrid w:val="0"/>
        <w:spacing w:line="360" w:lineRule="exact"/>
        <w:ind w:firstLine="422"/>
        <w:jc w:val="left"/>
        <w:rPr>
          <w:rFonts w:ascii="宋体" w:hAnsi="宋体"/>
          <w:color w:val="auto"/>
          <w:szCs w:val="21"/>
          <w:highlight w:val="none"/>
        </w:rPr>
      </w:pPr>
      <w:r>
        <w:rPr>
          <w:rFonts w:hint="eastAsia" w:ascii="宋体" w:hAnsi="宋体"/>
          <w:color w:val="auto"/>
          <w:szCs w:val="21"/>
          <w:highlight w:val="none"/>
        </w:rPr>
        <w:t>14.1响应文件以及竞标方与招标方就有关竞标事宜的所有来往函电，均应以中文汉语书写。除签名、盖章、专用名称等特殊情形外，以中文汉语以外的文字表述的响应文件视同未提供。</w:t>
      </w:r>
    </w:p>
    <w:p>
      <w:pPr>
        <w:snapToGrid w:val="0"/>
        <w:spacing w:line="360" w:lineRule="exact"/>
        <w:ind w:firstLine="422"/>
        <w:jc w:val="left"/>
        <w:rPr>
          <w:rFonts w:ascii="宋体" w:hAnsi="宋体"/>
          <w:color w:val="auto"/>
          <w:szCs w:val="21"/>
          <w:highlight w:val="none"/>
        </w:rPr>
      </w:pPr>
      <w:r>
        <w:rPr>
          <w:rFonts w:hint="eastAsia" w:ascii="宋体" w:hAnsi="宋体"/>
          <w:color w:val="auto"/>
          <w:szCs w:val="21"/>
          <w:highlight w:val="none"/>
        </w:rPr>
        <w:t>14.2竞标计量单位，磋商文件已有明确规定的，使用磋商文件规定的计量单位；磋商文件没有规定的，应采用中华人民共和国法定计量单位（货币单位：人民币元），否则视同未响应。</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15、响应文件报价要求</w:t>
      </w:r>
    </w:p>
    <w:p>
      <w:pPr>
        <w:spacing w:line="360" w:lineRule="exact"/>
        <w:ind w:firstLine="422"/>
        <w:rPr>
          <w:rFonts w:hint="eastAsia" w:ascii="宋体" w:hAnsi="宋体" w:cs="宋体"/>
          <w:color w:val="auto"/>
          <w:szCs w:val="21"/>
          <w:highlight w:val="none"/>
        </w:rPr>
      </w:pPr>
      <w:r>
        <w:rPr>
          <w:rFonts w:hint="eastAsia" w:ascii="宋体" w:hAnsi="宋体" w:cs="宋体"/>
          <w:color w:val="auto"/>
          <w:szCs w:val="21"/>
          <w:highlight w:val="none"/>
        </w:rPr>
        <w:t>15.1本项目最高限价详见须知前附表。响应文件报价须小于等于最高限价，否则响应无效。</w:t>
      </w:r>
    </w:p>
    <w:p>
      <w:pPr>
        <w:spacing w:line="360" w:lineRule="exact"/>
        <w:ind w:firstLine="422"/>
        <w:rPr>
          <w:rFonts w:hint="eastAsia" w:ascii="宋体" w:hAnsi="宋体" w:cs="宋体"/>
          <w:color w:val="auto"/>
          <w:szCs w:val="21"/>
          <w:highlight w:val="none"/>
        </w:rPr>
      </w:pPr>
      <w:r>
        <w:rPr>
          <w:rFonts w:hint="eastAsia" w:ascii="宋体" w:hAnsi="宋体" w:cs="宋体"/>
          <w:color w:val="auto"/>
          <w:szCs w:val="21"/>
          <w:highlight w:val="none"/>
        </w:rPr>
        <w:t>15.2对于本磋商采购文件中未列明，而供应商认为必需的费用也需列入总报价。在合同实施时，采购人将不予支付成交供应商没有列入的项目费用，并认为此项目的费用已包括在总报价中。</w:t>
      </w:r>
    </w:p>
    <w:p>
      <w:pPr>
        <w:spacing w:line="360" w:lineRule="exact"/>
        <w:ind w:firstLine="422"/>
        <w:rPr>
          <w:rFonts w:hint="eastAsia" w:ascii="宋体" w:hAnsi="宋体" w:cs="宋体"/>
          <w:color w:val="auto"/>
          <w:szCs w:val="21"/>
          <w:highlight w:val="none"/>
        </w:rPr>
      </w:pPr>
      <w:r>
        <w:rPr>
          <w:rFonts w:hint="eastAsia" w:ascii="宋体" w:hAnsi="宋体" w:cs="宋体"/>
          <w:color w:val="auto"/>
          <w:szCs w:val="21"/>
          <w:highlight w:val="none"/>
        </w:rPr>
        <w:t>15.3成交供应商负责本项目所需服务的全部工作，</w:t>
      </w:r>
      <w:r>
        <w:rPr>
          <w:rFonts w:hint="eastAsia" w:ascii="宋体" w:hAnsi="宋体" w:cs="宋体"/>
          <w:color w:val="auto"/>
          <w:szCs w:val="21"/>
          <w:highlight w:val="none"/>
          <w:lang w:val="en-US" w:eastAsia="zh-CN"/>
        </w:rPr>
        <w:t>包含本项目人员工资、保险费、福利费、加班费、管理费、税费、招标代理服务费以及供应商实施项目过程发生的交通费、差旅费、住宿费、伙食费等所有费用。</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15.4供应商应就第</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章《采购需求》中的全部服务内容作完整唯一报价。</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15.5响应文件只允许有一个报价，有选择的或有条件的报价将不予接受（磋商文件另有规定的除外）。</w:t>
      </w:r>
    </w:p>
    <w:p>
      <w:pPr>
        <w:spacing w:line="360" w:lineRule="exact"/>
        <w:ind w:firstLine="422"/>
        <w:rPr>
          <w:rFonts w:ascii="宋体" w:hAnsi="宋体" w:cs="宋体"/>
          <w:color w:val="auto"/>
          <w:highlight w:val="none"/>
        </w:rPr>
      </w:pPr>
      <w:r>
        <w:rPr>
          <w:rFonts w:hint="eastAsia" w:ascii="宋体" w:hAnsi="宋体" w:cs="宋体"/>
          <w:color w:val="auto"/>
          <w:szCs w:val="21"/>
          <w:highlight w:val="none"/>
        </w:rPr>
        <w:t>15.6</w:t>
      </w:r>
      <w:r>
        <w:rPr>
          <w:rFonts w:hint="eastAsia" w:ascii="宋体" w:hAnsi="宋体" w:cs="宋体"/>
          <w:color w:val="auto"/>
          <w:highlight w:val="none"/>
        </w:rPr>
        <w:t>供应商应在响应文件报价表上标明单价和总价。响应文件的大写金额和小写金额不一致的，以大写金额为准；总价金额与按单价汇总金额不一致的，以单价金额计算结果为准；单价金额小数点有明显错位的，应以总价为准，并修改单价。</w:t>
      </w:r>
      <w:r>
        <w:rPr>
          <w:rFonts w:hint="eastAsia" w:hAnsi="宋体"/>
          <w:color w:val="auto"/>
          <w:highlight w:val="none"/>
        </w:rPr>
        <w:t>对不同文字文本竞争性磋商响应文件的解释发生异议的，以中文文本为准。除上述原因以外，如果因供应商原因引起的报价失误，并在磋商时被接受，其后果由供应商自负。</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16、响应文件有效期</w:t>
      </w:r>
    </w:p>
    <w:p>
      <w:pPr>
        <w:pStyle w:val="27"/>
        <w:ind w:firstLine="422"/>
        <w:rPr>
          <w:rFonts w:ascii="宋体" w:hAnsi="宋体" w:cs="宋体"/>
          <w:color w:val="auto"/>
          <w:highlight w:val="none"/>
        </w:rPr>
      </w:pPr>
      <w:r>
        <w:rPr>
          <w:rFonts w:hint="eastAsia" w:ascii="宋体" w:hAnsi="宋体" w:cs="宋体"/>
          <w:color w:val="auto"/>
          <w:highlight w:val="none"/>
        </w:rPr>
        <w:t>16.1响应文件有效期：详见供应商须知前附表。有效期不足的响应文件将被拒绝。</w:t>
      </w:r>
    </w:p>
    <w:p>
      <w:pPr>
        <w:pStyle w:val="27"/>
        <w:ind w:firstLine="422"/>
        <w:rPr>
          <w:color w:val="auto"/>
          <w:kern w:val="2"/>
          <w:highlight w:val="none"/>
        </w:rPr>
      </w:pPr>
      <w:r>
        <w:rPr>
          <w:rFonts w:hint="eastAsia"/>
          <w:color w:val="auto"/>
          <w:kern w:val="2"/>
          <w:highlight w:val="none"/>
        </w:rPr>
        <w:t>16.2在特殊情况下，采购人可与供应商协商延长响应文件的有效期，这种要求和答复均以书面形式进行。</w:t>
      </w:r>
    </w:p>
    <w:p>
      <w:pPr>
        <w:pStyle w:val="27"/>
        <w:ind w:firstLine="422"/>
        <w:rPr>
          <w:color w:val="auto"/>
          <w:kern w:val="2"/>
          <w:highlight w:val="none"/>
        </w:rPr>
      </w:pPr>
      <w:r>
        <w:rPr>
          <w:rFonts w:hint="eastAsia"/>
          <w:color w:val="auto"/>
          <w:kern w:val="2"/>
          <w:highlight w:val="none"/>
        </w:rPr>
        <w:t xml:space="preserve">16.3供应商可拒绝接受延长有效期要求而不会导致磋商保证金被没收。同意延长有效期的供应商需要相应延长磋商保证金的有效期，但不能修改响应文件其它内容。 </w:t>
      </w:r>
    </w:p>
    <w:p>
      <w:pPr>
        <w:pStyle w:val="27"/>
        <w:ind w:firstLine="422"/>
        <w:rPr>
          <w:color w:val="auto"/>
          <w:kern w:val="2"/>
          <w:highlight w:val="none"/>
        </w:rPr>
      </w:pPr>
      <w:r>
        <w:rPr>
          <w:rFonts w:hint="eastAsia"/>
          <w:color w:val="auto"/>
          <w:kern w:val="2"/>
          <w:highlight w:val="none"/>
        </w:rPr>
        <w:t>16.4供应商的响应文件自开标之日起至合同履行完毕止均应保持有效。</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17、磋商保证金</w:t>
      </w:r>
    </w:p>
    <w:p>
      <w:pPr>
        <w:snapToGrid w:val="0"/>
        <w:spacing w:line="360" w:lineRule="exact"/>
        <w:ind w:firstLine="422"/>
        <w:jc w:val="left"/>
        <w:rPr>
          <w:rFonts w:ascii="宋体" w:hAnsi="宋体"/>
          <w:color w:val="auto"/>
          <w:kern w:val="0"/>
          <w:szCs w:val="21"/>
          <w:highlight w:val="none"/>
        </w:rPr>
      </w:pPr>
      <w:r>
        <w:rPr>
          <w:rFonts w:hint="eastAsia" w:ascii="宋体" w:hAnsi="宋体"/>
          <w:color w:val="auto"/>
          <w:kern w:val="0"/>
          <w:szCs w:val="21"/>
          <w:highlight w:val="none"/>
        </w:rPr>
        <w:t>17.1磋商保证金金额：详见供应商须知前附表。磋商保证金应在响应文件有效期内保持有效。</w:t>
      </w:r>
    </w:p>
    <w:p>
      <w:pPr>
        <w:snapToGrid w:val="0"/>
        <w:spacing w:line="360" w:lineRule="exact"/>
        <w:ind w:firstLine="422"/>
        <w:jc w:val="left"/>
        <w:rPr>
          <w:rFonts w:ascii="宋体" w:hAnsi="宋体"/>
          <w:color w:val="auto"/>
          <w:kern w:val="0"/>
          <w:szCs w:val="21"/>
          <w:highlight w:val="none"/>
        </w:rPr>
      </w:pPr>
      <w:r>
        <w:rPr>
          <w:rFonts w:hint="eastAsia" w:ascii="宋体" w:hAnsi="宋体"/>
          <w:color w:val="auto"/>
          <w:kern w:val="0"/>
          <w:szCs w:val="21"/>
          <w:highlight w:val="none"/>
        </w:rPr>
        <w:t>17.2供应商须按规定于竞标截止前足额提交磋商保证金，</w:t>
      </w:r>
      <w:r>
        <w:rPr>
          <w:rFonts w:hint="eastAsia" w:ascii="宋体" w:hAnsi="宋体"/>
          <w:b/>
          <w:color w:val="auto"/>
          <w:kern w:val="0"/>
          <w:szCs w:val="21"/>
          <w:highlight w:val="none"/>
        </w:rPr>
        <w:t>否则，其响应无效。</w:t>
      </w:r>
    </w:p>
    <w:p>
      <w:pPr>
        <w:snapToGrid w:val="0"/>
        <w:spacing w:line="360" w:lineRule="exact"/>
        <w:ind w:firstLine="422"/>
        <w:jc w:val="left"/>
        <w:rPr>
          <w:rFonts w:ascii="宋体" w:hAnsi="宋体"/>
          <w:color w:val="auto"/>
          <w:kern w:val="0"/>
          <w:szCs w:val="21"/>
          <w:highlight w:val="none"/>
        </w:rPr>
      </w:pPr>
      <w:r>
        <w:rPr>
          <w:rFonts w:hint="eastAsia" w:ascii="宋体" w:hAnsi="宋体"/>
          <w:color w:val="auto"/>
          <w:kern w:val="0"/>
          <w:szCs w:val="21"/>
          <w:highlight w:val="none"/>
        </w:rPr>
        <w:t>17.3磋商保证金交纳形式：</w:t>
      </w:r>
      <w:r>
        <w:rPr>
          <w:rFonts w:hint="eastAsia" w:hAnsi="宋体"/>
          <w:color w:val="auto"/>
          <w:highlight w:val="none"/>
        </w:rPr>
        <w:t>转账、电汇、网上银行、支票、汇票、本票或者银行、保险机构出具的保函，禁止采用现钞方式。</w:t>
      </w:r>
    </w:p>
    <w:p>
      <w:pPr>
        <w:snapToGrid w:val="0"/>
        <w:spacing w:line="360" w:lineRule="exact"/>
        <w:ind w:firstLine="420" w:firstLineChars="200"/>
        <w:jc w:val="left"/>
        <w:rPr>
          <w:rFonts w:ascii="宋体" w:hAnsi="宋体"/>
          <w:color w:val="auto"/>
          <w:kern w:val="0"/>
          <w:szCs w:val="21"/>
          <w:highlight w:val="none"/>
        </w:rPr>
      </w:pPr>
      <w:r>
        <w:rPr>
          <w:rFonts w:hint="eastAsia" w:hAnsi="宋体"/>
          <w:color w:val="auto"/>
          <w:highlight w:val="none"/>
        </w:rPr>
        <w:t>采用转账、电汇、网上银行方式的，在首次提交响应文件截止时间前交至</w:t>
      </w:r>
      <w:r>
        <w:rPr>
          <w:rFonts w:hint="eastAsia" w:hAnsi="宋体" w:cs="Arial"/>
          <w:color w:val="auto"/>
          <w:highlight w:val="none"/>
        </w:rPr>
        <w:t>广西德元工程项目管理有限责任公司（收款单位名称），开户银行：柳州银行北站支行营业部，银行账号：</w:t>
      </w:r>
      <w:r>
        <w:rPr>
          <w:rFonts w:hAnsi="宋体" w:cs="Arial"/>
          <w:color w:val="auto"/>
          <w:highlight w:val="none"/>
        </w:rPr>
        <w:t>707002011010900000108</w:t>
      </w:r>
      <w:r>
        <w:rPr>
          <w:rFonts w:hint="eastAsia" w:ascii="宋体" w:hAnsi="宋体"/>
          <w:color w:val="auto"/>
          <w:kern w:val="0"/>
          <w:szCs w:val="21"/>
          <w:highlight w:val="none"/>
        </w:rPr>
        <w:t>。</w:t>
      </w:r>
    </w:p>
    <w:p>
      <w:pPr>
        <w:pStyle w:val="27"/>
        <w:ind w:firstLine="422"/>
        <w:rPr>
          <w:color w:val="auto"/>
          <w:highlight w:val="none"/>
        </w:rPr>
      </w:pPr>
      <w:r>
        <w:rPr>
          <w:rFonts w:hint="eastAsia"/>
          <w:color w:val="auto"/>
          <w:highlight w:val="none"/>
        </w:rPr>
        <w:t>采用转账、电汇、网上银行方式的，由供应商按上条中明确的全称、</w:t>
      </w:r>
      <w:r>
        <w:rPr>
          <w:rFonts w:hint="eastAsia"/>
          <w:color w:val="auto"/>
          <w:highlight w:val="none"/>
          <w:lang w:eastAsia="zh-CN"/>
        </w:rPr>
        <w:t>账号</w:t>
      </w:r>
      <w:r>
        <w:rPr>
          <w:rFonts w:hint="eastAsia"/>
          <w:color w:val="auto"/>
          <w:highlight w:val="none"/>
        </w:rPr>
        <w:t>、开户行，在保证金规定递交时间内转入（汇入）广西德元工程项目管理有限责任公司保证金专户上，并将银行转账底单的复印件作为磋商保证金提交凭证，放置于响应文件中，</w:t>
      </w:r>
      <w:r>
        <w:rPr>
          <w:rFonts w:hint="eastAsia"/>
          <w:b/>
          <w:color w:val="auto"/>
          <w:highlight w:val="none"/>
        </w:rPr>
        <w:t>否则其响应无效</w:t>
      </w:r>
      <w:r>
        <w:rPr>
          <w:rFonts w:hint="eastAsia"/>
          <w:color w:val="auto"/>
          <w:highlight w:val="none"/>
        </w:rPr>
        <w:t>。若广西德元工程项目管理有限责任公司保证金专户在保证金规定递交时间内没有收到供应商足额交纳的磋商保证金，</w:t>
      </w:r>
      <w:r>
        <w:rPr>
          <w:rFonts w:hint="eastAsia"/>
          <w:b/>
          <w:color w:val="auto"/>
          <w:highlight w:val="none"/>
        </w:rPr>
        <w:t>其响应无效</w:t>
      </w:r>
      <w:r>
        <w:rPr>
          <w:rFonts w:hint="eastAsia"/>
          <w:color w:val="auto"/>
          <w:highlight w:val="none"/>
        </w:rPr>
        <w:t>；因此供应商在缴纳磋商保证金时应充分考虑保证金到达本公司保证金专户上的时间，以免影响竞标。办理磋商保证金手续时，请务必在银行</w:t>
      </w:r>
      <w:r>
        <w:rPr>
          <w:rFonts w:hint="eastAsia"/>
          <w:color w:val="auto"/>
          <w:highlight w:val="none"/>
          <w:lang w:eastAsia="zh-CN"/>
        </w:rPr>
        <w:t>进账单</w:t>
      </w:r>
      <w:r>
        <w:rPr>
          <w:rFonts w:hint="eastAsia"/>
          <w:color w:val="auto"/>
          <w:highlight w:val="none"/>
        </w:rPr>
        <w:t>的用途或空白栏上注明招标项目名称或采购编号</w:t>
      </w:r>
      <w:r>
        <w:rPr>
          <w:rFonts w:hint="eastAsia"/>
          <w:b/>
          <w:color w:val="auto"/>
          <w:highlight w:val="none"/>
        </w:rPr>
        <w:t>，如遇受字符限制的情况，项目名称可简写。</w:t>
      </w:r>
    </w:p>
    <w:p>
      <w:pPr>
        <w:pStyle w:val="27"/>
        <w:ind w:firstLine="422"/>
        <w:rPr>
          <w:color w:val="auto"/>
          <w:highlight w:val="none"/>
        </w:rPr>
      </w:pPr>
      <w:r>
        <w:rPr>
          <w:rFonts w:hint="eastAsia"/>
          <w:color w:val="auto"/>
          <w:highlight w:val="none"/>
        </w:rPr>
        <w:t>采用支票、汇票、本票或银行、保险机构出具的保函交纳方式的，供应商应将支票、汇票、本票或银行、保险机构出具的保函的复印件作为磋商保证金提交凭证，放置于响应文件中</w:t>
      </w:r>
      <w:r>
        <w:rPr>
          <w:rFonts w:hint="eastAsia"/>
          <w:b/>
          <w:color w:val="auto"/>
          <w:highlight w:val="none"/>
        </w:rPr>
        <w:t>，否则其响应无效</w:t>
      </w:r>
      <w:r>
        <w:rPr>
          <w:rFonts w:hint="eastAsia"/>
          <w:color w:val="auto"/>
          <w:highlight w:val="none"/>
        </w:rPr>
        <w:t>。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广西德元工程项目管理有限责任公司在保证金规定递交时间内没有收到上述原件的，</w:t>
      </w:r>
      <w:r>
        <w:rPr>
          <w:rFonts w:hint="eastAsia"/>
          <w:b/>
          <w:color w:val="auto"/>
          <w:highlight w:val="none"/>
        </w:rPr>
        <w:t>其响应无效</w:t>
      </w:r>
      <w:r>
        <w:rPr>
          <w:rFonts w:hint="eastAsia"/>
          <w:color w:val="auto"/>
          <w:highlight w:val="none"/>
        </w:rPr>
        <w:t>；因此供应商无论采用现场或者是邮寄递交上述原件时应充分考虑到达时间，以免影响竞标。</w:t>
      </w:r>
    </w:p>
    <w:p>
      <w:pPr>
        <w:pStyle w:val="27"/>
        <w:ind w:firstLine="422"/>
        <w:rPr>
          <w:color w:val="auto"/>
          <w:highlight w:val="none"/>
        </w:rPr>
      </w:pPr>
      <w:r>
        <w:rPr>
          <w:rFonts w:hint="eastAsia"/>
          <w:color w:val="auto"/>
          <w:highlight w:val="none"/>
        </w:rPr>
        <w:t>17.4首次提交响应文件截止时间后提交的，或未足额交纳的，或保函额度不足的，视为无效磋商保证金。</w:t>
      </w:r>
    </w:p>
    <w:p>
      <w:pPr>
        <w:pStyle w:val="27"/>
        <w:ind w:firstLine="422"/>
        <w:rPr>
          <w:color w:val="auto"/>
          <w:highlight w:val="none"/>
        </w:rPr>
      </w:pPr>
      <w:r>
        <w:rPr>
          <w:rFonts w:hint="eastAsia"/>
          <w:color w:val="auto"/>
          <w:highlight w:val="none"/>
        </w:rPr>
        <w:t>17.5供应商采用现钞方式或从个人账户（个体工商户及自然人竞标除外）转出的磋商保证金，视为无效磋商保证金。</w:t>
      </w:r>
    </w:p>
    <w:p>
      <w:pPr>
        <w:pStyle w:val="27"/>
        <w:ind w:firstLine="422"/>
        <w:rPr>
          <w:color w:val="auto"/>
          <w:highlight w:val="none"/>
        </w:rPr>
      </w:pPr>
      <w:r>
        <w:rPr>
          <w:rFonts w:hint="eastAsia"/>
          <w:color w:val="auto"/>
          <w:highlight w:val="none"/>
        </w:rPr>
        <w:t>17.6支票、汇票、本票出现背书情形，或者有条件支付的，或者支票、汇票、本票无效的，视为无效磋商保证金。</w:t>
      </w:r>
    </w:p>
    <w:p>
      <w:pPr>
        <w:pStyle w:val="27"/>
        <w:ind w:firstLine="422"/>
        <w:rPr>
          <w:color w:val="auto"/>
          <w:highlight w:val="none"/>
        </w:rPr>
      </w:pPr>
      <w:r>
        <w:rPr>
          <w:rFonts w:hint="eastAsia"/>
          <w:color w:val="auto"/>
          <w:highlight w:val="none"/>
        </w:rPr>
        <w:t>17.7保函有效期低于响应文件有效期的，视为无效磋商保证金。</w:t>
      </w:r>
    </w:p>
    <w:p>
      <w:pPr>
        <w:pStyle w:val="27"/>
        <w:ind w:firstLine="422"/>
        <w:rPr>
          <w:rFonts w:cs="Courier New"/>
          <w:color w:val="auto"/>
          <w:kern w:val="2"/>
          <w:highlight w:val="none"/>
        </w:rPr>
      </w:pPr>
      <w:r>
        <w:rPr>
          <w:rFonts w:hint="eastAsia"/>
          <w:color w:val="auto"/>
          <w:highlight w:val="none"/>
        </w:rPr>
        <w:t>17.8磋商保证金采用金融机构、担保机构出具的保函为有条件保函的，视为无效磋商保证金。</w:t>
      </w:r>
    </w:p>
    <w:p>
      <w:pPr>
        <w:pStyle w:val="27"/>
        <w:ind w:firstLine="422"/>
        <w:rPr>
          <w:color w:val="auto"/>
          <w:highlight w:val="none"/>
        </w:rPr>
      </w:pPr>
      <w:r>
        <w:rPr>
          <w:rFonts w:hint="eastAsia"/>
          <w:color w:val="auto"/>
          <w:highlight w:val="none"/>
        </w:rPr>
        <w:t>17.9磋商保证金的退还</w:t>
      </w:r>
    </w:p>
    <w:p>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）未成交人的磋商保证金自成交通知书发出之日起4个工作日内退还，退还方式如下：</w:t>
      </w:r>
    </w:p>
    <w:p>
      <w:pPr>
        <w:snapToGrid w:val="0"/>
        <w:spacing w:line="360" w:lineRule="exact"/>
        <w:ind w:firstLine="630" w:firstLineChars="300"/>
        <w:jc w:val="left"/>
        <w:rPr>
          <w:rFonts w:hAnsi="宋体"/>
          <w:color w:val="auto"/>
          <w:highlight w:val="none"/>
        </w:rPr>
      </w:pPr>
      <w:r>
        <w:rPr>
          <w:rFonts w:hint="eastAsia" w:hAnsi="宋体"/>
          <w:color w:val="auto"/>
          <w:highlight w:val="none"/>
        </w:rPr>
        <w:t>①采用银行转账方式的，以转账方式退回到供应商银行账户。</w:t>
      </w:r>
    </w:p>
    <w:p>
      <w:pPr>
        <w:snapToGrid w:val="0"/>
        <w:spacing w:line="360" w:lineRule="exact"/>
        <w:ind w:firstLine="630" w:firstLineChars="300"/>
        <w:jc w:val="left"/>
        <w:rPr>
          <w:rFonts w:hAnsi="宋体"/>
          <w:color w:val="auto"/>
          <w:highlight w:val="none"/>
        </w:rPr>
      </w:pPr>
      <w:r>
        <w:rPr>
          <w:rFonts w:hint="eastAsia" w:hAnsi="宋体"/>
          <w:color w:val="auto"/>
          <w:highlight w:val="none"/>
        </w:rPr>
        <w:t>②采用支票、汇票或本票方式的，以转账方式退回到供应商银行账户或由供应商代表持相关授权证明材料至采购人或采购代理机构办理支票、汇票或本票原件退还手续。</w:t>
      </w:r>
    </w:p>
    <w:p>
      <w:pPr>
        <w:snapToGrid w:val="0"/>
        <w:spacing w:line="360" w:lineRule="exact"/>
        <w:ind w:firstLine="630" w:firstLineChars="300"/>
        <w:jc w:val="left"/>
        <w:rPr>
          <w:rFonts w:hAnsi="宋体"/>
          <w:color w:val="auto"/>
          <w:highlight w:val="none"/>
        </w:rPr>
      </w:pPr>
      <w:r>
        <w:rPr>
          <w:rFonts w:hint="eastAsia" w:hAnsi="宋体"/>
          <w:color w:val="auto"/>
          <w:highlight w:val="none"/>
        </w:rPr>
        <w:t>③采用银行、保险机构出具的保函方式的，由供应商代表持相关授权证明材料在采购结果公告公布之日起五个工作日内至采购人或采购代理机构办理保函原件退还手续，供应商逾期领取所造成的后果由供应商自行承担。</w:t>
      </w:r>
    </w:p>
    <w:p>
      <w:pPr>
        <w:snapToGrid w:val="0"/>
        <w:spacing w:line="360" w:lineRule="exact"/>
        <w:ind w:firstLine="420" w:firstLineChars="200"/>
        <w:jc w:val="left"/>
        <w:rPr>
          <w:rFonts w:hAnsi="宋体"/>
          <w:color w:val="auto"/>
          <w:highlight w:val="none"/>
        </w:rPr>
      </w:pPr>
      <w:r>
        <w:rPr>
          <w:rFonts w:hint="eastAsia" w:hAnsi="宋体"/>
          <w:color w:val="auto"/>
          <w:highlight w:val="none"/>
        </w:rPr>
        <w:t>（2）成交人应在合同签订之日起2个工作日内向采购代理机构提供</w:t>
      </w:r>
      <w:r>
        <w:rPr>
          <w:rFonts w:hint="eastAsia" w:hAnsi="宋体"/>
          <w:color w:val="auto"/>
          <w:highlight w:val="none"/>
          <w:u w:val="single"/>
        </w:rPr>
        <w:t xml:space="preserve"> 壹 </w:t>
      </w:r>
      <w:r>
        <w:rPr>
          <w:rFonts w:hint="eastAsia" w:hAnsi="宋体"/>
          <w:color w:val="auto"/>
          <w:highlight w:val="none"/>
        </w:rPr>
        <w:t>份合同副本备案。以配合采购代理机构按《关于进一步做好政府采购信息公开有关工作的通知》（桂财采【2016】7号文件第八条）的要求，在财政部门指定媒体上公告合同的主要内容。采购代理机构在合同签订之日起4个工作日退还成交人的投标保证金。对无法在上述要求期限内将合同送达采购代理机构的成交人，采购代理机构须凭成交人出具加盖公章的情况说明才能退还其投标保证金。投标保证金退还方式同未成交人的投标保证金的退还方式。</w:t>
      </w:r>
    </w:p>
    <w:p>
      <w:pPr>
        <w:snapToGrid w:val="0"/>
        <w:spacing w:line="360" w:lineRule="exact"/>
        <w:ind w:firstLine="420" w:firstLineChars="200"/>
        <w:jc w:val="left"/>
        <w:rPr>
          <w:rFonts w:hAnsi="宋体"/>
          <w:color w:val="auto"/>
          <w:highlight w:val="none"/>
        </w:rPr>
      </w:pPr>
      <w:r>
        <w:rPr>
          <w:rFonts w:hint="eastAsia" w:hAnsi="宋体"/>
          <w:color w:val="auto"/>
          <w:highlight w:val="none"/>
        </w:rPr>
        <w:t>（3）磋商保证金不计息。</w:t>
      </w:r>
    </w:p>
    <w:p>
      <w:pPr>
        <w:snapToGrid w:val="0"/>
        <w:spacing w:line="360" w:lineRule="exact"/>
        <w:ind w:firstLine="422"/>
        <w:jc w:val="left"/>
        <w:rPr>
          <w:rFonts w:hAnsi="宋体"/>
          <w:color w:val="auto"/>
          <w:highlight w:val="none"/>
        </w:rPr>
      </w:pPr>
      <w:r>
        <w:rPr>
          <w:rFonts w:hint="eastAsia" w:hAnsi="宋体"/>
          <w:color w:val="auto"/>
          <w:highlight w:val="none"/>
        </w:rPr>
        <w:t>17.10供应商有下列情形之一的，磋商保证金将不予退还：</w:t>
      </w:r>
    </w:p>
    <w:p>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）供应商在响应文件有效期内撤回响应文件的；</w:t>
      </w:r>
    </w:p>
    <w:p>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）未按规定提交履约保证金的；</w:t>
      </w:r>
    </w:p>
    <w:p>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）供应商在竞标过程中弄虚作假，提供虚假材料的；</w:t>
      </w:r>
    </w:p>
    <w:p>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）成交人无正当理由不与采购人签订合同的；</w:t>
      </w:r>
    </w:p>
    <w:p>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）将成交项目转让给他人或者在响应文件中未说明且未经招标采购人同意，将成交项目分包给他人的；</w:t>
      </w:r>
    </w:p>
    <w:p>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）拒绝履行合同义务的；</w:t>
      </w:r>
    </w:p>
    <w:p>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 xml:space="preserve">）其他严重扰乱招竞标程序的； </w:t>
      </w:r>
    </w:p>
    <w:p>
      <w:pPr>
        <w:snapToGrid w:val="0"/>
        <w:spacing w:line="360" w:lineRule="exact"/>
        <w:ind w:firstLine="422"/>
        <w:jc w:val="left"/>
        <w:rPr>
          <w:rFonts w:ascii="宋体" w:hAnsi="宋体"/>
          <w:b/>
          <w:bCs/>
          <w:color w:val="auto"/>
          <w:kern w:val="0"/>
          <w:szCs w:val="21"/>
          <w:highlight w:val="none"/>
        </w:rPr>
      </w:pPr>
      <w:r>
        <w:rPr>
          <w:rFonts w:hint="eastAsia" w:ascii="宋体" w:hAnsi="宋体"/>
          <w:b/>
          <w:bCs/>
          <w:color w:val="auto"/>
          <w:kern w:val="0"/>
          <w:szCs w:val="21"/>
          <w:highlight w:val="none"/>
        </w:rPr>
        <w:t>18、</w:t>
      </w:r>
      <w:bookmarkStart w:id="19" w:name="_Toc254970542"/>
      <w:bookmarkStart w:id="20" w:name="_Toc254970683"/>
      <w:r>
        <w:rPr>
          <w:rFonts w:hint="eastAsia" w:ascii="宋体" w:hAnsi="宋体"/>
          <w:b/>
          <w:bCs/>
          <w:color w:val="auto"/>
          <w:kern w:val="0"/>
          <w:szCs w:val="21"/>
          <w:highlight w:val="none"/>
        </w:rPr>
        <w:t>响应文件的</w:t>
      </w:r>
      <w:bookmarkEnd w:id="19"/>
      <w:bookmarkEnd w:id="20"/>
      <w:r>
        <w:rPr>
          <w:rFonts w:hint="eastAsia" w:ascii="宋体" w:hAnsi="宋体"/>
          <w:b/>
          <w:bCs/>
          <w:color w:val="auto"/>
          <w:kern w:val="0"/>
          <w:szCs w:val="21"/>
          <w:highlight w:val="none"/>
        </w:rPr>
        <w:t>编制</w:t>
      </w:r>
    </w:p>
    <w:p>
      <w:pPr>
        <w:snapToGrid w:val="0"/>
        <w:spacing w:line="360" w:lineRule="exact"/>
        <w:ind w:firstLine="422"/>
        <w:jc w:val="left"/>
        <w:rPr>
          <w:rFonts w:ascii="宋体" w:hAnsi="宋体" w:cs="宋体"/>
          <w:color w:val="auto"/>
          <w:highlight w:val="none"/>
        </w:rPr>
      </w:pPr>
      <w:r>
        <w:rPr>
          <w:rFonts w:hint="eastAsia" w:ascii="宋体" w:hAnsi="宋体" w:cs="宋体"/>
          <w:color w:val="auto"/>
          <w:highlight w:val="none"/>
        </w:rPr>
        <w:t>18.1供应商应按本竞争性磋商采购文件规定的格式和顺序编制、装订响应文件并标注页码，响应文件内容不完整、编排混乱导致响应文件被误读、漏读或者查找不到相关内容的，所引起的后果由供应商负责。</w:t>
      </w:r>
    </w:p>
    <w:p>
      <w:pPr>
        <w:snapToGrid w:val="0"/>
        <w:spacing w:line="360" w:lineRule="exact"/>
        <w:ind w:firstLine="422"/>
        <w:jc w:val="left"/>
        <w:rPr>
          <w:rFonts w:ascii="宋体" w:hAnsi="宋体" w:cs="宋体"/>
          <w:color w:val="auto"/>
          <w:highlight w:val="none"/>
        </w:rPr>
      </w:pPr>
      <w:r>
        <w:rPr>
          <w:rFonts w:hint="eastAsia" w:ascii="宋体" w:hAnsi="宋体" w:cs="宋体"/>
          <w:color w:val="auto"/>
          <w:highlight w:val="none"/>
        </w:rPr>
        <w:t>18.2响应文件应按资格证明、报价分别编制，商务技术文件合并编制，本磋商只接受电子版响应文件。</w:t>
      </w:r>
    </w:p>
    <w:p>
      <w:pPr>
        <w:snapToGrid w:val="0"/>
        <w:spacing w:line="360" w:lineRule="exact"/>
        <w:ind w:firstLine="422"/>
        <w:jc w:val="left"/>
        <w:rPr>
          <w:rFonts w:ascii="宋体" w:hAnsi="宋体" w:cs="宋体"/>
          <w:color w:val="auto"/>
          <w:highlight w:val="none"/>
        </w:rPr>
      </w:pPr>
      <w:r>
        <w:rPr>
          <w:rFonts w:hint="eastAsia" w:ascii="宋体" w:hAnsi="宋体" w:cs="宋体"/>
          <w:color w:val="auto"/>
          <w:highlight w:val="none"/>
        </w:rPr>
        <w:t>18.3响应文件电子版要求：按照本采购文件“第四章响应文件格式”编写（第四章未附格式的，由供应商自行拟定），并在规定加盖公章处加盖电子公章，否则响应文件按无效响应处理。</w:t>
      </w:r>
      <w:r>
        <w:rPr>
          <w:rFonts w:hint="eastAsia" w:ascii="宋体" w:hAnsi="Calibri" w:cs="宋体"/>
          <w:color w:val="auto"/>
          <w:kern w:val="0"/>
          <w:szCs w:val="21"/>
          <w:highlight w:val="none"/>
        </w:rPr>
        <w:t>骑缝盖</w:t>
      </w:r>
      <w:r>
        <w:rPr>
          <w:rFonts w:hint="eastAsia" w:ascii="宋体" w:hAnsi="宋体" w:cs="宋体"/>
          <w:color w:val="auto"/>
          <w:highlight w:val="none"/>
        </w:rPr>
        <w:t>公章不视为在规定位置盖章。</w:t>
      </w:r>
    </w:p>
    <w:p>
      <w:pPr>
        <w:snapToGrid w:val="0"/>
        <w:spacing w:line="360" w:lineRule="exact"/>
        <w:ind w:firstLine="422"/>
        <w:jc w:val="left"/>
        <w:rPr>
          <w:rFonts w:ascii="宋体" w:hAnsi="宋体" w:cs="宋体"/>
          <w:color w:val="auto"/>
          <w:highlight w:val="none"/>
        </w:rPr>
      </w:pPr>
      <w:r>
        <w:rPr>
          <w:rFonts w:ascii="宋体" w:hAnsi="宋体" w:cs="宋体"/>
          <w:color w:val="auto"/>
          <w:highlight w:val="none"/>
        </w:rPr>
        <w:t>18.4</w:t>
      </w:r>
      <w:r>
        <w:rPr>
          <w:rFonts w:hint="eastAsia" w:ascii="宋体" w:hAnsi="宋体" w:cs="宋体"/>
          <w:color w:val="auto"/>
          <w:highlight w:val="none"/>
        </w:rPr>
        <w:t>响应文件中标注的供应商名称应与营业执照（事业单位法人证书、执业许可证、自然人身份证）及电子公章一致，否则其响应文件按无效响应处理。</w:t>
      </w:r>
    </w:p>
    <w:p>
      <w:pPr>
        <w:snapToGrid w:val="0"/>
        <w:spacing w:line="360" w:lineRule="exact"/>
        <w:ind w:firstLine="422"/>
        <w:jc w:val="left"/>
        <w:rPr>
          <w:rFonts w:ascii="宋体" w:hAnsi="宋体" w:cs="宋体"/>
          <w:color w:val="auto"/>
          <w:highlight w:val="none"/>
        </w:rPr>
      </w:pPr>
      <w:r>
        <w:rPr>
          <w:rFonts w:hint="eastAsia" w:ascii="宋体" w:hAnsi="宋体" w:cs="宋体"/>
          <w:color w:val="auto"/>
          <w:highlight w:val="none"/>
        </w:rPr>
        <w:t>18.5</w:t>
      </w:r>
      <w:r>
        <w:rPr>
          <w:rFonts w:hint="eastAsia" w:ascii="宋体" w:hAnsi="Calibri" w:cs="宋体"/>
          <w:color w:val="auto"/>
          <w:kern w:val="0"/>
          <w:szCs w:val="21"/>
          <w:highlight w:val="none"/>
        </w:rPr>
        <w:t>响应文件应避免涂改、行间插字或者删除，否则其响应文件按无效响应处理。</w:t>
      </w:r>
    </w:p>
    <w:p>
      <w:pPr>
        <w:snapToGrid w:val="0"/>
        <w:spacing w:line="360" w:lineRule="exact"/>
        <w:ind w:firstLine="422"/>
        <w:jc w:val="left"/>
        <w:rPr>
          <w:rFonts w:ascii="宋体" w:hAnsi="宋体" w:cs="宋体"/>
          <w:color w:val="auto"/>
          <w:highlight w:val="none"/>
        </w:rPr>
      </w:pPr>
      <w:r>
        <w:rPr>
          <w:rFonts w:hint="eastAsia" w:ascii="宋体" w:hAnsi="宋体" w:cs="宋体"/>
          <w:color w:val="auto"/>
          <w:highlight w:val="none"/>
        </w:rPr>
        <w:t>18.6供应商进行电子交易应安装客户端软件—“广西政府采购云平台电子交易客户端”，并按照磋商文件和电子交易平台的要求编制并加密响应文件。供应商未按规定加密的响应文件，电子交易平台将拒收并提示。</w:t>
      </w:r>
    </w:p>
    <w:p>
      <w:pPr>
        <w:snapToGrid w:val="0"/>
        <w:spacing w:line="360" w:lineRule="exact"/>
        <w:ind w:firstLine="422"/>
        <w:jc w:val="left"/>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8</w:t>
      </w:r>
      <w:r>
        <w:rPr>
          <w:rFonts w:ascii="宋体" w:hAnsi="宋体" w:cs="宋体"/>
          <w:color w:val="auto"/>
          <w:highlight w:val="none"/>
        </w:rPr>
        <w:t>.</w:t>
      </w:r>
      <w:r>
        <w:rPr>
          <w:rFonts w:hint="eastAsia" w:ascii="宋体" w:hAnsi="宋体" w:cs="宋体"/>
          <w:color w:val="auto"/>
          <w:highlight w:val="none"/>
        </w:rPr>
        <w:t>7使用“广西政府采购云平台电子交易客户端”需要提前申领</w:t>
      </w:r>
      <w:r>
        <w:rPr>
          <w:rFonts w:ascii="宋体" w:hAnsi="宋体" w:cs="宋体"/>
          <w:color w:val="auto"/>
          <w:highlight w:val="none"/>
        </w:rPr>
        <w:t>CA</w:t>
      </w:r>
      <w:r>
        <w:rPr>
          <w:rFonts w:hint="eastAsia" w:ascii="宋体" w:hAnsi="宋体" w:cs="宋体"/>
          <w:color w:val="auto"/>
          <w:highlight w:val="none"/>
        </w:rPr>
        <w:t>数字证书，申领流程见该项目采购公告附件。</w:t>
      </w:r>
    </w:p>
    <w:p>
      <w:pPr>
        <w:snapToGrid w:val="0"/>
        <w:spacing w:line="360" w:lineRule="exact"/>
        <w:ind w:firstLine="422"/>
        <w:jc w:val="left"/>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8</w:t>
      </w:r>
      <w:r>
        <w:rPr>
          <w:rFonts w:ascii="宋体" w:hAnsi="宋体" w:cs="宋体"/>
          <w:color w:val="auto"/>
          <w:highlight w:val="none"/>
        </w:rPr>
        <w:t>.</w:t>
      </w:r>
      <w:r>
        <w:rPr>
          <w:rFonts w:hint="eastAsia" w:ascii="宋体" w:hAnsi="宋体" w:cs="宋体"/>
          <w:color w:val="auto"/>
          <w:highlight w:val="none"/>
        </w:rPr>
        <w:t>8为确保网上操作合法、有效和安全，供应商应当在响应文件提交截止时间前完成在“政府采购云平台”的身份认证，确保在电子交易过程中能够对相关数据电文进行加密和使用电子签名。</w:t>
      </w:r>
    </w:p>
    <w:p>
      <w:pPr>
        <w:spacing w:line="360" w:lineRule="exact"/>
        <w:ind w:firstLine="420"/>
        <w:rPr>
          <w:rFonts w:ascii="宋体" w:hAnsi="宋体" w:cs="宋体"/>
          <w:b/>
          <w:color w:val="auto"/>
          <w:szCs w:val="21"/>
          <w:highlight w:val="none"/>
        </w:rPr>
      </w:pPr>
      <w:r>
        <w:rPr>
          <w:rFonts w:hint="eastAsia" w:ascii="宋体" w:hAnsi="宋体" w:cs="宋体"/>
          <w:b/>
          <w:color w:val="auto"/>
          <w:highlight w:val="none"/>
        </w:rPr>
        <w:t>19.</w:t>
      </w:r>
      <w:r>
        <w:rPr>
          <w:rFonts w:hint="eastAsia" w:ascii="宋体" w:hAnsi="宋体" w:cs="宋体"/>
          <w:b/>
          <w:color w:val="auto"/>
          <w:szCs w:val="21"/>
          <w:highlight w:val="none"/>
        </w:rPr>
        <w:t>响应文件的递交</w:t>
      </w:r>
    </w:p>
    <w:p>
      <w:pPr>
        <w:snapToGrid w:val="0"/>
        <w:spacing w:line="360" w:lineRule="exact"/>
        <w:ind w:firstLine="422"/>
        <w:jc w:val="left"/>
        <w:rPr>
          <w:rFonts w:hAnsi="宋体"/>
          <w:color w:val="auto"/>
          <w:highlight w:val="none"/>
        </w:rPr>
      </w:pPr>
      <w:r>
        <w:rPr>
          <w:rFonts w:hint="eastAsia" w:hAnsi="宋体"/>
          <w:color w:val="auto"/>
          <w:highlight w:val="none"/>
        </w:rPr>
        <w:t>19.1供应商必须在“供应商须知前附表”规定的响应文件接收时间和地点提交电子版响应文件。电子响应文件应在制作完成后，在提交截止时间前通过有效数字证书（</w:t>
      </w:r>
      <w:r>
        <w:rPr>
          <w:rFonts w:hAnsi="宋体"/>
          <w:color w:val="auto"/>
          <w:highlight w:val="none"/>
        </w:rPr>
        <w:t>CA</w:t>
      </w:r>
      <w:r>
        <w:rPr>
          <w:rFonts w:hint="eastAsia" w:hAnsi="宋体"/>
          <w:color w:val="auto"/>
          <w:highlight w:val="none"/>
        </w:rPr>
        <w:t>认证锁）进行电子签章、加密，然后通过网络将加密的电子响应文件递交至“广西政府采购云平台”。</w:t>
      </w:r>
    </w:p>
    <w:p>
      <w:pPr>
        <w:snapToGrid w:val="0"/>
        <w:spacing w:line="360" w:lineRule="exact"/>
        <w:ind w:firstLine="422"/>
        <w:jc w:val="left"/>
        <w:rPr>
          <w:rFonts w:hAnsi="宋体"/>
          <w:color w:val="auto"/>
          <w:highlight w:val="none"/>
        </w:rPr>
      </w:pPr>
      <w:r>
        <w:rPr>
          <w:rFonts w:hint="eastAsia" w:hAnsi="宋体"/>
          <w:color w:val="auto"/>
          <w:highlight w:val="none"/>
        </w:rPr>
        <w:t>19.2未在规定时间内提交或者未按照磋商文件要求密封或者标记的电子响应文件，广西政府采购云平台将拒收。</w:t>
      </w:r>
    </w:p>
    <w:p>
      <w:pPr>
        <w:snapToGrid w:val="0"/>
        <w:spacing w:line="360" w:lineRule="exact"/>
        <w:ind w:firstLine="422"/>
        <w:jc w:val="left"/>
        <w:rPr>
          <w:rFonts w:hAnsi="宋体"/>
          <w:color w:val="auto"/>
          <w:highlight w:val="none"/>
        </w:rPr>
      </w:pPr>
      <w:r>
        <w:rPr>
          <w:rFonts w:hint="eastAsia" w:hAnsi="宋体"/>
          <w:color w:val="auto"/>
          <w:highlight w:val="none"/>
        </w:rPr>
        <w:t>19.3电子版响应文件提交方式见“磋商公告”中“四、提交响应文件截止时间、开标时间和地点”。</w:t>
      </w:r>
    </w:p>
    <w:p>
      <w:pPr>
        <w:snapToGrid w:val="0"/>
        <w:spacing w:line="360" w:lineRule="exact"/>
        <w:ind w:firstLine="420"/>
        <w:jc w:val="left"/>
        <w:rPr>
          <w:rFonts w:ascii="宋体" w:hAnsi="宋体" w:cs="宋体"/>
          <w:b/>
          <w:color w:val="auto"/>
          <w:szCs w:val="21"/>
          <w:highlight w:val="none"/>
        </w:rPr>
      </w:pPr>
      <w:r>
        <w:rPr>
          <w:rFonts w:hint="eastAsia" w:ascii="宋体" w:hAnsi="宋体" w:cs="宋体"/>
          <w:b/>
          <w:color w:val="auto"/>
          <w:szCs w:val="21"/>
          <w:highlight w:val="none"/>
        </w:rPr>
        <w:t>20.响应文件的补充、修改、撤回与退回</w:t>
      </w:r>
    </w:p>
    <w:p>
      <w:pPr>
        <w:snapToGrid w:val="0"/>
        <w:spacing w:line="360" w:lineRule="exact"/>
        <w:ind w:firstLine="422"/>
        <w:jc w:val="left"/>
        <w:rPr>
          <w:rFonts w:hAnsi="宋体"/>
          <w:color w:val="auto"/>
          <w:highlight w:val="none"/>
        </w:rPr>
      </w:pPr>
      <w:r>
        <w:rPr>
          <w:rFonts w:hint="eastAsia" w:hAnsi="宋体"/>
          <w:color w:val="auto"/>
          <w:highlight w:val="none"/>
        </w:rPr>
        <w:t>20.1供应商应当在首次提交响应文件截止时间前完成响应文件的传输递交，并可以补充、修改或者撤回响应文件。补充或者修改响应文件的，应当先行撤回原文件，补充、修改后重新传输递交。提交响应文件截止时间前未完成传输的，视为撤回响应文件。提交响应文件截止时间后递交的响应文件，广西政府采购云平台将拒收。</w:t>
      </w:r>
    </w:p>
    <w:p>
      <w:pPr>
        <w:snapToGrid w:val="0"/>
        <w:spacing w:line="360" w:lineRule="exact"/>
        <w:ind w:firstLine="422"/>
        <w:jc w:val="left"/>
        <w:rPr>
          <w:rFonts w:hAnsi="宋体"/>
          <w:color w:val="auto"/>
          <w:highlight w:val="none"/>
        </w:rPr>
      </w:pPr>
      <w:r>
        <w:rPr>
          <w:rFonts w:hint="eastAsia" w:hAnsi="宋体"/>
          <w:color w:val="auto"/>
          <w:highlight w:val="none"/>
        </w:rPr>
        <w:t>20.2 广西政府采购云平台收到响应文件，将妥善保存并即时向供应商发出确认回执通知。在提交响应文件截止时间前，除供应商补充、修改或者撤回响应文件外，任何单位和个人不得解密或提取响应文件。</w:t>
      </w:r>
    </w:p>
    <w:p>
      <w:pPr>
        <w:snapToGrid w:val="0"/>
        <w:spacing w:line="360" w:lineRule="exact"/>
        <w:ind w:firstLine="422"/>
        <w:jc w:val="left"/>
        <w:rPr>
          <w:rFonts w:hAnsi="宋体"/>
          <w:color w:val="auto"/>
          <w:highlight w:val="none"/>
        </w:rPr>
      </w:pPr>
      <w:r>
        <w:rPr>
          <w:rFonts w:hint="eastAsia" w:hAnsi="宋体"/>
          <w:color w:val="auto"/>
          <w:highlight w:val="none"/>
        </w:rPr>
        <w:t>20.3在提交响应文件截止时间止提交电子版响应文件的供应商不足</w:t>
      </w:r>
      <w:r>
        <w:rPr>
          <w:rFonts w:hAnsi="宋体"/>
          <w:color w:val="auto"/>
          <w:highlight w:val="none"/>
        </w:rPr>
        <w:t>3</w:t>
      </w:r>
      <w:r>
        <w:rPr>
          <w:rFonts w:hint="eastAsia" w:hAnsi="宋体"/>
          <w:color w:val="auto"/>
          <w:highlight w:val="none"/>
        </w:rPr>
        <w:t>家时，电子版响应文件由代理机构在广西政府采购云平台操作退回，除此之外采购人和采购代理机构对已提交的响应文件概不退回。</w:t>
      </w:r>
    </w:p>
    <w:p>
      <w:pPr>
        <w:tabs>
          <w:tab w:val="left" w:pos="3600"/>
        </w:tabs>
        <w:spacing w:line="360" w:lineRule="exact"/>
        <w:ind w:firstLine="420"/>
        <w:rPr>
          <w:rFonts w:ascii="宋体" w:hAnsi="宋体" w:cs="宋体"/>
          <w:b/>
          <w:color w:val="auto"/>
          <w:szCs w:val="21"/>
          <w:highlight w:val="none"/>
        </w:rPr>
      </w:pPr>
      <w:bookmarkStart w:id="21" w:name="_Toc495351941"/>
      <w:bookmarkStart w:id="22" w:name="_Toc448421142"/>
      <w:bookmarkStart w:id="23" w:name="_Toc482865152"/>
      <w:bookmarkStart w:id="24" w:name="_Toc482865322"/>
      <w:bookmarkStart w:id="25" w:name="_Toc482864551"/>
      <w:bookmarkStart w:id="26" w:name="_Toc495388768"/>
      <w:bookmarkStart w:id="27" w:name="_Toc445223680"/>
      <w:bookmarkStart w:id="28" w:name="_Toc254970685"/>
      <w:bookmarkStart w:id="29" w:name="_Toc400465713"/>
      <w:bookmarkStart w:id="30" w:name="_Toc495388445"/>
      <w:bookmarkStart w:id="31" w:name="_Toc308018677"/>
      <w:bookmarkStart w:id="32" w:name="_Toc293863053"/>
      <w:bookmarkStart w:id="33" w:name="_Toc293863320"/>
      <w:bookmarkStart w:id="34" w:name="_Toc254970544"/>
      <w:bookmarkStart w:id="35" w:name="_Toc483327811"/>
      <w:r>
        <w:rPr>
          <w:rFonts w:hint="eastAsia" w:ascii="宋体" w:hAnsi="宋体" w:cs="宋体"/>
          <w:b/>
          <w:color w:val="auto"/>
          <w:szCs w:val="21"/>
          <w:highlight w:val="none"/>
        </w:rPr>
        <w:t>四、</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Fonts w:hint="eastAsia" w:ascii="宋体" w:hAnsi="宋体" w:cs="宋体"/>
          <w:b/>
          <w:color w:val="auto"/>
          <w:szCs w:val="21"/>
          <w:highlight w:val="none"/>
        </w:rPr>
        <w:t>评审及磋商</w:t>
      </w:r>
    </w:p>
    <w:p>
      <w:pPr>
        <w:snapToGrid w:val="0"/>
        <w:spacing w:line="360" w:lineRule="exact"/>
        <w:ind w:firstLine="420"/>
        <w:jc w:val="left"/>
        <w:rPr>
          <w:rFonts w:hAnsi="宋体"/>
          <w:b/>
          <w:color w:val="auto"/>
          <w:highlight w:val="none"/>
        </w:rPr>
      </w:pPr>
      <w:r>
        <w:rPr>
          <w:rFonts w:hAnsi="宋体"/>
          <w:b/>
          <w:color w:val="auto"/>
          <w:highlight w:val="none"/>
        </w:rPr>
        <w:t>2</w:t>
      </w:r>
      <w:r>
        <w:rPr>
          <w:rFonts w:hint="eastAsia" w:hAnsi="宋体"/>
          <w:b/>
          <w:color w:val="auto"/>
          <w:highlight w:val="none"/>
        </w:rPr>
        <w:t>1</w:t>
      </w:r>
      <w:r>
        <w:rPr>
          <w:rFonts w:hAnsi="宋体"/>
          <w:b/>
          <w:color w:val="auto"/>
          <w:highlight w:val="none"/>
        </w:rPr>
        <w:t>.</w:t>
      </w:r>
      <w:r>
        <w:rPr>
          <w:rFonts w:hint="eastAsia" w:hAnsi="宋体"/>
          <w:b/>
          <w:color w:val="auto"/>
          <w:highlight w:val="none"/>
        </w:rPr>
        <w:t>磋商小组成立</w:t>
      </w:r>
    </w:p>
    <w:p>
      <w:pPr>
        <w:snapToGrid w:val="0"/>
        <w:spacing w:line="360" w:lineRule="exact"/>
        <w:ind w:firstLine="422"/>
        <w:jc w:val="left"/>
        <w:rPr>
          <w:rFonts w:hAnsi="宋体"/>
          <w:color w:val="auto"/>
          <w:highlight w:val="none"/>
        </w:rPr>
      </w:pPr>
      <w:r>
        <w:rPr>
          <w:rFonts w:hAnsi="宋体"/>
          <w:color w:val="auto"/>
          <w:highlight w:val="none"/>
        </w:rPr>
        <w:t>2</w:t>
      </w:r>
      <w:r>
        <w:rPr>
          <w:rFonts w:hint="eastAsia" w:hAnsi="宋体"/>
          <w:color w:val="auto"/>
          <w:highlight w:val="none"/>
        </w:rPr>
        <w:t>1</w:t>
      </w:r>
      <w:r>
        <w:rPr>
          <w:rFonts w:hAnsi="宋体"/>
          <w:color w:val="auto"/>
          <w:highlight w:val="none"/>
        </w:rPr>
        <w:t>.1</w:t>
      </w:r>
      <w:r>
        <w:rPr>
          <w:rFonts w:hint="eastAsia" w:hAnsi="宋体"/>
          <w:color w:val="auto"/>
          <w:highlight w:val="none"/>
        </w:rPr>
        <w:t>磋商小组由采购人代表和评审专家共</w:t>
      </w:r>
      <w:r>
        <w:rPr>
          <w:rFonts w:hAnsi="宋体"/>
          <w:color w:val="auto"/>
          <w:highlight w:val="none"/>
        </w:rPr>
        <w:t>3</w:t>
      </w:r>
      <w:r>
        <w:rPr>
          <w:rFonts w:hint="eastAsia" w:hAnsi="宋体"/>
          <w:color w:val="auto"/>
          <w:highlight w:val="none"/>
        </w:rPr>
        <w:t>人以上单数组成，其中评审专家人数不得少于磋商小组成员总数的</w:t>
      </w:r>
      <w:r>
        <w:rPr>
          <w:rFonts w:hAnsi="宋体"/>
          <w:color w:val="auto"/>
          <w:highlight w:val="none"/>
        </w:rPr>
        <w:t>2/3</w:t>
      </w:r>
      <w:r>
        <w:rPr>
          <w:rFonts w:hint="eastAsia" w:hAnsi="宋体"/>
          <w:color w:val="auto"/>
          <w:highlight w:val="none"/>
        </w:rPr>
        <w:t>。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w:t>
      </w:r>
      <w:r>
        <w:rPr>
          <w:rFonts w:hAnsi="宋体"/>
          <w:color w:val="auto"/>
          <w:highlight w:val="none"/>
        </w:rPr>
        <w:t>5</w:t>
      </w:r>
      <w:r>
        <w:rPr>
          <w:rFonts w:hint="eastAsia" w:hAnsi="宋体"/>
          <w:color w:val="auto"/>
          <w:highlight w:val="none"/>
        </w:rPr>
        <w:t>人以上单数组成。</w:t>
      </w:r>
    </w:p>
    <w:p>
      <w:pPr>
        <w:snapToGrid w:val="0"/>
        <w:spacing w:line="360" w:lineRule="exact"/>
        <w:ind w:firstLine="422"/>
        <w:jc w:val="left"/>
        <w:rPr>
          <w:rFonts w:hAnsi="宋体"/>
          <w:color w:val="auto"/>
          <w:highlight w:val="none"/>
        </w:rPr>
      </w:pPr>
      <w:r>
        <w:rPr>
          <w:rFonts w:hAnsi="宋体"/>
          <w:color w:val="auto"/>
          <w:highlight w:val="none"/>
        </w:rPr>
        <w:t>2</w:t>
      </w:r>
      <w:r>
        <w:rPr>
          <w:rFonts w:hint="eastAsia" w:hAnsi="宋体"/>
          <w:color w:val="auto"/>
          <w:highlight w:val="none"/>
        </w:rPr>
        <w:t>1</w:t>
      </w:r>
      <w:r>
        <w:rPr>
          <w:rFonts w:hAnsi="宋体"/>
          <w:color w:val="auto"/>
          <w:highlight w:val="none"/>
        </w:rPr>
        <w:t>.2</w:t>
      </w:r>
      <w:r>
        <w:rPr>
          <w:rFonts w:hint="eastAsia" w:hAnsi="宋体"/>
          <w:color w:val="auto"/>
          <w:highlight w:val="none"/>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hAnsi="宋体"/>
          <w:color w:val="auto"/>
          <w:highlight w:val="none"/>
        </w:rPr>
        <w:t>1</w:t>
      </w:r>
      <w:r>
        <w:rPr>
          <w:rFonts w:hint="eastAsia" w:hAnsi="宋体"/>
          <w:color w:val="auto"/>
          <w:highlight w:val="none"/>
        </w:rPr>
        <w:t>名法律专家。</w:t>
      </w:r>
    </w:p>
    <w:p>
      <w:pPr>
        <w:snapToGrid w:val="0"/>
        <w:spacing w:line="360" w:lineRule="exact"/>
        <w:ind w:firstLine="420"/>
        <w:jc w:val="left"/>
        <w:rPr>
          <w:rFonts w:hAnsi="宋体"/>
          <w:b/>
          <w:color w:val="auto"/>
          <w:highlight w:val="none"/>
        </w:rPr>
      </w:pPr>
      <w:r>
        <w:rPr>
          <w:rFonts w:hAnsi="宋体"/>
          <w:b/>
          <w:color w:val="auto"/>
          <w:highlight w:val="none"/>
        </w:rPr>
        <w:t>2</w:t>
      </w:r>
      <w:r>
        <w:rPr>
          <w:rFonts w:hint="eastAsia" w:hAnsi="宋体"/>
          <w:b/>
          <w:color w:val="auto"/>
          <w:highlight w:val="none"/>
        </w:rPr>
        <w:t>2</w:t>
      </w:r>
      <w:r>
        <w:rPr>
          <w:rFonts w:hAnsi="宋体"/>
          <w:b/>
          <w:color w:val="auto"/>
          <w:highlight w:val="none"/>
        </w:rPr>
        <w:t>.</w:t>
      </w:r>
      <w:r>
        <w:rPr>
          <w:rFonts w:hint="eastAsia" w:hAnsi="宋体"/>
          <w:b/>
          <w:color w:val="auto"/>
          <w:highlight w:val="none"/>
        </w:rPr>
        <w:t>首次响应文件的开启</w:t>
      </w:r>
    </w:p>
    <w:p>
      <w:pPr>
        <w:snapToGrid w:val="0"/>
        <w:spacing w:line="360" w:lineRule="exact"/>
        <w:ind w:firstLine="422"/>
        <w:jc w:val="left"/>
        <w:rPr>
          <w:rFonts w:hAnsi="宋体"/>
          <w:color w:val="auto"/>
          <w:highlight w:val="none"/>
        </w:rPr>
      </w:pPr>
      <w:r>
        <w:rPr>
          <w:rFonts w:hAnsi="宋体"/>
          <w:color w:val="auto"/>
          <w:highlight w:val="none"/>
        </w:rPr>
        <w:t>2</w:t>
      </w:r>
      <w:r>
        <w:rPr>
          <w:rFonts w:hint="eastAsia" w:hAnsi="宋体"/>
          <w:color w:val="auto"/>
          <w:highlight w:val="none"/>
        </w:rPr>
        <w:t>2</w:t>
      </w:r>
      <w:r>
        <w:rPr>
          <w:rFonts w:hAnsi="宋体"/>
          <w:color w:val="auto"/>
          <w:highlight w:val="none"/>
        </w:rPr>
        <w:t>.1</w:t>
      </w:r>
      <w:r>
        <w:rPr>
          <w:rFonts w:hint="eastAsia" w:hAnsi="宋体"/>
          <w:color w:val="auto"/>
          <w:highlight w:val="none"/>
        </w:rPr>
        <w:t>首次响应文件由磋商小组或者采购代理机构在“供应商须知前附表”规定的时间开启。</w:t>
      </w:r>
    </w:p>
    <w:p>
      <w:pPr>
        <w:snapToGrid w:val="0"/>
        <w:spacing w:line="360" w:lineRule="exact"/>
        <w:ind w:firstLine="420"/>
        <w:jc w:val="left"/>
        <w:rPr>
          <w:rFonts w:hAnsi="宋体"/>
          <w:b/>
          <w:color w:val="auto"/>
          <w:highlight w:val="none"/>
        </w:rPr>
      </w:pPr>
      <w:r>
        <w:rPr>
          <w:rFonts w:hAnsi="宋体"/>
          <w:b/>
          <w:color w:val="auto"/>
          <w:highlight w:val="none"/>
        </w:rPr>
        <w:t>2</w:t>
      </w:r>
      <w:r>
        <w:rPr>
          <w:rFonts w:hint="eastAsia" w:hAnsi="宋体"/>
          <w:b/>
          <w:color w:val="auto"/>
          <w:highlight w:val="none"/>
        </w:rPr>
        <w:t>3.响应文件解密</w:t>
      </w:r>
    </w:p>
    <w:p>
      <w:pPr>
        <w:snapToGrid w:val="0"/>
        <w:spacing w:line="360" w:lineRule="exact"/>
        <w:ind w:firstLine="422"/>
        <w:jc w:val="left"/>
        <w:rPr>
          <w:rFonts w:hAnsi="宋体"/>
          <w:bCs/>
          <w:color w:val="auto"/>
          <w:highlight w:val="none"/>
        </w:rPr>
      </w:pPr>
      <w:r>
        <w:rPr>
          <w:rFonts w:hint="eastAsia" w:hAnsi="宋体"/>
          <w:color w:val="auto"/>
          <w:highlight w:val="none"/>
        </w:rPr>
        <w:t>23.1采购代理机构将在“供应商须知前附表”规定的时间通过电子交易平台组织响应文件开启采购机构依托电子交易平台发起开始解密指令，供应商的法定代表人或其委托代理人须携带加密时所用的</w:t>
      </w:r>
      <w:r>
        <w:rPr>
          <w:rFonts w:hAnsi="宋体"/>
          <w:color w:val="auto"/>
          <w:highlight w:val="none"/>
        </w:rPr>
        <w:t>CA</w:t>
      </w:r>
      <w:r>
        <w:rPr>
          <w:rFonts w:hint="eastAsia" w:hAnsi="宋体"/>
          <w:color w:val="auto"/>
          <w:highlight w:val="none"/>
        </w:rPr>
        <w:t>锁按平台提示和采购文件的规定登录到广西政府采购云平台电子开标大厅签到并在发起解密指令之时起</w:t>
      </w:r>
      <w:r>
        <w:rPr>
          <w:rFonts w:hAnsi="宋体"/>
          <w:color w:val="auto"/>
          <w:highlight w:val="none"/>
        </w:rPr>
        <w:t>30</w:t>
      </w:r>
      <w:r>
        <w:rPr>
          <w:rFonts w:hint="eastAsia" w:hAnsi="宋体"/>
          <w:color w:val="auto"/>
          <w:highlight w:val="none"/>
        </w:rPr>
        <w:t>分钟内完成对电子响应文件在线解密。发起解密指令之时起</w:t>
      </w:r>
      <w:r>
        <w:rPr>
          <w:rFonts w:hAnsi="宋体"/>
          <w:color w:val="auto"/>
          <w:highlight w:val="none"/>
        </w:rPr>
        <w:t>5</w:t>
      </w:r>
      <w:r>
        <w:rPr>
          <w:rFonts w:hint="eastAsia" w:hAnsi="宋体"/>
          <w:color w:val="auto"/>
          <w:highlight w:val="none"/>
        </w:rPr>
        <w:t>分钟内供应商还未进行解密的，代理机构通知供应商，</w:t>
      </w:r>
      <w:r>
        <w:rPr>
          <w:rFonts w:hint="eastAsia" w:hAnsi="宋体"/>
          <w:bCs/>
          <w:color w:val="auto"/>
          <w:highlight w:val="none"/>
        </w:rPr>
        <w:t>通知后，</w:t>
      </w:r>
      <w:r>
        <w:rPr>
          <w:rFonts w:hint="eastAsia" w:hAnsi="宋体"/>
          <w:color w:val="auto"/>
          <w:highlight w:val="none"/>
        </w:rPr>
        <w:t>响应</w:t>
      </w:r>
      <w:r>
        <w:rPr>
          <w:rFonts w:hint="eastAsia" w:hAnsi="宋体"/>
          <w:bCs/>
          <w:color w:val="auto"/>
          <w:highlight w:val="none"/>
        </w:rPr>
        <w:t>文件仍未按时解密，或者</w:t>
      </w:r>
      <w:r>
        <w:rPr>
          <w:rFonts w:hint="eastAsia" w:hAnsi="宋体"/>
          <w:color w:val="auto"/>
          <w:highlight w:val="none"/>
        </w:rPr>
        <w:t>供应商</w:t>
      </w:r>
      <w:r>
        <w:rPr>
          <w:rFonts w:hint="eastAsia" w:hAnsi="宋体"/>
          <w:bCs/>
          <w:color w:val="auto"/>
          <w:highlight w:val="none"/>
        </w:rPr>
        <w:t>没预留联系方式或预留联系方式无效，</w:t>
      </w:r>
      <w:r>
        <w:rPr>
          <w:rFonts w:hint="eastAsia" w:hAnsi="宋体"/>
          <w:color w:val="auto"/>
          <w:highlight w:val="none"/>
        </w:rPr>
        <w:t>非代理机构原因导致代理机构无法联系到供应商进行解密的</w:t>
      </w:r>
      <w:r>
        <w:rPr>
          <w:rFonts w:hint="eastAsia" w:hAnsi="宋体"/>
          <w:bCs/>
          <w:color w:val="auto"/>
          <w:highlight w:val="none"/>
        </w:rPr>
        <w:t>，</w:t>
      </w:r>
      <w:r>
        <w:rPr>
          <w:rFonts w:hint="eastAsia" w:hAnsi="宋体"/>
          <w:color w:val="auto"/>
          <w:highlight w:val="none"/>
        </w:rPr>
        <w:t>视为响应文件无效</w:t>
      </w:r>
      <w:r>
        <w:rPr>
          <w:rFonts w:hint="eastAsia" w:hAnsi="宋体"/>
          <w:bCs/>
          <w:color w:val="auto"/>
          <w:highlight w:val="none"/>
        </w:rPr>
        <w:t>。</w:t>
      </w:r>
      <w:r>
        <w:rPr>
          <w:rFonts w:hint="eastAsia" w:hAnsi="宋体"/>
          <w:color w:val="auto"/>
          <w:highlight w:val="none"/>
        </w:rPr>
        <w:t>（解密异常情况处理：详见本章30.电子交易活动的中止。）</w:t>
      </w:r>
    </w:p>
    <w:p>
      <w:pPr>
        <w:snapToGrid w:val="0"/>
        <w:spacing w:line="360" w:lineRule="exact"/>
        <w:ind w:firstLine="422"/>
        <w:jc w:val="left"/>
        <w:rPr>
          <w:rFonts w:hAnsi="宋体"/>
          <w:color w:val="auto"/>
          <w:highlight w:val="none"/>
        </w:rPr>
      </w:pPr>
      <w:r>
        <w:rPr>
          <w:rFonts w:hint="eastAsia" w:hAnsi="宋体"/>
          <w:color w:val="auto"/>
          <w:highlight w:val="none"/>
        </w:rPr>
        <w:t>23.2如供应商成功解密响应文件，但未在“广西政府采购云平台”电子开标大厅参加谈判的，视同认可谈判过程和结果，由此产生的后果由供应商自行负责。参与谈判的供应商不足</w:t>
      </w:r>
      <w:r>
        <w:rPr>
          <w:rFonts w:hAnsi="宋体"/>
          <w:color w:val="auto"/>
          <w:highlight w:val="none"/>
        </w:rPr>
        <w:t>3</w:t>
      </w:r>
      <w:r>
        <w:rPr>
          <w:rFonts w:hint="eastAsia" w:hAnsi="宋体"/>
          <w:color w:val="auto"/>
          <w:highlight w:val="none"/>
        </w:rPr>
        <w:t>家的，不得谈判。</w:t>
      </w:r>
    </w:p>
    <w:p>
      <w:pPr>
        <w:snapToGrid w:val="0"/>
        <w:spacing w:line="360" w:lineRule="exact"/>
        <w:ind w:firstLine="420"/>
        <w:jc w:val="left"/>
        <w:rPr>
          <w:rFonts w:hAnsi="宋体"/>
          <w:b/>
          <w:color w:val="auto"/>
          <w:highlight w:val="none"/>
        </w:rPr>
      </w:pPr>
      <w:r>
        <w:rPr>
          <w:rFonts w:hAnsi="宋体"/>
          <w:b/>
          <w:color w:val="auto"/>
          <w:highlight w:val="none"/>
        </w:rPr>
        <w:t>2</w:t>
      </w:r>
      <w:r>
        <w:rPr>
          <w:rFonts w:hint="eastAsia" w:hAnsi="宋体"/>
          <w:b/>
          <w:color w:val="auto"/>
          <w:highlight w:val="none"/>
        </w:rPr>
        <w:t>4</w:t>
      </w:r>
      <w:r>
        <w:rPr>
          <w:rFonts w:hAnsi="宋体"/>
          <w:b/>
          <w:color w:val="auto"/>
          <w:highlight w:val="none"/>
        </w:rPr>
        <w:t>.</w:t>
      </w:r>
      <w:r>
        <w:rPr>
          <w:rFonts w:hint="eastAsia" w:hAnsi="宋体"/>
          <w:b/>
          <w:color w:val="auto"/>
          <w:highlight w:val="none"/>
        </w:rPr>
        <w:t>评审程序</w:t>
      </w:r>
    </w:p>
    <w:p>
      <w:pPr>
        <w:snapToGrid w:val="0"/>
        <w:spacing w:line="360" w:lineRule="exact"/>
        <w:ind w:firstLine="422"/>
        <w:jc w:val="left"/>
        <w:rPr>
          <w:rFonts w:hAnsi="宋体"/>
          <w:color w:val="auto"/>
          <w:highlight w:val="none"/>
        </w:rPr>
      </w:pPr>
      <w:r>
        <w:rPr>
          <w:rFonts w:hAnsi="宋体"/>
          <w:color w:val="auto"/>
          <w:highlight w:val="none"/>
        </w:rPr>
        <w:t>2</w:t>
      </w:r>
      <w:r>
        <w:rPr>
          <w:rFonts w:hint="eastAsia" w:hAnsi="宋体"/>
          <w:color w:val="auto"/>
          <w:highlight w:val="none"/>
        </w:rPr>
        <w:t>4</w:t>
      </w:r>
      <w:r>
        <w:rPr>
          <w:rFonts w:hAnsi="宋体"/>
          <w:color w:val="auto"/>
          <w:highlight w:val="none"/>
        </w:rPr>
        <w:t>.1</w:t>
      </w:r>
      <w:r>
        <w:rPr>
          <w:rFonts w:hint="eastAsia" w:hAnsi="宋体"/>
          <w:color w:val="auto"/>
          <w:highlight w:val="none"/>
        </w:rPr>
        <w:t>磋商小组按照“第六章评审方法和评审标准”规定的方法、评审因素、标准和程序对响应文件进行评审。</w:t>
      </w:r>
    </w:p>
    <w:p>
      <w:pPr>
        <w:spacing w:line="360" w:lineRule="exact"/>
        <w:ind w:firstLine="422"/>
        <w:rPr>
          <w:rFonts w:ascii="宋体" w:hAnsi="宋体" w:cs="宋体"/>
          <w:color w:val="auto"/>
          <w:highlight w:val="none"/>
        </w:rPr>
      </w:pPr>
      <w:r>
        <w:rPr>
          <w:rFonts w:hint="eastAsia" w:ascii="宋体" w:hAnsi="宋体" w:cs="宋体"/>
          <w:color w:val="auto"/>
          <w:highlight w:val="none"/>
        </w:rPr>
        <w:t>24.2</w:t>
      </w:r>
      <w:r>
        <w:rPr>
          <w:rFonts w:hint="eastAsia" w:ascii="宋体" w:hAnsi="宋体" w:cs="宋体"/>
          <w:bCs/>
          <w:color w:val="auto"/>
          <w:szCs w:val="21"/>
          <w:highlight w:val="none"/>
        </w:rPr>
        <w:t>资格审查</w:t>
      </w:r>
    </w:p>
    <w:p>
      <w:pPr>
        <w:snapToGrid w:val="0"/>
        <w:spacing w:line="360" w:lineRule="exact"/>
        <w:ind w:firstLine="420" w:firstLineChars="200"/>
        <w:rPr>
          <w:rFonts w:ascii="宋体" w:hAnsi="宋体"/>
          <w:bCs/>
          <w:color w:val="auto"/>
          <w:szCs w:val="21"/>
          <w:highlight w:val="none"/>
        </w:rPr>
      </w:pPr>
      <w:r>
        <w:rPr>
          <w:rFonts w:hint="eastAsia" w:ascii="宋体" w:hAnsi="宋体" w:cs="宋体"/>
          <w:color w:val="auto"/>
          <w:szCs w:val="21"/>
          <w:highlight w:val="none"/>
        </w:rPr>
        <w:t>响应文件开启后，磋商小组依法对供应商的资格文件进行审查</w:t>
      </w:r>
      <w:r>
        <w:rPr>
          <w:rFonts w:hint="eastAsia" w:ascii="宋体" w:hAnsi="宋体" w:cs="宋体"/>
          <w:color w:val="auto"/>
          <w:spacing w:val="-2"/>
          <w:szCs w:val="21"/>
          <w:highlight w:val="none"/>
        </w:rPr>
        <w:t>。</w:t>
      </w:r>
      <w:r>
        <w:rPr>
          <w:rFonts w:hint="eastAsia" w:ascii="宋体" w:hAnsi="宋体"/>
          <w:b/>
          <w:bCs/>
          <w:color w:val="auto"/>
          <w:szCs w:val="21"/>
          <w:highlight w:val="none"/>
        </w:rPr>
        <w:t>在资格审查时，如发现下列情形之一的，响应文件将被视为无效：</w:t>
      </w:r>
    </w:p>
    <w:p>
      <w:pPr>
        <w:widowControl/>
        <w:spacing w:line="400" w:lineRule="exact"/>
        <w:ind w:firstLine="422"/>
        <w:jc w:val="left"/>
        <w:rPr>
          <w:rFonts w:ascii="宋体" w:hAnsi="宋体"/>
          <w:bCs/>
          <w:color w:val="auto"/>
          <w:szCs w:val="21"/>
          <w:highlight w:val="none"/>
        </w:rPr>
      </w:pPr>
      <w:r>
        <w:rPr>
          <w:rFonts w:hint="eastAsia" w:ascii="宋体" w:hAnsi="宋体"/>
          <w:bCs/>
          <w:color w:val="auto"/>
          <w:szCs w:val="21"/>
          <w:highlight w:val="none"/>
        </w:rPr>
        <w:t>（1）不具备招标文件中规定的资格要求的；（注：其中信用查询由采购人或磋商小组于资格审查时在“信用中国”网站和“中国政府采购网”对供应商进行信用查询，联合体成员存在不良信用记录的视同联合体存在不良信用记录。）</w:t>
      </w:r>
    </w:p>
    <w:p>
      <w:pPr>
        <w:widowControl/>
        <w:spacing w:line="400" w:lineRule="exact"/>
        <w:ind w:firstLine="422"/>
        <w:jc w:val="left"/>
        <w:rPr>
          <w:rFonts w:ascii="宋体" w:hAnsi="宋体"/>
          <w:bCs/>
          <w:color w:val="auto"/>
          <w:szCs w:val="21"/>
          <w:highlight w:val="none"/>
        </w:rPr>
      </w:pPr>
      <w:r>
        <w:rPr>
          <w:rFonts w:hint="eastAsia" w:ascii="宋体" w:hAnsi="宋体"/>
          <w:bCs/>
          <w:color w:val="auto"/>
          <w:szCs w:val="21"/>
          <w:highlight w:val="none"/>
        </w:rPr>
        <w:t>（2）未提供招标文件中“13.响应文件的组成13.1资格证明文件”要求必须提供的资料的；</w:t>
      </w:r>
    </w:p>
    <w:p>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（3）法律、法规和招标文件规定的其他无效情形。</w:t>
      </w:r>
    </w:p>
    <w:p>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通过资格审查的合格供应商不足</w:t>
      </w:r>
      <w:r>
        <w:rPr>
          <w:rFonts w:ascii="宋体" w:hAnsi="宋体" w:cs="宋体"/>
          <w:color w:val="auto"/>
          <w:szCs w:val="21"/>
          <w:highlight w:val="none"/>
        </w:rPr>
        <w:t>3</w:t>
      </w:r>
      <w:r>
        <w:rPr>
          <w:rFonts w:hint="eastAsia" w:ascii="宋体" w:hAnsi="宋体" w:cs="宋体"/>
          <w:color w:val="auto"/>
          <w:szCs w:val="21"/>
          <w:highlight w:val="none"/>
        </w:rPr>
        <w:t>家的，不得进入符合性审查环节，采购人或者采购代理机构应当重新开展采购活动。</w:t>
      </w:r>
    </w:p>
    <w:p>
      <w:pPr>
        <w:widowControl/>
        <w:spacing w:line="400" w:lineRule="exact"/>
        <w:ind w:firstLine="422"/>
        <w:jc w:val="left"/>
        <w:rPr>
          <w:rFonts w:ascii="宋体" w:hAnsi="宋体"/>
          <w:bCs/>
          <w:color w:val="auto"/>
          <w:szCs w:val="21"/>
          <w:highlight w:val="none"/>
        </w:rPr>
      </w:pPr>
      <w:r>
        <w:rPr>
          <w:rFonts w:hint="eastAsia" w:ascii="宋体" w:hAnsi="宋体"/>
          <w:bCs/>
          <w:color w:val="auto"/>
          <w:szCs w:val="21"/>
          <w:highlight w:val="none"/>
        </w:rPr>
        <w:t>24.3符合性审查</w:t>
      </w:r>
    </w:p>
    <w:p>
      <w:pPr>
        <w:widowControl/>
        <w:spacing w:line="400" w:lineRule="exact"/>
        <w:ind w:firstLine="420" w:firstLineChars="200"/>
        <w:jc w:val="left"/>
        <w:rPr>
          <w:rFonts w:ascii="宋体" w:hAnsi="宋体"/>
          <w:b/>
          <w:bCs/>
          <w:color w:val="auto"/>
          <w:szCs w:val="21"/>
          <w:highlight w:val="none"/>
        </w:rPr>
      </w:pPr>
      <w:r>
        <w:rPr>
          <w:rFonts w:hint="eastAsia" w:ascii="宋体" w:hAnsi="宋体" w:cs="宋体"/>
          <w:color w:val="auto"/>
          <w:szCs w:val="21"/>
          <w:highlight w:val="none"/>
        </w:rPr>
        <w:t>磋商小组依法对供应商的符合性进行审查</w:t>
      </w:r>
      <w:r>
        <w:rPr>
          <w:rFonts w:hint="eastAsia" w:ascii="宋体" w:hAnsi="宋体" w:cs="宋体"/>
          <w:color w:val="auto"/>
          <w:spacing w:val="-2"/>
          <w:szCs w:val="21"/>
          <w:highlight w:val="none"/>
        </w:rPr>
        <w:t>。</w:t>
      </w:r>
      <w:r>
        <w:rPr>
          <w:rFonts w:hint="eastAsia" w:ascii="宋体" w:hAnsi="宋体"/>
          <w:b/>
          <w:bCs/>
          <w:color w:val="auto"/>
          <w:szCs w:val="21"/>
          <w:highlight w:val="none"/>
        </w:rPr>
        <w:t>在符合性审查时，如发现下列情形之一的，响应文件将被视为无效：</w:t>
      </w:r>
    </w:p>
    <w:p>
      <w:pPr>
        <w:widowControl/>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（1）未按照招标文件的规定提交磋商保证金的；</w:t>
      </w:r>
    </w:p>
    <w:p>
      <w:pPr>
        <w:widowControl/>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（2）响应文件未按磋商文件要求签署、盖章的；</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（3）投标代表人未能出具身份证明或与法定代表人授权委托人身份不符的；</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（4）响应文件的实质性内容未使用中文表述、意思表述不明确、前后矛盾或者使用计量单位不符合招标文件要求的（经评标委员会认定并允许其当场更正的笔误除外）</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（5）磋商有效期、服务期或交货期、质保期等商务条款不能满足招标文件要求的；</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（6）未实质性响应招标文件要求或者响应文件有招标方不能接受的附加条件的。</w:t>
      </w:r>
    </w:p>
    <w:p>
      <w:pPr>
        <w:snapToGrid w:val="0"/>
        <w:spacing w:line="440" w:lineRule="exact"/>
        <w:ind w:firstLine="411" w:firstLineChars="196"/>
        <w:rPr>
          <w:rFonts w:ascii="宋体" w:hAnsi="宋体"/>
          <w:bCs/>
          <w:color w:val="auto"/>
          <w:szCs w:val="21"/>
          <w:highlight w:val="none"/>
        </w:rPr>
      </w:pPr>
      <w:r>
        <w:rPr>
          <w:rFonts w:hint="eastAsia" w:ascii="宋体" w:hAnsi="宋体"/>
          <w:color w:val="auto"/>
          <w:szCs w:val="21"/>
          <w:highlight w:val="none"/>
        </w:rPr>
        <w:t>（7）</w:t>
      </w:r>
      <w:r>
        <w:rPr>
          <w:rFonts w:hint="eastAsia" w:ascii="宋体" w:hAnsi="宋体"/>
          <w:bCs/>
          <w:color w:val="auto"/>
          <w:szCs w:val="21"/>
          <w:highlight w:val="none"/>
        </w:rPr>
        <w:t>未提供招标文件中“13.响应文件的组成13.2商务和技术文件”要求必须提供的资料的；</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（8）响应文件标明的响应或偏离与事实不符或虚假竞标的；</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（9）明显不符合</w:t>
      </w:r>
      <w:r>
        <w:rPr>
          <w:rFonts w:hint="eastAsia" w:ascii="宋体" w:hAnsi="宋体"/>
          <w:bCs/>
          <w:color w:val="auto"/>
          <w:szCs w:val="21"/>
          <w:highlight w:val="none"/>
        </w:rPr>
        <w:t>竞争性磋商文件</w:t>
      </w:r>
      <w:r>
        <w:rPr>
          <w:rFonts w:hint="eastAsia" w:ascii="宋体" w:hAnsi="宋体"/>
          <w:color w:val="auto"/>
          <w:szCs w:val="21"/>
          <w:highlight w:val="none"/>
        </w:rPr>
        <w:t>要求的质量标准、采购需求，或者与竞争性磋商文件中标“▲”的技术指标、服务需求发生实质性偏离的；</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（10）技术方案不明确，存在一个或一个以上备选（替代）竞标方案的。</w:t>
      </w:r>
    </w:p>
    <w:p>
      <w:pPr>
        <w:snapToGrid w:val="0"/>
        <w:spacing w:line="440" w:lineRule="exact"/>
        <w:ind w:firstLine="411" w:firstLineChars="196"/>
        <w:rPr>
          <w:rFonts w:ascii="宋体" w:hAnsi="宋体"/>
          <w:bCs/>
          <w:color w:val="auto"/>
          <w:szCs w:val="21"/>
          <w:highlight w:val="none"/>
        </w:rPr>
      </w:pPr>
      <w:r>
        <w:rPr>
          <w:rFonts w:hint="eastAsia" w:ascii="宋体" w:hAnsi="宋体"/>
          <w:color w:val="auto"/>
          <w:szCs w:val="21"/>
          <w:highlight w:val="none"/>
        </w:rPr>
        <w:t>（11）</w:t>
      </w:r>
      <w:r>
        <w:rPr>
          <w:rFonts w:hint="eastAsia" w:ascii="宋体" w:hAnsi="宋体"/>
          <w:bCs/>
          <w:color w:val="auto"/>
          <w:szCs w:val="21"/>
          <w:highlight w:val="none"/>
        </w:rPr>
        <w:t>未提供招标文件中“13.响应文件的组成13.3报价文件”要求必须提供的资料的；</w:t>
      </w:r>
    </w:p>
    <w:p>
      <w:pPr>
        <w:snapToGrid w:val="0"/>
        <w:spacing w:line="440" w:lineRule="exact"/>
        <w:ind w:firstLine="411" w:firstLineChars="196"/>
        <w:rPr>
          <w:rFonts w:ascii="宋体" w:hAnsi="宋体"/>
          <w:bCs/>
          <w:color w:val="auto"/>
          <w:szCs w:val="21"/>
          <w:highlight w:val="none"/>
        </w:rPr>
      </w:pPr>
      <w:r>
        <w:rPr>
          <w:rFonts w:hint="eastAsia" w:ascii="宋体" w:hAnsi="宋体"/>
          <w:bCs/>
          <w:color w:val="auto"/>
          <w:szCs w:val="21"/>
          <w:highlight w:val="none"/>
        </w:rPr>
        <w:t>（12）报价超过招标文件中规定的预算金额或者最高限价的；</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（13）未采用人民币报价或者未按照招标文件标明的币种报价的；</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（14）竞标报价具有选择性，或者开标价格与响应文件承诺的优惠（折扣）价格不一致的；</w:t>
      </w:r>
    </w:p>
    <w:p>
      <w:pPr>
        <w:widowControl/>
        <w:spacing w:line="400" w:lineRule="exact"/>
        <w:ind w:firstLine="420" w:firstLineChars="200"/>
        <w:jc w:val="left"/>
        <w:rPr>
          <w:rFonts w:ascii="宋体" w:hAnsi="宋体"/>
          <w:bCs/>
          <w:color w:val="auto"/>
          <w:szCs w:val="21"/>
          <w:highlight w:val="none"/>
        </w:rPr>
      </w:pPr>
      <w:r>
        <w:rPr>
          <w:rFonts w:hint="eastAsia" w:ascii="宋体" w:hAnsi="宋体"/>
          <w:color w:val="auto"/>
          <w:szCs w:val="21"/>
          <w:highlight w:val="none"/>
        </w:rPr>
        <w:t>（15）法律、法规和招标文件规定的其他无效情形。</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w:t>
      </w:r>
      <w:r>
        <w:rPr>
          <w:rFonts w:ascii="宋体" w:hAnsi="宋体"/>
          <w:color w:val="auto"/>
          <w:szCs w:val="21"/>
          <w:highlight w:val="none"/>
        </w:rPr>
        <w:t>3</w:t>
      </w:r>
      <w:r>
        <w:rPr>
          <w:rFonts w:hint="eastAsia" w:ascii="宋体" w:hAnsi="宋体"/>
          <w:color w:val="auto"/>
          <w:szCs w:val="21"/>
          <w:highlight w:val="none"/>
        </w:rPr>
        <w:t>家的供应商参加磋商。</w:t>
      </w:r>
    </w:p>
    <w:p>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非政府购买服务项目，通过符合性审查的合格供应商不足</w:t>
      </w:r>
      <w:r>
        <w:rPr>
          <w:rFonts w:ascii="宋体" w:hAnsi="宋体"/>
          <w:color w:val="auto"/>
          <w:szCs w:val="21"/>
          <w:highlight w:val="none"/>
        </w:rPr>
        <w:t>3</w:t>
      </w:r>
      <w:r>
        <w:rPr>
          <w:rFonts w:hint="eastAsia" w:ascii="宋体" w:hAnsi="宋体"/>
          <w:color w:val="auto"/>
          <w:szCs w:val="21"/>
          <w:highlight w:val="none"/>
        </w:rPr>
        <w:t>家的，不得进入磋商环节，采购人或者采购代理机构应当重新开展采购活动。政府购买服务项目，按《财政部关于政府采购竞争性磋商采购方式管理暂行办法有关问题的补充通知》（财库〔</w:t>
      </w:r>
      <w:r>
        <w:rPr>
          <w:rFonts w:ascii="宋体" w:hAnsi="宋体"/>
          <w:color w:val="auto"/>
          <w:szCs w:val="21"/>
          <w:highlight w:val="none"/>
        </w:rPr>
        <w:t>2015</w:t>
      </w:r>
      <w:r>
        <w:rPr>
          <w:rFonts w:hint="eastAsia" w:ascii="宋体" w:hAnsi="宋体"/>
          <w:color w:val="auto"/>
          <w:szCs w:val="21"/>
          <w:highlight w:val="none"/>
        </w:rPr>
        <w:t>〕</w:t>
      </w:r>
      <w:r>
        <w:rPr>
          <w:rFonts w:ascii="宋体" w:hAnsi="宋体"/>
          <w:color w:val="auto"/>
          <w:szCs w:val="21"/>
          <w:highlight w:val="none"/>
        </w:rPr>
        <w:t>124</w:t>
      </w:r>
      <w:r>
        <w:rPr>
          <w:rFonts w:hint="eastAsia" w:ascii="宋体" w:hAnsi="宋体"/>
          <w:color w:val="auto"/>
          <w:szCs w:val="21"/>
          <w:highlight w:val="none"/>
        </w:rPr>
        <w:t>号）规定，采购过程中通过符合性审查的供应商（社会资本）只有</w:t>
      </w:r>
      <w:r>
        <w:rPr>
          <w:rFonts w:ascii="宋体" w:hAnsi="宋体"/>
          <w:color w:val="auto"/>
          <w:szCs w:val="21"/>
          <w:highlight w:val="none"/>
        </w:rPr>
        <w:t>2</w:t>
      </w:r>
      <w:r>
        <w:rPr>
          <w:rFonts w:hint="eastAsia" w:ascii="宋体" w:hAnsi="宋体"/>
          <w:color w:val="auto"/>
          <w:szCs w:val="21"/>
          <w:highlight w:val="none"/>
        </w:rPr>
        <w:t>家的，磋商采购活动可以继续进行。</w:t>
      </w:r>
    </w:p>
    <w:p>
      <w:pPr>
        <w:snapToGrid w:val="0"/>
        <w:spacing w:line="360" w:lineRule="exact"/>
        <w:ind w:firstLine="420"/>
        <w:jc w:val="left"/>
        <w:rPr>
          <w:rFonts w:hAnsi="宋体"/>
          <w:b/>
          <w:color w:val="auto"/>
          <w:highlight w:val="none"/>
        </w:rPr>
      </w:pPr>
      <w:r>
        <w:rPr>
          <w:rFonts w:hint="eastAsia" w:hAnsi="宋体"/>
          <w:b/>
          <w:color w:val="auto"/>
          <w:highlight w:val="none"/>
        </w:rPr>
        <w:t>25.磋商程序</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25.1磋商小组按照“供应商须知前附表”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2</w:t>
      </w:r>
      <w:r>
        <w:rPr>
          <w:rFonts w:hint="eastAsia" w:ascii="宋体" w:hAnsi="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3</w:t>
      </w:r>
      <w:r>
        <w:rPr>
          <w:rFonts w:hint="eastAsia" w:ascii="宋体" w:hAnsi="宋体"/>
          <w:color w:val="auto"/>
          <w:szCs w:val="21"/>
          <w:highlight w:val="none"/>
        </w:rPr>
        <w:t>对磋商文件作出的实质性变动是磋商文件的有效组成部分，由磋商小组及时以电子澄清函形式同时通知所有参加磋商的供应商。</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4</w:t>
      </w:r>
      <w:r>
        <w:rPr>
          <w:rFonts w:hint="eastAsia" w:ascii="宋体" w:hAnsi="宋体"/>
          <w:color w:val="auto"/>
          <w:szCs w:val="21"/>
          <w:highlight w:val="none"/>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5</w:t>
      </w:r>
      <w:r>
        <w:rPr>
          <w:rFonts w:hint="eastAsia" w:ascii="宋体" w:hAnsi="宋体"/>
          <w:color w:val="auto"/>
          <w:szCs w:val="21"/>
          <w:highlight w:val="none"/>
        </w:rPr>
        <w:t>磋商中，磋商的任何一方不得透露与磋商有关的其他供应商的技术资料、价格和其他信息。</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6</w:t>
      </w:r>
      <w:r>
        <w:rPr>
          <w:rFonts w:hint="eastAsia" w:ascii="宋体" w:hAnsi="宋体"/>
          <w:color w:val="auto"/>
          <w:szCs w:val="21"/>
          <w:highlight w:val="none"/>
        </w:rPr>
        <w:t>磋商小组应对磋商过程和重要磋商内容进行记录，作为评标报告一部分，磋商小组在记录上签字确认。</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7</w:t>
      </w:r>
      <w:r>
        <w:rPr>
          <w:rFonts w:hint="eastAsia" w:ascii="宋体" w:hAnsi="宋体"/>
          <w:color w:val="auto"/>
          <w:szCs w:val="21"/>
          <w:highlight w:val="none"/>
        </w:rPr>
        <w:t>磋商过程中重新提交的响应文件，供应商可以在开启前补充、修改。</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8</w:t>
      </w:r>
      <w:r>
        <w:rPr>
          <w:rFonts w:hint="eastAsia" w:ascii="宋体" w:hAnsi="宋体"/>
          <w:color w:val="auto"/>
          <w:szCs w:val="21"/>
          <w:highlight w:val="none"/>
        </w:rPr>
        <w:t>对磋商过程提交的响应文件进行有效性、完整性和响应程度审查，通过审查的合格供应商不足</w:t>
      </w:r>
      <w:r>
        <w:rPr>
          <w:rFonts w:ascii="宋体" w:hAnsi="宋体"/>
          <w:color w:val="auto"/>
          <w:szCs w:val="21"/>
          <w:highlight w:val="none"/>
        </w:rPr>
        <w:t>3</w:t>
      </w:r>
      <w:r>
        <w:rPr>
          <w:rFonts w:hint="eastAsia" w:ascii="宋体" w:hAnsi="宋体"/>
          <w:color w:val="auto"/>
          <w:szCs w:val="21"/>
          <w:highlight w:val="none"/>
        </w:rPr>
        <w:t>家的，采购人或者采购代理机构应当重新开展采购活动。</w:t>
      </w:r>
    </w:p>
    <w:p>
      <w:pPr>
        <w:snapToGrid w:val="0"/>
        <w:spacing w:line="440" w:lineRule="exact"/>
        <w:ind w:firstLine="420"/>
        <w:rPr>
          <w:rFonts w:ascii="宋体" w:hAnsi="宋体"/>
          <w:b/>
          <w:color w:val="auto"/>
          <w:szCs w:val="21"/>
          <w:highlight w:val="none"/>
        </w:rPr>
      </w:pPr>
      <w:r>
        <w:rPr>
          <w:rFonts w:hint="eastAsia" w:ascii="宋体" w:hAnsi="宋体"/>
          <w:b/>
          <w:color w:val="auto"/>
          <w:szCs w:val="21"/>
          <w:highlight w:val="none"/>
        </w:rPr>
        <w:t>26.最后报价</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26.1</w:t>
      </w:r>
      <w:r>
        <w:rPr>
          <w:rFonts w:hint="eastAsia" w:ascii="宋体" w:hAnsi="宋体"/>
          <w:color w:val="auto"/>
          <w:szCs w:val="21"/>
          <w:highlight w:val="none"/>
        </w:rPr>
        <w:t>磋商文件能够详细列明采购标的的技术、服务要求的，磋商结束后，由磋商小组要求所有继续参加磋商的供应商在规定时间内密封提交最后报价，除本章第</w:t>
      </w:r>
      <w:r>
        <w:rPr>
          <w:rFonts w:ascii="宋体" w:hAnsi="宋体"/>
          <w:color w:val="auto"/>
          <w:szCs w:val="21"/>
          <w:highlight w:val="none"/>
        </w:rPr>
        <w:t>26.3</w:t>
      </w:r>
      <w:r>
        <w:rPr>
          <w:rFonts w:hint="eastAsia" w:ascii="宋体" w:hAnsi="宋体"/>
          <w:color w:val="auto"/>
          <w:szCs w:val="21"/>
          <w:highlight w:val="none"/>
        </w:rPr>
        <w:t>条</w:t>
      </w:r>
      <w:r>
        <w:rPr>
          <w:rFonts w:hint="eastAsia"/>
          <w:color w:val="auto"/>
          <w:highlight w:val="none"/>
        </w:rPr>
        <w:t>以及</w:t>
      </w:r>
      <w:r>
        <w:rPr>
          <w:rFonts w:hint="eastAsia" w:ascii="宋体" w:hAnsi="宋体"/>
          <w:color w:val="auto"/>
          <w:szCs w:val="21"/>
          <w:highlight w:val="none"/>
        </w:rPr>
        <w:t>《财政部关于政府采购竞争性磋商采购方式管理暂行办法有关问题的补充通知》（财库〔</w:t>
      </w:r>
      <w:r>
        <w:rPr>
          <w:rFonts w:ascii="宋体" w:hAnsi="宋体"/>
          <w:color w:val="auto"/>
          <w:szCs w:val="21"/>
          <w:highlight w:val="none"/>
        </w:rPr>
        <w:t>2015</w:t>
      </w:r>
      <w:r>
        <w:rPr>
          <w:rFonts w:hint="eastAsia" w:ascii="宋体" w:hAnsi="宋体"/>
          <w:color w:val="auto"/>
          <w:szCs w:val="21"/>
          <w:highlight w:val="none"/>
        </w:rPr>
        <w:t>〕</w:t>
      </w:r>
      <w:r>
        <w:rPr>
          <w:rFonts w:ascii="宋体" w:hAnsi="宋体"/>
          <w:color w:val="auto"/>
          <w:szCs w:val="21"/>
          <w:highlight w:val="none"/>
        </w:rPr>
        <w:t>124</w:t>
      </w:r>
      <w:r>
        <w:rPr>
          <w:rFonts w:hint="eastAsia" w:ascii="宋体" w:hAnsi="宋体"/>
          <w:color w:val="auto"/>
          <w:szCs w:val="21"/>
          <w:highlight w:val="none"/>
        </w:rPr>
        <w:t>号）规定外，提交最后报价的供应商不得少于</w:t>
      </w:r>
      <w:r>
        <w:rPr>
          <w:rFonts w:ascii="宋体" w:hAnsi="宋体"/>
          <w:color w:val="auto"/>
          <w:szCs w:val="21"/>
          <w:highlight w:val="none"/>
        </w:rPr>
        <w:t>3</w:t>
      </w:r>
      <w:r>
        <w:rPr>
          <w:rFonts w:hint="eastAsia" w:ascii="宋体" w:hAnsi="宋体"/>
          <w:color w:val="auto"/>
          <w:szCs w:val="21"/>
          <w:highlight w:val="none"/>
        </w:rPr>
        <w:t>家，否则必须重新采购。</w:t>
      </w:r>
      <w:r>
        <w:rPr>
          <w:rFonts w:hint="eastAsia" w:ascii="宋体" w:hAnsi="宋体" w:cs="宋体"/>
          <w:color w:val="auto"/>
          <w:kern w:val="0"/>
          <w:szCs w:val="21"/>
          <w:highlight w:val="none"/>
        </w:rPr>
        <w:t>继续参加磋商的供应商</w:t>
      </w:r>
      <w:r>
        <w:rPr>
          <w:rFonts w:hint="eastAsia" w:ascii="宋体" w:hAnsi="宋体"/>
          <w:color w:val="auto"/>
          <w:szCs w:val="21"/>
          <w:highlight w:val="none"/>
        </w:rPr>
        <w:t>作最后报价</w:t>
      </w:r>
      <w:r>
        <w:rPr>
          <w:rFonts w:hint="eastAsia" w:ascii="宋体" w:hAnsi="宋体"/>
          <w:b/>
          <w:color w:val="auto"/>
          <w:szCs w:val="21"/>
          <w:highlight w:val="none"/>
        </w:rPr>
        <w:t>并附相应的最后报价明细表（报价明细表按第四章要求格式填写），最后报价和相应的最后报价明细表须由其法定代表人或授权代表签字或者加盖电子公章</w:t>
      </w:r>
      <w:r>
        <w:rPr>
          <w:rFonts w:hint="eastAsia" w:ascii="宋体" w:hAnsi="宋体" w:cs="宋体"/>
          <w:b/>
          <w:color w:val="auto"/>
          <w:kern w:val="0"/>
          <w:szCs w:val="21"/>
          <w:highlight w:val="none"/>
        </w:rPr>
        <w:t>后递交</w:t>
      </w:r>
      <w:r>
        <w:rPr>
          <w:rFonts w:hint="eastAsia" w:ascii="宋体" w:hAnsi="宋体"/>
          <w:b/>
          <w:color w:val="auto"/>
          <w:szCs w:val="21"/>
          <w:highlight w:val="none"/>
        </w:rPr>
        <w:t>。</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26.2</w:t>
      </w:r>
      <w:r>
        <w:rPr>
          <w:rFonts w:hint="eastAsia" w:ascii="宋体" w:hAnsi="宋体"/>
          <w:color w:val="auto"/>
          <w:szCs w:val="21"/>
          <w:highlight w:val="none"/>
        </w:rPr>
        <w:t>磋商文件不能详细列明采购标的的技术、服务要求，需经磋商由供应商提供最后设计方案或者解决方案的，磋商结束后，由磋商小组按照少数服从多数的原则投票推荐</w:t>
      </w:r>
      <w:r>
        <w:rPr>
          <w:rFonts w:ascii="宋体" w:hAnsi="宋体"/>
          <w:color w:val="auto"/>
          <w:szCs w:val="21"/>
          <w:highlight w:val="none"/>
        </w:rPr>
        <w:t>3</w:t>
      </w:r>
      <w:r>
        <w:rPr>
          <w:rFonts w:hint="eastAsia" w:ascii="宋体" w:hAnsi="宋体"/>
          <w:color w:val="auto"/>
          <w:szCs w:val="21"/>
          <w:highlight w:val="none"/>
        </w:rPr>
        <w:t>家以上供应商的设计方案或者解决方案，并要求其在规定时间内密封提交最后报价。</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 xml:space="preserve">26.3 </w:t>
      </w:r>
      <w:r>
        <w:rPr>
          <w:rFonts w:hint="eastAsia" w:ascii="宋体" w:hAnsi="宋体"/>
          <w:color w:val="auto"/>
          <w:szCs w:val="21"/>
          <w:highlight w:val="none"/>
        </w:rPr>
        <w:t>最后报价是供应商响应文件的有效组成部分。符合《政府采购竞争性磋商采购方式管理暂行办法》（财库〔</w:t>
      </w:r>
      <w:r>
        <w:rPr>
          <w:rFonts w:ascii="宋体" w:hAnsi="宋体"/>
          <w:color w:val="auto"/>
          <w:szCs w:val="21"/>
          <w:highlight w:val="none"/>
        </w:rPr>
        <w:t>2014</w:t>
      </w:r>
      <w:r>
        <w:rPr>
          <w:rFonts w:hint="eastAsia" w:ascii="宋体" w:hAnsi="宋体"/>
          <w:color w:val="auto"/>
          <w:szCs w:val="21"/>
          <w:highlight w:val="none"/>
        </w:rPr>
        <w:t>〕</w:t>
      </w:r>
      <w:r>
        <w:rPr>
          <w:rFonts w:ascii="宋体" w:hAnsi="宋体"/>
          <w:color w:val="auto"/>
          <w:szCs w:val="21"/>
          <w:highlight w:val="none"/>
        </w:rPr>
        <w:t>214</w:t>
      </w:r>
      <w:r>
        <w:rPr>
          <w:rFonts w:hint="eastAsia" w:ascii="宋体" w:hAnsi="宋体"/>
          <w:color w:val="auto"/>
          <w:szCs w:val="21"/>
          <w:highlight w:val="none"/>
        </w:rPr>
        <w:t>号）第三条第四项“市场竞争不充分的科研项目，以及需要扶持的科技成果转化项目”的，提交最后报价的供应商可以为</w:t>
      </w:r>
      <w:r>
        <w:rPr>
          <w:rFonts w:ascii="宋体" w:hAnsi="宋体"/>
          <w:color w:val="auto"/>
          <w:szCs w:val="21"/>
          <w:highlight w:val="none"/>
        </w:rPr>
        <w:t>2</w:t>
      </w:r>
      <w:r>
        <w:rPr>
          <w:rFonts w:hint="eastAsia" w:ascii="宋体" w:hAnsi="宋体"/>
          <w:color w:val="auto"/>
          <w:szCs w:val="21"/>
          <w:highlight w:val="none"/>
        </w:rPr>
        <w:t>家。</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26.4</w:t>
      </w:r>
      <w:r>
        <w:rPr>
          <w:rFonts w:hint="eastAsia" w:ascii="宋体" w:hAnsi="宋体"/>
          <w:color w:val="auto"/>
          <w:szCs w:val="21"/>
          <w:highlight w:val="none"/>
        </w:rPr>
        <w:t>已经提交响应文件的供应商，在提交最后报价之前，可以根据磋商情况退出磋商，退出磋商的供应商的响应文件按无效响应处理。</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26.5</w:t>
      </w:r>
      <w:r>
        <w:rPr>
          <w:rFonts w:hint="eastAsia" w:ascii="宋体" w:hAnsi="宋体"/>
          <w:color w:val="auto"/>
          <w:szCs w:val="21"/>
          <w:highlight w:val="none"/>
        </w:rPr>
        <w:t>供应商未在规定时间内提交最后报价的，视同退出磋商。</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26.6</w:t>
      </w:r>
      <w:r>
        <w:rPr>
          <w:rFonts w:hint="eastAsia" w:ascii="宋体" w:hAnsi="宋体"/>
          <w:color w:val="auto"/>
          <w:szCs w:val="21"/>
          <w:highlight w:val="none"/>
        </w:rPr>
        <w:t>磋商小组收齐项目或某一分标最后报价后统一开启，磋商小组对最后报价进行有效性、完整性和响应程度的审查。</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26.7</w:t>
      </w:r>
      <w:r>
        <w:rPr>
          <w:rFonts w:hint="eastAsia" w:ascii="宋体" w:hAnsi="宋体"/>
          <w:color w:val="auto"/>
          <w:szCs w:val="21"/>
          <w:highlight w:val="none"/>
        </w:rPr>
        <w:t>最终响应文件的报价出现前后不一致的，按照本章第29.1条的规定修正。</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26.8</w:t>
      </w:r>
      <w:r>
        <w:rPr>
          <w:rFonts w:hint="eastAsia" w:ascii="宋体" w:hAnsi="宋体"/>
          <w:color w:val="auto"/>
          <w:szCs w:val="21"/>
          <w:highlight w:val="none"/>
        </w:rPr>
        <w:t>修正后的最终报价出现下列情形的，按无效响应处理：</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）供应商不确认的（全流程电子化评标采取在线确认）；</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）经供应商确认修正后的响应报价（包含首次报价、最后报价）超过所竞标分标规定的采购预算金额或者最高限价的（如本项目公布了最高限价）；</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）经供应商确认修正后的响应报价（包含首次报价、最后报价）超过分项采购预算金额或者最高限价的（如本项目公布了最高限价）。</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26.9</w:t>
      </w:r>
      <w:r>
        <w:rPr>
          <w:rFonts w:hint="eastAsia" w:ascii="宋体" w:hAnsi="宋体"/>
          <w:color w:val="auto"/>
          <w:szCs w:val="21"/>
          <w:highlight w:val="none"/>
        </w:rPr>
        <w:t>经供应商确认修正后的最后报价作为评审及签订合同的依据。</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26.10</w:t>
      </w:r>
      <w:r>
        <w:rPr>
          <w:rFonts w:hint="eastAsia" w:ascii="宋体" w:hAnsi="宋体"/>
          <w:color w:val="auto"/>
          <w:szCs w:val="21"/>
          <w:highlight w:val="none"/>
        </w:rPr>
        <w:t>供应商出现最后报价按无效响应处理或者响应文件按无效处理时，磋商小组应当告知有关供应商。</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26.11</w:t>
      </w:r>
      <w:r>
        <w:rPr>
          <w:rFonts w:hint="eastAsia" w:ascii="宋体" w:hAnsi="宋体"/>
          <w:color w:val="auto"/>
          <w:szCs w:val="21"/>
          <w:highlight w:val="none"/>
        </w:rPr>
        <w:t>最后报价结束后，磋商小组不得再与供应商进行任何形式的商谈。</w:t>
      </w:r>
    </w:p>
    <w:p>
      <w:pPr>
        <w:snapToGrid w:val="0"/>
        <w:spacing w:line="440" w:lineRule="exact"/>
        <w:ind w:firstLine="420"/>
        <w:rPr>
          <w:rFonts w:ascii="宋体" w:hAnsi="宋体"/>
          <w:b/>
          <w:color w:val="auto"/>
          <w:szCs w:val="21"/>
          <w:highlight w:val="none"/>
        </w:rPr>
      </w:pPr>
      <w:r>
        <w:rPr>
          <w:rFonts w:hint="eastAsia" w:ascii="宋体" w:hAnsi="宋体"/>
          <w:b/>
          <w:color w:val="auto"/>
          <w:szCs w:val="21"/>
          <w:highlight w:val="none"/>
        </w:rPr>
        <w:t>27.比较与评价</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27.1</w:t>
      </w:r>
      <w:r>
        <w:rPr>
          <w:rFonts w:hint="eastAsia" w:ascii="宋体" w:hAnsi="宋体"/>
          <w:color w:val="auto"/>
          <w:szCs w:val="21"/>
          <w:highlight w:val="none"/>
        </w:rPr>
        <w:t>评审方法：综合评分法。</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27.2</w:t>
      </w:r>
      <w:r>
        <w:rPr>
          <w:rFonts w:hint="eastAsia" w:ascii="宋体" w:hAnsi="宋体"/>
          <w:color w:val="auto"/>
          <w:szCs w:val="21"/>
          <w:highlight w:val="none"/>
        </w:rPr>
        <w:t>经磋商确定最终采购需求和提交最后报价的供应商后，由磋商小组采用综合评分法对提交最后报价的供应商的响应文件和最后报价进行综合评分。</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27.3</w:t>
      </w:r>
      <w:r>
        <w:rPr>
          <w:rFonts w:hint="eastAsia" w:ascii="宋体" w:hAnsi="宋体"/>
          <w:color w:val="auto"/>
          <w:szCs w:val="21"/>
          <w:highlight w:val="none"/>
        </w:rPr>
        <w:t>评审时，磋商小组各成员应当独立对每个有效响应的文件进行评价、打分，然后汇总每个供应商每项评分因素的得分。</w:t>
      </w:r>
    </w:p>
    <w:p>
      <w:pPr>
        <w:snapToGrid w:val="0"/>
        <w:spacing w:line="440" w:lineRule="exact"/>
        <w:ind w:firstLine="210" w:firstLineChars="1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）磋商小组按照磋商文件中规定的评审标准计算各供应商的报价得分。项目评审过程中，不得去掉最后报价中的最高报价和最低报价。</w:t>
      </w:r>
    </w:p>
    <w:p>
      <w:pPr>
        <w:snapToGrid w:val="0"/>
        <w:spacing w:line="440" w:lineRule="exact"/>
        <w:ind w:firstLine="210" w:firstLineChars="1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）各供应商的得分为磋商小组所有成员的有效评分的算术平均数。</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27.4</w:t>
      </w:r>
      <w:r>
        <w:rPr>
          <w:rFonts w:hint="eastAsia" w:ascii="宋体" w:hAnsi="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27.5</w:t>
      </w:r>
      <w:r>
        <w:rPr>
          <w:rFonts w:hint="eastAsia" w:ascii="宋体" w:hAnsi="宋体"/>
          <w:color w:val="auto"/>
          <w:szCs w:val="21"/>
          <w:highlight w:val="none"/>
        </w:rPr>
        <w:t>由磋商小组根据综合评分情况，按照评审得分由高到低顺序推荐</w:t>
      </w:r>
      <w:r>
        <w:rPr>
          <w:rFonts w:ascii="宋体" w:hAnsi="宋体"/>
          <w:color w:val="auto"/>
          <w:szCs w:val="21"/>
          <w:highlight w:val="none"/>
        </w:rPr>
        <w:t>3</w:t>
      </w:r>
      <w:r>
        <w:rPr>
          <w:rFonts w:hint="eastAsia" w:ascii="宋体" w:hAnsi="宋体"/>
          <w:color w:val="auto"/>
          <w:szCs w:val="21"/>
          <w:highlight w:val="none"/>
        </w:rPr>
        <w:t>名以上成交候选供应商，并编写评审报告。符合本章第26</w:t>
      </w:r>
      <w:r>
        <w:rPr>
          <w:rFonts w:ascii="宋体" w:hAnsi="宋体"/>
          <w:color w:val="auto"/>
          <w:szCs w:val="21"/>
          <w:highlight w:val="none"/>
        </w:rPr>
        <w:t>.3</w:t>
      </w:r>
      <w:r>
        <w:rPr>
          <w:rFonts w:hint="eastAsia" w:ascii="宋体" w:hAnsi="宋体"/>
          <w:color w:val="auto"/>
          <w:szCs w:val="21"/>
          <w:highlight w:val="none"/>
        </w:rPr>
        <w:t>条情形的，可以推荐</w:t>
      </w:r>
      <w:r>
        <w:rPr>
          <w:rFonts w:ascii="宋体" w:hAnsi="宋体"/>
          <w:color w:val="auto"/>
          <w:szCs w:val="21"/>
          <w:highlight w:val="none"/>
        </w:rPr>
        <w:t>2</w:t>
      </w:r>
      <w:r>
        <w:rPr>
          <w:rFonts w:hint="eastAsia" w:ascii="宋体" w:hAnsi="宋体"/>
          <w:color w:val="auto"/>
          <w:szCs w:val="21"/>
          <w:highlight w:val="none"/>
        </w:rPr>
        <w:t>家成交候选供应商。评审得分相同的，按照最后报价由低到高的顺序推荐。评审得分且最后报价相同的，按照技术指标优劣顺序推荐。</w:t>
      </w:r>
    </w:p>
    <w:p>
      <w:pPr>
        <w:snapToGrid w:val="0"/>
        <w:spacing w:line="440" w:lineRule="exact"/>
        <w:ind w:firstLine="422"/>
        <w:rPr>
          <w:rFonts w:ascii="宋体" w:hAnsi="宋体"/>
          <w:color w:val="auto"/>
          <w:szCs w:val="21"/>
          <w:highlight w:val="none"/>
        </w:rPr>
      </w:pPr>
      <w:r>
        <w:rPr>
          <w:rFonts w:ascii="宋体" w:hAnsi="宋体"/>
          <w:color w:val="auto"/>
          <w:szCs w:val="21"/>
          <w:highlight w:val="none"/>
        </w:rPr>
        <w:t>27.6</w:t>
      </w:r>
      <w:r>
        <w:rPr>
          <w:rFonts w:hint="eastAsia" w:ascii="宋体" w:hAnsi="宋体"/>
          <w:color w:val="auto"/>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napToGrid w:val="0"/>
        <w:spacing w:line="440" w:lineRule="exact"/>
        <w:ind w:firstLine="420"/>
        <w:rPr>
          <w:rFonts w:ascii="宋体" w:hAnsi="宋体"/>
          <w:b/>
          <w:color w:val="auto"/>
          <w:szCs w:val="21"/>
          <w:highlight w:val="none"/>
        </w:rPr>
      </w:pPr>
      <w:r>
        <w:rPr>
          <w:rFonts w:hint="eastAsia" w:ascii="宋体" w:hAnsi="宋体"/>
          <w:b/>
          <w:color w:val="auto"/>
          <w:szCs w:val="21"/>
          <w:highlight w:val="none"/>
        </w:rPr>
        <w:t>28.澄清问题的形式</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28.1对于响应文件中含义不明确、同类问题表述不一致或者有明显文字和计算错误的内容，评标委员会应在广西政府采购云平台发布电子澄清函，要求供应商在规定时间内作出必要的澄清、说明或者补正。供应商在广西政府采购云平台接收到电子澄清函后根据澄清函内容上传PDF格式回函，电子澄清答复函使用CA证书加盖单位公章后在线上传至评标委员会。供应商的澄清、说明或者补正不得超出响应文件的范围或者改变响应文件的实质性内容。供应商未在规定时间内进行澄清、说明或者补正的，按无效竞标处理。</w:t>
      </w:r>
    </w:p>
    <w:p>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28.2异常情况处理：如遇无法正常使用线上发送澄清函的情况，将启动书面形式办理。启动书面形式办理的情况下，评标委员会以书面形式要求供应商在规定时间内作出必要的澄清、说明或者补正。供应商的澄清、说明或者补正必须采用书面形式，并加盖公章，或者由法定代表人或者其授权的代表签字。</w:t>
      </w:r>
    </w:p>
    <w:p>
      <w:pPr>
        <w:widowControl/>
        <w:tabs>
          <w:tab w:val="left" w:pos="540"/>
        </w:tabs>
        <w:spacing w:line="440" w:lineRule="exact"/>
        <w:ind w:firstLine="420"/>
        <w:jc w:val="left"/>
        <w:rPr>
          <w:rFonts w:ascii="宋体" w:hAnsi="宋体"/>
          <w:b/>
          <w:color w:val="auto"/>
          <w:szCs w:val="21"/>
          <w:highlight w:val="none"/>
        </w:rPr>
      </w:pPr>
      <w:r>
        <w:rPr>
          <w:rFonts w:hint="eastAsia" w:ascii="宋体" w:hAnsi="宋体"/>
          <w:b/>
          <w:color w:val="auto"/>
          <w:szCs w:val="21"/>
          <w:highlight w:val="none"/>
        </w:rPr>
        <w:t>29.错误修正</w:t>
      </w:r>
    </w:p>
    <w:p>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29.1竞争性磋商响应文件如果出现计算或表达上的错误，修正错误的原则如下：</w:t>
      </w:r>
    </w:p>
    <w:p>
      <w:pPr>
        <w:widowControl/>
        <w:spacing w:line="4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（1）响应文件中开标一览表（报价表）内容与响应文件中相应内容不一致的，以开标一览表（报价表）为准；</w:t>
      </w:r>
    </w:p>
    <w:p>
      <w:pPr>
        <w:widowControl/>
        <w:spacing w:line="4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（2）大写金额和小写金额不一致的，以大写金额为准；</w:t>
      </w:r>
    </w:p>
    <w:p>
      <w:pPr>
        <w:widowControl/>
        <w:spacing w:line="4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（3）单价金额小数点或者百分比有明显错位的，以开标一览表的总价为准，并修改单价；</w:t>
      </w:r>
    </w:p>
    <w:p>
      <w:pPr>
        <w:widowControl/>
        <w:spacing w:line="4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（4）总价金额与按单价汇总金额不一致的，以单价金额计算结果为准。</w:t>
      </w:r>
    </w:p>
    <w:p>
      <w:pPr>
        <w:widowControl/>
        <w:spacing w:line="400" w:lineRule="exact"/>
        <w:ind w:firstLine="211" w:firstLineChars="100"/>
        <w:jc w:val="left"/>
        <w:rPr>
          <w:rFonts w:ascii="宋体" w:hAnsi="宋体"/>
          <w:b/>
          <w:color w:val="auto"/>
          <w:szCs w:val="21"/>
          <w:highlight w:val="none"/>
        </w:rPr>
      </w:pPr>
      <w:r>
        <w:rPr>
          <w:rFonts w:hint="eastAsia" w:hAnsi="宋体"/>
          <w:b/>
          <w:color w:val="auto"/>
          <w:highlight w:val="none"/>
        </w:rPr>
        <w:t>同时出现两种以上不一致的，按照前款规定的顺序修正。修正后的报价经供应商确认并加盖公章或者由法定代表人或其授权的代表签字后产生约束力，供应商不确认的，其竞标无效。</w:t>
      </w:r>
    </w:p>
    <w:p>
      <w:pPr>
        <w:widowControl/>
        <w:tabs>
          <w:tab w:val="left" w:pos="540"/>
        </w:tabs>
        <w:spacing w:line="380" w:lineRule="exac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29.2经供应商确认修正后的首次及最后报价若超过采购预算金额，供应商的响应文件作无效处理。</w:t>
      </w:r>
    </w:p>
    <w:p>
      <w:pPr>
        <w:widowControl/>
        <w:tabs>
          <w:tab w:val="left" w:pos="540"/>
        </w:tabs>
        <w:spacing w:line="380" w:lineRule="exac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29.3经供应商确认修正后的最后报价作为评审及签订合同的依据。</w:t>
      </w:r>
    </w:p>
    <w:p>
      <w:pPr>
        <w:widowControl/>
        <w:spacing w:line="400" w:lineRule="exact"/>
        <w:ind w:firstLine="420"/>
        <w:jc w:val="left"/>
        <w:rPr>
          <w:rFonts w:ascii="宋体" w:hAnsi="宋体" w:cs="Courier New"/>
          <w:b/>
          <w:color w:val="auto"/>
          <w:szCs w:val="21"/>
          <w:highlight w:val="none"/>
        </w:rPr>
      </w:pPr>
      <w:r>
        <w:rPr>
          <w:rFonts w:hint="eastAsia" w:ascii="宋体" w:hAnsi="宋体" w:cs="Courier New"/>
          <w:b/>
          <w:color w:val="auto"/>
          <w:szCs w:val="21"/>
          <w:highlight w:val="none"/>
        </w:rPr>
        <w:t>30.电子交易活动的中止</w:t>
      </w:r>
    </w:p>
    <w:p>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30.1采购过程中出现以下情形，导致电子交易平台无法正常运行，或者无法保证电子交易的公平、公正和安全时，采购机构可中止电子交易活动：</w:t>
      </w:r>
    </w:p>
    <w:p>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1</w:t>
      </w:r>
      <w:r>
        <w:rPr>
          <w:rFonts w:hint="eastAsia" w:ascii="宋体" w:hAnsi="宋体" w:cs="Courier New"/>
          <w:color w:val="auto"/>
          <w:szCs w:val="21"/>
          <w:highlight w:val="none"/>
        </w:rPr>
        <w:t>）电子交易平台发生故障而无法登录访问的；</w:t>
      </w:r>
    </w:p>
    <w:p>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2</w:t>
      </w:r>
      <w:r>
        <w:rPr>
          <w:rFonts w:hint="eastAsia" w:ascii="宋体" w:hAnsi="宋体" w:cs="Courier New"/>
          <w:color w:val="auto"/>
          <w:szCs w:val="21"/>
          <w:highlight w:val="none"/>
        </w:rPr>
        <w:t>）电子交易平台应用或数据库出现错误，不能进行正常操作的；</w:t>
      </w:r>
    </w:p>
    <w:p>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3</w:t>
      </w:r>
      <w:r>
        <w:rPr>
          <w:rFonts w:hint="eastAsia" w:ascii="宋体" w:hAnsi="宋体" w:cs="Courier New"/>
          <w:color w:val="auto"/>
          <w:szCs w:val="21"/>
          <w:highlight w:val="none"/>
        </w:rPr>
        <w:t>）电子交易平台发现严重安全漏洞，有潜在泄密危险的；</w:t>
      </w:r>
    </w:p>
    <w:p>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4</w:t>
      </w:r>
      <w:r>
        <w:rPr>
          <w:rFonts w:hint="eastAsia" w:ascii="宋体" w:hAnsi="宋体" w:cs="Courier New"/>
          <w:color w:val="auto"/>
          <w:szCs w:val="21"/>
          <w:highlight w:val="none"/>
        </w:rPr>
        <w:t>）病毒发作导致不能进行正常操作的；</w:t>
      </w:r>
    </w:p>
    <w:p>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4</w:t>
      </w:r>
      <w:r>
        <w:rPr>
          <w:rFonts w:hint="eastAsia" w:ascii="宋体" w:hAnsi="宋体" w:cs="Courier New"/>
          <w:color w:val="auto"/>
          <w:szCs w:val="21"/>
          <w:highlight w:val="none"/>
        </w:rPr>
        <w:t>）其他无法保证电子交易的公平、公正和安全的情况。</w:t>
      </w:r>
    </w:p>
    <w:p>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30.2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pPr>
        <w:widowControl/>
        <w:tabs>
          <w:tab w:val="left" w:pos="540"/>
        </w:tabs>
        <w:spacing w:line="440" w:lineRule="exact"/>
        <w:ind w:firstLine="420"/>
        <w:jc w:val="left"/>
        <w:rPr>
          <w:rFonts w:ascii="宋体" w:hAnsi="宋体"/>
          <w:b/>
          <w:color w:val="auto"/>
          <w:szCs w:val="21"/>
          <w:highlight w:val="none"/>
        </w:rPr>
      </w:pPr>
      <w:r>
        <w:rPr>
          <w:rFonts w:hint="eastAsia" w:ascii="宋体" w:hAnsi="宋体"/>
          <w:b/>
          <w:color w:val="auto"/>
          <w:szCs w:val="21"/>
          <w:highlight w:val="none"/>
        </w:rPr>
        <w:t>31.评委表决</w:t>
      </w:r>
    </w:p>
    <w:p>
      <w:pPr>
        <w:widowControl/>
        <w:tabs>
          <w:tab w:val="left" w:pos="540"/>
        </w:tabs>
        <w:spacing w:line="440" w:lineRule="exact"/>
        <w:ind w:firstLine="422"/>
        <w:jc w:val="left"/>
        <w:rPr>
          <w:rFonts w:ascii="宋体" w:hAnsi="宋体"/>
          <w:color w:val="auto"/>
          <w:szCs w:val="21"/>
          <w:highlight w:val="none"/>
        </w:rPr>
      </w:pPr>
      <w:r>
        <w:rPr>
          <w:rFonts w:hint="eastAsia" w:ascii="宋体" w:hAnsi="宋体"/>
          <w:color w:val="auto"/>
          <w:szCs w:val="21"/>
          <w:highlight w:val="none"/>
        </w:rPr>
        <w:t>31.1在评标过程中出现法律法规和竞争性磋商文件均没有明确规定的情形时，由磋商小组现场协商解决，协商不一致的，由全体评委投票表决，以得票率二分之一以上专家的意见为准。</w:t>
      </w:r>
    </w:p>
    <w:p>
      <w:pPr>
        <w:widowControl/>
        <w:tabs>
          <w:tab w:val="left" w:pos="540"/>
        </w:tabs>
        <w:spacing w:line="440" w:lineRule="exact"/>
        <w:ind w:firstLine="420"/>
        <w:jc w:val="left"/>
        <w:rPr>
          <w:rFonts w:ascii="宋体" w:hAnsi="宋体"/>
          <w:b/>
          <w:color w:val="auto"/>
          <w:szCs w:val="21"/>
          <w:highlight w:val="none"/>
        </w:rPr>
      </w:pPr>
      <w:r>
        <w:rPr>
          <w:rFonts w:hint="eastAsia" w:ascii="宋体" w:hAnsi="宋体"/>
          <w:b/>
          <w:color w:val="auto"/>
          <w:szCs w:val="21"/>
          <w:highlight w:val="none"/>
        </w:rPr>
        <w:t>32.评审过程的监控</w:t>
      </w:r>
    </w:p>
    <w:p>
      <w:pPr>
        <w:widowControl/>
        <w:tabs>
          <w:tab w:val="left" w:pos="540"/>
        </w:tabs>
        <w:spacing w:line="440" w:lineRule="exact"/>
        <w:ind w:firstLine="422"/>
        <w:jc w:val="left"/>
        <w:rPr>
          <w:rFonts w:ascii="宋体" w:hAnsi="宋体"/>
          <w:color w:val="auto"/>
          <w:szCs w:val="21"/>
          <w:highlight w:val="none"/>
        </w:rPr>
      </w:pPr>
      <w:r>
        <w:rPr>
          <w:rFonts w:hint="eastAsia" w:hAnsi="宋体"/>
          <w:color w:val="auto"/>
          <w:highlight w:val="none"/>
        </w:rPr>
        <w:t>32.1本项目电子评标过程实行网上留痕、全程录音、录像监控，</w:t>
      </w:r>
      <w:r>
        <w:rPr>
          <w:rFonts w:hint="eastAsia" w:hAnsi="宋体" w:cs="宋体"/>
          <w:color w:val="auto"/>
          <w:highlight w:val="none"/>
        </w:rPr>
        <w:t>，供应商在评审过程中所进行的试图影响评审结果的不公正活动，可能导致其竞争性磋商被拒绝。</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五、成交及合同</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33.确定成交供应商</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33.1 </w:t>
      </w:r>
      <w:r>
        <w:rPr>
          <w:rFonts w:hint="eastAsia" w:ascii="宋体" w:hAnsi="宋体" w:cs="宋体"/>
          <w:color w:val="auto"/>
          <w:kern w:val="0"/>
          <w:szCs w:val="21"/>
          <w:highlight w:val="none"/>
        </w:rPr>
        <w:t>根据以下原则确定成交供应商：</w:t>
      </w:r>
      <w:r>
        <w:rPr>
          <w:rFonts w:hint="eastAsia" w:hAnsi="宋体" w:cs="宋体"/>
          <w:color w:val="auto"/>
          <w:kern w:val="0"/>
          <w:highlight w:val="none"/>
        </w:rPr>
        <w:t>响应文件满足磋商文件全部实质性要求且按评审因素的量化指标评审得分最高的供应商为成交供应商。</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33.2采购代理机构将在评标结束后两个工作日内将评标报告送采购人，采购人在五个工作日内按照评标报告中推荐的成交候选人顺序确定成交人。采购人也可以事先授权磋商小组直接确定成交人。</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33.3成交供应商确定后二个工作日内，</w:t>
      </w:r>
      <w:r>
        <w:rPr>
          <w:rFonts w:hint="eastAsia" w:hAnsi="宋体"/>
          <w:color w:val="auto"/>
          <w:highlight w:val="none"/>
        </w:rPr>
        <w:t>采购代理机构或采购人</w:t>
      </w:r>
      <w:r>
        <w:rPr>
          <w:rFonts w:hint="eastAsia" w:cs="宋体"/>
          <w:color w:val="auto"/>
          <w:kern w:val="0"/>
          <w:highlight w:val="none"/>
        </w:rPr>
        <w:t>应当对成交人信用进行核实</w:t>
      </w:r>
      <w:r>
        <w:rPr>
          <w:rFonts w:hint="eastAsia" w:hAnsi="宋体"/>
          <w:color w:val="auto"/>
          <w:highlight w:val="none"/>
        </w:rPr>
        <w:t>，如其未被列入失信被执行人、重大税收违法案件当事人名单、政府采购严重违法失信行为记录名单，则采购代理机构在公告发布媒体中标公告；如其被列入失信被执行人、重大税收违法案件当事人名单、政府采购严重违法失信行为记录名单，则取消其中标资格，</w:t>
      </w:r>
      <w:r>
        <w:rPr>
          <w:rFonts w:hint="eastAsia"/>
          <w:color w:val="auto"/>
          <w:spacing w:val="-3"/>
          <w:highlight w:val="none"/>
        </w:rPr>
        <w:t>并确定排名第二的中标候选人为中标人。排名第二的中标候选人因前款规定的同样原因被取消中标资格的，采购人可以确定排名第三的中标候选人为中标人。以上信息查询记录</w:t>
      </w:r>
      <w:r>
        <w:rPr>
          <w:rFonts w:hint="eastAsia"/>
          <w:color w:val="auto"/>
          <w:highlight w:val="none"/>
        </w:rPr>
        <w:t>及相关证据与采购文件一并保存。</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33.4</w:t>
      </w:r>
      <w:r>
        <w:rPr>
          <w:rFonts w:hint="eastAsia" w:hAnsi="宋体"/>
          <w:color w:val="auto"/>
          <w:highlight w:val="none"/>
        </w:rPr>
        <w:t>在发布成交公告的同时，采购代理机构向成交供应商</w:t>
      </w:r>
      <w:r>
        <w:rPr>
          <w:rFonts w:hint="eastAsia" w:cs="宋体"/>
          <w:color w:val="auto"/>
          <w:kern w:val="0"/>
          <w:highlight w:val="none"/>
        </w:rPr>
        <w:t>通过广西政府采购云平台发出电子</w:t>
      </w:r>
      <w:r>
        <w:rPr>
          <w:rFonts w:hint="eastAsia" w:hAnsi="宋体"/>
          <w:color w:val="auto"/>
          <w:highlight w:val="none"/>
        </w:rPr>
        <w:t>成交通知书。</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33.5供应商认为竞争性磋商采购文件、招标过程和成交结果使自己的权益受到损害的，可以在知道或者应知其权益受到损害之日起七个工作日内，以书面形式向招标采购人提出质疑，并及时索要书面回执。</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33.6采购代理机构应当按照有关规定就采购人委托授权范围内的事项在收到供应商的书面质疑后七个工作日内做出答复，但答复的内容不得涉及商业秘密。</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34.签订合同</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34.1成交供应商应在成交通知书发出之日起十日内，按磋商文件确定的合同文本及采购标的、规格型号、采购金额、采购数量、技术和服务要求等事项与采购人签订政府采购合同。如成交供应商为联合体的，由联合体成员各方法定代表人或其授权代表与采购人代表签订合同。</w:t>
      </w:r>
      <w:r>
        <w:rPr>
          <w:rFonts w:hint="eastAsia" w:cs="宋体"/>
          <w:color w:val="auto"/>
          <w:kern w:val="0"/>
          <w:highlight w:val="none"/>
        </w:rPr>
        <w:t>电子采购合同需要供应商通过有效</w:t>
      </w:r>
      <w:r>
        <w:rPr>
          <w:rFonts w:cs="宋体"/>
          <w:color w:val="auto"/>
          <w:kern w:val="0"/>
          <w:highlight w:val="none"/>
        </w:rPr>
        <w:t>CA</w:t>
      </w:r>
      <w:r>
        <w:rPr>
          <w:rFonts w:hint="eastAsia" w:cs="宋体"/>
          <w:color w:val="auto"/>
          <w:kern w:val="0"/>
          <w:highlight w:val="none"/>
        </w:rPr>
        <w:t>证书进行电子签名与签章。</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34.2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34.3如成交人不按成交通知书的规定签订合同，则按成交人违约处理，采购代理机构将没收成交人投标的全部磋商保证金并上缴同级财政国库。</w:t>
      </w:r>
    </w:p>
    <w:p>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34.4成交人拒绝签订政府采购合同或者因不可抗力或自身原因不能履行采购合同的，采购人可以按照评审报告推荐的成交候选人名单排序，确定下一候选人为成交供应商，也可以重新开展采购活动。拒绝签订政府采购合同的成交供应商不得参加对该项目重新开展的采购活动。</w:t>
      </w:r>
    </w:p>
    <w:p>
      <w:pPr>
        <w:spacing w:line="360" w:lineRule="exact"/>
        <w:ind w:firstLine="422"/>
        <w:rPr>
          <w:rFonts w:hAnsi="宋体"/>
          <w:color w:val="auto"/>
          <w:highlight w:val="none"/>
        </w:rPr>
      </w:pPr>
      <w:r>
        <w:rPr>
          <w:rFonts w:hint="eastAsia" w:ascii="宋体" w:hAnsi="宋体" w:cs="宋体"/>
          <w:color w:val="auto"/>
          <w:szCs w:val="21"/>
          <w:highlight w:val="none"/>
        </w:rPr>
        <w:t>34.5政府采</w:t>
      </w:r>
      <w:r>
        <w:rPr>
          <w:rFonts w:hint="eastAsia" w:hAnsi="宋体"/>
          <w:color w:val="auto"/>
          <w:highlight w:val="none"/>
        </w:rPr>
        <w:t>购合同公告：采购人或者受托采购代理机构应当自政府采购合同签订之日起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个工作日内，将政府采购合同在“广西政府采购网”（</w:t>
      </w:r>
      <w:r>
        <w:rPr>
          <w:rFonts w:hAnsi="宋体"/>
          <w:color w:val="auto"/>
          <w:highlight w:val="none"/>
        </w:rPr>
        <w:t>http://zfcg.gxzf.gov.cn</w:t>
      </w:r>
      <w:r>
        <w:rPr>
          <w:rFonts w:hint="eastAsia" w:hAnsi="宋体"/>
          <w:color w:val="auto"/>
          <w:highlight w:val="none"/>
        </w:rPr>
        <w:t>）上发布公告，但政府采购合同中涉及国家秘密、商业秘密的内容除外。因此请各供应商应在响应文件中注明投标内容中涉及商业秘密的部分，未注明的视为响应文件中不涉及商业秘密。</w:t>
      </w:r>
    </w:p>
    <w:p>
      <w:pPr>
        <w:pStyle w:val="27"/>
        <w:ind w:firstLine="422"/>
        <w:rPr>
          <w:color w:val="auto"/>
          <w:highlight w:val="none"/>
        </w:rPr>
      </w:pPr>
      <w:r>
        <w:rPr>
          <w:rFonts w:hint="eastAsia"/>
          <w:color w:val="auto"/>
          <w:highlight w:val="none"/>
        </w:rPr>
        <w:t>34.6履约保证金</w:t>
      </w:r>
    </w:p>
    <w:p>
      <w:pPr>
        <w:snapToGrid w:val="0"/>
        <w:spacing w:line="360" w:lineRule="exact"/>
        <w:ind w:firstLine="422"/>
        <w:jc w:val="left"/>
        <w:rPr>
          <w:rFonts w:ascii="宋体" w:hAnsi="宋体"/>
          <w:color w:val="auto"/>
          <w:kern w:val="0"/>
          <w:szCs w:val="21"/>
          <w:highlight w:val="none"/>
        </w:rPr>
      </w:pPr>
      <w:r>
        <w:rPr>
          <w:rFonts w:hint="eastAsia" w:ascii="宋体" w:hAnsi="宋体"/>
          <w:color w:val="auto"/>
          <w:kern w:val="0"/>
          <w:szCs w:val="21"/>
          <w:highlight w:val="none"/>
        </w:rPr>
        <w:t>34.6.1履约保证金金额：详见</w:t>
      </w:r>
      <w:r>
        <w:rPr>
          <w:rFonts w:hint="eastAsia" w:ascii="宋体" w:hAnsi="宋体"/>
          <w:color w:val="auto"/>
          <w:kern w:val="0"/>
          <w:szCs w:val="21"/>
          <w:highlight w:val="none"/>
          <w:lang w:eastAsia="zh-CN"/>
        </w:rPr>
        <w:t>供应商</w:t>
      </w:r>
      <w:r>
        <w:rPr>
          <w:rFonts w:hint="eastAsia" w:ascii="宋体" w:hAnsi="宋体"/>
          <w:color w:val="auto"/>
          <w:kern w:val="0"/>
          <w:szCs w:val="21"/>
          <w:highlight w:val="none"/>
        </w:rPr>
        <w:t>须知前附</w:t>
      </w:r>
      <w:r>
        <w:rPr>
          <w:rFonts w:hint="eastAsia" w:ascii="宋体" w:hAnsi="宋体"/>
          <w:color w:val="auto"/>
          <w:szCs w:val="21"/>
          <w:highlight w:val="none"/>
        </w:rPr>
        <w:t>表</w:t>
      </w:r>
      <w:r>
        <w:rPr>
          <w:rFonts w:ascii="宋体" w:hAnsi="宋体"/>
          <w:color w:val="auto"/>
          <w:kern w:val="0"/>
          <w:szCs w:val="21"/>
          <w:highlight w:val="none"/>
        </w:rPr>
        <w:t>。</w:t>
      </w:r>
    </w:p>
    <w:p>
      <w:pPr>
        <w:snapToGrid w:val="0"/>
        <w:spacing w:line="360" w:lineRule="exact"/>
        <w:ind w:firstLine="422"/>
        <w:jc w:val="left"/>
        <w:rPr>
          <w:rFonts w:ascii="宋体" w:hAnsi="宋体"/>
          <w:color w:val="auto"/>
          <w:kern w:val="0"/>
          <w:szCs w:val="21"/>
          <w:highlight w:val="none"/>
        </w:rPr>
      </w:pPr>
      <w:r>
        <w:rPr>
          <w:rFonts w:hint="eastAsia" w:ascii="宋体" w:hAnsi="宋体"/>
          <w:color w:val="auto"/>
          <w:kern w:val="0"/>
          <w:szCs w:val="21"/>
          <w:highlight w:val="none"/>
        </w:rPr>
        <w:t>34.6.2履约保证金递交时间：详见</w:t>
      </w:r>
      <w:r>
        <w:rPr>
          <w:rFonts w:hint="eastAsia" w:ascii="宋体" w:hAnsi="宋体"/>
          <w:color w:val="auto"/>
          <w:kern w:val="0"/>
          <w:szCs w:val="21"/>
          <w:highlight w:val="none"/>
          <w:lang w:eastAsia="zh-CN"/>
        </w:rPr>
        <w:t>供应商</w:t>
      </w:r>
      <w:r>
        <w:rPr>
          <w:rFonts w:hint="eastAsia" w:ascii="宋体" w:hAnsi="宋体"/>
          <w:color w:val="auto"/>
          <w:kern w:val="0"/>
          <w:szCs w:val="21"/>
          <w:highlight w:val="none"/>
        </w:rPr>
        <w:t>须知前附</w:t>
      </w:r>
      <w:r>
        <w:rPr>
          <w:rFonts w:hint="eastAsia" w:ascii="宋体" w:hAnsi="宋体"/>
          <w:color w:val="auto"/>
          <w:szCs w:val="21"/>
          <w:highlight w:val="none"/>
        </w:rPr>
        <w:t>表，未在规定时间内足额缴纳履约保证金的，不予签订合同</w:t>
      </w:r>
      <w:r>
        <w:rPr>
          <w:rFonts w:ascii="宋体" w:hAnsi="宋体"/>
          <w:color w:val="auto"/>
          <w:kern w:val="0"/>
          <w:szCs w:val="21"/>
          <w:highlight w:val="none"/>
        </w:rPr>
        <w:t>。</w:t>
      </w:r>
    </w:p>
    <w:p>
      <w:pPr>
        <w:pStyle w:val="27"/>
        <w:ind w:firstLine="422"/>
        <w:rPr>
          <w:color w:val="auto"/>
          <w:highlight w:val="none"/>
        </w:rPr>
      </w:pPr>
      <w:r>
        <w:rPr>
          <w:rFonts w:hint="eastAsia"/>
          <w:color w:val="auto"/>
          <w:highlight w:val="none"/>
        </w:rPr>
        <w:t>34.6.3在履约保证金退还日期前，若中标供应商的开户名称、开户银行、</w:t>
      </w:r>
      <w:r>
        <w:rPr>
          <w:rFonts w:hint="eastAsia"/>
          <w:color w:val="auto"/>
          <w:highlight w:val="none"/>
          <w:lang w:eastAsia="zh-CN"/>
        </w:rPr>
        <w:t>账号</w:t>
      </w:r>
      <w:r>
        <w:rPr>
          <w:rFonts w:hint="eastAsia"/>
          <w:color w:val="auto"/>
          <w:highlight w:val="none"/>
        </w:rPr>
        <w:t>有变动的，请以书面形式通知保证金收取单位，否则由此产生的后果由中标供应商自负。</w:t>
      </w:r>
    </w:p>
    <w:p>
      <w:pPr>
        <w:spacing w:line="360" w:lineRule="exact"/>
        <w:ind w:firstLine="420"/>
        <w:rPr>
          <w:rFonts w:hAnsi="宋体"/>
          <w:b/>
          <w:bCs/>
          <w:color w:val="auto"/>
          <w:highlight w:val="none"/>
        </w:rPr>
      </w:pPr>
      <w:r>
        <w:rPr>
          <w:rFonts w:hint="eastAsia" w:hAnsi="宋体"/>
          <w:b/>
          <w:bCs/>
          <w:color w:val="auto"/>
          <w:highlight w:val="none"/>
        </w:rPr>
        <w:t>六、验收</w:t>
      </w:r>
    </w:p>
    <w:p>
      <w:pPr>
        <w:spacing w:line="360" w:lineRule="exact"/>
        <w:ind w:firstLine="420"/>
        <w:rPr>
          <w:rFonts w:hAnsi="宋体"/>
          <w:b/>
          <w:bCs/>
          <w:color w:val="auto"/>
          <w:highlight w:val="none"/>
        </w:rPr>
      </w:pPr>
      <w:r>
        <w:rPr>
          <w:rFonts w:hint="eastAsia" w:hAnsi="宋体"/>
          <w:b/>
          <w:bCs/>
          <w:color w:val="auto"/>
          <w:highlight w:val="none"/>
        </w:rPr>
        <w:t>35.验收</w:t>
      </w:r>
    </w:p>
    <w:p>
      <w:pPr>
        <w:spacing w:line="360" w:lineRule="exact"/>
        <w:ind w:firstLine="422"/>
        <w:rPr>
          <w:rFonts w:hAnsi="宋体"/>
          <w:bCs/>
          <w:color w:val="auto"/>
          <w:highlight w:val="none"/>
        </w:rPr>
      </w:pPr>
      <w:r>
        <w:rPr>
          <w:rFonts w:hint="eastAsia" w:hAnsi="宋体"/>
          <w:bCs/>
          <w:color w:val="auto"/>
          <w:highlight w:val="none"/>
        </w:rPr>
        <w:t>35.1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spacing w:line="360" w:lineRule="exact"/>
        <w:ind w:firstLine="422"/>
        <w:rPr>
          <w:rFonts w:hAnsi="宋体"/>
          <w:bCs/>
          <w:color w:val="auto"/>
          <w:highlight w:val="none"/>
        </w:rPr>
      </w:pPr>
      <w:r>
        <w:rPr>
          <w:rFonts w:hint="eastAsia" w:hAnsi="宋体"/>
          <w:bCs/>
          <w:color w:val="auto"/>
          <w:highlight w:val="none"/>
        </w:rPr>
        <w:t>35.2采购人可以邀请参加本项目的其他供应商或者第三方机构参与验收。参与验收的供应商或者第三方机构的意见作为验收书的参考资料一并存档。</w:t>
      </w:r>
    </w:p>
    <w:p>
      <w:pPr>
        <w:spacing w:line="360" w:lineRule="exact"/>
        <w:ind w:firstLine="422"/>
        <w:rPr>
          <w:rFonts w:hAnsi="宋体"/>
          <w:bCs/>
          <w:color w:val="auto"/>
          <w:highlight w:val="none"/>
        </w:rPr>
      </w:pPr>
      <w:r>
        <w:rPr>
          <w:rFonts w:hint="eastAsia" w:hAnsi="宋体"/>
          <w:bCs/>
          <w:color w:val="auto"/>
          <w:highlight w:val="none"/>
        </w:rPr>
        <w:t>35.3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spacing w:line="360" w:lineRule="exact"/>
        <w:ind w:firstLine="422"/>
        <w:rPr>
          <w:rFonts w:hAnsi="宋体"/>
          <w:bCs/>
          <w:color w:val="auto"/>
          <w:highlight w:val="none"/>
        </w:rPr>
      </w:pPr>
      <w:r>
        <w:rPr>
          <w:rFonts w:hint="eastAsia" w:hAnsi="宋体"/>
          <w:bCs/>
          <w:color w:val="auto"/>
          <w:highlight w:val="none"/>
        </w:rPr>
        <w:t>35.4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spacing w:line="360" w:lineRule="exact"/>
        <w:ind w:firstLine="422"/>
        <w:rPr>
          <w:rFonts w:hAnsi="宋体"/>
          <w:bCs/>
          <w:color w:val="auto"/>
          <w:highlight w:val="none"/>
        </w:rPr>
      </w:pPr>
      <w:r>
        <w:rPr>
          <w:rFonts w:hint="eastAsia" w:hAnsi="宋体"/>
          <w:bCs/>
          <w:color w:val="auto"/>
          <w:highlight w:val="none"/>
        </w:rPr>
        <w:t>35.5项目验收完毕，成交供应商将壹份《广西壮族自治区政府采购项目合同验收书》（格式详见附件）送采购代理机构存档。</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七、其他事项</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36. 需要补充的其他内容</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36.1本招标文件解释规则详见“供应商须知前附表”。</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37.2其他事项详见“供应商须知前附表”。</w:t>
      </w:r>
    </w:p>
    <w:p>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37.</w:t>
      </w:r>
      <w:r>
        <w:rPr>
          <w:rFonts w:hint="eastAsia" w:ascii="宋体" w:hAnsi="宋体"/>
          <w:b/>
          <w:color w:val="auto"/>
          <w:szCs w:val="21"/>
          <w:highlight w:val="none"/>
        </w:rPr>
        <w:t xml:space="preserve"> 成交服务费</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37.1成交服务费：本项目成交服务费按</w:t>
      </w:r>
      <w:r>
        <w:rPr>
          <w:rFonts w:hint="eastAsia" w:hAnsi="宋体"/>
          <w:color w:val="auto"/>
          <w:highlight w:val="none"/>
        </w:rPr>
        <w:t>《招标代理服务收费管理暂行办法》（计价格</w:t>
      </w:r>
      <w:r>
        <w:rPr>
          <w:rFonts w:hAnsi="宋体"/>
          <w:color w:val="auto"/>
          <w:highlight w:val="none"/>
        </w:rPr>
        <w:t>[2002]1980</w:t>
      </w:r>
      <w:r>
        <w:rPr>
          <w:rFonts w:hint="eastAsia" w:hAnsi="宋体"/>
          <w:color w:val="auto"/>
          <w:highlight w:val="none"/>
        </w:rPr>
        <w:t>号）收费标准和发改办</w:t>
      </w:r>
      <w:r>
        <w:rPr>
          <w:rFonts w:hAnsi="宋体"/>
          <w:color w:val="auto"/>
          <w:highlight w:val="none"/>
        </w:rPr>
        <w:t>[2003]857</w:t>
      </w:r>
      <w:r>
        <w:rPr>
          <w:rFonts w:hint="eastAsia" w:hAnsi="宋体"/>
          <w:color w:val="auto"/>
          <w:highlight w:val="none"/>
        </w:rPr>
        <w:t>号文规定</w:t>
      </w:r>
      <w:r>
        <w:rPr>
          <w:rFonts w:hint="eastAsia" w:hAnsi="宋体"/>
          <w:color w:val="auto"/>
          <w:highlight w:val="none"/>
          <w:lang w:val="en-US" w:eastAsia="zh-CN"/>
        </w:rPr>
        <w:t>下浮10%</w:t>
      </w:r>
      <w:r>
        <w:rPr>
          <w:rFonts w:hint="eastAsia" w:hAnsi="宋体"/>
          <w:color w:val="auto"/>
          <w:highlight w:val="none"/>
        </w:rPr>
        <w:t>向</w:t>
      </w:r>
      <w:r>
        <w:rPr>
          <w:rFonts w:hint="eastAsia" w:hAnsi="宋体"/>
          <w:color w:val="auto"/>
          <w:highlight w:val="none"/>
          <w:lang w:val="en-US" w:eastAsia="zh-CN"/>
        </w:rPr>
        <w:t>成交</w:t>
      </w:r>
      <w:r>
        <w:rPr>
          <w:rFonts w:hint="eastAsia" w:hAnsi="宋体"/>
          <w:color w:val="auto"/>
          <w:highlight w:val="none"/>
        </w:rPr>
        <w:t>人收取</w:t>
      </w:r>
      <w:r>
        <w:rPr>
          <w:rFonts w:hint="eastAsia" w:ascii="宋体" w:hAnsi="宋体"/>
          <w:color w:val="auto"/>
          <w:szCs w:val="21"/>
          <w:highlight w:val="none"/>
        </w:rPr>
        <w:t>，</w:t>
      </w:r>
      <w:r>
        <w:rPr>
          <w:rFonts w:hint="eastAsia" w:hAnsi="宋体"/>
          <w:color w:val="auto"/>
          <w:highlight w:val="none"/>
        </w:rPr>
        <w:t>领取成交通知书时，成交人应向采购代理机构一次付清成交服务费。</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37.2成交服务费收费标准：</w:t>
      </w:r>
    </w:p>
    <w:tbl>
      <w:tblPr>
        <w:tblStyle w:val="44"/>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980"/>
        <w:gridCol w:w="1980"/>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448" w:type="dxa"/>
            <w:vAlign w:val="center"/>
          </w:tcPr>
          <w:p>
            <w:pPr>
              <w:spacing w:line="320" w:lineRule="exact"/>
              <w:rPr>
                <w:rFonts w:ascii="宋体" w:hAnsi="宋体" w:cs="宋体"/>
                <w:b/>
                <w:color w:val="auto"/>
                <w:szCs w:val="21"/>
                <w:highlight w:val="none"/>
              </w:rPr>
            </w:pPr>
            <w:r>
              <w:rPr>
                <w:rFonts w:ascii="宋体" w:hAnsi="宋体" w:cs="宋体"/>
                <w:b/>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337820</wp:posOffset>
                      </wp:positionH>
                      <wp:positionV relativeFrom="paragraph">
                        <wp:posOffset>-5715</wp:posOffset>
                      </wp:positionV>
                      <wp:extent cx="1167130" cy="803910"/>
                      <wp:effectExtent l="2540" t="3810" r="11430" b="11430"/>
                      <wp:wrapNone/>
                      <wp:docPr id="15" name="直线 20"/>
                      <wp:cNvGraphicFramePr/>
                      <a:graphic xmlns:a="http://schemas.openxmlformats.org/drawingml/2006/main">
                        <a:graphicData uri="http://schemas.microsoft.com/office/word/2010/wordprocessingShape">
                          <wps:wsp>
                            <wps:cNvCnPr/>
                            <wps:spPr>
                              <a:xfrm flipH="1" flipV="1">
                                <a:off x="0" y="0"/>
                                <a:ext cx="1167130" cy="80391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20" o:spid="_x0000_s1026" o:spt="20" style="position:absolute;left:0pt;flip:x y;margin-left:26.6pt;margin-top:-0.45pt;height:63.3pt;width:91.9pt;z-index:251662336;mso-width-relative:page;mso-height-relative:page;" filled="f" stroked="t" coordsize="21600,21600" o:gfxdata="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trh73UAAAACAEAAA8AAAAAAAAAAQAgAAAAIgAAAGRycy9kb3ducmV2LnhtbFBLAQIU&#10;ABQAAAAIAIdO4kAHvCJM9wEAAPgDAAAOAAAAAAAAAAEAIAAAACMBAABkcnMvZTJvRG9jLnhtbFBL&#10;BQYAAAAABgAGAFkBAACMBQAAAAA=&#10;">
                      <v:fill on="f" focussize="0,0"/>
                      <v:stroke color="#000000" joinstyle="round"/>
                      <v:imagedata o:title=""/>
                      <o:lock v:ext="edit" aspectratio="f"/>
                    </v:line>
                  </w:pict>
                </mc:Fallback>
              </mc:AlternateContent>
            </w:r>
            <w:r>
              <w:rPr>
                <w:rFonts w:hint="eastAsia" w:ascii="宋体" w:hAnsi="宋体" w:cs="宋体"/>
                <w:b/>
                <w:color w:val="auto"/>
                <w:szCs w:val="21"/>
                <w:highlight w:val="none"/>
              </w:rPr>
              <w:t>费率</w:t>
            </w:r>
            <w:r>
              <w:rPr>
                <w:rFonts w:ascii="宋体" w:hAnsi="宋体" w:cs="宋体"/>
                <w:b/>
                <w:color w:val="auto"/>
                <w:szCs w:val="21"/>
                <w:highlight w:val="none"/>
              </w:rPr>
              <mc:AlternateContent>
                <mc:Choice Requires="wps">
                  <w:drawing>
                    <wp:anchor distT="0" distB="0" distL="114300" distR="114300" simplePos="0" relativeHeight="251660288" behindDoc="0" locked="0" layoutInCell="0" allowOverlap="1">
                      <wp:simplePos x="0" y="0"/>
                      <wp:positionH relativeFrom="column">
                        <wp:posOffset>-114300</wp:posOffset>
                      </wp:positionH>
                      <wp:positionV relativeFrom="paragraph">
                        <wp:posOffset>-6350</wp:posOffset>
                      </wp:positionV>
                      <wp:extent cx="635" cy="0"/>
                      <wp:effectExtent l="0" t="4445" r="0" b="5080"/>
                      <wp:wrapNone/>
                      <wp:docPr id="13" name="直线 18"/>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8" o:spid="_x0000_s1026" o:spt="20" style="position:absolute;left:0pt;margin-left:-9pt;margin-top:-0.5pt;height:0pt;width:0.05pt;z-index:251660288;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rkdN+1QAAAAkBAAAP&#10;AAAAAAAAAAEAIAAAACIAAABkcnMvZG93bnJldi54bWxQSwECFAAUAAAACACHTuJA1tppbOIBAADb&#10;AwAADgAAAAAAAAABACAAAAAkAQAAZHJzL2Uyb0RvYy54bWxQSwUGAAAAAAYABgBZAQAAeAUAAAAA&#10;">
                      <v:fill on="f" focussize="0,0"/>
                      <v:stroke color="#000000" joinstyle="round"/>
                      <v:imagedata o:title=""/>
                      <o:lock v:ext="edit" aspectratio="f"/>
                    </v:line>
                  </w:pict>
                </mc:Fallback>
              </mc:AlternateContent>
            </w:r>
            <w:r>
              <w:rPr>
                <w:rFonts w:hint="eastAsia" w:ascii="宋体" w:hAnsi="宋体" w:cs="宋体"/>
                <w:b/>
                <w:color w:val="auto"/>
                <w:szCs w:val="21"/>
                <w:highlight w:val="none"/>
              </w:rPr>
              <w:t xml:space="preserve">        服务类型</w:t>
            </w:r>
          </w:p>
          <w:p>
            <w:pPr>
              <w:spacing w:line="320" w:lineRule="exact"/>
              <w:ind w:firstLine="420"/>
              <w:jc w:val="center"/>
              <w:rPr>
                <w:rFonts w:ascii="宋体" w:hAnsi="宋体" w:cs="宋体"/>
                <w:b/>
                <w:color w:val="auto"/>
                <w:szCs w:val="21"/>
                <w:highlight w:val="none"/>
              </w:rPr>
            </w:pPr>
            <w:r>
              <w:rPr>
                <w:rFonts w:ascii="宋体" w:hAnsi="宋体" w:cs="宋体"/>
                <w:b/>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-73025</wp:posOffset>
                      </wp:positionH>
                      <wp:positionV relativeFrom="paragraph">
                        <wp:posOffset>11430</wp:posOffset>
                      </wp:positionV>
                      <wp:extent cx="1560195" cy="595630"/>
                      <wp:effectExtent l="1905" t="4445" r="19050" b="9525"/>
                      <wp:wrapNone/>
                      <wp:docPr id="14" name="直线 19"/>
                      <wp:cNvGraphicFramePr/>
                      <a:graphic xmlns:a="http://schemas.openxmlformats.org/drawingml/2006/main">
                        <a:graphicData uri="http://schemas.microsoft.com/office/word/2010/wordprocessingShape">
                          <wps:wsp>
                            <wps:cNvCnPr/>
                            <wps:spPr>
                              <a:xfrm flipH="1" flipV="1">
                                <a:off x="0" y="0"/>
                                <a:ext cx="1560195" cy="59563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9" o:spid="_x0000_s1026" o:spt="20" style="position:absolute;left:0pt;flip:x y;margin-left:-5.75pt;margin-top:0.9pt;height:46.9pt;width:122.85pt;z-index:251661312;mso-width-relative:page;mso-height-relative:page;" filled="f" stroked="t" coordsize="21600,21600" o:gfxdata="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4ezYA1AAAAAgBAAAPAAAAAAAAAAEAIAAAACIAAABkcnMvZG93bnJldi54bWxQSwEC&#10;FAAUAAAACACHTuJAhUIlg/gBAAD4AwAADgAAAAAAAAABACAAAAAjAQAAZHJzL2Uyb0RvYy54bWxQ&#10;SwUGAAAAAAYABgBZAQAAjQUAAAAA&#10;">
                      <v:fill on="f" focussize="0,0"/>
                      <v:stroke color="#000000" joinstyle="round"/>
                      <v:imagedata o:title=""/>
                      <o:lock v:ext="edit" aspectratio="f"/>
                    </v:line>
                  </w:pict>
                </mc:Fallback>
              </mc:AlternateContent>
            </w:r>
          </w:p>
          <w:p>
            <w:pPr>
              <w:spacing w:line="320" w:lineRule="exact"/>
              <w:ind w:firstLine="420"/>
              <w:rPr>
                <w:rFonts w:ascii="宋体" w:hAnsi="宋体" w:cs="宋体"/>
                <w:b/>
                <w:color w:val="auto"/>
                <w:szCs w:val="21"/>
                <w:highlight w:val="none"/>
              </w:rPr>
            </w:pPr>
          </w:p>
          <w:p>
            <w:pPr>
              <w:spacing w:line="320" w:lineRule="exact"/>
              <w:rPr>
                <w:rFonts w:ascii="宋体" w:hAnsi="宋体" w:cs="宋体"/>
                <w:b/>
                <w:color w:val="auto"/>
                <w:szCs w:val="21"/>
                <w:highlight w:val="none"/>
              </w:rPr>
            </w:pPr>
            <w:r>
              <w:rPr>
                <w:rFonts w:hint="eastAsia" w:ascii="宋体" w:hAnsi="宋体" w:cs="宋体"/>
                <w:b/>
                <w:color w:val="auto"/>
                <w:szCs w:val="21"/>
                <w:highlight w:val="none"/>
              </w:rPr>
              <w:t>成交金额（万元）</w:t>
            </w:r>
          </w:p>
        </w:tc>
        <w:tc>
          <w:tcPr>
            <w:tcW w:w="1980" w:type="dxa"/>
            <w:vAlign w:val="center"/>
          </w:tcPr>
          <w:p>
            <w:pPr>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货物招标</w:t>
            </w:r>
          </w:p>
        </w:tc>
        <w:tc>
          <w:tcPr>
            <w:tcW w:w="1980" w:type="dxa"/>
            <w:vAlign w:val="center"/>
          </w:tcPr>
          <w:p>
            <w:pPr>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服务招标</w:t>
            </w:r>
          </w:p>
        </w:tc>
        <w:tc>
          <w:tcPr>
            <w:tcW w:w="2700" w:type="dxa"/>
            <w:vAlign w:val="center"/>
          </w:tcPr>
          <w:p>
            <w:pPr>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pPr>
              <w:pStyle w:val="27"/>
              <w:jc w:val="center"/>
              <w:rPr>
                <w:color w:val="auto"/>
                <w:highlight w:val="none"/>
              </w:rPr>
            </w:pPr>
            <w:r>
              <w:rPr>
                <w:rFonts w:hint="eastAsia"/>
                <w:color w:val="auto"/>
                <w:highlight w:val="none"/>
              </w:rPr>
              <w:t>100以下</w:t>
            </w:r>
          </w:p>
        </w:tc>
        <w:tc>
          <w:tcPr>
            <w:tcW w:w="1980" w:type="dxa"/>
            <w:vAlign w:val="center"/>
          </w:tcPr>
          <w:p>
            <w:pPr>
              <w:pStyle w:val="27"/>
              <w:jc w:val="center"/>
              <w:rPr>
                <w:color w:val="auto"/>
                <w:highlight w:val="none"/>
              </w:rPr>
            </w:pPr>
            <w:r>
              <w:rPr>
                <w:rFonts w:hint="eastAsia"/>
                <w:color w:val="auto"/>
                <w:highlight w:val="none"/>
              </w:rPr>
              <w:t>1.5%</w:t>
            </w:r>
          </w:p>
        </w:tc>
        <w:tc>
          <w:tcPr>
            <w:tcW w:w="1980" w:type="dxa"/>
            <w:vAlign w:val="center"/>
          </w:tcPr>
          <w:p>
            <w:pPr>
              <w:pStyle w:val="27"/>
              <w:jc w:val="center"/>
              <w:rPr>
                <w:color w:val="auto"/>
                <w:highlight w:val="none"/>
              </w:rPr>
            </w:pPr>
            <w:r>
              <w:rPr>
                <w:rFonts w:hint="eastAsia"/>
                <w:color w:val="auto"/>
                <w:highlight w:val="none"/>
              </w:rPr>
              <w:t>1.5%</w:t>
            </w:r>
          </w:p>
        </w:tc>
        <w:tc>
          <w:tcPr>
            <w:tcW w:w="2700" w:type="dxa"/>
            <w:vAlign w:val="center"/>
          </w:tcPr>
          <w:p>
            <w:pPr>
              <w:pStyle w:val="27"/>
              <w:jc w:val="center"/>
              <w:rPr>
                <w:color w:val="auto"/>
                <w:highlight w:val="none"/>
              </w:rPr>
            </w:pPr>
            <w:r>
              <w:rPr>
                <w:rFonts w:hint="eastAsia"/>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pPr>
              <w:pStyle w:val="27"/>
              <w:jc w:val="center"/>
              <w:rPr>
                <w:color w:val="auto"/>
                <w:highlight w:val="none"/>
              </w:rPr>
            </w:pPr>
            <w:r>
              <w:rPr>
                <w:rFonts w:hint="eastAsia"/>
                <w:color w:val="auto"/>
                <w:highlight w:val="none"/>
              </w:rPr>
              <w:t>100-500</w:t>
            </w:r>
          </w:p>
        </w:tc>
        <w:tc>
          <w:tcPr>
            <w:tcW w:w="1980" w:type="dxa"/>
            <w:vAlign w:val="center"/>
          </w:tcPr>
          <w:p>
            <w:pPr>
              <w:pStyle w:val="27"/>
              <w:jc w:val="center"/>
              <w:rPr>
                <w:color w:val="auto"/>
                <w:highlight w:val="none"/>
              </w:rPr>
            </w:pPr>
            <w:r>
              <w:rPr>
                <w:rFonts w:hint="eastAsia"/>
                <w:color w:val="auto"/>
                <w:highlight w:val="none"/>
              </w:rPr>
              <w:t>1.1%</w:t>
            </w:r>
          </w:p>
        </w:tc>
        <w:tc>
          <w:tcPr>
            <w:tcW w:w="1980" w:type="dxa"/>
            <w:vAlign w:val="center"/>
          </w:tcPr>
          <w:p>
            <w:pPr>
              <w:pStyle w:val="27"/>
              <w:jc w:val="center"/>
              <w:rPr>
                <w:color w:val="auto"/>
                <w:highlight w:val="none"/>
              </w:rPr>
            </w:pPr>
            <w:r>
              <w:rPr>
                <w:rFonts w:hint="eastAsia"/>
                <w:color w:val="auto"/>
                <w:highlight w:val="none"/>
              </w:rPr>
              <w:t>0.8%</w:t>
            </w:r>
          </w:p>
        </w:tc>
        <w:tc>
          <w:tcPr>
            <w:tcW w:w="2700" w:type="dxa"/>
            <w:vAlign w:val="center"/>
          </w:tcPr>
          <w:p>
            <w:pPr>
              <w:pStyle w:val="27"/>
              <w:jc w:val="center"/>
              <w:rPr>
                <w:color w:val="auto"/>
                <w:highlight w:val="none"/>
              </w:rPr>
            </w:pPr>
            <w:r>
              <w:rPr>
                <w:rFonts w:hint="eastAsia"/>
                <w:color w:val="auto"/>
                <w:highlight w:val="none"/>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pPr>
              <w:pStyle w:val="27"/>
              <w:jc w:val="center"/>
              <w:rPr>
                <w:color w:val="auto"/>
                <w:highlight w:val="none"/>
              </w:rPr>
            </w:pPr>
            <w:r>
              <w:rPr>
                <w:rFonts w:hint="eastAsia"/>
                <w:color w:val="auto"/>
                <w:highlight w:val="none"/>
              </w:rPr>
              <w:t>500-1000</w:t>
            </w:r>
          </w:p>
        </w:tc>
        <w:tc>
          <w:tcPr>
            <w:tcW w:w="1980" w:type="dxa"/>
            <w:vAlign w:val="center"/>
          </w:tcPr>
          <w:p>
            <w:pPr>
              <w:pStyle w:val="27"/>
              <w:jc w:val="center"/>
              <w:rPr>
                <w:color w:val="auto"/>
                <w:highlight w:val="none"/>
              </w:rPr>
            </w:pPr>
            <w:r>
              <w:rPr>
                <w:rFonts w:hint="eastAsia"/>
                <w:color w:val="auto"/>
                <w:highlight w:val="none"/>
              </w:rPr>
              <w:t>0.8%</w:t>
            </w:r>
          </w:p>
        </w:tc>
        <w:tc>
          <w:tcPr>
            <w:tcW w:w="1980" w:type="dxa"/>
            <w:vAlign w:val="center"/>
          </w:tcPr>
          <w:p>
            <w:pPr>
              <w:pStyle w:val="27"/>
              <w:jc w:val="center"/>
              <w:rPr>
                <w:color w:val="auto"/>
                <w:highlight w:val="none"/>
              </w:rPr>
            </w:pPr>
            <w:r>
              <w:rPr>
                <w:rFonts w:hint="eastAsia"/>
                <w:color w:val="auto"/>
                <w:highlight w:val="none"/>
              </w:rPr>
              <w:t>0.45%</w:t>
            </w:r>
          </w:p>
        </w:tc>
        <w:tc>
          <w:tcPr>
            <w:tcW w:w="2700" w:type="dxa"/>
            <w:vAlign w:val="center"/>
          </w:tcPr>
          <w:p>
            <w:pPr>
              <w:pStyle w:val="27"/>
              <w:jc w:val="center"/>
              <w:rPr>
                <w:color w:val="auto"/>
                <w:highlight w:val="none"/>
              </w:rPr>
            </w:pPr>
            <w:r>
              <w:rPr>
                <w:rFonts w:hint="eastAsia"/>
                <w:color w:val="auto"/>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pPr>
              <w:pStyle w:val="27"/>
              <w:jc w:val="center"/>
              <w:rPr>
                <w:color w:val="auto"/>
                <w:highlight w:val="none"/>
              </w:rPr>
            </w:pPr>
            <w:r>
              <w:rPr>
                <w:rFonts w:hint="eastAsia"/>
                <w:color w:val="auto"/>
                <w:highlight w:val="none"/>
              </w:rPr>
              <w:t>1000-5000</w:t>
            </w:r>
          </w:p>
        </w:tc>
        <w:tc>
          <w:tcPr>
            <w:tcW w:w="1980" w:type="dxa"/>
            <w:vAlign w:val="center"/>
          </w:tcPr>
          <w:p>
            <w:pPr>
              <w:pStyle w:val="27"/>
              <w:jc w:val="center"/>
              <w:rPr>
                <w:color w:val="auto"/>
                <w:highlight w:val="none"/>
              </w:rPr>
            </w:pPr>
            <w:r>
              <w:rPr>
                <w:rFonts w:hint="eastAsia"/>
                <w:color w:val="auto"/>
                <w:highlight w:val="none"/>
              </w:rPr>
              <w:t>0.5%</w:t>
            </w:r>
          </w:p>
        </w:tc>
        <w:tc>
          <w:tcPr>
            <w:tcW w:w="1980" w:type="dxa"/>
            <w:vAlign w:val="center"/>
          </w:tcPr>
          <w:p>
            <w:pPr>
              <w:pStyle w:val="27"/>
              <w:jc w:val="center"/>
              <w:rPr>
                <w:color w:val="auto"/>
                <w:highlight w:val="none"/>
              </w:rPr>
            </w:pPr>
            <w:r>
              <w:rPr>
                <w:rFonts w:hint="eastAsia"/>
                <w:color w:val="auto"/>
                <w:highlight w:val="none"/>
              </w:rPr>
              <w:t>0.25%</w:t>
            </w:r>
          </w:p>
        </w:tc>
        <w:tc>
          <w:tcPr>
            <w:tcW w:w="2700" w:type="dxa"/>
            <w:vAlign w:val="center"/>
          </w:tcPr>
          <w:p>
            <w:pPr>
              <w:pStyle w:val="27"/>
              <w:jc w:val="center"/>
              <w:rPr>
                <w:color w:val="auto"/>
                <w:highlight w:val="none"/>
              </w:rPr>
            </w:pPr>
            <w:r>
              <w:rPr>
                <w:rFonts w:hint="eastAsia"/>
                <w:color w:val="auto"/>
                <w:highlight w:val="none"/>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pPr>
              <w:pStyle w:val="27"/>
              <w:jc w:val="center"/>
              <w:rPr>
                <w:color w:val="auto"/>
                <w:highlight w:val="none"/>
              </w:rPr>
            </w:pPr>
            <w:r>
              <w:rPr>
                <w:rFonts w:hint="eastAsia"/>
                <w:color w:val="auto"/>
                <w:highlight w:val="none"/>
              </w:rPr>
              <w:t>5000-10000</w:t>
            </w:r>
          </w:p>
        </w:tc>
        <w:tc>
          <w:tcPr>
            <w:tcW w:w="1980" w:type="dxa"/>
            <w:vAlign w:val="center"/>
          </w:tcPr>
          <w:p>
            <w:pPr>
              <w:pStyle w:val="27"/>
              <w:jc w:val="center"/>
              <w:rPr>
                <w:color w:val="auto"/>
                <w:highlight w:val="none"/>
              </w:rPr>
            </w:pPr>
            <w:r>
              <w:rPr>
                <w:rFonts w:hint="eastAsia"/>
                <w:color w:val="auto"/>
                <w:highlight w:val="none"/>
              </w:rPr>
              <w:t>0.25%</w:t>
            </w:r>
          </w:p>
        </w:tc>
        <w:tc>
          <w:tcPr>
            <w:tcW w:w="1980" w:type="dxa"/>
            <w:vAlign w:val="center"/>
          </w:tcPr>
          <w:p>
            <w:pPr>
              <w:pStyle w:val="27"/>
              <w:jc w:val="center"/>
              <w:rPr>
                <w:color w:val="auto"/>
                <w:highlight w:val="none"/>
              </w:rPr>
            </w:pPr>
            <w:r>
              <w:rPr>
                <w:rFonts w:hint="eastAsia"/>
                <w:color w:val="auto"/>
                <w:highlight w:val="none"/>
              </w:rPr>
              <w:t>0.1%</w:t>
            </w:r>
          </w:p>
        </w:tc>
        <w:tc>
          <w:tcPr>
            <w:tcW w:w="2700" w:type="dxa"/>
            <w:vAlign w:val="center"/>
          </w:tcPr>
          <w:p>
            <w:pPr>
              <w:pStyle w:val="27"/>
              <w:jc w:val="center"/>
              <w:rPr>
                <w:color w:val="auto"/>
                <w:highlight w:val="none"/>
              </w:rPr>
            </w:pPr>
            <w:r>
              <w:rPr>
                <w:rFonts w:hint="eastAsia"/>
                <w:color w:val="auto"/>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pPr>
              <w:pStyle w:val="27"/>
              <w:jc w:val="center"/>
              <w:rPr>
                <w:color w:val="auto"/>
                <w:highlight w:val="none"/>
              </w:rPr>
            </w:pPr>
            <w:r>
              <w:rPr>
                <w:rFonts w:hint="eastAsia"/>
                <w:color w:val="auto"/>
                <w:highlight w:val="none"/>
              </w:rPr>
              <w:t>10000-100000</w:t>
            </w:r>
          </w:p>
        </w:tc>
        <w:tc>
          <w:tcPr>
            <w:tcW w:w="1980" w:type="dxa"/>
            <w:vAlign w:val="center"/>
          </w:tcPr>
          <w:p>
            <w:pPr>
              <w:pStyle w:val="27"/>
              <w:jc w:val="center"/>
              <w:rPr>
                <w:color w:val="auto"/>
                <w:highlight w:val="none"/>
              </w:rPr>
            </w:pPr>
            <w:r>
              <w:rPr>
                <w:rFonts w:hint="eastAsia"/>
                <w:color w:val="auto"/>
                <w:highlight w:val="none"/>
              </w:rPr>
              <w:t>0.05%</w:t>
            </w:r>
          </w:p>
        </w:tc>
        <w:tc>
          <w:tcPr>
            <w:tcW w:w="1980" w:type="dxa"/>
            <w:vAlign w:val="center"/>
          </w:tcPr>
          <w:p>
            <w:pPr>
              <w:pStyle w:val="27"/>
              <w:jc w:val="center"/>
              <w:rPr>
                <w:color w:val="auto"/>
                <w:highlight w:val="none"/>
              </w:rPr>
            </w:pPr>
            <w:r>
              <w:rPr>
                <w:rFonts w:hint="eastAsia"/>
                <w:color w:val="auto"/>
                <w:highlight w:val="none"/>
              </w:rPr>
              <w:t>0.05%</w:t>
            </w:r>
          </w:p>
        </w:tc>
        <w:tc>
          <w:tcPr>
            <w:tcW w:w="2700" w:type="dxa"/>
            <w:vAlign w:val="center"/>
          </w:tcPr>
          <w:p>
            <w:pPr>
              <w:pStyle w:val="27"/>
              <w:jc w:val="center"/>
              <w:rPr>
                <w:color w:val="auto"/>
                <w:highlight w:val="none"/>
              </w:rPr>
            </w:pPr>
            <w:r>
              <w:rPr>
                <w:rFonts w:hint="eastAsia"/>
                <w:color w:val="auto"/>
                <w:highlight w:val="none"/>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pPr>
              <w:pStyle w:val="27"/>
              <w:jc w:val="center"/>
              <w:rPr>
                <w:color w:val="auto"/>
                <w:highlight w:val="none"/>
              </w:rPr>
            </w:pPr>
            <w:r>
              <w:rPr>
                <w:rFonts w:hint="eastAsia"/>
                <w:color w:val="auto"/>
                <w:highlight w:val="none"/>
              </w:rPr>
              <w:t>1000000以上</w:t>
            </w:r>
          </w:p>
        </w:tc>
        <w:tc>
          <w:tcPr>
            <w:tcW w:w="1980" w:type="dxa"/>
            <w:vAlign w:val="center"/>
          </w:tcPr>
          <w:p>
            <w:pPr>
              <w:pStyle w:val="27"/>
              <w:jc w:val="center"/>
              <w:rPr>
                <w:color w:val="auto"/>
                <w:highlight w:val="none"/>
              </w:rPr>
            </w:pPr>
            <w:r>
              <w:rPr>
                <w:rFonts w:hint="eastAsia"/>
                <w:color w:val="auto"/>
                <w:highlight w:val="none"/>
              </w:rPr>
              <w:t>0.01%</w:t>
            </w:r>
          </w:p>
        </w:tc>
        <w:tc>
          <w:tcPr>
            <w:tcW w:w="1980" w:type="dxa"/>
            <w:vAlign w:val="center"/>
          </w:tcPr>
          <w:p>
            <w:pPr>
              <w:pStyle w:val="27"/>
              <w:jc w:val="center"/>
              <w:rPr>
                <w:color w:val="auto"/>
                <w:highlight w:val="none"/>
              </w:rPr>
            </w:pPr>
            <w:r>
              <w:rPr>
                <w:rFonts w:hint="eastAsia"/>
                <w:color w:val="auto"/>
                <w:highlight w:val="none"/>
              </w:rPr>
              <w:t>0.01%</w:t>
            </w:r>
          </w:p>
        </w:tc>
        <w:tc>
          <w:tcPr>
            <w:tcW w:w="2700" w:type="dxa"/>
            <w:vAlign w:val="center"/>
          </w:tcPr>
          <w:p>
            <w:pPr>
              <w:pStyle w:val="27"/>
              <w:jc w:val="center"/>
              <w:rPr>
                <w:color w:val="auto"/>
                <w:highlight w:val="none"/>
              </w:rPr>
            </w:pPr>
            <w:r>
              <w:rPr>
                <w:rFonts w:hint="eastAsia"/>
                <w:color w:val="auto"/>
                <w:highlight w:val="none"/>
              </w:rPr>
              <w:t>0.01%</w:t>
            </w:r>
          </w:p>
        </w:tc>
      </w:tr>
    </w:tbl>
    <w:p>
      <w:pPr>
        <w:pStyle w:val="27"/>
        <w:ind w:firstLine="422"/>
        <w:rPr>
          <w:color w:val="auto"/>
          <w:kern w:val="2"/>
          <w:highlight w:val="none"/>
        </w:rPr>
      </w:pPr>
      <w:r>
        <w:rPr>
          <w:rFonts w:hint="eastAsia"/>
          <w:color w:val="auto"/>
          <w:kern w:val="2"/>
          <w:highlight w:val="none"/>
        </w:rPr>
        <w:t>注：招标代理服务费收费按差额定率累进法计算。</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38.供应商信用查询相关规定</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38.1信用查询渠道：“信用中国”网站（www.creditchina.gov.cn）、中国政府采购网（www.ccgp.gov.cn）；</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38.2信用查询截止时点：资格审查时。</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38.3信用信息查询记录：“列入失信被执行人”、“ 重大税收违法案件当事人名单”、“政府采购严重违法失信行为记录名单”。</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38.4信用信息的使用规则：如供应商被列入“列入失信被执行人”、 “ 重大税收违法案件当事人名单”、“政府采购严重违法失信行为记录名单”等名单内的，将按照信用信息使用规则处理。</w:t>
      </w:r>
    </w:p>
    <w:p>
      <w:pPr>
        <w:spacing w:line="360" w:lineRule="exact"/>
        <w:ind w:firstLine="422"/>
        <w:rPr>
          <w:rFonts w:hAnsi="宋体"/>
          <w:color w:val="auto"/>
          <w:highlight w:val="none"/>
        </w:rPr>
      </w:pPr>
      <w:r>
        <w:rPr>
          <w:rFonts w:hint="eastAsia" w:ascii="宋体" w:hAnsi="宋体"/>
          <w:color w:val="auto"/>
          <w:szCs w:val="21"/>
          <w:highlight w:val="none"/>
        </w:rPr>
        <w:t>38.5证据留存方式：</w:t>
      </w:r>
      <w:r>
        <w:rPr>
          <w:rFonts w:hint="eastAsia" w:hAnsi="宋体"/>
          <w:color w:val="auto"/>
          <w:highlight w:val="none"/>
        </w:rPr>
        <w:t>在查询网站中直接截图查询记录，截图作为在广西政府采购云平台作为附件上传保存。</w:t>
      </w:r>
    </w:p>
    <w:p>
      <w:pPr>
        <w:spacing w:line="360" w:lineRule="exact"/>
        <w:ind w:firstLine="420"/>
        <w:rPr>
          <w:rFonts w:ascii="宋体" w:hAnsi="宋体"/>
          <w:b/>
          <w:color w:val="auto"/>
          <w:szCs w:val="21"/>
          <w:highlight w:val="none"/>
        </w:rPr>
      </w:pPr>
      <w:r>
        <w:rPr>
          <w:rFonts w:hint="eastAsia" w:ascii="宋体" w:hAnsi="宋体"/>
          <w:b/>
          <w:color w:val="auto"/>
          <w:szCs w:val="21"/>
          <w:highlight w:val="none"/>
        </w:rPr>
        <w:t>39.关于中小企业的相关规定</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39.1根据《政府采购促进中小企业发展管理办法》（财库[2020]46号），本招标文件中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39.2供应商提供的货物、工程或者服务符合下列情形的，享受中小企业扶持政策：①在货物采购项目中，货物由中小企业制造，即货物由中小企业生产且使用该中小企业商号或者注册商标；②在工程采购项目中，工程由中小企业承建，即工程施工单位为中小企业；③在服务采购项目中，服务由中小企业承接，即提供服务的人员为中小企业依照《中华人民共和国劳动合同法》订立劳动合同的从业人员。</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39.3在货物采购项目中，供应商提供的货物既有中小企业制造货物，也有大型企业制造货物的，不享受中小企业扶持政策。</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39.4以联合体形式参加政府采购活动，联合体各方均为中小企业的，联合体视同中小企业。其中，联合体各方均为小微企业的，联合体视同小微企业。</w:t>
      </w:r>
    </w:p>
    <w:p>
      <w:pPr>
        <w:spacing w:line="360" w:lineRule="exact"/>
        <w:ind w:firstLine="422"/>
        <w:rPr>
          <w:rFonts w:ascii="宋体" w:hAnsi="宋体"/>
          <w:color w:val="auto"/>
          <w:szCs w:val="21"/>
          <w:highlight w:val="none"/>
        </w:rPr>
      </w:pPr>
      <w:r>
        <w:rPr>
          <w:rFonts w:hint="eastAsia" w:ascii="宋体" w:hAnsi="宋体"/>
          <w:color w:val="auto"/>
          <w:szCs w:val="21"/>
          <w:highlight w:val="none"/>
        </w:rPr>
        <w:t>联合体参与政府采购项目的，联合体各方所提供货物、工程、服务均为中小企业制造、承建、承接的，联合体视同中小企业，享受对中小企业的预留份额政策；联合体各方提供货物、工程、服务均为小微企业制造、承建、承接的，联合体视同小微企业，享受对小微企业的预留份额政策。</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39.5享受中小企业扶持政策获得政府采购合同的，小微企业不得将合同分包给大中型企业，中型企业不得将合同分包给大型企业。</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39.6供应商（货物项目时为投标产品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spacing w:line="360" w:lineRule="exact"/>
        <w:ind w:firstLine="422"/>
        <w:rPr>
          <w:rFonts w:ascii="宋体" w:hAnsi="宋体"/>
          <w:color w:val="auto"/>
          <w:szCs w:val="21"/>
          <w:highlight w:val="none"/>
        </w:rPr>
      </w:pPr>
      <w:r>
        <w:rPr>
          <w:rFonts w:hint="eastAsia" w:ascii="宋体" w:hAnsi="宋体"/>
          <w:color w:val="auto"/>
          <w:szCs w:val="21"/>
          <w:highlight w:val="none"/>
        </w:rPr>
        <w:t>39.7供应商（货物项目时为投标产品提供企业）按《三部门联合发布关于促进残疾人就业政府采购政策的通知》（财库[2017]141号）认定为残疾人福利性单位的，视同小型、微型企业；残疾人福利性单位参加政府采购活动时，应当提供《残疾人福利性单位声明函》。残疾人福利性单位属于小型、微型企业的，不重复享受政策。</w:t>
      </w:r>
    </w:p>
    <w:p>
      <w:pPr>
        <w:spacing w:line="360" w:lineRule="exact"/>
        <w:ind w:firstLine="422"/>
        <w:rPr>
          <w:rFonts w:hAnsi="宋体"/>
          <w:color w:val="auto"/>
          <w:highlight w:val="none"/>
        </w:rPr>
      </w:pPr>
      <w:r>
        <w:rPr>
          <w:rFonts w:hint="eastAsia" w:ascii="宋体" w:hAnsi="宋体"/>
          <w:color w:val="auto"/>
          <w:szCs w:val="21"/>
          <w:highlight w:val="none"/>
        </w:rPr>
        <w:t>39.8对于专门面向中小企业采购的采购项目或者采购包，通过发布公告方式邀请供应商后，符合资格条件的中小企业数量不足</w:t>
      </w:r>
      <w:r>
        <w:rPr>
          <w:rFonts w:ascii="宋体" w:hAnsi="宋体"/>
          <w:color w:val="auto"/>
          <w:szCs w:val="21"/>
          <w:highlight w:val="none"/>
        </w:rPr>
        <w:t xml:space="preserve"> 3 </w:t>
      </w:r>
      <w:r>
        <w:rPr>
          <w:rFonts w:hint="eastAsia" w:ascii="宋体" w:hAnsi="宋体"/>
          <w:color w:val="auto"/>
          <w:szCs w:val="21"/>
          <w:highlight w:val="none"/>
        </w:rPr>
        <w:t>家的，应当中止采购活动，视同非专门面向中小企业采购的采购项目或者采购包，按照《政府采购促进中小企业发展管理办法》（财库</w:t>
      </w:r>
      <w:r>
        <w:rPr>
          <w:rFonts w:ascii="宋体" w:hAnsi="宋体"/>
          <w:color w:val="auto"/>
          <w:szCs w:val="21"/>
          <w:highlight w:val="none"/>
        </w:rPr>
        <w:t>[2020]46</w:t>
      </w:r>
      <w:r>
        <w:rPr>
          <w:rFonts w:hint="eastAsia" w:ascii="宋体" w:hAnsi="宋体"/>
          <w:color w:val="auto"/>
          <w:szCs w:val="21"/>
          <w:highlight w:val="none"/>
        </w:rPr>
        <w:t>号）第九条有关规定重新组织采购活动。</w:t>
      </w:r>
      <w:r>
        <w:rPr>
          <w:rFonts w:ascii="宋体" w:hAnsi="宋体" w:cs="宋体"/>
          <w:color w:val="auto"/>
          <w:sz w:val="32"/>
          <w:szCs w:val="32"/>
          <w:highlight w:val="none"/>
        </w:rPr>
        <w:br w:type="page"/>
      </w:r>
      <w:r>
        <w:rPr>
          <w:rFonts w:hint="eastAsia" w:hAnsi="宋体"/>
          <w:color w:val="auto"/>
          <w:highlight w:val="none"/>
        </w:rPr>
        <w:t>附件1：</w:t>
      </w:r>
    </w:p>
    <w:p>
      <w:pPr>
        <w:widowControl/>
        <w:shd w:val="clear" w:color="auto" w:fill="FFFFFF"/>
        <w:spacing w:line="480" w:lineRule="atLeast"/>
        <w:ind w:firstLine="420"/>
        <w:jc w:val="center"/>
        <w:rPr>
          <w:rFonts w:ascii="宋体" w:hAnsi="宋体" w:cs="宋体"/>
          <w:color w:val="auto"/>
          <w:kern w:val="0"/>
          <w:szCs w:val="21"/>
          <w:highlight w:val="none"/>
        </w:rPr>
      </w:pPr>
      <w:r>
        <w:rPr>
          <w:rFonts w:hint="eastAsia" w:ascii="宋体" w:hAnsi="宋体" w:cs="宋体"/>
          <w:b/>
          <w:bCs/>
          <w:color w:val="auto"/>
          <w:kern w:val="0"/>
          <w:szCs w:val="21"/>
          <w:highlight w:val="none"/>
        </w:rPr>
        <w:t>广西壮族自治区政府采购项目</w:t>
      </w:r>
      <w:r>
        <w:rPr>
          <w:rFonts w:hint="eastAsia" w:ascii="宋体" w:hAnsi="宋体" w:cs="宋体"/>
          <w:b/>
          <w:color w:val="auto"/>
          <w:kern w:val="0"/>
          <w:szCs w:val="21"/>
          <w:highlight w:val="none"/>
        </w:rPr>
        <w:t>合同验收书（格式）</w:t>
      </w:r>
    </w:p>
    <w:p>
      <w:pPr>
        <w:widowControl/>
        <w:shd w:val="clear" w:color="auto" w:fill="FFFFFF"/>
        <w:snapToGrid w:val="0"/>
        <w:spacing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项目名称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公司名称             </w:t>
      </w:r>
      <w:r>
        <w:rPr>
          <w:rFonts w:hint="eastAsia" w:ascii="宋体" w:hAnsi="宋体" w:cs="宋体"/>
          <w:color w:val="auto"/>
          <w:kern w:val="0"/>
          <w:szCs w:val="21"/>
          <w:highlight w:val="none"/>
        </w:rPr>
        <w:t>）提供的货物（或工程、服务）进行了验收，验收情况如下：</w:t>
      </w:r>
    </w:p>
    <w:tbl>
      <w:tblPr>
        <w:tblStyle w:val="44"/>
        <w:tblW w:w="9457" w:type="dxa"/>
        <w:jc w:val="center"/>
        <w:tblLayout w:type="fixed"/>
        <w:tblCellMar>
          <w:top w:w="0" w:type="dxa"/>
          <w:left w:w="0" w:type="dxa"/>
          <w:bottom w:w="0" w:type="dxa"/>
          <w:right w:w="0" w:type="dxa"/>
        </w:tblCellMar>
      </w:tblPr>
      <w:tblGrid>
        <w:gridCol w:w="1037"/>
        <w:gridCol w:w="2163"/>
        <w:gridCol w:w="891"/>
        <w:gridCol w:w="2648"/>
        <w:gridCol w:w="219"/>
        <w:gridCol w:w="843"/>
        <w:gridCol w:w="1656"/>
      </w:tblGrid>
      <w:tr>
        <w:tblPrEx>
          <w:tblCellMar>
            <w:top w:w="0" w:type="dxa"/>
            <w:left w:w="0" w:type="dxa"/>
            <w:bottom w:w="0" w:type="dxa"/>
            <w:right w:w="0" w:type="dxa"/>
          </w:tblCellMar>
        </w:tblPrEx>
        <w:trPr>
          <w:trHeight w:val="497" w:hRule="atLeast"/>
          <w:jc w:val="center"/>
        </w:trPr>
        <w:tc>
          <w:tcPr>
            <w:tcW w:w="3200" w:type="dxa"/>
            <w:gridSpan w:val="2"/>
            <w:tcBorders>
              <w:top w:val="single" w:color="auto" w:sz="8" w:space="0"/>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6257" w:type="dxa"/>
            <w:gridSpan w:val="5"/>
            <w:tcBorders>
              <w:top w:val="single" w:color="auto" w:sz="8" w:space="0"/>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tblPrEx>
          <w:tblCellMar>
            <w:top w:w="0" w:type="dxa"/>
            <w:left w:w="0" w:type="dxa"/>
            <w:bottom w:w="0" w:type="dxa"/>
            <w:right w:w="0" w:type="dxa"/>
          </w:tblCellMar>
        </w:tblPrEx>
        <w:trPr>
          <w:trHeight w:val="622" w:hRule="atLeast"/>
          <w:jc w:val="center"/>
        </w:trPr>
        <w:tc>
          <w:tcPr>
            <w:tcW w:w="1037" w:type="dxa"/>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163"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名 称</w:t>
            </w:r>
          </w:p>
        </w:tc>
        <w:tc>
          <w:tcPr>
            <w:tcW w:w="3539"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1062"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c>
          <w:tcPr>
            <w:tcW w:w="1656"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金 额</w:t>
            </w:r>
          </w:p>
        </w:tc>
      </w:tr>
      <w:tr>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tblPrEx>
          <w:tblCellMar>
            <w:top w:w="0" w:type="dxa"/>
            <w:left w:w="0" w:type="dxa"/>
            <w:bottom w:w="0" w:type="dxa"/>
            <w:right w:w="0" w:type="dxa"/>
          </w:tblCellMar>
        </w:tblPrEx>
        <w:trPr>
          <w:trHeight w:val="487" w:hRule="atLeast"/>
          <w:jc w:val="center"/>
        </w:trPr>
        <w:tc>
          <w:tcPr>
            <w:tcW w:w="6739" w:type="dxa"/>
            <w:gridSpan w:val="4"/>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r>
              <w:rPr>
                <w:rFonts w:hint="eastAsia" w:ascii="宋体" w:hAnsi="宋体" w:cs="宋体"/>
                <w:color w:val="auto"/>
                <w:kern w:val="0"/>
                <w:szCs w:val="21"/>
                <w:highlight w:val="none"/>
              </w:rPr>
              <w:t>合       计</w:t>
            </w:r>
          </w:p>
        </w:tc>
        <w:tc>
          <w:tcPr>
            <w:tcW w:w="1062"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tblPrEx>
          <w:tblCellMar>
            <w:top w:w="0" w:type="dxa"/>
            <w:left w:w="0" w:type="dxa"/>
            <w:bottom w:w="0" w:type="dxa"/>
            <w:right w:w="0" w:type="dxa"/>
          </w:tblCellMar>
        </w:tblPrEx>
        <w:trPr>
          <w:trHeight w:val="641" w:hRule="atLeast"/>
          <w:jc w:val="center"/>
        </w:trPr>
        <w:tc>
          <w:tcPr>
            <w:tcW w:w="9457" w:type="dxa"/>
            <w:gridSpan w:val="7"/>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tblPrEx>
          <w:tblCellMar>
            <w:top w:w="0" w:type="dxa"/>
            <w:left w:w="0" w:type="dxa"/>
            <w:bottom w:w="0" w:type="dxa"/>
            <w:right w:w="0" w:type="dxa"/>
          </w:tblCellMar>
        </w:tblPrEx>
        <w:trPr>
          <w:trHeight w:val="641" w:hRule="atLeast"/>
          <w:jc w:val="center"/>
        </w:trPr>
        <w:tc>
          <w:tcPr>
            <w:tcW w:w="1037" w:type="dxa"/>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054"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2867"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499"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tblPrEx>
          <w:tblCellMar>
            <w:top w:w="0" w:type="dxa"/>
            <w:left w:w="0" w:type="dxa"/>
            <w:bottom w:w="0" w:type="dxa"/>
            <w:right w:w="0" w:type="dxa"/>
          </w:tblCellMar>
        </w:tblPrEx>
        <w:trPr>
          <w:trHeight w:val="394" w:hRule="atLeast"/>
          <w:jc w:val="center"/>
        </w:trPr>
        <w:tc>
          <w:tcPr>
            <w:tcW w:w="1037" w:type="dxa"/>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3054"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2867"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2499"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tblPrEx>
          <w:tblCellMar>
            <w:top w:w="0" w:type="dxa"/>
            <w:left w:w="0" w:type="dxa"/>
            <w:bottom w:w="0" w:type="dxa"/>
            <w:right w:w="0" w:type="dxa"/>
          </w:tblCellMar>
        </w:tblPrEx>
        <w:trPr>
          <w:trHeight w:val="693" w:hRule="atLeast"/>
          <w:jc w:val="center"/>
        </w:trPr>
        <w:tc>
          <w:tcPr>
            <w:tcW w:w="103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420"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tblPrEx>
          <w:tblCellMar>
            <w:top w:w="0" w:type="dxa"/>
            <w:left w:w="0" w:type="dxa"/>
            <w:bottom w:w="0" w:type="dxa"/>
            <w:right w:w="0" w:type="dxa"/>
          </w:tblCellMar>
        </w:tblPrEx>
        <w:trPr>
          <w:trHeight w:val="1281" w:hRule="atLeast"/>
          <w:jc w:val="center"/>
        </w:trPr>
        <w:tc>
          <w:tcPr>
            <w:tcW w:w="103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420" w:type="dxa"/>
            <w:gridSpan w:val="6"/>
            <w:tcBorders>
              <w:top w:val="nil"/>
              <w:left w:val="nil"/>
              <w:bottom w:val="single" w:color="auto" w:sz="8" w:space="0"/>
              <w:right w:val="single" w:color="auto" w:sz="8" w:space="0"/>
            </w:tcBorders>
            <w:vAlign w:val="center"/>
          </w:tcPr>
          <w:p>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验收结论性意见：</w:t>
            </w:r>
          </w:p>
          <w:p>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tblPrEx>
          <w:tblCellMar>
            <w:top w:w="0" w:type="dxa"/>
            <w:left w:w="0" w:type="dxa"/>
            <w:bottom w:w="0" w:type="dxa"/>
            <w:right w:w="0" w:type="dxa"/>
          </w:tblCellMar>
        </w:tblPrEx>
        <w:trPr>
          <w:trHeight w:val="607" w:hRule="atLeast"/>
          <w:jc w:val="center"/>
        </w:trPr>
        <w:tc>
          <w:tcPr>
            <w:tcW w:w="1037" w:type="dxa"/>
            <w:vMerge w:val="continue"/>
            <w:tcBorders>
              <w:top w:val="nil"/>
              <w:left w:val="single" w:color="auto" w:sz="8" w:space="0"/>
              <w:bottom w:val="single" w:color="auto" w:sz="8" w:space="0"/>
              <w:right w:val="single" w:color="auto" w:sz="8" w:space="0"/>
            </w:tcBorders>
            <w:vAlign w:val="center"/>
          </w:tcPr>
          <w:p>
            <w:pPr>
              <w:widowControl/>
              <w:ind w:firstLine="422"/>
              <w:jc w:val="left"/>
              <w:rPr>
                <w:rFonts w:ascii="宋体" w:hAnsi="宋体" w:cs="宋体"/>
                <w:color w:val="auto"/>
                <w:kern w:val="0"/>
                <w:szCs w:val="21"/>
                <w:highlight w:val="none"/>
              </w:rPr>
            </w:pPr>
          </w:p>
        </w:tc>
        <w:tc>
          <w:tcPr>
            <w:tcW w:w="8420" w:type="dxa"/>
            <w:gridSpan w:val="6"/>
            <w:tcBorders>
              <w:top w:val="nil"/>
              <w:left w:val="nil"/>
              <w:bottom w:val="single" w:color="auto" w:sz="8" w:space="0"/>
              <w:right w:val="single" w:color="auto" w:sz="8" w:space="0"/>
            </w:tcBorders>
            <w:vAlign w:val="center"/>
          </w:tcPr>
          <w:p>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签字：</w:t>
            </w:r>
          </w:p>
        </w:tc>
      </w:tr>
      <w:tr>
        <w:tblPrEx>
          <w:tblCellMar>
            <w:top w:w="0" w:type="dxa"/>
            <w:left w:w="0" w:type="dxa"/>
            <w:bottom w:w="0" w:type="dxa"/>
            <w:right w:w="0" w:type="dxa"/>
          </w:tblCellMar>
        </w:tblPrEx>
        <w:trPr>
          <w:trHeight w:val="507" w:hRule="atLeast"/>
          <w:jc w:val="center"/>
        </w:trPr>
        <w:tc>
          <w:tcPr>
            <w:tcW w:w="9457" w:type="dxa"/>
            <w:gridSpan w:val="7"/>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tblPrEx>
          <w:tblCellMar>
            <w:top w:w="0" w:type="dxa"/>
            <w:left w:w="0" w:type="dxa"/>
            <w:bottom w:w="0" w:type="dxa"/>
            <w:right w:w="0" w:type="dxa"/>
          </w:tblCellMar>
        </w:tblPrEx>
        <w:trPr>
          <w:trHeight w:val="736" w:hRule="atLeast"/>
          <w:jc w:val="center"/>
        </w:trPr>
        <w:tc>
          <w:tcPr>
            <w:tcW w:w="9457" w:type="dxa"/>
            <w:gridSpan w:val="7"/>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tblPrEx>
          <w:tblCellMar>
            <w:top w:w="0" w:type="dxa"/>
            <w:left w:w="0" w:type="dxa"/>
            <w:bottom w:w="0" w:type="dxa"/>
            <w:right w:w="0" w:type="dxa"/>
          </w:tblCellMar>
        </w:tblPrEx>
        <w:trPr>
          <w:trHeight w:val="1485" w:hRule="atLeast"/>
          <w:jc w:val="center"/>
        </w:trPr>
        <w:tc>
          <w:tcPr>
            <w:tcW w:w="409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5366"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pPr>
        <w:pStyle w:val="27"/>
        <w:ind w:firstLine="422"/>
        <w:rPr>
          <w:color w:val="auto"/>
          <w:highlight w:val="none"/>
        </w:rPr>
      </w:pPr>
    </w:p>
    <w:p>
      <w:pPr>
        <w:pStyle w:val="4"/>
        <w:spacing w:line="360" w:lineRule="exact"/>
        <w:jc w:val="center"/>
        <w:rPr>
          <w:rFonts w:hint="eastAsia" w:ascii="宋体" w:hAnsi="宋体" w:cs="宋体"/>
          <w:color w:val="auto"/>
          <w:sz w:val="32"/>
          <w:szCs w:val="32"/>
          <w:highlight w:val="none"/>
        </w:rPr>
      </w:pPr>
      <w:bookmarkStart w:id="36" w:name="_Toc88747294"/>
    </w:p>
    <w:p>
      <w:pPr>
        <w:pStyle w:val="4"/>
        <w:spacing w:line="360" w:lineRule="exact"/>
        <w:jc w:val="center"/>
        <w:rPr>
          <w:rFonts w:hint="eastAsia" w:ascii="宋体" w:hAnsi="宋体" w:cs="宋体"/>
          <w:color w:val="auto"/>
          <w:sz w:val="32"/>
          <w:szCs w:val="32"/>
          <w:highlight w:val="none"/>
        </w:rPr>
      </w:pPr>
    </w:p>
    <w:p>
      <w:pPr>
        <w:pStyle w:val="4"/>
        <w:spacing w:line="360" w:lineRule="exact"/>
        <w:jc w:val="center"/>
        <w:rPr>
          <w:rFonts w:hint="eastAsia" w:ascii="宋体" w:hAnsi="宋体" w:cs="宋体"/>
          <w:color w:val="auto"/>
          <w:sz w:val="32"/>
          <w:szCs w:val="32"/>
          <w:highlight w:val="none"/>
        </w:rPr>
      </w:pPr>
    </w:p>
    <w:p>
      <w:pPr>
        <w:pStyle w:val="4"/>
        <w:spacing w:line="36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第四章 响应文件格式</w:t>
      </w:r>
      <w:bookmarkEnd w:id="36"/>
    </w:p>
    <w:p>
      <w:pPr>
        <w:spacing w:line="240" w:lineRule="atLeast"/>
        <w:ind w:firstLine="640"/>
        <w:jc w:val="center"/>
        <w:rPr>
          <w:rFonts w:ascii="宋体" w:hAnsi="宋体" w:cs="宋体"/>
          <w:b/>
          <w:color w:val="auto"/>
          <w:sz w:val="32"/>
          <w:szCs w:val="32"/>
          <w:highlight w:val="none"/>
        </w:rPr>
      </w:pPr>
    </w:p>
    <w:p>
      <w:pPr>
        <w:spacing w:line="240" w:lineRule="atLeast"/>
        <w:ind w:firstLine="640"/>
        <w:jc w:val="center"/>
        <w:rPr>
          <w:rFonts w:ascii="宋体" w:hAnsi="宋体" w:cs="宋体"/>
          <w:b/>
          <w:color w:val="auto"/>
          <w:sz w:val="32"/>
          <w:szCs w:val="32"/>
          <w:highlight w:val="none"/>
        </w:rPr>
      </w:pPr>
    </w:p>
    <w:p>
      <w:pPr>
        <w:spacing w:line="240" w:lineRule="atLeast"/>
        <w:ind w:firstLine="640"/>
        <w:jc w:val="center"/>
        <w:rPr>
          <w:rFonts w:ascii="宋体" w:hAnsi="宋体" w:cs="宋体"/>
          <w:b/>
          <w:color w:val="auto"/>
          <w:sz w:val="32"/>
          <w:szCs w:val="32"/>
          <w:highlight w:val="none"/>
        </w:rPr>
      </w:pPr>
    </w:p>
    <w:p>
      <w:pPr>
        <w:spacing w:line="240" w:lineRule="atLeast"/>
        <w:ind w:firstLine="640"/>
        <w:jc w:val="center"/>
        <w:rPr>
          <w:rFonts w:ascii="宋体" w:hAnsi="宋体" w:cs="宋体"/>
          <w:b/>
          <w:color w:val="auto"/>
          <w:sz w:val="32"/>
          <w:szCs w:val="32"/>
          <w:highlight w:val="none"/>
        </w:rPr>
      </w:pPr>
    </w:p>
    <w:p>
      <w:pPr>
        <w:spacing w:line="240" w:lineRule="atLeast"/>
        <w:ind w:firstLine="640"/>
        <w:jc w:val="center"/>
        <w:rPr>
          <w:rFonts w:ascii="宋体" w:hAnsi="宋体" w:cs="宋体"/>
          <w:b/>
          <w:color w:val="auto"/>
          <w:sz w:val="32"/>
          <w:szCs w:val="32"/>
          <w:highlight w:val="none"/>
        </w:rPr>
      </w:pPr>
    </w:p>
    <w:p>
      <w:pPr>
        <w:spacing w:line="240" w:lineRule="atLeast"/>
        <w:ind w:firstLine="640"/>
        <w:jc w:val="center"/>
        <w:rPr>
          <w:rFonts w:ascii="宋体" w:hAnsi="宋体" w:cs="宋体"/>
          <w:b/>
          <w:color w:val="auto"/>
          <w:sz w:val="32"/>
          <w:szCs w:val="32"/>
          <w:highlight w:val="none"/>
        </w:rPr>
      </w:pPr>
    </w:p>
    <w:p>
      <w:pPr>
        <w:spacing w:line="240" w:lineRule="atLeast"/>
        <w:ind w:firstLine="640"/>
        <w:jc w:val="center"/>
        <w:rPr>
          <w:rFonts w:ascii="宋体" w:hAnsi="宋体" w:cs="宋体"/>
          <w:b/>
          <w:color w:val="auto"/>
          <w:sz w:val="32"/>
          <w:szCs w:val="32"/>
          <w:highlight w:val="none"/>
        </w:rPr>
      </w:pPr>
    </w:p>
    <w:p>
      <w:pPr>
        <w:spacing w:line="240" w:lineRule="atLeast"/>
        <w:ind w:firstLine="640"/>
        <w:jc w:val="center"/>
        <w:rPr>
          <w:rFonts w:ascii="宋体" w:hAnsi="宋体" w:cs="宋体"/>
          <w:b/>
          <w:color w:val="auto"/>
          <w:sz w:val="32"/>
          <w:szCs w:val="32"/>
          <w:highlight w:val="none"/>
        </w:rPr>
      </w:pPr>
    </w:p>
    <w:p>
      <w:pPr>
        <w:snapToGrid w:val="0"/>
        <w:spacing w:before="120" w:beforeLines="50" w:after="50"/>
        <w:ind w:firstLine="420"/>
        <w:outlineLvl w:val="1"/>
        <w:rPr>
          <w:rFonts w:ascii="宋体" w:hAnsi="宋体" w:cs="宋体"/>
          <w:b/>
          <w:bCs/>
          <w:color w:val="auto"/>
          <w:szCs w:val="21"/>
          <w:highlight w:val="none"/>
        </w:rPr>
      </w:pPr>
      <w:r>
        <w:rPr>
          <w:rFonts w:hint="eastAsia" w:ascii="宋体" w:hAnsi="宋体" w:cs="宋体"/>
          <w:b/>
          <w:color w:val="auto"/>
          <w:sz w:val="32"/>
          <w:szCs w:val="32"/>
          <w:highlight w:val="none"/>
        </w:rPr>
        <w:br w:type="page"/>
      </w:r>
    </w:p>
    <w:p>
      <w:pPr>
        <w:snapToGrid w:val="0"/>
        <w:spacing w:before="120" w:beforeLines="50" w:after="50"/>
        <w:ind w:firstLine="420"/>
        <w:rPr>
          <w:rFonts w:ascii="宋体" w:hAnsi="宋体" w:cs="宋体"/>
          <w:b/>
          <w:bCs/>
          <w:color w:val="auto"/>
          <w:szCs w:val="21"/>
          <w:highlight w:val="none"/>
        </w:rPr>
      </w:pPr>
    </w:p>
    <w:p>
      <w:pPr>
        <w:snapToGrid w:val="0"/>
        <w:spacing w:before="120" w:beforeLines="50" w:after="50"/>
        <w:ind w:firstLine="420"/>
        <w:rPr>
          <w:rFonts w:ascii="宋体" w:hAnsi="宋体" w:cs="宋体"/>
          <w:b/>
          <w:bCs/>
          <w:color w:val="auto"/>
          <w:szCs w:val="21"/>
          <w:highlight w:val="none"/>
        </w:rPr>
      </w:pPr>
      <w:r>
        <w:rPr>
          <w:rFonts w:hint="eastAsia" w:ascii="宋体" w:hAnsi="宋体" w:cs="宋体"/>
          <w:b/>
          <w:bCs/>
          <w:color w:val="auto"/>
          <w:szCs w:val="21"/>
          <w:highlight w:val="none"/>
        </w:rPr>
        <w:t>1、资格证明文件格式：</w:t>
      </w:r>
    </w:p>
    <w:p>
      <w:pPr>
        <w:spacing w:line="240" w:lineRule="atLeast"/>
        <w:ind w:firstLine="640"/>
        <w:jc w:val="center"/>
        <w:rPr>
          <w:rFonts w:ascii="宋体" w:hAnsi="宋体" w:cs="宋体"/>
          <w:b/>
          <w:color w:val="auto"/>
          <w:sz w:val="32"/>
          <w:szCs w:val="32"/>
          <w:highlight w:val="none"/>
        </w:rPr>
      </w:pPr>
    </w:p>
    <w:p>
      <w:pPr>
        <w:spacing w:line="240" w:lineRule="atLeast"/>
        <w:ind w:firstLine="640"/>
        <w:jc w:val="center"/>
        <w:rPr>
          <w:rFonts w:ascii="宋体" w:hAnsi="宋体" w:cs="宋体"/>
          <w:b/>
          <w:color w:val="auto"/>
          <w:sz w:val="32"/>
          <w:szCs w:val="32"/>
          <w:highlight w:val="none"/>
        </w:rPr>
      </w:pPr>
    </w:p>
    <w:p>
      <w:pPr>
        <w:snapToGrid w:val="0"/>
        <w:spacing w:before="120"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pPr>
        <w:snapToGrid w:val="0"/>
        <w:spacing w:before="120" w:beforeLines="50" w:after="50" w:line="280" w:lineRule="exact"/>
        <w:ind w:firstLine="9" w:firstLineChars="3"/>
        <w:jc w:val="center"/>
        <w:rPr>
          <w:rFonts w:ascii="宋体" w:hAnsi="宋体" w:cs="宋体"/>
          <w:bCs/>
          <w:color w:val="auto"/>
          <w:sz w:val="32"/>
          <w:szCs w:val="32"/>
          <w:highlight w:val="none"/>
        </w:rPr>
      </w:pPr>
    </w:p>
    <w:p>
      <w:pPr>
        <w:snapToGrid w:val="0"/>
        <w:spacing w:before="120" w:beforeLines="50" w:after="50" w:line="280" w:lineRule="exact"/>
        <w:ind w:firstLine="9" w:firstLineChars="3"/>
        <w:jc w:val="center"/>
        <w:rPr>
          <w:rFonts w:ascii="宋体" w:hAnsi="宋体" w:cs="宋体"/>
          <w:bCs/>
          <w:color w:val="auto"/>
          <w:sz w:val="32"/>
          <w:szCs w:val="32"/>
          <w:highlight w:val="none"/>
        </w:rPr>
      </w:pPr>
    </w:p>
    <w:p>
      <w:pPr>
        <w:snapToGrid w:val="0"/>
        <w:spacing w:before="120" w:beforeLines="50" w:after="50" w:line="280" w:lineRule="exact"/>
        <w:ind w:firstLine="9" w:firstLineChars="3"/>
        <w:jc w:val="center"/>
        <w:rPr>
          <w:rFonts w:ascii="宋体" w:hAnsi="宋体" w:cs="宋体"/>
          <w:bCs/>
          <w:color w:val="auto"/>
          <w:sz w:val="32"/>
          <w:szCs w:val="32"/>
          <w:highlight w:val="none"/>
        </w:rPr>
      </w:pPr>
    </w:p>
    <w:p>
      <w:pPr>
        <w:snapToGrid w:val="0"/>
        <w:spacing w:before="120"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pPr>
        <w:snapToGrid w:val="0"/>
        <w:spacing w:before="120"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（资格证明文件）</w:t>
      </w:r>
    </w:p>
    <w:p>
      <w:pPr>
        <w:snapToGrid w:val="0"/>
        <w:spacing w:before="120" w:beforeLines="50" w:after="50"/>
        <w:ind w:firstLine="422"/>
        <w:rPr>
          <w:rFonts w:ascii="宋体" w:hAnsi="宋体" w:cs="宋体"/>
          <w:bCs/>
          <w:color w:val="auto"/>
          <w:szCs w:val="21"/>
          <w:highlight w:val="none"/>
        </w:rPr>
      </w:pPr>
    </w:p>
    <w:p>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pPr>
        <w:snapToGrid w:val="0"/>
        <w:spacing w:before="120" w:beforeLines="50" w:after="50" w:line="280" w:lineRule="exact"/>
        <w:ind w:firstLine="675" w:firstLineChars="225"/>
        <w:rPr>
          <w:rFonts w:ascii="宋体" w:hAnsi="宋体" w:cs="宋体"/>
          <w:bCs/>
          <w:color w:val="auto"/>
          <w:sz w:val="30"/>
          <w:szCs w:val="30"/>
          <w:highlight w:val="none"/>
        </w:rPr>
      </w:pPr>
    </w:p>
    <w:p>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pPr>
        <w:snapToGrid w:val="0"/>
        <w:spacing w:before="120" w:beforeLines="50" w:after="50" w:line="280" w:lineRule="exact"/>
        <w:ind w:firstLine="675" w:firstLineChars="225"/>
        <w:rPr>
          <w:rFonts w:ascii="宋体" w:hAnsi="宋体" w:cs="宋体"/>
          <w:bCs/>
          <w:color w:val="auto"/>
          <w:sz w:val="30"/>
          <w:szCs w:val="30"/>
          <w:highlight w:val="none"/>
        </w:rPr>
      </w:pPr>
    </w:p>
    <w:p>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pPr>
        <w:snapToGrid w:val="0"/>
        <w:spacing w:before="120" w:beforeLines="50" w:after="50" w:line="280" w:lineRule="exact"/>
        <w:ind w:firstLine="675" w:firstLineChars="225"/>
        <w:rPr>
          <w:rFonts w:ascii="宋体" w:hAnsi="宋体" w:cs="宋体"/>
          <w:bCs/>
          <w:color w:val="auto"/>
          <w:sz w:val="30"/>
          <w:szCs w:val="30"/>
          <w:highlight w:val="none"/>
        </w:rPr>
      </w:pPr>
    </w:p>
    <w:p>
      <w:pPr>
        <w:pStyle w:val="11"/>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pPr>
        <w:pStyle w:val="11"/>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pPr>
        <w:pStyle w:val="11"/>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pPr>
        <w:pStyle w:val="11"/>
        <w:snapToGrid w:val="0"/>
        <w:spacing w:before="50" w:after="50" w:line="280" w:lineRule="exact"/>
        <w:ind w:firstLine="675" w:firstLineChars="225"/>
        <w:rPr>
          <w:rFonts w:ascii="宋体" w:hAnsi="宋体" w:cs="宋体"/>
          <w:bCs/>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pPr>
        <w:snapToGrid w:val="0"/>
        <w:spacing w:before="50" w:after="50"/>
        <w:ind w:firstLine="420"/>
        <w:rPr>
          <w:rFonts w:ascii="宋体" w:hAnsi="宋体" w:cs="宋体"/>
          <w:b/>
          <w:color w:val="auto"/>
          <w:szCs w:val="21"/>
          <w:highlight w:val="none"/>
        </w:rPr>
      </w:pPr>
    </w:p>
    <w:p>
      <w:pPr>
        <w:snapToGrid w:val="0"/>
        <w:spacing w:before="120" w:beforeLines="50" w:after="50" w:line="330" w:lineRule="exact"/>
        <w:ind w:firstLine="420"/>
        <w:jc w:val="center"/>
        <w:rPr>
          <w:rFonts w:ascii="宋体" w:hAnsi="宋体" w:cs="宋体"/>
          <w:b/>
          <w:color w:val="auto"/>
          <w:szCs w:val="21"/>
          <w:highlight w:val="none"/>
        </w:rPr>
      </w:pPr>
      <w:r>
        <w:rPr>
          <w:rFonts w:hint="eastAsia" w:ascii="宋体" w:hAnsi="宋体" w:cs="宋体"/>
          <w:b/>
          <w:color w:val="auto"/>
          <w:szCs w:val="21"/>
          <w:highlight w:val="none"/>
        </w:rPr>
        <w:br w:type="page"/>
      </w:r>
    </w:p>
    <w:p>
      <w:pPr>
        <w:snapToGrid w:val="0"/>
        <w:spacing w:before="120" w:beforeLines="50" w:after="50" w:line="330" w:lineRule="exact"/>
        <w:ind w:firstLine="420"/>
        <w:jc w:val="center"/>
        <w:rPr>
          <w:rFonts w:ascii="宋体" w:hAnsi="宋体" w:cs="宋体"/>
          <w:b/>
          <w:color w:val="auto"/>
          <w:szCs w:val="21"/>
          <w:highlight w:val="none"/>
        </w:rPr>
      </w:pPr>
    </w:p>
    <w:p>
      <w:pPr>
        <w:snapToGrid w:val="0"/>
        <w:spacing w:before="120" w:beforeLines="50" w:after="50" w:line="330" w:lineRule="exact"/>
        <w:ind w:firstLine="880"/>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pPr>
        <w:snapToGrid w:val="0"/>
        <w:spacing w:before="120" w:beforeLines="50" w:after="50" w:line="330" w:lineRule="exact"/>
        <w:ind w:firstLine="562"/>
        <w:jc w:val="center"/>
        <w:rPr>
          <w:rFonts w:ascii="宋体" w:hAnsi="宋体" w:cs="宋体"/>
          <w:color w:val="auto"/>
          <w:sz w:val="28"/>
          <w:szCs w:val="28"/>
          <w:highlight w:val="none"/>
        </w:rPr>
      </w:pPr>
    </w:p>
    <w:p>
      <w:pPr>
        <w:spacing w:line="320" w:lineRule="exact"/>
        <w:ind w:firstLine="422"/>
        <w:jc w:val="center"/>
        <w:rPr>
          <w:rFonts w:ascii="宋体" w:hAnsi="宋体"/>
          <w:bCs/>
          <w:color w:val="auto"/>
          <w:szCs w:val="21"/>
          <w:highlight w:val="none"/>
        </w:rPr>
      </w:pPr>
      <w:r>
        <w:rPr>
          <w:rFonts w:hint="eastAsia" w:ascii="宋体" w:hAnsi="宋体"/>
          <w:bCs/>
          <w:color w:val="auto"/>
          <w:szCs w:val="21"/>
          <w:highlight w:val="none"/>
        </w:rPr>
        <w:t>(供应商需根据投标文件自行编制目录及页码)</w:t>
      </w:r>
    </w:p>
    <w:p>
      <w:pPr>
        <w:tabs>
          <w:tab w:val="left" w:pos="2625"/>
        </w:tabs>
        <w:spacing w:line="360" w:lineRule="auto"/>
        <w:ind w:firstLine="420"/>
        <w:jc w:val="left"/>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一、磋商声明书格式</w:t>
      </w:r>
    </w:p>
    <w:p>
      <w:pPr>
        <w:spacing w:line="320" w:lineRule="exact"/>
        <w:ind w:firstLine="640"/>
        <w:jc w:val="center"/>
        <w:rPr>
          <w:rFonts w:ascii="宋体" w:hAnsi="宋体" w:cs="宋体"/>
          <w:b/>
          <w:color w:val="auto"/>
          <w:sz w:val="32"/>
          <w:szCs w:val="32"/>
          <w:highlight w:val="none"/>
        </w:rPr>
      </w:pPr>
      <w:r>
        <w:rPr>
          <w:rFonts w:hint="eastAsia" w:ascii="宋体" w:hAnsi="宋体" w:cs="宋体"/>
          <w:b/>
          <w:color w:val="auto"/>
          <w:sz w:val="32"/>
          <w:szCs w:val="32"/>
          <w:highlight w:val="none"/>
        </w:rPr>
        <w:t>磋商声明书</w:t>
      </w:r>
    </w:p>
    <w:p>
      <w:pPr>
        <w:spacing w:line="320" w:lineRule="exact"/>
        <w:ind w:firstLine="640"/>
        <w:jc w:val="center"/>
        <w:rPr>
          <w:rFonts w:ascii="宋体" w:hAnsi="宋体" w:cs="宋体"/>
          <w:b/>
          <w:color w:val="auto"/>
          <w:sz w:val="32"/>
          <w:szCs w:val="32"/>
          <w:highlight w:val="none"/>
        </w:rPr>
      </w:pPr>
    </w:p>
    <w:p>
      <w:pPr>
        <w:pStyle w:val="27"/>
        <w:ind w:firstLine="422"/>
        <w:rPr>
          <w:color w:val="auto"/>
          <w:highlight w:val="none"/>
        </w:rPr>
      </w:pPr>
      <w:r>
        <w:rPr>
          <w:rFonts w:hint="eastAsia"/>
          <w:color w:val="auto"/>
          <w:highlight w:val="none"/>
        </w:rPr>
        <w:t>致：（采购人单位名称）：</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我方向贵方提交的所有响应文件、资料都是准确的和真实的。</w:t>
      </w:r>
    </w:p>
    <w:p>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在此，我方宣布同意如下：</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）将按磋商文件的约定履行合同责任和义务；</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）已详细审查全部磋商文件，包括澄清或者更正公告（如有）；</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）同意提供按照贵方可能要求的与谈判有关的一切数据或者资料；</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）响应磋商文件规定的响应文件有效期。</w:t>
      </w:r>
    </w:p>
    <w:p>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我方承诺符合《中华人民共和国政府采购法》第二十二条规定：</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）具有独立承担民事责任的能力；</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）具有良好的商业信誉和健全的财务会计制度；</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）具有履行合同所必需的设备和专业技术能力；</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）有依法缴纳税收和社会保障资金的良好记录；</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）参加政府采购活动前三年内，在经营活动中没有重大违法记录；</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6</w:t>
      </w:r>
      <w:r>
        <w:rPr>
          <w:rFonts w:hint="eastAsia" w:ascii="宋体" w:hAnsi="宋体" w:cs="宋体"/>
          <w:color w:val="auto"/>
          <w:szCs w:val="21"/>
          <w:highlight w:val="none"/>
        </w:rPr>
        <w:t>）法律、行政法规规定的其他条件。</w:t>
      </w:r>
    </w:p>
    <w:p>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如均未选择则视为同意将合同进行公示）</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□我方本次响应文件内容中未涉及商业秘密；</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□我方本次响应文件涉及商业秘密的内容有：</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以上事项如有虚假或者隐瞒，我方愿意承担一切后果，并不再寻求任何旨在减轻或者免除法律责任的辩解。</w:t>
      </w:r>
    </w:p>
    <w:p>
      <w:pPr>
        <w:pStyle w:val="27"/>
        <w:ind w:firstLine="422"/>
        <w:rPr>
          <w:color w:val="auto"/>
          <w:highlight w:val="none"/>
        </w:rPr>
      </w:pPr>
      <w:r>
        <w:rPr>
          <w:rFonts w:hint="eastAsia"/>
          <w:color w:val="auto"/>
          <w:highlight w:val="none"/>
        </w:rPr>
        <w:t>供应商名称（电子签章）：</w:t>
      </w:r>
    </w:p>
    <w:p>
      <w:pPr>
        <w:snapToGrid w:val="0"/>
        <w:spacing w:before="50" w:after="50"/>
        <w:ind w:left="-6" w:leftChars="-3" w:right="-817" w:rightChars="-389" w:firstLine="6720" w:firstLineChars="3200"/>
        <w:rPr>
          <w:rFonts w:ascii="宋体" w:hAnsi="宋体" w:cs="宋体"/>
          <w:color w:val="auto"/>
          <w:szCs w:val="21"/>
          <w:highlight w:val="none"/>
        </w:rPr>
      </w:pPr>
      <w:r>
        <w:rPr>
          <w:rFonts w:hint="eastAsia" w:ascii="宋体" w:hAnsi="宋体" w:cs="宋体"/>
          <w:color w:val="auto"/>
          <w:szCs w:val="21"/>
          <w:highlight w:val="none"/>
        </w:rPr>
        <w:t>日期：    年   月   日</w:t>
      </w:r>
    </w:p>
    <w:p>
      <w:pPr>
        <w:spacing w:line="360" w:lineRule="auto"/>
        <w:ind w:firstLine="363" w:firstLineChars="202"/>
        <w:rPr>
          <w:color w:val="auto"/>
          <w:sz w:val="18"/>
          <w:szCs w:val="18"/>
          <w:highlight w:val="none"/>
        </w:rPr>
      </w:pPr>
      <w:r>
        <w:rPr>
          <w:rFonts w:hint="eastAsia"/>
          <w:color w:val="auto"/>
          <w:sz w:val="18"/>
          <w:szCs w:val="18"/>
          <w:highlight w:val="none"/>
        </w:rPr>
        <w:t>说明：</w:t>
      </w:r>
    </w:p>
    <w:p>
      <w:pPr>
        <w:spacing w:line="360" w:lineRule="auto"/>
        <w:ind w:firstLine="363" w:firstLineChars="202"/>
        <w:rPr>
          <w:color w:val="auto"/>
          <w:sz w:val="18"/>
          <w:szCs w:val="18"/>
          <w:highlight w:val="none"/>
        </w:rPr>
      </w:pPr>
      <w:r>
        <w:rPr>
          <w:color w:val="auto"/>
          <w:sz w:val="18"/>
          <w:szCs w:val="18"/>
          <w:highlight w:val="none"/>
        </w:rPr>
        <w:t>1.</w:t>
      </w:r>
      <w:r>
        <w:rPr>
          <w:rFonts w:hint="eastAsia"/>
          <w:color w:val="auto"/>
          <w:sz w:val="18"/>
          <w:szCs w:val="18"/>
          <w:highlight w:val="none"/>
        </w:rPr>
        <w:t>供应商可以自行通过“信用中国”（</w:t>
      </w:r>
      <w:r>
        <w:rPr>
          <w:color w:val="auto"/>
          <w:sz w:val="18"/>
          <w:szCs w:val="18"/>
          <w:highlight w:val="none"/>
        </w:rPr>
        <w:t>www.creditchina.gov.cn</w:t>
      </w:r>
      <w:r>
        <w:rPr>
          <w:rFonts w:hint="eastAsia"/>
          <w:color w:val="auto"/>
          <w:sz w:val="18"/>
          <w:szCs w:val="18"/>
          <w:highlight w:val="none"/>
        </w:rPr>
        <w:t>）和“中国政府采购网”网站（</w:t>
      </w:r>
      <w:r>
        <w:rPr>
          <w:color w:val="auto"/>
          <w:sz w:val="18"/>
          <w:szCs w:val="18"/>
          <w:highlight w:val="none"/>
        </w:rPr>
        <w:t>www.ccgp.gov.cn</w:t>
      </w:r>
      <w:r>
        <w:rPr>
          <w:rFonts w:hint="eastAsia"/>
          <w:color w:val="auto"/>
          <w:sz w:val="18"/>
          <w:szCs w:val="18"/>
          <w:highlight w:val="none"/>
        </w:rPr>
        <w:t>）查询供应商相关主体的信用记录。查询时间为本项目投标截止时间前</w:t>
      </w:r>
      <w:r>
        <w:rPr>
          <w:color w:val="auto"/>
          <w:sz w:val="18"/>
          <w:szCs w:val="18"/>
          <w:highlight w:val="none"/>
        </w:rPr>
        <w:t>10</w:t>
      </w:r>
      <w:r>
        <w:rPr>
          <w:rFonts w:hint="eastAsia"/>
          <w:color w:val="auto"/>
          <w:sz w:val="18"/>
          <w:szCs w:val="18"/>
          <w:highlight w:val="none"/>
        </w:rPr>
        <w:t>日至投标截止时间中任意一天。在资格审查阶段经采购人或采购代理机构查询，对列入失信被执行人、重大税收违法案件当事人名单、政府采购严重违法失信行为记录名单的供应商，将被拒绝参与本项目政府采购活动。</w:t>
      </w:r>
    </w:p>
    <w:p>
      <w:pPr>
        <w:spacing w:line="360" w:lineRule="auto"/>
        <w:ind w:firstLine="363" w:firstLineChars="202"/>
        <w:rPr>
          <w:color w:val="auto"/>
          <w:sz w:val="18"/>
          <w:szCs w:val="18"/>
          <w:highlight w:val="none"/>
        </w:rPr>
      </w:pPr>
      <w:r>
        <w:rPr>
          <w:color w:val="auto"/>
          <w:sz w:val="18"/>
          <w:szCs w:val="18"/>
          <w:highlight w:val="none"/>
        </w:rPr>
        <w:t>2.</w:t>
      </w:r>
      <w:r>
        <w:rPr>
          <w:rFonts w:hint="eastAsia"/>
          <w:color w:val="auto"/>
          <w:sz w:val="18"/>
          <w:szCs w:val="18"/>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363" w:firstLineChars="202"/>
        <w:rPr>
          <w:color w:val="auto"/>
          <w:sz w:val="18"/>
          <w:szCs w:val="18"/>
          <w:highlight w:val="none"/>
        </w:rPr>
      </w:pPr>
      <w:r>
        <w:rPr>
          <w:color w:val="auto"/>
          <w:sz w:val="18"/>
          <w:szCs w:val="18"/>
          <w:highlight w:val="none"/>
        </w:rPr>
        <w:t>3.</w:t>
      </w:r>
      <w:r>
        <w:rPr>
          <w:rFonts w:hint="eastAsia"/>
          <w:color w:val="auto"/>
          <w:sz w:val="18"/>
          <w:szCs w:val="18"/>
          <w:highlight w:val="none"/>
        </w:rPr>
        <w:t>如为联合体投标，盖章处须加盖联合体各方公章，否则投标无效。</w:t>
      </w:r>
    </w:p>
    <w:p>
      <w:pPr>
        <w:spacing w:line="360" w:lineRule="auto"/>
        <w:ind w:firstLine="480"/>
        <w:rPr>
          <w:rFonts w:hint="eastAsia" w:ascii="宋体" w:hAnsi="宋体"/>
          <w:b/>
          <w:bCs/>
          <w:color w:val="auto"/>
          <w:sz w:val="24"/>
          <w:highlight w:val="none"/>
        </w:rPr>
      </w:pPr>
    </w:p>
    <w:p>
      <w:pPr>
        <w:spacing w:line="360" w:lineRule="auto"/>
        <w:ind w:firstLine="480"/>
        <w:rPr>
          <w:rFonts w:ascii="宋体" w:hAnsi="宋体"/>
          <w:b/>
          <w:bCs/>
          <w:color w:val="auto"/>
          <w:sz w:val="24"/>
          <w:highlight w:val="none"/>
        </w:rPr>
      </w:pPr>
      <w:r>
        <w:rPr>
          <w:rFonts w:hint="eastAsia" w:ascii="宋体" w:hAnsi="宋体"/>
          <w:b/>
          <w:bCs/>
          <w:color w:val="auto"/>
          <w:sz w:val="24"/>
          <w:highlight w:val="none"/>
        </w:rPr>
        <w:t>二、政府采购供应商资格信用承诺函格式</w:t>
      </w:r>
    </w:p>
    <w:p>
      <w:pPr>
        <w:autoSpaceDE w:val="0"/>
        <w:autoSpaceDN w:val="0"/>
        <w:adjustRightInd w:val="0"/>
        <w:spacing w:line="400" w:lineRule="exact"/>
        <w:ind w:firstLine="420"/>
        <w:jc w:val="left"/>
        <w:rPr>
          <w:rFonts w:ascii="宋体" w:hAnsi="宋体" w:cs="宋体"/>
          <w:b/>
          <w:bCs/>
          <w:color w:val="auto"/>
          <w:szCs w:val="21"/>
          <w:highlight w:val="none"/>
        </w:rPr>
      </w:pPr>
    </w:p>
    <w:p>
      <w:pPr>
        <w:autoSpaceDE w:val="0"/>
        <w:autoSpaceDN w:val="0"/>
        <w:adjustRightInd w:val="0"/>
        <w:ind w:firstLine="420"/>
        <w:jc w:val="center"/>
        <w:rPr>
          <w:rFonts w:ascii="宋体" w:hAnsi="宋体" w:cs="宋体"/>
          <w:b/>
          <w:bCs/>
          <w:color w:val="auto"/>
          <w:szCs w:val="21"/>
          <w:highlight w:val="none"/>
        </w:rPr>
      </w:pPr>
      <w:r>
        <w:rPr>
          <w:rFonts w:hint="eastAsia" w:ascii="宋体" w:hAnsi="宋体" w:cs="宋体"/>
          <w:b/>
          <w:bCs/>
          <w:color w:val="auto"/>
          <w:szCs w:val="21"/>
          <w:highlight w:val="none"/>
        </w:rPr>
        <w:t>政府采购供应商资格信用承诺函</w:t>
      </w:r>
    </w:p>
    <w:p>
      <w:pPr>
        <w:pStyle w:val="34"/>
        <w:rPr>
          <w:rFonts w:ascii="宋体" w:hAnsi="宋体" w:cs="宋体"/>
          <w:color w:val="auto"/>
          <w:sz w:val="21"/>
          <w:szCs w:val="21"/>
          <w:highlight w:val="none"/>
        </w:rPr>
      </w:pPr>
    </w:p>
    <w:p>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致：</w:t>
      </w:r>
      <w:r>
        <w:rPr>
          <w:rFonts w:hint="eastAsia" w:ascii="宋体" w:hAnsi="宋体" w:cs="宋体"/>
          <w:color w:val="auto"/>
          <w:spacing w:val="6"/>
          <w:szCs w:val="21"/>
          <w:highlight w:val="none"/>
          <w:u w:val="single"/>
        </w:rPr>
        <w:t>（采购人名称）、（代理机构名称）</w:t>
      </w:r>
      <w:r>
        <w:rPr>
          <w:rFonts w:hint="eastAsia" w:ascii="宋体" w:hAnsi="宋体" w:cs="宋体"/>
          <w:color w:val="auto"/>
          <w:spacing w:val="6"/>
          <w:szCs w:val="21"/>
          <w:highlight w:val="none"/>
        </w:rPr>
        <w:t>：</w:t>
      </w:r>
    </w:p>
    <w:p>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我方自愿参加项目（项目编号：）的政府采购活动，并郑重承诺我方符合《中华人民共和国政府采购法》第二十二条规定的条件： </w:t>
      </w:r>
    </w:p>
    <w:p>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（一）具有独立承担民事责任的能力； </w:t>
      </w:r>
    </w:p>
    <w:p>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（二）具有良好的商业信誉和健全的财务会计制度； </w:t>
      </w:r>
    </w:p>
    <w:p>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（三）具有履行合同所必需的设备和专业技术能力； </w:t>
      </w:r>
    </w:p>
    <w:p>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（四）有依法缴纳税收和社会保障资金的良好记录； </w:t>
      </w:r>
    </w:p>
    <w:p>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（五）参加政府采购活动前三年内，在经营活动中没有重大违法记录； </w:t>
      </w:r>
    </w:p>
    <w:p>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（六）法律、行政法规规定的其他条件。 </w:t>
      </w:r>
    </w:p>
    <w:p>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444"/>
        <w:rPr>
          <w:rFonts w:ascii="宋体" w:hAnsi="宋体" w:cs="宋体"/>
          <w:color w:val="auto"/>
          <w:spacing w:val="6"/>
          <w:szCs w:val="21"/>
          <w:highlight w:val="none"/>
        </w:rPr>
      </w:pPr>
      <w:r>
        <w:rPr>
          <w:rFonts w:hint="eastAsia" w:ascii="宋体" w:hAnsi="宋体" w:cs="宋体"/>
          <w:b/>
          <w:bCs/>
          <w:color w:val="auto"/>
          <w:spacing w:val="6"/>
          <w:szCs w:val="21"/>
          <w:highlight w:val="none"/>
        </w:rPr>
        <w:t>特此声明！</w:t>
      </w:r>
    </w:p>
    <w:p>
      <w:pPr>
        <w:pStyle w:val="43"/>
        <w:spacing w:line="400" w:lineRule="exact"/>
        <w:ind w:firstLine="444"/>
        <w:rPr>
          <w:rFonts w:ascii="宋体" w:hAnsi="宋体" w:cs="宋体"/>
          <w:color w:val="auto"/>
          <w:spacing w:val="6"/>
          <w:szCs w:val="21"/>
          <w:highlight w:val="none"/>
        </w:rPr>
      </w:pPr>
    </w:p>
    <w:p>
      <w:pPr>
        <w:spacing w:line="400" w:lineRule="exact"/>
        <w:ind w:firstLine="422"/>
        <w:rPr>
          <w:rFonts w:ascii="宋体" w:hAnsi="宋体" w:cs="宋体"/>
          <w:color w:val="auto"/>
          <w:szCs w:val="21"/>
          <w:highlight w:val="none"/>
        </w:rPr>
      </w:pPr>
    </w:p>
    <w:p>
      <w:pPr>
        <w:spacing w:line="400" w:lineRule="exact"/>
        <w:ind w:firstLine="422"/>
        <w:jc w:val="center"/>
        <w:rPr>
          <w:rFonts w:ascii="宋体" w:hAnsi="宋体" w:cs="宋体"/>
          <w:color w:val="auto"/>
          <w:szCs w:val="21"/>
          <w:highlight w:val="none"/>
          <w:u w:val="single"/>
        </w:rPr>
      </w:pPr>
      <w:r>
        <w:rPr>
          <w:rFonts w:hint="eastAsia" w:ascii="宋体" w:hAnsi="宋体" w:cs="宋体"/>
          <w:color w:val="auto"/>
          <w:szCs w:val="21"/>
          <w:highlight w:val="none"/>
        </w:rPr>
        <w:t xml:space="preserve">           法定代表人或委托代理人</w:t>
      </w:r>
      <w:r>
        <w:rPr>
          <w:rFonts w:hint="eastAsia" w:ascii="宋体" w:hAnsi="宋体" w:cs="宋体"/>
          <w:b/>
          <w:bCs/>
          <w:color w:val="auto"/>
          <w:szCs w:val="21"/>
          <w:highlight w:val="none"/>
        </w:rPr>
        <w:t>（签字）：</w:t>
      </w:r>
    </w:p>
    <w:p>
      <w:pPr>
        <w:spacing w:line="400" w:lineRule="exact"/>
        <w:ind w:firstLine="422"/>
        <w:jc w:val="center"/>
        <w:rPr>
          <w:rFonts w:ascii="宋体" w:hAnsi="宋体" w:cs="宋体"/>
          <w:color w:val="auto"/>
          <w:szCs w:val="21"/>
          <w:highlight w:val="none"/>
          <w:u w:val="single"/>
        </w:rPr>
      </w:pPr>
    </w:p>
    <w:p>
      <w:pPr>
        <w:pStyle w:val="27"/>
        <w:ind w:firstLine="3780" w:firstLineChars="1800"/>
        <w:rPr>
          <w:color w:val="auto"/>
          <w:highlight w:val="none"/>
        </w:rPr>
      </w:pPr>
      <w:r>
        <w:rPr>
          <w:rFonts w:hint="eastAsia"/>
          <w:color w:val="auto"/>
          <w:highlight w:val="none"/>
        </w:rPr>
        <w:t>政府采购供应商</w:t>
      </w:r>
      <w:r>
        <w:rPr>
          <w:rFonts w:hint="eastAsia"/>
          <w:b/>
          <w:bCs/>
          <w:color w:val="auto"/>
          <w:highlight w:val="none"/>
        </w:rPr>
        <w:t>（CA电子签章）</w:t>
      </w:r>
      <w:r>
        <w:rPr>
          <w:rFonts w:hint="eastAsia"/>
          <w:color w:val="auto"/>
          <w:highlight w:val="none"/>
        </w:rPr>
        <w:t>：</w:t>
      </w:r>
    </w:p>
    <w:p>
      <w:pPr>
        <w:pStyle w:val="27"/>
        <w:ind w:firstLine="422"/>
        <w:rPr>
          <w:color w:val="auto"/>
          <w:highlight w:val="none"/>
        </w:rPr>
      </w:pPr>
    </w:p>
    <w:p>
      <w:pPr>
        <w:pStyle w:val="27"/>
        <w:ind w:firstLine="3780" w:firstLineChars="1800"/>
        <w:rPr>
          <w:color w:val="auto"/>
          <w:highlight w:val="none"/>
        </w:rPr>
      </w:pPr>
      <w:r>
        <w:rPr>
          <w:rFonts w:hint="eastAsia"/>
          <w:color w:val="auto"/>
          <w:highlight w:val="none"/>
        </w:rPr>
        <w:t>日期：       年   月   日</w: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snapToGrid w:val="0"/>
        <w:spacing w:before="120" w:beforeLines="50" w:after="50" w:line="400" w:lineRule="exact"/>
        <w:ind w:firstLine="420"/>
        <w:rPr>
          <w:rFonts w:ascii="宋体" w:hAnsi="宋体" w:cs="宋体"/>
          <w:b/>
          <w:color w:val="auto"/>
          <w:highlight w:val="none"/>
        </w:rPr>
      </w:pPr>
    </w:p>
    <w:p>
      <w:pPr>
        <w:snapToGrid w:val="0"/>
        <w:spacing w:before="120" w:beforeLines="50" w:after="50" w:line="400" w:lineRule="exact"/>
        <w:ind w:firstLine="420"/>
        <w:rPr>
          <w:rFonts w:hint="eastAsia" w:ascii="宋体" w:hAnsi="宋体" w:cs="宋体"/>
          <w:b/>
          <w:color w:val="auto"/>
          <w:highlight w:val="none"/>
        </w:rPr>
      </w:pPr>
    </w:p>
    <w:p>
      <w:pPr>
        <w:snapToGrid w:val="0"/>
        <w:spacing w:before="120" w:beforeLines="50" w:after="50" w:line="400" w:lineRule="exact"/>
        <w:ind w:firstLine="420"/>
        <w:rPr>
          <w:rFonts w:ascii="宋体" w:hAnsi="宋体"/>
          <w:b/>
          <w:bCs/>
          <w:color w:val="auto"/>
          <w:sz w:val="24"/>
          <w:highlight w:val="none"/>
        </w:rPr>
      </w:pPr>
      <w:r>
        <w:rPr>
          <w:rFonts w:hint="eastAsia" w:ascii="宋体" w:hAnsi="宋体" w:cs="宋体"/>
          <w:b/>
          <w:color w:val="auto"/>
          <w:highlight w:val="none"/>
        </w:rPr>
        <w:t>三、供应商直接控股、管理关系信息表格式</w:t>
      </w:r>
    </w:p>
    <w:p>
      <w:pPr>
        <w:snapToGrid w:val="0"/>
        <w:spacing w:before="50" w:after="120" w:afterLines="50"/>
        <w:ind w:firstLine="480"/>
        <w:jc w:val="center"/>
        <w:rPr>
          <w:rFonts w:ascii="宋体" w:hAnsi="宋体"/>
          <w:b/>
          <w:color w:val="auto"/>
          <w:sz w:val="24"/>
          <w:highlight w:val="none"/>
        </w:rPr>
      </w:pPr>
      <w:r>
        <w:rPr>
          <w:rFonts w:hint="eastAsia" w:ascii="宋体" w:hAnsi="宋体"/>
          <w:b/>
          <w:color w:val="auto"/>
          <w:sz w:val="24"/>
          <w:highlight w:val="none"/>
        </w:rPr>
        <w:t>供应商直接控股股东信息表</w:t>
      </w:r>
    </w:p>
    <w:tbl>
      <w:tblPr>
        <w:tblStyle w:val="44"/>
        <w:tblW w:w="9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
        <w:gridCol w:w="2269"/>
        <w:gridCol w:w="1239"/>
        <w:gridCol w:w="372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28"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269"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直接控股股东名称</w:t>
            </w:r>
          </w:p>
        </w:tc>
        <w:tc>
          <w:tcPr>
            <w:tcW w:w="1239"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出资比例</w:t>
            </w:r>
          </w:p>
        </w:tc>
        <w:tc>
          <w:tcPr>
            <w:tcW w:w="3722"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身份证号码或统一社会信用代码</w:t>
            </w:r>
          </w:p>
        </w:tc>
        <w:tc>
          <w:tcPr>
            <w:tcW w:w="1418"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269"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2269"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2269"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pPr>
              <w:widowControl/>
              <w:wordWrap w:val="0"/>
              <w:spacing w:line="360" w:lineRule="auto"/>
              <w:ind w:firstLine="422"/>
              <w:jc w:val="center"/>
              <w:rPr>
                <w:rFonts w:ascii="宋体" w:hAnsi="宋体"/>
                <w:color w:val="auto"/>
                <w:szCs w:val="21"/>
                <w:highlight w:val="none"/>
              </w:rPr>
            </w:pPr>
          </w:p>
        </w:tc>
      </w:tr>
    </w:tbl>
    <w:p>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注：</w:t>
      </w:r>
    </w:p>
    <w:p>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2.本表所指的控股关系仅限于直接控股关系，不包括间接的控股关系。公司实际控制人与公司之间的关系不属于本表所指的直接控股关系。</w:t>
      </w:r>
    </w:p>
    <w:p>
      <w:pPr>
        <w:snapToGrid w:val="0"/>
        <w:spacing w:before="50" w:after="120" w:afterLines="50"/>
        <w:ind w:firstLine="422"/>
        <w:jc w:val="center"/>
        <w:rPr>
          <w:rFonts w:ascii="宋体" w:hAnsi="宋体"/>
          <w:color w:val="auto"/>
          <w:szCs w:val="21"/>
          <w:highlight w:val="none"/>
        </w:rPr>
      </w:pPr>
    </w:p>
    <w:p>
      <w:pPr>
        <w:snapToGrid w:val="0"/>
        <w:spacing w:before="50" w:after="120" w:afterLines="50"/>
        <w:ind w:firstLine="480"/>
        <w:jc w:val="center"/>
        <w:rPr>
          <w:rFonts w:ascii="宋体" w:hAnsi="宋体"/>
          <w:color w:val="auto"/>
          <w:szCs w:val="21"/>
          <w:highlight w:val="none"/>
        </w:rPr>
      </w:pPr>
      <w:r>
        <w:rPr>
          <w:rFonts w:hint="eastAsia" w:ascii="宋体" w:hAnsi="宋体"/>
          <w:b/>
          <w:color w:val="auto"/>
          <w:sz w:val="24"/>
          <w:highlight w:val="none"/>
        </w:rPr>
        <w:t>供应商直接管理关系信息表</w:t>
      </w:r>
    </w:p>
    <w:tbl>
      <w:tblPr>
        <w:tblStyle w:val="44"/>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5"/>
        <w:gridCol w:w="2659"/>
        <w:gridCol w:w="3924"/>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1005"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659"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直接管理关系单位名称</w:t>
            </w:r>
          </w:p>
        </w:tc>
        <w:tc>
          <w:tcPr>
            <w:tcW w:w="3924"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统一社会信用代码</w:t>
            </w:r>
          </w:p>
        </w:tc>
        <w:tc>
          <w:tcPr>
            <w:tcW w:w="2064"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659" w:type="dxa"/>
            <w:tcMar>
              <w:top w:w="120" w:type="dxa"/>
              <w:left w:w="120" w:type="dxa"/>
              <w:bottom w:w="120" w:type="dxa"/>
              <w:right w:w="120" w:type="dxa"/>
            </w:tcMar>
            <w:vAlign w:val="center"/>
          </w:tcPr>
          <w:p>
            <w:pPr>
              <w:widowControl/>
              <w:spacing w:line="360" w:lineRule="auto"/>
              <w:ind w:firstLine="422"/>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pPr>
              <w:widowControl/>
              <w:spacing w:line="360" w:lineRule="auto"/>
              <w:ind w:firstLine="422"/>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pPr>
              <w:widowControl/>
              <w:spacing w:line="360" w:lineRule="auto"/>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2659" w:type="dxa"/>
            <w:tcMar>
              <w:top w:w="120" w:type="dxa"/>
              <w:left w:w="120" w:type="dxa"/>
              <w:bottom w:w="120" w:type="dxa"/>
              <w:right w:w="120" w:type="dxa"/>
            </w:tcMar>
            <w:vAlign w:val="center"/>
          </w:tcPr>
          <w:p>
            <w:pPr>
              <w:widowControl/>
              <w:spacing w:line="360" w:lineRule="auto"/>
              <w:ind w:firstLine="422"/>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pPr>
              <w:widowControl/>
              <w:spacing w:line="360" w:lineRule="auto"/>
              <w:ind w:firstLine="422"/>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pPr>
              <w:widowControl/>
              <w:spacing w:line="360" w:lineRule="auto"/>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pPr>
              <w:widowControl/>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2659" w:type="dxa"/>
            <w:tcMar>
              <w:top w:w="120" w:type="dxa"/>
              <w:left w:w="120" w:type="dxa"/>
              <w:bottom w:w="120" w:type="dxa"/>
              <w:right w:w="120" w:type="dxa"/>
            </w:tcMar>
            <w:vAlign w:val="center"/>
          </w:tcPr>
          <w:p>
            <w:pPr>
              <w:widowControl/>
              <w:spacing w:line="360" w:lineRule="auto"/>
              <w:ind w:firstLine="422"/>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pPr>
              <w:widowControl/>
              <w:spacing w:line="360" w:lineRule="auto"/>
              <w:ind w:firstLine="422"/>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pPr>
              <w:widowControl/>
              <w:spacing w:line="360" w:lineRule="auto"/>
              <w:ind w:firstLine="422"/>
              <w:jc w:val="center"/>
              <w:rPr>
                <w:rFonts w:ascii="宋体" w:hAnsi="宋体"/>
                <w:color w:val="auto"/>
                <w:szCs w:val="21"/>
                <w:highlight w:val="none"/>
              </w:rPr>
            </w:pPr>
          </w:p>
        </w:tc>
      </w:tr>
    </w:tbl>
    <w:p>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注：</w:t>
      </w:r>
    </w:p>
    <w:p>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2.本表所指的管理关系仅限于直接管理关系，不包括间接的管理关系。</w:t>
      </w:r>
    </w:p>
    <w:p>
      <w:pPr>
        <w:pStyle w:val="27"/>
        <w:ind w:firstLine="422"/>
        <w:rPr>
          <w:color w:val="auto"/>
          <w:highlight w:val="none"/>
        </w:rPr>
      </w:pPr>
    </w:p>
    <w:p>
      <w:pPr>
        <w:pStyle w:val="27"/>
        <w:ind w:firstLine="422"/>
        <w:rPr>
          <w:color w:val="auto"/>
          <w:highlight w:val="none"/>
        </w:rPr>
      </w:pP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snapToGrid w:val="0"/>
        <w:spacing w:before="50" w:after="50"/>
        <w:ind w:left="-6" w:leftChars="-3" w:right="-817" w:rightChars="-389" w:firstLine="6720" w:firstLineChars="3200"/>
        <w:rPr>
          <w:rFonts w:ascii="宋体" w:hAnsi="宋体" w:cs="宋体"/>
          <w:color w:val="auto"/>
          <w:szCs w:val="21"/>
          <w:highlight w:val="none"/>
        </w:rPr>
      </w:pPr>
    </w:p>
    <w:p>
      <w:pPr>
        <w:snapToGrid w:val="0"/>
        <w:spacing w:before="50" w:after="50"/>
        <w:ind w:left="-6" w:leftChars="-3" w:right="-817" w:rightChars="-389" w:firstLine="6720" w:firstLineChars="3200"/>
        <w:rPr>
          <w:rFonts w:ascii="宋体" w:hAnsi="宋体" w:cs="宋体"/>
          <w:color w:val="auto"/>
          <w:szCs w:val="21"/>
          <w:highlight w:val="none"/>
        </w:rPr>
      </w:pPr>
    </w:p>
    <w:p>
      <w:pPr>
        <w:spacing w:line="360" w:lineRule="exact"/>
        <w:ind w:firstLine="480"/>
        <w:rPr>
          <w:rFonts w:ascii="宋体" w:hAnsi="宋体"/>
          <w:b/>
          <w:color w:val="auto"/>
          <w:sz w:val="24"/>
          <w:szCs w:val="20"/>
          <w:highlight w:val="none"/>
        </w:rPr>
      </w:pPr>
    </w:p>
    <w:p>
      <w:pPr>
        <w:spacing w:line="360" w:lineRule="exact"/>
        <w:ind w:firstLine="480"/>
        <w:rPr>
          <w:rFonts w:ascii="宋体" w:hAnsi="宋体"/>
          <w:b/>
          <w:color w:val="auto"/>
          <w:sz w:val="24"/>
          <w:szCs w:val="20"/>
          <w:highlight w:val="none"/>
        </w:rPr>
      </w:pPr>
    </w:p>
    <w:p>
      <w:pPr>
        <w:spacing w:line="360" w:lineRule="exact"/>
        <w:ind w:firstLine="480"/>
        <w:rPr>
          <w:rFonts w:ascii="宋体" w:hAnsi="宋体"/>
          <w:b/>
          <w:color w:val="auto"/>
          <w:sz w:val="24"/>
          <w:szCs w:val="20"/>
          <w:highlight w:val="none"/>
        </w:rPr>
      </w:pPr>
    </w:p>
    <w:p>
      <w:pPr>
        <w:spacing w:line="360" w:lineRule="exact"/>
        <w:ind w:firstLine="420"/>
        <w:rPr>
          <w:rFonts w:ascii="宋体" w:hAnsi="宋体"/>
          <w:b/>
          <w:color w:val="auto"/>
          <w:sz w:val="24"/>
          <w:szCs w:val="20"/>
          <w:highlight w:val="none"/>
        </w:rPr>
      </w:pPr>
      <w:r>
        <w:rPr>
          <w:rFonts w:hint="eastAsia" w:ascii="宋体" w:hAnsi="宋体" w:cs="宋体"/>
          <w:b/>
          <w:color w:val="auto"/>
          <w:highlight w:val="none"/>
        </w:rPr>
        <w:t>四、</w:t>
      </w:r>
      <w:r>
        <w:rPr>
          <w:rFonts w:hint="eastAsia" w:ascii="宋体" w:hAnsi="宋体"/>
          <w:b/>
          <w:color w:val="auto"/>
          <w:sz w:val="24"/>
          <w:szCs w:val="20"/>
          <w:highlight w:val="none"/>
        </w:rPr>
        <w:t>中小企业声明函格式</w:t>
      </w:r>
    </w:p>
    <w:p>
      <w:pPr>
        <w:spacing w:line="360" w:lineRule="exact"/>
        <w:ind w:firstLine="420"/>
        <w:jc w:val="center"/>
        <w:rPr>
          <w:rFonts w:ascii="宋体" w:hAnsi="宋体"/>
          <w:b/>
          <w:color w:val="auto"/>
          <w:szCs w:val="21"/>
          <w:highlight w:val="none"/>
        </w:rPr>
      </w:pPr>
      <w:r>
        <w:rPr>
          <w:rFonts w:hint="eastAsia" w:ascii="宋体" w:hAnsi="宋体"/>
          <w:b/>
          <w:color w:val="auto"/>
          <w:szCs w:val="21"/>
          <w:highlight w:val="none"/>
        </w:rPr>
        <w:t>中小企业声明函</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说明：</w:t>
      </w:r>
    </w:p>
    <w:p>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、本声明函主要供参加政府采购活动的中小企业填写，非中小企业无需填写。</w:t>
      </w:r>
    </w:p>
    <w:p>
      <w:pPr>
        <w:spacing w:line="360" w:lineRule="exact"/>
        <w:ind w:firstLine="420" w:firstLineChars="200"/>
        <w:rPr>
          <w:rFonts w:ascii="宋体" w:hAnsi="宋体"/>
          <w:color w:val="auto"/>
          <w:szCs w:val="21"/>
          <w:highlight w:val="none"/>
        </w:rPr>
      </w:pPr>
    </w:p>
    <w:p>
      <w:pPr>
        <w:spacing w:line="360" w:lineRule="exact"/>
        <w:ind w:firstLine="420" w:firstLineChars="200"/>
        <w:rPr>
          <w:rFonts w:ascii="宋体" w:hAnsi="宋体"/>
          <w:color w:val="auto"/>
          <w:szCs w:val="21"/>
          <w:highlight w:val="none"/>
        </w:rPr>
      </w:pP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本公司（联合体）郑重声明，根据《政府采购促进中小企业发展管理办法》（财库﹝</w:t>
      </w:r>
      <w:r>
        <w:rPr>
          <w:rFonts w:ascii="宋体" w:hAnsi="宋体"/>
          <w:color w:val="auto"/>
          <w:szCs w:val="21"/>
          <w:highlight w:val="none"/>
        </w:rPr>
        <w:t>2020</w:t>
      </w:r>
      <w:r>
        <w:rPr>
          <w:rFonts w:hint="eastAsia" w:ascii="宋体" w:hAnsi="宋体"/>
          <w:color w:val="auto"/>
          <w:szCs w:val="21"/>
          <w:highlight w:val="none"/>
        </w:rPr>
        <w:t>﹞</w:t>
      </w:r>
      <w:r>
        <w:rPr>
          <w:rFonts w:ascii="宋体" w:hAnsi="宋体"/>
          <w:color w:val="auto"/>
          <w:szCs w:val="21"/>
          <w:highlight w:val="none"/>
        </w:rPr>
        <w:t>46</w:t>
      </w:r>
      <w:r>
        <w:rPr>
          <w:rFonts w:hint="eastAsia" w:ascii="宋体" w:hAnsi="宋体"/>
          <w:color w:val="auto"/>
          <w:szCs w:val="21"/>
          <w:highlight w:val="none"/>
        </w:rPr>
        <w:t>号）的规定，本公司（联合体）参加</w:t>
      </w:r>
      <w:r>
        <w:rPr>
          <w:rFonts w:hint="eastAsia" w:ascii="宋体" w:hAnsi="宋体"/>
          <w:color w:val="auto"/>
          <w:szCs w:val="21"/>
          <w:highlight w:val="none"/>
          <w:u w:val="single"/>
        </w:rPr>
        <w:t xml:space="preserve">    （单位名称）   </w:t>
      </w:r>
      <w:r>
        <w:rPr>
          <w:rFonts w:hint="eastAsia" w:ascii="宋体" w:hAnsi="宋体"/>
          <w:color w:val="auto"/>
          <w:szCs w:val="21"/>
          <w:highlight w:val="none"/>
        </w:rPr>
        <w:t>的</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采购活动，服务全部由符合政策要求的中小企业承接。相关企业（含联合体中的中小企业、签订分包意向协议的中小企业）的具体情况如下：</w:t>
      </w:r>
    </w:p>
    <w:p>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行业；承接企业为（企业名称）；从业人员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pPr>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行业；承接企业为（企业名称）；从业人员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以上企业，不属于大企业的分支机构，不存在控股股东为大企业的情形，也不存在与大企业的负责人为同一人的情形。</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本企业对上述声明内容的真实性负责。如有虚假，将依法承担相应责任。</w:t>
      </w:r>
    </w:p>
    <w:p>
      <w:pPr>
        <w:spacing w:line="360" w:lineRule="exact"/>
        <w:ind w:firstLine="3150" w:firstLineChars="1500"/>
        <w:rPr>
          <w:rFonts w:ascii="宋体" w:hAnsi="宋体"/>
          <w:color w:val="auto"/>
          <w:szCs w:val="21"/>
          <w:highlight w:val="none"/>
        </w:rPr>
      </w:pP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w:t>
      </w:r>
      <w:r>
        <w:rPr>
          <w:rFonts w:ascii="宋体" w:hAnsi="宋体"/>
          <w:color w:val="auto"/>
          <w:szCs w:val="21"/>
          <w:highlight w:val="none"/>
        </w:rPr>
        <w:t>(</w:t>
      </w:r>
      <w:r>
        <w:rPr>
          <w:rFonts w:hint="eastAsia" w:ascii="宋体" w:hAnsi="宋体"/>
          <w:color w:val="auto"/>
          <w:szCs w:val="21"/>
          <w:highlight w:val="none"/>
        </w:rPr>
        <w:t>电子签章</w:t>
      </w:r>
      <w:r>
        <w:rPr>
          <w:rFonts w:ascii="宋体" w:hAnsi="宋体"/>
          <w:color w:val="auto"/>
          <w:szCs w:val="21"/>
          <w:highlight w:val="none"/>
        </w:rPr>
        <w:t>)</w:t>
      </w:r>
      <w:r>
        <w:rPr>
          <w:rFonts w:hint="eastAsia" w:ascii="宋体" w:hAnsi="宋体"/>
          <w:color w:val="auto"/>
          <w:szCs w:val="21"/>
          <w:highlight w:val="none"/>
        </w:rPr>
        <w:t>：</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日期：年月日</w:t>
      </w:r>
    </w:p>
    <w:p>
      <w:pPr>
        <w:spacing w:line="360" w:lineRule="exact"/>
        <w:ind w:firstLine="420" w:firstLineChars="200"/>
        <w:rPr>
          <w:rFonts w:ascii="宋体" w:hAnsi="宋体"/>
          <w:color w:val="auto"/>
          <w:szCs w:val="21"/>
          <w:highlight w:val="none"/>
        </w:rPr>
      </w:pPr>
    </w:p>
    <w:p>
      <w:pPr>
        <w:spacing w:line="360" w:lineRule="exact"/>
        <w:ind w:firstLine="420" w:firstLineChars="200"/>
        <w:rPr>
          <w:rFonts w:ascii="宋体" w:hAnsi="宋体"/>
          <w:color w:val="auto"/>
          <w:szCs w:val="21"/>
          <w:highlight w:val="none"/>
        </w:rPr>
      </w:pPr>
    </w:p>
    <w:p>
      <w:pPr>
        <w:spacing w:line="360" w:lineRule="exact"/>
        <w:ind w:firstLine="420" w:firstLineChars="200"/>
        <w:rPr>
          <w:rFonts w:ascii="宋体" w:hAnsi="宋体"/>
          <w:color w:val="auto"/>
          <w:szCs w:val="21"/>
          <w:highlight w:val="none"/>
        </w:rPr>
      </w:pP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注：</w:t>
      </w:r>
    </w:p>
    <w:p>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、从业人员、营业收入、资产总额填报上一年度数据，无上一年度数据的新成立企业可不填报。</w:t>
      </w:r>
    </w:p>
    <w:p>
      <w:pPr>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、请根据自己的真实情况出具《中小企业声明函》。依法享受中小企业优惠政策的，采购人或者采购代理机构在公告中标结果时，同时公告其《中小企业声明函》，接受社会监督。</w:t>
      </w:r>
    </w:p>
    <w:p>
      <w:pPr>
        <w:snapToGrid w:val="0"/>
        <w:spacing w:before="50" w:after="50" w:line="240" w:lineRule="exact"/>
        <w:ind w:firstLine="360" w:firstLineChars="200"/>
        <w:jc w:val="left"/>
        <w:rPr>
          <w:rFonts w:ascii="宋体" w:hAnsi="宋体"/>
          <w:color w:val="auto"/>
          <w:sz w:val="18"/>
          <w:szCs w:val="18"/>
          <w:highlight w:val="none"/>
        </w:rPr>
      </w:pPr>
    </w:p>
    <w:p>
      <w:pPr>
        <w:snapToGrid w:val="0"/>
        <w:spacing w:before="50" w:after="50" w:line="240" w:lineRule="exact"/>
        <w:ind w:firstLine="360" w:firstLineChars="200"/>
        <w:jc w:val="left"/>
        <w:rPr>
          <w:rFonts w:ascii="宋体" w:hAnsi="宋体"/>
          <w:color w:val="auto"/>
          <w:sz w:val="18"/>
          <w:szCs w:val="18"/>
          <w:highlight w:val="none"/>
        </w:rPr>
      </w:pPr>
    </w:p>
    <w:p>
      <w:pPr>
        <w:snapToGrid w:val="0"/>
        <w:spacing w:before="50" w:after="50" w:line="240" w:lineRule="exact"/>
        <w:ind w:firstLine="361"/>
        <w:jc w:val="left"/>
        <w:rPr>
          <w:rFonts w:ascii="宋体" w:hAnsi="宋体"/>
          <w:color w:val="auto"/>
          <w:sz w:val="18"/>
          <w:szCs w:val="18"/>
          <w:highlight w:val="none"/>
        </w:rPr>
      </w:pPr>
    </w:p>
    <w:p>
      <w:pPr>
        <w:snapToGrid w:val="0"/>
        <w:spacing w:before="50" w:after="50" w:line="240" w:lineRule="exact"/>
        <w:ind w:firstLine="361"/>
        <w:jc w:val="left"/>
        <w:rPr>
          <w:rFonts w:ascii="宋体" w:hAnsi="宋体"/>
          <w:color w:val="auto"/>
          <w:sz w:val="18"/>
          <w:szCs w:val="18"/>
          <w:highlight w:val="none"/>
        </w:rPr>
      </w:pPr>
    </w:p>
    <w:p>
      <w:pPr>
        <w:tabs>
          <w:tab w:val="left" w:pos="4860"/>
        </w:tabs>
        <w:spacing w:line="360" w:lineRule="exact"/>
        <w:ind w:right="1560" w:firstLine="420" w:firstLineChars="200"/>
        <w:jc w:val="center"/>
        <w:rPr>
          <w:rFonts w:ascii="宋体" w:hAnsi="宋体"/>
          <w:color w:val="auto"/>
          <w:szCs w:val="21"/>
          <w:highlight w:val="none"/>
        </w:rPr>
      </w:pPr>
    </w:p>
    <w:p>
      <w:pPr>
        <w:tabs>
          <w:tab w:val="left" w:pos="4860"/>
        </w:tabs>
        <w:spacing w:line="360" w:lineRule="exact"/>
        <w:ind w:right="1560" w:firstLine="420" w:firstLineChars="200"/>
        <w:jc w:val="center"/>
        <w:rPr>
          <w:rFonts w:ascii="宋体" w:hAnsi="宋体"/>
          <w:color w:val="auto"/>
          <w:szCs w:val="21"/>
          <w:highlight w:val="none"/>
        </w:rPr>
      </w:pPr>
    </w:p>
    <w:p>
      <w:pPr>
        <w:tabs>
          <w:tab w:val="left" w:pos="4860"/>
        </w:tabs>
        <w:spacing w:line="360" w:lineRule="exact"/>
        <w:ind w:right="1560" w:firstLine="420" w:firstLineChars="200"/>
        <w:jc w:val="center"/>
        <w:rPr>
          <w:rFonts w:ascii="宋体" w:hAnsi="宋体"/>
          <w:color w:val="auto"/>
          <w:szCs w:val="21"/>
          <w:highlight w:val="none"/>
        </w:rPr>
      </w:pPr>
    </w:p>
    <w:p>
      <w:pPr>
        <w:tabs>
          <w:tab w:val="left" w:pos="4860"/>
        </w:tabs>
        <w:spacing w:line="360" w:lineRule="exact"/>
        <w:ind w:right="1560" w:firstLine="420" w:firstLineChars="200"/>
        <w:jc w:val="center"/>
        <w:rPr>
          <w:rFonts w:ascii="宋体" w:hAnsi="宋体"/>
          <w:color w:val="auto"/>
          <w:szCs w:val="21"/>
          <w:highlight w:val="none"/>
        </w:rPr>
      </w:pPr>
    </w:p>
    <w:p>
      <w:pPr>
        <w:tabs>
          <w:tab w:val="left" w:pos="4860"/>
        </w:tabs>
        <w:spacing w:line="360" w:lineRule="exact"/>
        <w:ind w:right="1560" w:firstLine="420" w:firstLineChars="200"/>
        <w:jc w:val="center"/>
        <w:rPr>
          <w:rFonts w:ascii="宋体" w:hAnsi="宋体"/>
          <w:color w:val="auto"/>
          <w:szCs w:val="21"/>
          <w:highlight w:val="none"/>
        </w:rPr>
      </w:pPr>
    </w:p>
    <w:p>
      <w:pPr>
        <w:tabs>
          <w:tab w:val="left" w:pos="4860"/>
        </w:tabs>
        <w:spacing w:line="360" w:lineRule="exact"/>
        <w:ind w:right="1560" w:firstLine="420" w:firstLineChars="200"/>
        <w:jc w:val="center"/>
        <w:rPr>
          <w:rFonts w:ascii="宋体" w:hAnsi="宋体"/>
          <w:color w:val="auto"/>
          <w:szCs w:val="21"/>
          <w:highlight w:val="none"/>
        </w:rPr>
      </w:pPr>
    </w:p>
    <w:p>
      <w:pPr>
        <w:tabs>
          <w:tab w:val="left" w:pos="4860"/>
        </w:tabs>
        <w:spacing w:line="360" w:lineRule="exact"/>
        <w:ind w:right="1560" w:firstLine="420" w:firstLineChars="200"/>
        <w:jc w:val="center"/>
        <w:rPr>
          <w:rFonts w:ascii="宋体" w:hAnsi="宋体"/>
          <w:color w:val="auto"/>
          <w:szCs w:val="21"/>
          <w:highlight w:val="none"/>
        </w:rPr>
      </w:pPr>
    </w:p>
    <w:p>
      <w:pPr>
        <w:spacing w:line="588" w:lineRule="exact"/>
        <w:ind w:firstLine="420"/>
        <w:jc w:val="left"/>
        <w:rPr>
          <w:rFonts w:hint="eastAsia" w:ascii="宋体" w:hAnsi="宋体" w:cs="宋体"/>
          <w:b/>
          <w:color w:val="auto"/>
          <w:highlight w:val="none"/>
        </w:rPr>
      </w:pPr>
      <w:bookmarkStart w:id="37" w:name="OLE_LINK14"/>
      <w:bookmarkStart w:id="38" w:name="OLE_LINK13"/>
    </w:p>
    <w:p>
      <w:pPr>
        <w:spacing w:line="588" w:lineRule="exact"/>
        <w:ind w:firstLine="420"/>
        <w:jc w:val="left"/>
        <w:rPr>
          <w:rFonts w:ascii="仿宋_GB2312" w:eastAsia="仿宋_GB2312"/>
          <w:b/>
          <w:color w:val="auto"/>
          <w:spacing w:val="6"/>
          <w:sz w:val="32"/>
          <w:szCs w:val="32"/>
          <w:highlight w:val="none"/>
        </w:rPr>
      </w:pPr>
      <w:r>
        <w:rPr>
          <w:rFonts w:hint="eastAsia" w:ascii="宋体" w:hAnsi="宋体" w:cs="宋体"/>
          <w:b/>
          <w:color w:val="auto"/>
          <w:highlight w:val="none"/>
        </w:rPr>
        <w:t>五、</w:t>
      </w:r>
      <w:r>
        <w:rPr>
          <w:rFonts w:hint="eastAsia" w:ascii="宋体" w:hAnsi="宋体"/>
          <w:b/>
          <w:color w:val="auto"/>
          <w:sz w:val="24"/>
          <w:szCs w:val="20"/>
          <w:highlight w:val="none"/>
        </w:rPr>
        <w:t>残疾人福利性单位声明函格式</w:t>
      </w:r>
    </w:p>
    <w:p>
      <w:pPr>
        <w:spacing w:line="588" w:lineRule="exact"/>
        <w:ind w:firstLine="420"/>
        <w:jc w:val="center"/>
        <w:rPr>
          <w:rFonts w:ascii="宋体" w:hAnsi="宋体"/>
          <w:b/>
          <w:color w:val="auto"/>
          <w:szCs w:val="21"/>
          <w:highlight w:val="none"/>
        </w:rPr>
      </w:pPr>
      <w:r>
        <w:rPr>
          <w:rFonts w:hint="eastAsia" w:ascii="宋体" w:hAnsi="宋体"/>
          <w:b/>
          <w:color w:val="auto"/>
          <w:szCs w:val="21"/>
          <w:highlight w:val="none"/>
        </w:rPr>
        <w:t>残疾人福利性单位声明函</w:t>
      </w:r>
    </w:p>
    <w:bookmarkEnd w:id="37"/>
    <w:bookmarkEnd w:id="38"/>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pPr>
        <w:spacing w:line="360" w:lineRule="exact"/>
        <w:ind w:firstLine="420" w:firstLineChars="200"/>
        <w:rPr>
          <w:rFonts w:ascii="宋体" w:hAnsi="宋体"/>
          <w:color w:val="auto"/>
          <w:szCs w:val="21"/>
          <w:highlight w:val="none"/>
        </w:rPr>
      </w:pPr>
    </w:p>
    <w:p>
      <w:pPr>
        <w:spacing w:line="360" w:lineRule="exact"/>
        <w:ind w:firstLine="420" w:firstLineChars="200"/>
        <w:rPr>
          <w:rFonts w:ascii="宋体" w:hAnsi="宋体"/>
          <w:color w:val="auto"/>
          <w:szCs w:val="21"/>
          <w:highlight w:val="none"/>
        </w:rPr>
      </w:pP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w:t>
      </w:r>
      <w:r>
        <w:rPr>
          <w:rFonts w:ascii="宋体" w:hAnsi="宋体"/>
          <w:color w:val="auto"/>
          <w:szCs w:val="21"/>
          <w:highlight w:val="none"/>
        </w:rPr>
        <w:t>(</w:t>
      </w:r>
      <w:r>
        <w:rPr>
          <w:rFonts w:hint="eastAsia" w:ascii="宋体" w:hAnsi="宋体"/>
          <w:color w:val="auto"/>
          <w:szCs w:val="21"/>
          <w:highlight w:val="none"/>
        </w:rPr>
        <w:t>电子签章</w:t>
      </w:r>
      <w:r>
        <w:rPr>
          <w:rFonts w:ascii="宋体" w:hAnsi="宋体"/>
          <w:color w:val="auto"/>
          <w:szCs w:val="21"/>
          <w:highlight w:val="none"/>
        </w:rPr>
        <w:t>)</w:t>
      </w:r>
      <w:r>
        <w:rPr>
          <w:rFonts w:hint="eastAsia" w:ascii="宋体" w:hAnsi="宋体"/>
          <w:color w:val="auto"/>
          <w:szCs w:val="21"/>
          <w:highlight w:val="none"/>
        </w:rPr>
        <w:t>：</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日期：年月日</w:t>
      </w:r>
    </w:p>
    <w:p>
      <w:pPr>
        <w:spacing w:line="360" w:lineRule="exact"/>
        <w:ind w:firstLine="420" w:firstLineChars="200"/>
        <w:rPr>
          <w:rFonts w:ascii="宋体" w:hAnsi="宋体"/>
          <w:color w:val="auto"/>
          <w:szCs w:val="21"/>
          <w:highlight w:val="none"/>
        </w:rPr>
      </w:pP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注：请根据自己的真实情况出具《残疾人福利性单位声明函》。依法享受中小企业优惠政策的，采购人或者采购代理机构在公告中标结果时，同时公告其《残疾人福利性单位声明函》，接受社会监督。 </w:t>
      </w:r>
    </w:p>
    <w:p>
      <w:pPr>
        <w:snapToGrid w:val="0"/>
        <w:spacing w:before="50" w:after="50"/>
        <w:ind w:left="-6" w:leftChars="-3" w:right="-817" w:rightChars="-389" w:firstLine="6720" w:firstLineChars="3200"/>
        <w:rPr>
          <w:rFonts w:ascii="宋体" w:hAnsi="宋体" w:cs="宋体"/>
          <w:color w:val="auto"/>
          <w:szCs w:val="21"/>
          <w:highlight w:val="none"/>
        </w:rPr>
      </w:pPr>
    </w:p>
    <w:p>
      <w:pPr>
        <w:snapToGrid w:val="0"/>
        <w:spacing w:before="50" w:after="50"/>
        <w:ind w:left="-6" w:leftChars="-3" w:right="-817" w:rightChars="-389" w:firstLine="6720" w:firstLineChars="320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pStyle w:val="214"/>
        <w:spacing w:before="120"/>
        <w:ind w:firstLine="560"/>
        <w:rPr>
          <w:rFonts w:ascii="宋体" w:hAnsi="宋体" w:cs="宋体"/>
          <w:color w:val="auto"/>
          <w:szCs w:val="21"/>
          <w:highlight w:val="none"/>
        </w:rPr>
      </w:pPr>
    </w:p>
    <w:p>
      <w:pPr>
        <w:snapToGrid w:val="0"/>
        <w:spacing w:before="120" w:beforeLines="50" w:after="50"/>
        <w:ind w:firstLine="420"/>
        <w:rPr>
          <w:rFonts w:hint="eastAsia" w:ascii="宋体" w:hAnsi="宋体" w:cs="宋体"/>
          <w:b/>
          <w:bCs/>
          <w:color w:val="auto"/>
          <w:szCs w:val="21"/>
          <w:highlight w:val="none"/>
        </w:rPr>
      </w:pPr>
    </w:p>
    <w:p>
      <w:pPr>
        <w:snapToGrid w:val="0"/>
        <w:spacing w:before="120" w:beforeLines="50" w:after="50"/>
        <w:ind w:firstLine="420"/>
        <w:rPr>
          <w:rFonts w:ascii="宋体" w:hAnsi="宋体" w:cs="宋体"/>
          <w:b/>
          <w:bCs/>
          <w:color w:val="auto"/>
          <w:szCs w:val="21"/>
          <w:highlight w:val="none"/>
        </w:rPr>
      </w:pPr>
      <w:r>
        <w:rPr>
          <w:rFonts w:hint="eastAsia" w:ascii="宋体" w:hAnsi="宋体" w:cs="宋体"/>
          <w:b/>
          <w:bCs/>
          <w:color w:val="auto"/>
          <w:szCs w:val="21"/>
          <w:highlight w:val="none"/>
        </w:rPr>
        <w:t>2、商务和技术文件格式：</w:t>
      </w:r>
    </w:p>
    <w:p>
      <w:pPr>
        <w:spacing w:line="240" w:lineRule="atLeast"/>
        <w:ind w:firstLine="640"/>
        <w:jc w:val="center"/>
        <w:rPr>
          <w:rFonts w:ascii="宋体" w:hAnsi="宋体" w:cs="宋体"/>
          <w:b/>
          <w:color w:val="auto"/>
          <w:sz w:val="32"/>
          <w:szCs w:val="32"/>
          <w:highlight w:val="none"/>
        </w:rPr>
      </w:pPr>
    </w:p>
    <w:p>
      <w:pPr>
        <w:spacing w:line="240" w:lineRule="atLeast"/>
        <w:ind w:firstLine="640"/>
        <w:jc w:val="center"/>
        <w:rPr>
          <w:rFonts w:ascii="宋体" w:hAnsi="宋体" w:cs="宋体"/>
          <w:b/>
          <w:color w:val="auto"/>
          <w:sz w:val="32"/>
          <w:szCs w:val="32"/>
          <w:highlight w:val="none"/>
        </w:rPr>
      </w:pPr>
    </w:p>
    <w:p>
      <w:pPr>
        <w:snapToGrid w:val="0"/>
        <w:spacing w:before="120"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pPr>
        <w:snapToGrid w:val="0"/>
        <w:spacing w:before="120" w:beforeLines="50" w:after="50" w:line="280" w:lineRule="exact"/>
        <w:ind w:firstLine="9" w:firstLineChars="3"/>
        <w:jc w:val="center"/>
        <w:rPr>
          <w:rFonts w:ascii="宋体" w:hAnsi="宋体" w:cs="宋体"/>
          <w:bCs/>
          <w:color w:val="auto"/>
          <w:sz w:val="32"/>
          <w:szCs w:val="32"/>
          <w:highlight w:val="none"/>
        </w:rPr>
      </w:pPr>
    </w:p>
    <w:p>
      <w:pPr>
        <w:snapToGrid w:val="0"/>
        <w:spacing w:before="120" w:beforeLines="50" w:after="50" w:line="280" w:lineRule="exact"/>
        <w:ind w:firstLine="9" w:firstLineChars="3"/>
        <w:jc w:val="center"/>
        <w:rPr>
          <w:rFonts w:ascii="宋体" w:hAnsi="宋体" w:cs="宋体"/>
          <w:bCs/>
          <w:color w:val="auto"/>
          <w:sz w:val="32"/>
          <w:szCs w:val="32"/>
          <w:highlight w:val="none"/>
        </w:rPr>
      </w:pPr>
    </w:p>
    <w:p>
      <w:pPr>
        <w:snapToGrid w:val="0"/>
        <w:spacing w:before="120" w:beforeLines="50" w:after="50" w:line="280" w:lineRule="exact"/>
        <w:ind w:firstLine="9" w:firstLineChars="3"/>
        <w:jc w:val="center"/>
        <w:rPr>
          <w:rFonts w:ascii="宋体" w:hAnsi="宋体" w:cs="宋体"/>
          <w:bCs/>
          <w:color w:val="auto"/>
          <w:sz w:val="32"/>
          <w:szCs w:val="32"/>
          <w:highlight w:val="none"/>
        </w:rPr>
      </w:pPr>
    </w:p>
    <w:p>
      <w:pPr>
        <w:snapToGrid w:val="0"/>
        <w:spacing w:before="120"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pPr>
        <w:snapToGrid w:val="0"/>
        <w:spacing w:before="120"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（商务和技术文件）</w:t>
      </w:r>
    </w:p>
    <w:p>
      <w:pPr>
        <w:snapToGrid w:val="0"/>
        <w:spacing w:before="120" w:beforeLines="50" w:after="50"/>
        <w:ind w:firstLine="422"/>
        <w:rPr>
          <w:rFonts w:ascii="宋体" w:hAnsi="宋体" w:cs="宋体"/>
          <w:bCs/>
          <w:color w:val="auto"/>
          <w:szCs w:val="21"/>
          <w:highlight w:val="none"/>
        </w:rPr>
      </w:pPr>
    </w:p>
    <w:p>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pPr>
        <w:snapToGrid w:val="0"/>
        <w:spacing w:before="120" w:beforeLines="50" w:after="50" w:line="280" w:lineRule="exact"/>
        <w:ind w:firstLine="675" w:firstLineChars="225"/>
        <w:rPr>
          <w:rFonts w:ascii="宋体" w:hAnsi="宋体" w:cs="宋体"/>
          <w:bCs/>
          <w:color w:val="auto"/>
          <w:sz w:val="30"/>
          <w:szCs w:val="30"/>
          <w:highlight w:val="none"/>
        </w:rPr>
      </w:pPr>
    </w:p>
    <w:p>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pPr>
        <w:snapToGrid w:val="0"/>
        <w:spacing w:before="120" w:beforeLines="50" w:after="50" w:line="280" w:lineRule="exact"/>
        <w:ind w:firstLine="675" w:firstLineChars="225"/>
        <w:rPr>
          <w:rFonts w:ascii="宋体" w:hAnsi="宋体" w:cs="宋体"/>
          <w:bCs/>
          <w:color w:val="auto"/>
          <w:sz w:val="30"/>
          <w:szCs w:val="30"/>
          <w:highlight w:val="none"/>
        </w:rPr>
      </w:pPr>
    </w:p>
    <w:p>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pPr>
        <w:snapToGrid w:val="0"/>
        <w:spacing w:before="120" w:beforeLines="50" w:after="50" w:line="280" w:lineRule="exact"/>
        <w:ind w:firstLine="675" w:firstLineChars="225"/>
        <w:rPr>
          <w:rFonts w:ascii="宋体" w:hAnsi="宋体" w:cs="宋体"/>
          <w:bCs/>
          <w:color w:val="auto"/>
          <w:sz w:val="30"/>
          <w:szCs w:val="30"/>
          <w:highlight w:val="none"/>
        </w:rPr>
      </w:pPr>
    </w:p>
    <w:p>
      <w:pPr>
        <w:pStyle w:val="11"/>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pPr>
        <w:pStyle w:val="11"/>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pPr>
        <w:pStyle w:val="11"/>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pPr>
        <w:pStyle w:val="11"/>
        <w:snapToGrid w:val="0"/>
        <w:spacing w:before="50" w:after="50" w:line="280" w:lineRule="exact"/>
        <w:ind w:firstLine="675" w:firstLineChars="225"/>
        <w:rPr>
          <w:rFonts w:ascii="宋体" w:hAnsi="宋体" w:cs="宋体"/>
          <w:bCs/>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pPr>
        <w:snapToGrid w:val="0"/>
        <w:spacing w:before="50" w:after="50"/>
        <w:ind w:firstLine="420"/>
        <w:rPr>
          <w:rFonts w:ascii="宋体" w:hAnsi="宋体" w:cs="宋体"/>
          <w:b/>
          <w:color w:val="auto"/>
          <w:szCs w:val="21"/>
          <w:highlight w:val="none"/>
        </w:rPr>
      </w:pPr>
    </w:p>
    <w:p>
      <w:pPr>
        <w:snapToGrid w:val="0"/>
        <w:spacing w:before="120" w:beforeLines="50" w:after="50" w:line="330" w:lineRule="exact"/>
        <w:ind w:firstLine="420"/>
        <w:jc w:val="center"/>
        <w:rPr>
          <w:rFonts w:ascii="宋体" w:hAnsi="宋体" w:cs="宋体"/>
          <w:b/>
          <w:color w:val="auto"/>
          <w:szCs w:val="21"/>
          <w:highlight w:val="none"/>
        </w:rPr>
      </w:pPr>
      <w:r>
        <w:rPr>
          <w:rFonts w:hint="eastAsia" w:ascii="宋体" w:hAnsi="宋体" w:cs="宋体"/>
          <w:b/>
          <w:color w:val="auto"/>
          <w:szCs w:val="21"/>
          <w:highlight w:val="none"/>
        </w:rPr>
        <w:br w:type="page"/>
      </w:r>
    </w:p>
    <w:p>
      <w:pPr>
        <w:snapToGrid w:val="0"/>
        <w:spacing w:before="120" w:beforeLines="50" w:after="50" w:line="330" w:lineRule="exact"/>
        <w:ind w:firstLine="420"/>
        <w:jc w:val="center"/>
        <w:rPr>
          <w:rFonts w:ascii="宋体" w:hAnsi="宋体" w:cs="宋体"/>
          <w:b/>
          <w:color w:val="auto"/>
          <w:szCs w:val="21"/>
          <w:highlight w:val="none"/>
        </w:rPr>
      </w:pPr>
    </w:p>
    <w:p>
      <w:pPr>
        <w:snapToGrid w:val="0"/>
        <w:spacing w:before="120" w:beforeLines="50" w:after="50" w:line="330" w:lineRule="exact"/>
        <w:ind w:firstLine="880"/>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pPr>
        <w:snapToGrid w:val="0"/>
        <w:spacing w:before="120" w:beforeLines="50" w:after="50" w:line="330" w:lineRule="exact"/>
        <w:ind w:firstLine="562"/>
        <w:jc w:val="center"/>
        <w:rPr>
          <w:rFonts w:ascii="宋体" w:hAnsi="宋体" w:cs="宋体"/>
          <w:color w:val="auto"/>
          <w:sz w:val="28"/>
          <w:szCs w:val="28"/>
          <w:highlight w:val="none"/>
        </w:rPr>
      </w:pPr>
    </w:p>
    <w:p>
      <w:pPr>
        <w:spacing w:line="320" w:lineRule="exact"/>
        <w:ind w:firstLine="422"/>
        <w:jc w:val="center"/>
        <w:rPr>
          <w:rFonts w:ascii="宋体" w:hAnsi="宋体"/>
          <w:bCs/>
          <w:color w:val="auto"/>
          <w:szCs w:val="21"/>
          <w:highlight w:val="none"/>
        </w:rPr>
      </w:pPr>
      <w:r>
        <w:rPr>
          <w:rFonts w:hint="eastAsia" w:ascii="宋体" w:hAnsi="宋体"/>
          <w:bCs/>
          <w:color w:val="auto"/>
          <w:szCs w:val="21"/>
          <w:highlight w:val="none"/>
        </w:rPr>
        <w:t>(供应商需根据投标文件自行编制目录及页码)</w:t>
      </w: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ind w:firstLine="420"/>
        <w:rPr>
          <w:rFonts w:hint="eastAsia" w:ascii="宋体" w:hAnsi="宋体" w:cs="宋体"/>
          <w:b/>
          <w:color w:val="auto"/>
          <w:szCs w:val="21"/>
          <w:highlight w:val="none"/>
        </w:rPr>
      </w:pPr>
    </w:p>
    <w:p>
      <w:pPr>
        <w:rPr>
          <w:rFonts w:hint="eastAsia" w:ascii="宋体" w:hAnsi="宋体" w:cs="宋体"/>
          <w:b/>
          <w:color w:val="auto"/>
          <w:szCs w:val="21"/>
          <w:highlight w:val="none"/>
        </w:rPr>
      </w:pPr>
      <w:r>
        <w:rPr>
          <w:rFonts w:hint="eastAsia" w:ascii="宋体" w:hAnsi="宋体" w:cs="宋体"/>
          <w:b/>
          <w:color w:val="auto"/>
          <w:szCs w:val="21"/>
          <w:highlight w:val="none"/>
        </w:rPr>
        <w:br w:type="page"/>
      </w:r>
    </w:p>
    <w:p>
      <w:pPr>
        <w:ind w:firstLine="420"/>
        <w:rPr>
          <w:rFonts w:ascii="宋体" w:hAnsi="宋体" w:cs="宋体"/>
          <w:b/>
          <w:color w:val="auto"/>
          <w:szCs w:val="21"/>
          <w:highlight w:val="none"/>
        </w:rPr>
      </w:pPr>
      <w:r>
        <w:rPr>
          <w:rFonts w:hint="eastAsia" w:ascii="宋体" w:hAnsi="宋体" w:cs="宋体"/>
          <w:b/>
          <w:color w:val="auto"/>
          <w:szCs w:val="21"/>
          <w:highlight w:val="none"/>
        </w:rPr>
        <w:t>一、法定代表人身份证明书格式</w:t>
      </w:r>
    </w:p>
    <w:p>
      <w:pPr>
        <w:pStyle w:val="27"/>
        <w:ind w:firstLine="422"/>
        <w:rPr>
          <w:color w:val="auto"/>
          <w:highlight w:val="none"/>
        </w:rPr>
      </w:pPr>
    </w:p>
    <w:p>
      <w:pPr>
        <w:pStyle w:val="27"/>
        <w:ind w:firstLine="422"/>
        <w:rPr>
          <w:color w:val="auto"/>
          <w:highlight w:val="none"/>
          <w:u w:val="single"/>
        </w:rPr>
      </w:pPr>
      <w:r>
        <w:rPr>
          <w:rFonts w:hint="eastAsia"/>
          <w:color w:val="auto"/>
          <w:highlight w:val="none"/>
        </w:rPr>
        <w:t>单位名称：</w:t>
      </w:r>
    </w:p>
    <w:p>
      <w:pPr>
        <w:pStyle w:val="27"/>
        <w:ind w:firstLine="422"/>
        <w:rPr>
          <w:color w:val="auto"/>
          <w:highlight w:val="none"/>
        </w:rPr>
      </w:pPr>
      <w:r>
        <w:rPr>
          <w:rFonts w:hint="eastAsia"/>
          <w:color w:val="auto"/>
          <w:highlight w:val="none"/>
        </w:rPr>
        <w:t>单位性质：</w:t>
      </w:r>
    </w:p>
    <w:p>
      <w:pPr>
        <w:pStyle w:val="27"/>
        <w:ind w:firstLine="422"/>
        <w:rPr>
          <w:color w:val="auto"/>
          <w:highlight w:val="none"/>
        </w:rPr>
      </w:pPr>
      <w:r>
        <w:rPr>
          <w:rFonts w:hint="eastAsia"/>
          <w:color w:val="auto"/>
          <w:highlight w:val="none"/>
        </w:rPr>
        <w:t>地    址：</w:t>
      </w:r>
    </w:p>
    <w:p>
      <w:pPr>
        <w:pStyle w:val="27"/>
        <w:ind w:firstLine="422"/>
        <w:rPr>
          <w:color w:val="auto"/>
          <w:highlight w:val="none"/>
        </w:rPr>
      </w:pPr>
      <w:r>
        <w:rPr>
          <w:rFonts w:hint="eastAsia"/>
          <w:color w:val="auto"/>
          <w:highlight w:val="none"/>
        </w:rPr>
        <w:t>成立时间：年月日</w:t>
      </w:r>
    </w:p>
    <w:p>
      <w:pPr>
        <w:pStyle w:val="27"/>
        <w:ind w:firstLine="422"/>
        <w:rPr>
          <w:color w:val="auto"/>
          <w:highlight w:val="none"/>
          <w:u w:val="single"/>
        </w:rPr>
      </w:pPr>
      <w:r>
        <w:rPr>
          <w:rFonts w:hint="eastAsia"/>
          <w:color w:val="auto"/>
          <w:highlight w:val="none"/>
        </w:rPr>
        <w:t>经营期限：</w:t>
      </w:r>
    </w:p>
    <w:p>
      <w:pPr>
        <w:pStyle w:val="27"/>
        <w:ind w:firstLine="422"/>
        <w:rPr>
          <w:color w:val="auto"/>
          <w:highlight w:val="none"/>
        </w:rPr>
      </w:pPr>
      <w:r>
        <w:rPr>
          <w:rFonts w:hint="eastAsia"/>
          <w:color w:val="auto"/>
          <w:highlight w:val="none"/>
        </w:rPr>
        <w:t>姓名：性别：年龄：职务：</w:t>
      </w:r>
    </w:p>
    <w:p>
      <w:pPr>
        <w:pStyle w:val="27"/>
        <w:ind w:firstLine="422"/>
        <w:rPr>
          <w:color w:val="auto"/>
          <w:highlight w:val="none"/>
        </w:rPr>
      </w:pPr>
      <w:r>
        <w:rPr>
          <w:rFonts w:hint="eastAsia"/>
          <w:color w:val="auto"/>
          <w:highlight w:val="none"/>
        </w:rPr>
        <w:t>系     （供应商单位名称）  的法定代表人。</w:t>
      </w:r>
    </w:p>
    <w:p>
      <w:pPr>
        <w:pStyle w:val="27"/>
        <w:ind w:firstLine="422"/>
        <w:rPr>
          <w:color w:val="auto"/>
          <w:highlight w:val="none"/>
        </w:rPr>
      </w:pPr>
      <w:r>
        <w:rPr>
          <w:rFonts w:hint="eastAsia"/>
          <w:color w:val="auto"/>
          <w:highlight w:val="none"/>
        </w:rPr>
        <w:t>特此证明。</w:t>
      </w: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pStyle w:val="27"/>
        <w:ind w:firstLine="422"/>
        <w:rPr>
          <w:color w:val="auto"/>
          <w:highlight w:val="none"/>
        </w:rPr>
      </w:pPr>
    </w:p>
    <w:p>
      <w:pPr>
        <w:pStyle w:val="27"/>
        <w:ind w:firstLine="422"/>
        <w:rPr>
          <w:color w:val="auto"/>
          <w:highlight w:val="none"/>
        </w:rPr>
      </w:pPr>
      <w:r>
        <w:rPr>
          <w:color w:val="auto"/>
          <w:highlight w:val="none"/>
        </w:rPr>
        <mc:AlternateContent>
          <mc:Choice Requires="wps">
            <w:drawing>
              <wp:anchor distT="0" distB="0" distL="114300" distR="114300" simplePos="0" relativeHeight="251668480" behindDoc="0" locked="0" layoutInCell="1" allowOverlap="1">
                <wp:simplePos x="0" y="0"/>
                <wp:positionH relativeFrom="column">
                  <wp:posOffset>114300</wp:posOffset>
                </wp:positionH>
                <wp:positionV relativeFrom="paragraph">
                  <wp:posOffset>12700</wp:posOffset>
                </wp:positionV>
                <wp:extent cx="3239770" cy="2029460"/>
                <wp:effectExtent l="5080" t="4445" r="12700" b="23495"/>
                <wp:wrapNone/>
                <wp:docPr id="18" name="矩形 8"/>
                <wp:cNvGraphicFramePr/>
                <a:graphic xmlns:a="http://schemas.openxmlformats.org/drawingml/2006/main">
                  <a:graphicData uri="http://schemas.microsoft.com/office/word/2010/wordprocessingShape">
                    <wps:wsp>
                      <wps:cNvSpPr/>
                      <wps:spPr>
                        <a:xfrm>
                          <a:off x="0" y="0"/>
                          <a:ext cx="3239770" cy="20294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
                          <w:p/>
                          <w:p/>
                          <w:p>
                            <w:pPr>
                              <w:jc w:val="center"/>
                            </w:pPr>
                            <w:r>
                              <w:rPr>
                                <w:rFonts w:hint="eastAsia"/>
                              </w:rPr>
                              <w:t>法定代表人第二代居民身份证复印件</w:t>
                            </w:r>
                          </w:p>
                          <w:p>
                            <w:pPr>
                              <w:jc w:val="center"/>
                              <w:rPr>
                                <w:b/>
                              </w:rPr>
                            </w:pPr>
                            <w:r>
                              <w:rPr>
                                <w:rFonts w:hint="eastAsia"/>
                                <w:b/>
                              </w:rPr>
                              <w:t>（正面）</w:t>
                            </w:r>
                          </w:p>
                        </w:txbxContent>
                      </wps:txbx>
                      <wps:bodyPr upright="1"/>
                    </wps:wsp>
                  </a:graphicData>
                </a:graphic>
              </wp:anchor>
            </w:drawing>
          </mc:Choice>
          <mc:Fallback>
            <w:pict>
              <v:rect id="矩形 8" o:spid="_x0000_s1026" o:spt="1" style="position:absolute;left:0pt;margin-left:9pt;margin-top:1pt;height:159.8pt;width:255.1pt;z-index:251668480;mso-width-relative:page;mso-height-relative:page;" fillcolor="#FFFFFF" filled="t" stroked="t" coordsize="21600,21600" o:gfxdata="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xyeZ7WAAAACAEAAA8AAAAAAAAAAQAgAAAAIgAA&#10;AGRycy9kb3ducmV2LnhtbFBLAQIUABQAAAAIAIdO4kAocw33CgIAADkEAAAOAAAAAAAAAAEAIAAA&#10;ACUBAABkcnMvZTJvRG9jLnhtbFBLBQYAAAAABgAGAFkBAAChBQAAAAA=&#10;">
                <v:fill on="t" focussize="0,0"/>
                <v:stroke color="#000000" joinstyle="miter"/>
                <v:imagedata o:title=""/>
                <o:lock v:ext="edit" aspectratio="f"/>
                <v:textbox>
                  <w:txbxContent>
                    <w:p/>
                    <w:p/>
                    <w:p/>
                    <w:p/>
                    <w:p>
                      <w:pPr>
                        <w:jc w:val="center"/>
                      </w:pPr>
                      <w:r>
                        <w:rPr>
                          <w:rFonts w:hint="eastAsia"/>
                        </w:rPr>
                        <w:t>法定代表人第二代居民身份证复印件</w:t>
                      </w:r>
                    </w:p>
                    <w:p>
                      <w:pPr>
                        <w:jc w:val="center"/>
                        <w:rPr>
                          <w:b/>
                        </w:rPr>
                      </w:pPr>
                      <w:r>
                        <w:rPr>
                          <w:rFonts w:hint="eastAsia"/>
                          <w:b/>
                        </w:rPr>
                        <w:t>（正面）</w:t>
                      </w:r>
                    </w:p>
                  </w:txbxContent>
                </v:textbox>
              </v:rect>
            </w:pict>
          </mc:Fallback>
        </mc:AlternateContent>
      </w:r>
      <w:r>
        <w:rPr>
          <w:color w:val="auto"/>
          <w:highlight w:val="none"/>
        </w:rPr>
        <mc:AlternateContent>
          <mc:Choice Requires="wps">
            <w:drawing>
              <wp:anchor distT="180340" distB="0" distL="114300" distR="114300" simplePos="0" relativeHeight="251667456"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17" name="直线 6"/>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6" o:spid="_x0000_s1026" o:spt="20" style="position:absolute;left:0pt;margin-left:0pt;margin-top:0pt;height:0pt;width:483pt;mso-wrap-distance-bottom:0pt;mso-wrap-distance-top:14.2pt;z-index:251667456;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AdU99AAAAACAQAADwAA&#10;AAAAAAABACAAAAAiAAAAZHJzL2Rvd25yZXYueG1sUEsBAhQAFAAAAAgAh07iQJjC9IPlAQAA3gMA&#10;AA4AAAAAAAAAAQAgAAAAHwEAAGRycy9lMm9Eb2MueG1sUEsFBgAAAAAGAAYAWQEAAHYFAAAAAA==&#10;">
                <v:fill on="f" focussize="0,0"/>
                <v:stroke color="#000000" joinstyle="round"/>
                <v:imagedata o:title=""/>
                <o:lock v:ext="edit" aspectratio="f"/>
                <w10:wrap type="topAndBottom"/>
              </v:line>
            </w:pict>
          </mc:Fallback>
        </mc:AlternateConten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r>
        <w:rPr>
          <w:color w:val="auto"/>
          <w:highlight w:val="none"/>
        </w:rPr>
        <mc:AlternateContent>
          <mc:Choice Requires="wps">
            <w:drawing>
              <wp:anchor distT="0" distB="0" distL="114300" distR="114300" simplePos="0" relativeHeight="251669504" behindDoc="0" locked="0" layoutInCell="1" allowOverlap="1">
                <wp:simplePos x="0" y="0"/>
                <wp:positionH relativeFrom="column">
                  <wp:posOffset>114300</wp:posOffset>
                </wp:positionH>
                <wp:positionV relativeFrom="paragraph">
                  <wp:posOffset>66040</wp:posOffset>
                </wp:positionV>
                <wp:extent cx="3239770" cy="2160270"/>
                <wp:effectExtent l="4445" t="4445" r="13335" b="6985"/>
                <wp:wrapNone/>
                <wp:docPr id="19" name="矩形 7"/>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
                          <w:p/>
                          <w:p/>
                          <w:p>
                            <w:pPr>
                              <w:jc w:val="center"/>
                            </w:pPr>
                            <w:r>
                              <w:rPr>
                                <w:rFonts w:hint="eastAsia"/>
                              </w:rPr>
                              <w:t>法定代表人第二代居民身份证复印件</w:t>
                            </w:r>
                          </w:p>
                          <w:p>
                            <w:pPr>
                              <w:jc w:val="center"/>
                              <w:rPr>
                                <w:b/>
                              </w:rPr>
                            </w:pPr>
                            <w:r>
                              <w:rPr>
                                <w:rFonts w:hint="eastAsia"/>
                                <w:b/>
                              </w:rPr>
                              <w:t>（背面）</w:t>
                            </w:r>
                          </w:p>
                        </w:txbxContent>
                      </wps:txbx>
                      <wps:bodyPr upright="1"/>
                    </wps:wsp>
                  </a:graphicData>
                </a:graphic>
              </wp:anchor>
            </w:drawing>
          </mc:Choice>
          <mc:Fallback>
            <w:pict>
              <v:rect id="矩形 7" o:spid="_x0000_s1026" o:spt="1" style="position:absolute;left:0pt;margin-left:9pt;margin-top:5.2pt;height:170.1pt;width:255.1pt;z-index:251669504;mso-width-relative:page;mso-height-relative:page;" fillcolor="#FFFFFF" filled="t" stroked="t" coordsize="21600,21600" o:gfxdata="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&#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s+WvXAAAACQEAAA8AAAAAAAAAAQAgAAAAIgAAAGRy&#10;cy9kb3ducmV2LnhtbFBLAQIUABQAAAAIAIdO4kCJ9iKzBgIAADkEAAAOAAAAAAAAAAEAIAAAACYB&#10;AABkcnMvZTJvRG9jLnhtbFBLBQYAAAAABgAGAFkBAACeBQAAAAA=&#10;">
                <v:fill on="t" focussize="0,0"/>
                <v:stroke color="#000000" joinstyle="miter"/>
                <v:imagedata o:title=""/>
                <o:lock v:ext="edit" aspectratio="f"/>
                <v:textbox>
                  <w:txbxContent>
                    <w:p/>
                    <w:p/>
                    <w:p/>
                    <w:p/>
                    <w:p>
                      <w:pPr>
                        <w:jc w:val="center"/>
                      </w:pPr>
                      <w:r>
                        <w:rPr>
                          <w:rFonts w:hint="eastAsia"/>
                        </w:rPr>
                        <w:t>法定代表人第二代居民身份证复印件</w:t>
                      </w:r>
                    </w:p>
                    <w:p>
                      <w:pPr>
                        <w:jc w:val="center"/>
                        <w:rPr>
                          <w:b/>
                        </w:rPr>
                      </w:pPr>
                      <w:r>
                        <w:rPr>
                          <w:rFonts w:hint="eastAsia"/>
                          <w:b/>
                        </w:rPr>
                        <w:t>（背面）</w:t>
                      </w:r>
                    </w:p>
                  </w:txbxContent>
                </v:textbox>
              </v:rect>
            </w:pict>
          </mc:Fallback>
        </mc:AlternateConten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ind w:firstLine="422"/>
        <w:jc w:val="center"/>
        <w:rPr>
          <w:rFonts w:ascii="宋体" w:hAnsi="宋体" w:cs="宋体"/>
          <w:color w:val="auto"/>
          <w:highlight w:val="none"/>
        </w:rPr>
      </w:pPr>
    </w:p>
    <w:p>
      <w:pPr>
        <w:ind w:firstLine="422"/>
        <w:jc w:val="center"/>
        <w:rPr>
          <w:rFonts w:ascii="宋体" w:hAnsi="宋体" w:cs="宋体"/>
          <w:color w:val="auto"/>
          <w:highlight w:val="none"/>
        </w:rPr>
      </w:pPr>
    </w:p>
    <w:p>
      <w:pPr>
        <w:ind w:firstLine="422"/>
        <w:jc w:val="center"/>
        <w:rPr>
          <w:rFonts w:ascii="宋体" w:hAnsi="宋体" w:cs="宋体"/>
          <w:color w:val="auto"/>
          <w:highlight w:val="none"/>
          <w:u w:val="singl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r>
        <w:rPr>
          <w:rFonts w:hint="eastAsia"/>
          <w:color w:val="auto"/>
          <w:highlight w:val="none"/>
        </w:rPr>
        <w:t>法定代表人</w:t>
      </w:r>
      <w:r>
        <w:rPr>
          <w:rFonts w:hint="eastAsia"/>
          <w:b/>
          <w:bCs/>
          <w:color w:val="auto"/>
          <w:highlight w:val="none"/>
        </w:rPr>
        <w:t>签名：</w:t>
      </w:r>
    </w:p>
    <w:p>
      <w:pPr>
        <w:spacing w:line="300" w:lineRule="auto"/>
        <w:ind w:firstLine="420"/>
        <w:rPr>
          <w:rFonts w:ascii="宋体" w:hAnsi="宋体" w:cs="宋体"/>
          <w:b/>
          <w:color w:val="auto"/>
          <w:highlight w:val="none"/>
        </w:rPr>
      </w:pPr>
    </w:p>
    <w:p>
      <w:pPr>
        <w:spacing w:line="300" w:lineRule="auto"/>
        <w:ind w:firstLine="420"/>
        <w:rPr>
          <w:rFonts w:ascii="宋体" w:hAnsi="宋体" w:cs="宋体"/>
          <w:b/>
          <w:color w:val="auto"/>
          <w:highlight w:val="none"/>
        </w:rPr>
      </w:pPr>
      <w:r>
        <w:rPr>
          <w:rFonts w:hint="eastAsia" w:ascii="宋体" w:hAnsi="宋体" w:cs="宋体"/>
          <w:b/>
          <w:color w:val="auto"/>
          <w:highlight w:val="none"/>
        </w:rPr>
        <w:t>二、法定代表人授权委托书格式</w:t>
      </w:r>
    </w:p>
    <w:p>
      <w:pPr>
        <w:pStyle w:val="27"/>
        <w:ind w:firstLine="422"/>
        <w:rPr>
          <w:color w:val="auto"/>
          <w:highlight w:val="none"/>
        </w:rPr>
      </w:pPr>
    </w:p>
    <w:p>
      <w:pPr>
        <w:pStyle w:val="27"/>
        <w:ind w:firstLine="422"/>
        <w:jc w:val="center"/>
        <w:rPr>
          <w:color w:val="auto"/>
          <w:highlight w:val="none"/>
        </w:rPr>
      </w:pPr>
      <w:r>
        <w:rPr>
          <w:rFonts w:hint="eastAsia"/>
          <w:color w:val="auto"/>
          <w:highlight w:val="none"/>
        </w:rPr>
        <w:t>法定代表人授权委托书</w:t>
      </w:r>
    </w:p>
    <w:p>
      <w:pPr>
        <w:snapToGrid w:val="0"/>
        <w:spacing w:line="360" w:lineRule="exact"/>
        <w:ind w:firstLine="422"/>
        <w:rPr>
          <w:rFonts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 xml:space="preserve"> 广西德元工程项目管理有限责任公司</w:t>
      </w:r>
      <w:r>
        <w:rPr>
          <w:rFonts w:hint="eastAsia" w:ascii="宋体" w:hAnsi="宋体" w:cs="宋体"/>
          <w:color w:val="auto"/>
          <w:szCs w:val="21"/>
          <w:highlight w:val="none"/>
        </w:rPr>
        <w:t>：</w:t>
      </w:r>
    </w:p>
    <w:p>
      <w:pPr>
        <w:snapToGrid w:val="0"/>
        <w:spacing w:line="36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我 （姓名）系（供应商名称）的法定代表人，现授权委托（姓名）以我方的名义参加项目的磋商采购活动，并代表我方全权办理针对上述磋商采购项目的磋商、开标、评标、签约等具体事务和签署相关文件。</w:t>
      </w:r>
    </w:p>
    <w:p>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我方对被授权人的签名事项负全部责任。代理期限从   年  月  日至   年  月  日止。</w:t>
      </w:r>
    </w:p>
    <w:p>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u w:val="single"/>
        </w:rPr>
        <w:t>在撤销授权的书面通知以前，本授权书一直有效。</w:t>
      </w:r>
      <w:r>
        <w:rPr>
          <w:rFonts w:hint="eastAsia" w:ascii="宋体" w:hAnsi="宋体" w:cs="宋体"/>
          <w:color w:val="auto"/>
          <w:szCs w:val="21"/>
          <w:highlight w:val="none"/>
        </w:rPr>
        <w:t>被授权人在授权书有效期内签署的所有文件不因授权的撤销而失效。</w:t>
      </w:r>
    </w:p>
    <w:p>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被授权人无转委托权，特此委托。</w:t>
      </w:r>
    </w:p>
    <w:p>
      <w:pPr>
        <w:snapToGrid w:val="0"/>
        <w:spacing w:line="360" w:lineRule="exact"/>
        <w:ind w:firstLine="422"/>
        <w:rPr>
          <w:rFonts w:ascii="宋体" w:hAnsi="宋体" w:cs="宋体"/>
          <w:color w:val="auto"/>
          <w:szCs w:val="21"/>
          <w:highlight w:val="none"/>
        </w:rPr>
      </w:pPr>
    </w:p>
    <w:p>
      <w:pPr>
        <w:snapToGrid w:val="0"/>
        <w:spacing w:line="360" w:lineRule="exact"/>
        <w:ind w:firstLine="422"/>
        <w:rPr>
          <w:rFonts w:ascii="宋体" w:hAnsi="宋体" w:cs="宋体"/>
          <w:color w:val="auto"/>
          <w:szCs w:val="21"/>
          <w:highlight w:val="none"/>
          <w:u w:val="single"/>
        </w:rPr>
      </w:pPr>
      <w:r>
        <w:rPr>
          <w:rFonts w:hint="eastAsia" w:ascii="宋体" w:hAnsi="宋体" w:cs="宋体"/>
          <w:color w:val="auto"/>
          <w:szCs w:val="21"/>
          <w:highlight w:val="none"/>
        </w:rPr>
        <w:t>被授权人</w:t>
      </w:r>
      <w:r>
        <w:rPr>
          <w:rFonts w:hint="eastAsia" w:ascii="宋体" w:hAnsi="宋体" w:cs="宋体"/>
          <w:b/>
          <w:color w:val="auto"/>
          <w:szCs w:val="21"/>
          <w:highlight w:val="none"/>
        </w:rPr>
        <w:t>签名</w:t>
      </w:r>
      <w:r>
        <w:rPr>
          <w:rFonts w:hint="eastAsia" w:ascii="宋体" w:hAnsi="宋体" w:cs="宋体"/>
          <w:color w:val="auto"/>
          <w:szCs w:val="21"/>
          <w:highlight w:val="none"/>
        </w:rPr>
        <w:t>：            法定代表人</w:t>
      </w:r>
      <w:r>
        <w:rPr>
          <w:rFonts w:hint="eastAsia" w:ascii="宋体" w:hAnsi="宋体" w:cs="宋体"/>
          <w:b/>
          <w:color w:val="auto"/>
          <w:szCs w:val="21"/>
          <w:highlight w:val="none"/>
        </w:rPr>
        <w:t>签名</w:t>
      </w:r>
      <w:r>
        <w:rPr>
          <w:rFonts w:hint="eastAsia" w:ascii="宋体" w:hAnsi="宋体" w:cs="宋体"/>
          <w:color w:val="auto"/>
          <w:szCs w:val="21"/>
          <w:highlight w:val="none"/>
        </w:rPr>
        <w:t>：</w:t>
      </w:r>
    </w:p>
    <w:p>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所在部门职务：            职务：</w:t>
      </w:r>
    </w:p>
    <w:p>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被授权人身份证号码：</w:t>
      </w:r>
    </w:p>
    <w:p>
      <w:pPr>
        <w:spacing w:line="360" w:lineRule="exact"/>
        <w:ind w:firstLine="6090" w:firstLineChars="2900"/>
        <w:jc w:val="right"/>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jc w:val="right"/>
        <w:rPr>
          <w:rFonts w:ascii="宋体" w:hAnsi="宋体"/>
          <w:color w:val="auto"/>
          <w:szCs w:val="21"/>
          <w:highlight w:val="none"/>
        </w:rPr>
      </w:pPr>
      <w:r>
        <w:rPr>
          <w:rFonts w:hint="eastAsia" w:ascii="宋体" w:hAnsi="宋体"/>
          <w:color w:val="auto"/>
          <w:szCs w:val="21"/>
          <w:highlight w:val="none"/>
        </w:rPr>
        <w:t>日期： 年 月 日</w:t>
      </w:r>
    </w:p>
    <w:p>
      <w:pPr>
        <w:pStyle w:val="27"/>
        <w:ind w:firstLine="422"/>
        <w:rPr>
          <w:color w:val="auto"/>
          <w:highlight w:val="none"/>
        </w:rPr>
      </w:pPr>
      <w:r>
        <w:rPr>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12700</wp:posOffset>
                </wp:positionV>
                <wp:extent cx="3239770" cy="2160270"/>
                <wp:effectExtent l="4445" t="4445" r="13335" b="6985"/>
                <wp:wrapNone/>
                <wp:docPr id="22" name="矩形 11"/>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
                          <w:p/>
                          <w:p/>
                          <w:p/>
                          <w:p>
                            <w:pPr>
                              <w:jc w:val="center"/>
                            </w:pPr>
                            <w:r>
                              <w:rPr>
                                <w:rFonts w:hint="eastAsia"/>
                              </w:rPr>
                              <w:t>委托代理人第二代居民身份证复印件</w:t>
                            </w:r>
                          </w:p>
                          <w:p>
                            <w:pPr>
                              <w:jc w:val="center"/>
                            </w:pPr>
                            <w:r>
                              <w:rPr>
                                <w:rFonts w:hint="eastAsia"/>
                                <w:b/>
                              </w:rPr>
                              <w:t>（正面）</w:t>
                            </w:r>
                          </w:p>
                          <w:p>
                            <w:pPr>
                              <w:jc w:val="center"/>
                            </w:pPr>
                          </w:p>
                        </w:txbxContent>
                      </wps:txbx>
                      <wps:bodyPr upright="1"/>
                    </wps:wsp>
                  </a:graphicData>
                </a:graphic>
              </wp:anchor>
            </w:drawing>
          </mc:Choice>
          <mc:Fallback>
            <w:pict>
              <v:rect id="矩形 11" o:spid="_x0000_s1026" o:spt="1" style="position:absolute;left:0pt;margin-left:9pt;margin-top:1pt;height:170.1pt;width:255.1pt;z-index:251665408;mso-width-relative:page;mso-height-relative:page;" fillcolor="#FFFFFF" filled="t" stroked="t" coordsize="21600,21600" o:gfxdata="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&#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I3hS7WAAAACAEAAA8AAAAAAAAAAQAgAAAAIgAAAGRy&#10;cy9kb3ducmV2LnhtbFBLAQIUABQAAAAIAIdO4kAEug5qBwIAADoEAAAOAAAAAAAAAAEAIAAAACUB&#10;AABkcnMvZTJvRG9jLnhtbFBLBQYAAAAABgAGAFkBAACeBQAAAAA=&#10;">
                <v:fill on="t" focussize="0,0"/>
                <v:stroke color="#000000" joinstyle="miter"/>
                <v:imagedata o:title=""/>
                <o:lock v:ext="edit" aspectratio="f"/>
                <v:textbox>
                  <w:txbxContent>
                    <w:p/>
                    <w:p/>
                    <w:p/>
                    <w:p/>
                    <w:p/>
                    <w:p>
                      <w:pPr>
                        <w:jc w:val="center"/>
                      </w:pPr>
                      <w:r>
                        <w:rPr>
                          <w:rFonts w:hint="eastAsia"/>
                        </w:rPr>
                        <w:t>委托代理人第二代居民身份证复印件</w:t>
                      </w:r>
                    </w:p>
                    <w:p>
                      <w:pPr>
                        <w:jc w:val="center"/>
                      </w:pPr>
                      <w:r>
                        <w:rPr>
                          <w:rFonts w:hint="eastAsia"/>
                          <w:b/>
                        </w:rPr>
                        <w:t>（正面）</w:t>
                      </w:r>
                    </w:p>
                    <w:p>
                      <w:pPr>
                        <w:jc w:val="center"/>
                      </w:pPr>
                    </w:p>
                  </w:txbxContent>
                </v:textbox>
              </v:rect>
            </w:pict>
          </mc:Fallback>
        </mc:AlternateContent>
      </w:r>
      <w:r>
        <w:rPr>
          <w:color w:val="auto"/>
          <w:highlight w:val="none"/>
        </w:rPr>
        <mc:AlternateContent>
          <mc:Choice Requires="wps">
            <w:drawing>
              <wp:anchor distT="180340" distB="0" distL="114300" distR="114300" simplePos="0" relativeHeight="251663360"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20" name="直线 9"/>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9" o:spid="_x0000_s1026" o:spt="20" style="position:absolute;left:0pt;margin-left:0pt;margin-top:0pt;height:0pt;width:483pt;mso-wrap-distance-bottom:0pt;mso-wrap-distance-top:14.2pt;z-index:251663360;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AdU99AAAAACAQAADwAA&#10;AAAAAAABACAAAAAiAAAAZHJzL2Rvd25yZXYueG1sUEsBAhQAFAAAAAgAh07iQE53NdrlAQAA3gMA&#10;AA4AAAAAAAAAAQAgAAAAHwEAAGRycy9lMm9Eb2MueG1sUEsFBgAAAAAGAAYAWQEAAHYFAAAAAA==&#10;">
                <v:fill on="f" focussize="0,0"/>
                <v:stroke color="#000000" joinstyle="round"/>
                <v:imagedata o:title=""/>
                <o:lock v:ext="edit" aspectratio="f"/>
                <w10:wrap type="topAndBottom"/>
              </v:line>
            </w:pict>
          </mc:Fallback>
        </mc:AlternateConten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r>
        <w:rPr>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107950</wp:posOffset>
                </wp:positionH>
                <wp:positionV relativeFrom="paragraph">
                  <wp:posOffset>248285</wp:posOffset>
                </wp:positionV>
                <wp:extent cx="3239770" cy="2160270"/>
                <wp:effectExtent l="4445" t="4445" r="13335" b="6985"/>
                <wp:wrapNone/>
                <wp:docPr id="21" name="矩形 10"/>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
                          <w:p/>
                          <w:p/>
                          <w:p/>
                          <w:p>
                            <w:pPr>
                              <w:jc w:val="center"/>
                            </w:pPr>
                            <w:r>
                              <w:rPr>
                                <w:rFonts w:hint="eastAsia"/>
                              </w:rPr>
                              <w:t>委托代理人第二代居民身份证复印件</w:t>
                            </w:r>
                          </w:p>
                          <w:p>
                            <w:pPr>
                              <w:jc w:val="center"/>
                            </w:pPr>
                            <w:r>
                              <w:rPr>
                                <w:rFonts w:hint="eastAsia"/>
                                <w:b/>
                              </w:rPr>
                              <w:t>（背面）</w:t>
                            </w:r>
                          </w:p>
                        </w:txbxContent>
                      </wps:txbx>
                      <wps:bodyPr upright="1"/>
                    </wps:wsp>
                  </a:graphicData>
                </a:graphic>
              </wp:anchor>
            </w:drawing>
          </mc:Choice>
          <mc:Fallback>
            <w:pict>
              <v:rect id="矩形 10" o:spid="_x0000_s1026" o:spt="1" style="position:absolute;left:0pt;margin-left:8.5pt;margin-top:19.55pt;height:170.1pt;width:255.1pt;z-index:251664384;mso-width-relative:page;mso-height-relative:page;" fillcolor="#FFFFFF" filled="t" stroked="t" coordsize="21600,21600" o:gfxdata="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&#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cESrDXAAAACQEAAA8AAAAAAAAAAQAgAAAAIgAAAGRy&#10;cy9kb3ducmV2LnhtbFBLAQIUABQAAAAIAIdO4kAvjp5PBgIAADoEAAAOAAAAAAAAAAEAIAAAACYB&#10;AABkcnMvZTJvRG9jLnhtbFBLBQYAAAAABgAGAFkBAACeBQAAAAA=&#10;">
                <v:fill on="t" focussize="0,0"/>
                <v:stroke color="#000000" joinstyle="miter"/>
                <v:imagedata o:title=""/>
                <o:lock v:ext="edit" aspectratio="f"/>
                <v:textbox>
                  <w:txbxContent>
                    <w:p/>
                    <w:p/>
                    <w:p/>
                    <w:p/>
                    <w:p/>
                    <w:p>
                      <w:pPr>
                        <w:jc w:val="center"/>
                      </w:pPr>
                      <w:r>
                        <w:rPr>
                          <w:rFonts w:hint="eastAsia"/>
                        </w:rPr>
                        <w:t>委托代理人第二代居民身份证复印件</w:t>
                      </w:r>
                    </w:p>
                    <w:p>
                      <w:pPr>
                        <w:jc w:val="center"/>
                      </w:pPr>
                      <w:r>
                        <w:rPr>
                          <w:rFonts w:hint="eastAsia"/>
                          <w:b/>
                        </w:rPr>
                        <w:t>（背面）</w:t>
                      </w:r>
                    </w:p>
                  </w:txbxContent>
                </v:textbox>
              </v:rect>
            </w:pict>
          </mc:Fallback>
        </mc:AlternateConten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spacing w:line="320" w:lineRule="exact"/>
        <w:ind w:firstLine="420"/>
        <w:rPr>
          <w:rFonts w:hint="eastAsia" w:ascii="宋体" w:hAnsi="宋体" w:cs="宋体"/>
          <w:b/>
          <w:color w:val="auto"/>
          <w:szCs w:val="21"/>
          <w:highlight w:val="none"/>
        </w:rPr>
      </w:pPr>
    </w:p>
    <w:p>
      <w:pPr>
        <w:spacing w:line="320" w:lineRule="exact"/>
        <w:ind w:firstLine="420"/>
        <w:rPr>
          <w:rFonts w:hint="eastAsia" w:ascii="宋体" w:hAnsi="宋体" w:cs="宋体"/>
          <w:b/>
          <w:color w:val="auto"/>
          <w:szCs w:val="21"/>
          <w:highlight w:val="none"/>
        </w:rPr>
      </w:pPr>
    </w:p>
    <w:p>
      <w:pPr>
        <w:spacing w:line="320" w:lineRule="exact"/>
        <w:ind w:firstLine="420"/>
        <w:rPr>
          <w:rFonts w:hint="eastAsia" w:ascii="宋体" w:hAnsi="宋体" w:cs="宋体"/>
          <w:b/>
          <w:color w:val="auto"/>
          <w:szCs w:val="21"/>
          <w:highlight w:val="none"/>
        </w:rPr>
      </w:pPr>
    </w:p>
    <w:p>
      <w:pPr>
        <w:spacing w:line="320" w:lineRule="exact"/>
        <w:ind w:firstLine="420"/>
        <w:rPr>
          <w:rFonts w:hint="eastAsia" w:ascii="宋体" w:hAnsi="宋体" w:cs="宋体"/>
          <w:b/>
          <w:color w:val="auto"/>
          <w:szCs w:val="21"/>
          <w:highlight w:val="none"/>
        </w:rPr>
      </w:pPr>
    </w:p>
    <w:p>
      <w:pPr>
        <w:spacing w:line="320" w:lineRule="exact"/>
        <w:ind w:firstLine="420"/>
        <w:rPr>
          <w:rFonts w:hint="eastAsia" w:ascii="宋体" w:hAnsi="宋体" w:cs="宋体"/>
          <w:b/>
          <w:color w:val="auto"/>
          <w:szCs w:val="21"/>
          <w:highlight w:val="none"/>
        </w:rPr>
      </w:pPr>
    </w:p>
    <w:p>
      <w:pPr>
        <w:spacing w:line="320" w:lineRule="exact"/>
        <w:ind w:firstLine="420"/>
        <w:rPr>
          <w:rFonts w:hint="eastAsia" w:ascii="宋体" w:hAnsi="宋体" w:cs="宋体"/>
          <w:b/>
          <w:color w:val="auto"/>
          <w:szCs w:val="21"/>
          <w:highlight w:val="none"/>
        </w:rPr>
      </w:pPr>
    </w:p>
    <w:p>
      <w:pPr>
        <w:spacing w:line="320" w:lineRule="exact"/>
        <w:ind w:firstLine="420"/>
        <w:rPr>
          <w:rFonts w:ascii="宋体" w:hAnsi="宋体" w:cs="宋体"/>
          <w:b/>
          <w:color w:val="auto"/>
          <w:szCs w:val="21"/>
          <w:highlight w:val="none"/>
        </w:rPr>
      </w:pPr>
      <w:r>
        <w:rPr>
          <w:rFonts w:hint="eastAsia" w:ascii="宋体" w:hAnsi="宋体" w:cs="宋体"/>
          <w:b/>
          <w:color w:val="auto"/>
          <w:szCs w:val="21"/>
          <w:highlight w:val="none"/>
        </w:rPr>
        <w:t>三、保证金证明格式</w:t>
      </w:r>
    </w:p>
    <w:p>
      <w:pPr>
        <w:pStyle w:val="27"/>
        <w:ind w:firstLine="422"/>
        <w:jc w:val="center"/>
        <w:rPr>
          <w:color w:val="auto"/>
          <w:kern w:val="2"/>
          <w:highlight w:val="none"/>
        </w:rPr>
      </w:pPr>
      <w:r>
        <w:rPr>
          <w:rFonts w:hint="eastAsia"/>
          <w:color w:val="auto"/>
          <w:kern w:val="2"/>
          <w:highlight w:val="none"/>
        </w:rPr>
        <w:t>磋商保证金缴纳证明材料复印件</w:t>
      </w:r>
    </w:p>
    <w:p>
      <w:pPr>
        <w:pStyle w:val="27"/>
        <w:ind w:firstLine="422"/>
        <w:rPr>
          <w:color w:val="auto"/>
          <w:highlight w:val="none"/>
        </w:rPr>
      </w:pPr>
    </w:p>
    <w:p>
      <w:pPr>
        <w:pStyle w:val="27"/>
        <w:ind w:firstLine="422"/>
        <w:rPr>
          <w:color w:val="auto"/>
          <w:highlight w:val="none"/>
        </w:rPr>
      </w:pPr>
      <w:r>
        <w:rPr>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76200</wp:posOffset>
                </wp:positionV>
                <wp:extent cx="6120130" cy="2879725"/>
                <wp:effectExtent l="4445" t="4445" r="9525" b="11430"/>
                <wp:wrapNone/>
                <wp:docPr id="23" name="Rectangle 44"/>
                <wp:cNvGraphicFramePr/>
                <a:graphic xmlns:a="http://schemas.openxmlformats.org/drawingml/2006/main">
                  <a:graphicData uri="http://schemas.microsoft.com/office/word/2010/wordprocessingShape">
                    <wps:wsp>
                      <wps:cNvSpPr/>
                      <wps:spPr>
                        <a:xfrm>
                          <a:off x="0" y="0"/>
                          <a:ext cx="6120130" cy="2879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pPr>
                          </w:p>
                          <w:p>
                            <w:pPr>
                              <w:jc w:val="center"/>
                              <w:rPr>
                                <w:szCs w:val="21"/>
                              </w:rPr>
                            </w:pPr>
                            <w:r>
                              <w:rPr>
                                <w:rFonts w:hint="eastAsia" w:hAnsi="宋体"/>
                              </w:rPr>
                              <w:t>转账底单、电汇单、支票、汇票、本票或银行、保险机构出具的保函复印件</w:t>
                            </w:r>
                          </w:p>
                        </w:txbxContent>
                      </wps:txbx>
                      <wps:bodyPr upright="1"/>
                    </wps:wsp>
                  </a:graphicData>
                </a:graphic>
              </wp:anchor>
            </w:drawing>
          </mc:Choice>
          <mc:Fallback>
            <w:pict>
              <v:rect id="Rectangle 44" o:spid="_x0000_s1026" o:spt="1" style="position:absolute;left:0pt;margin-left:0pt;margin-top:6pt;height:226.75pt;width:481.9pt;z-index:251666432;mso-width-relative:page;mso-height-relative:page;" fillcolor="#FFFFFF" filled="t" stroked="t" coordsize="21600,21600" o:gfxdata="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sBJ2d1gAAAAcBAAAPAAAAAAAAAAEAIAAAACIAAABkcnMvZG93bnJldi54&#10;bWxQSwECFAAUAAAACACHTuJAtC3xhvwBAAA9BAAADgAAAAAAAAABACAAAAAlAQAAZHJzL2Uyb0Rv&#10;Yy54bWxQSwUGAAAAAAYABgBZAQAAkwUAAAAA&#10;">
                <v:fill on="t" focussize="0,0"/>
                <v:stroke color="#000000" joinstyle="miter"/>
                <v:imagedata o:title=""/>
                <o:lock v:ext="edit" aspectratio="f"/>
                <v:textbox>
                  <w:txbxContent>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pPr>
                    </w:p>
                    <w:p>
                      <w:pPr>
                        <w:jc w:val="center"/>
                        <w:rPr>
                          <w:szCs w:val="21"/>
                        </w:rPr>
                      </w:pPr>
                      <w:r>
                        <w:rPr>
                          <w:rFonts w:hint="eastAsia" w:hAnsi="宋体"/>
                        </w:rPr>
                        <w:t>转账底单、电汇单、支票、汇票、本票或银行、保险机构出具的保函复印件</w:t>
                      </w:r>
                    </w:p>
                  </w:txbxContent>
                </v:textbox>
              </v:rect>
            </w:pict>
          </mc:Fallback>
        </mc:AlternateConten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spacing w:line="320" w:lineRule="exact"/>
        <w:ind w:firstLine="422"/>
        <w:rPr>
          <w:rFonts w:ascii="宋体" w:hAnsi="宋体"/>
          <w:color w:val="auto"/>
          <w:szCs w:val="21"/>
          <w:highlight w:val="none"/>
        </w:rPr>
      </w:pPr>
    </w:p>
    <w:p>
      <w:pPr>
        <w:ind w:firstLine="420"/>
        <w:rPr>
          <w:rFonts w:hint="eastAsia" w:ascii="宋体" w:hAnsi="宋体" w:cs="宋体"/>
          <w:b/>
          <w:bCs w:val="0"/>
          <w:color w:val="auto"/>
          <w:sz w:val="28"/>
          <w:szCs w:val="28"/>
          <w:highlight w:val="none"/>
        </w:rPr>
      </w:pPr>
      <w:r>
        <w:rPr>
          <w:rFonts w:hint="eastAsia" w:ascii="宋体" w:hAnsi="宋体" w:cs="宋体"/>
          <w:b/>
          <w:bCs w:val="0"/>
          <w:color w:val="auto"/>
          <w:sz w:val="28"/>
          <w:szCs w:val="28"/>
          <w:highlight w:val="none"/>
        </w:rPr>
        <w:t>四、</w:t>
      </w:r>
      <w:r>
        <w:rPr>
          <w:rFonts w:hint="eastAsia" w:ascii="宋体" w:hAnsi="宋体"/>
          <w:b/>
          <w:bCs w:val="0"/>
          <w:color w:val="auto"/>
          <w:sz w:val="28"/>
          <w:szCs w:val="28"/>
          <w:highlight w:val="none"/>
        </w:rPr>
        <w:t>供应商情况介绍（格式自拟）</w:t>
      </w:r>
    </w:p>
    <w:p>
      <w:pPr>
        <w:ind w:firstLine="420"/>
        <w:rPr>
          <w:rFonts w:hint="eastAsia" w:ascii="宋体" w:hAnsi="宋体" w:cs="宋体"/>
          <w:b/>
          <w:color w:val="auto"/>
          <w:szCs w:val="21"/>
          <w:highlight w:val="none"/>
        </w:rPr>
      </w:pPr>
    </w:p>
    <w:p>
      <w:pPr>
        <w:ind w:firstLine="420"/>
        <w:rPr>
          <w:rFonts w:hint="eastAsia" w:ascii="宋体" w:hAnsi="宋体" w:cs="宋体"/>
          <w:b/>
          <w:color w:val="auto"/>
          <w:szCs w:val="21"/>
          <w:highlight w:val="none"/>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ind w:firstLine="420"/>
        <w:rPr>
          <w:rFonts w:hint="eastAsia" w:ascii="宋体" w:hAnsi="宋体" w:cs="宋体"/>
          <w:b/>
          <w:color w:val="auto"/>
          <w:szCs w:val="21"/>
          <w:highlight w:val="none"/>
          <w:lang w:val="en-US" w:eastAsia="zh-CN"/>
        </w:rPr>
      </w:pPr>
    </w:p>
    <w:p>
      <w:pPr>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br w:type="page"/>
      </w:r>
    </w:p>
    <w:p>
      <w:pPr>
        <w:ind w:firstLine="420"/>
        <w:rPr>
          <w:rFonts w:ascii="宋体" w:hAnsi="宋体" w:cs="宋体"/>
          <w:b/>
          <w:color w:val="auto"/>
          <w:szCs w:val="21"/>
          <w:highlight w:val="none"/>
        </w:rPr>
      </w:pP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商务响应表格式</w:t>
      </w:r>
    </w:p>
    <w:p>
      <w:pPr>
        <w:ind w:firstLine="600"/>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商务响应表（格式）</w:t>
      </w:r>
    </w:p>
    <w:p>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4"/>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977"/>
        <w:gridCol w:w="1275"/>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pPr>
              <w:pStyle w:val="27"/>
              <w:jc w:val="center"/>
              <w:rPr>
                <w:color w:val="auto"/>
                <w:highlight w:val="none"/>
              </w:rPr>
            </w:pPr>
            <w:r>
              <w:rPr>
                <w:rFonts w:hint="eastAsia"/>
                <w:color w:val="auto"/>
                <w:highlight w:val="none"/>
              </w:rPr>
              <w:t>项目</w:t>
            </w:r>
          </w:p>
        </w:tc>
        <w:tc>
          <w:tcPr>
            <w:tcW w:w="2977" w:type="dxa"/>
            <w:tcBorders>
              <w:top w:val="single" w:color="auto" w:sz="4" w:space="0"/>
              <w:left w:val="single" w:color="auto" w:sz="4" w:space="0"/>
              <w:bottom w:val="single" w:color="auto" w:sz="4" w:space="0"/>
              <w:right w:val="single" w:color="auto" w:sz="4" w:space="0"/>
            </w:tcBorders>
            <w:vAlign w:val="center"/>
          </w:tcPr>
          <w:p>
            <w:pPr>
              <w:pStyle w:val="27"/>
              <w:jc w:val="center"/>
              <w:rPr>
                <w:color w:val="auto"/>
                <w:highlight w:val="none"/>
              </w:rPr>
            </w:pPr>
            <w:r>
              <w:rPr>
                <w:rFonts w:hint="eastAsia"/>
                <w:color w:val="auto"/>
                <w:highlight w:val="none"/>
              </w:rPr>
              <w:t>磋商文件的商务条款</w:t>
            </w:r>
          </w:p>
        </w:tc>
        <w:tc>
          <w:tcPr>
            <w:tcW w:w="1275" w:type="dxa"/>
            <w:tcBorders>
              <w:top w:val="single" w:color="auto" w:sz="4" w:space="0"/>
              <w:left w:val="single" w:color="auto" w:sz="4" w:space="0"/>
              <w:bottom w:val="single" w:color="auto" w:sz="4" w:space="0"/>
              <w:right w:val="single" w:color="auto" w:sz="4" w:space="0"/>
            </w:tcBorders>
            <w:vAlign w:val="center"/>
          </w:tcPr>
          <w:p>
            <w:pPr>
              <w:pStyle w:val="27"/>
              <w:jc w:val="center"/>
              <w:rPr>
                <w:color w:val="auto"/>
                <w:highlight w:val="none"/>
              </w:rPr>
            </w:pPr>
            <w:r>
              <w:rPr>
                <w:rFonts w:hint="eastAsia"/>
                <w:color w:val="auto"/>
                <w:highlight w:val="none"/>
              </w:rPr>
              <w:t>是否响应</w:t>
            </w:r>
          </w:p>
        </w:tc>
        <w:tc>
          <w:tcPr>
            <w:tcW w:w="3119" w:type="dxa"/>
            <w:tcBorders>
              <w:top w:val="single" w:color="auto" w:sz="4" w:space="0"/>
              <w:left w:val="single" w:color="auto" w:sz="4" w:space="0"/>
              <w:bottom w:val="single" w:color="auto" w:sz="4" w:space="0"/>
              <w:right w:val="single" w:color="auto" w:sz="4" w:space="0"/>
            </w:tcBorders>
            <w:vAlign w:val="center"/>
          </w:tcPr>
          <w:p>
            <w:pPr>
              <w:pStyle w:val="27"/>
              <w:jc w:val="center"/>
              <w:rPr>
                <w:color w:val="auto"/>
                <w:highlight w:val="none"/>
              </w:rPr>
            </w:pPr>
            <w:r>
              <w:rPr>
                <w:rFonts w:hint="eastAsia"/>
                <w:color w:val="auto"/>
                <w:highlight w:val="none"/>
              </w:rPr>
              <w:t>响应文件的承诺或说明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after="0" w:line="360" w:lineRule="auto"/>
              <w:jc w:val="center"/>
              <w:rPr>
                <w:rFonts w:hint="eastAsia" w:ascii="Arial" w:hAnsi="宋体" w:eastAsia="黑体" w:cs="宋体"/>
                <w:b/>
                <w:bCs/>
                <w:color w:val="auto"/>
                <w:kern w:val="2"/>
                <w:sz w:val="24"/>
                <w:szCs w:val="32"/>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1、报价要求</w:t>
            </w:r>
          </w:p>
        </w:tc>
        <w:tc>
          <w:tcPr>
            <w:tcW w:w="2977"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after="0" w:line="360" w:lineRule="auto"/>
              <w:jc w:val="center"/>
              <w:rPr>
                <w:rFonts w:hint="eastAsia" w:ascii="Arial" w:hAnsi="宋体" w:eastAsia="黑体" w:cs="宋体"/>
                <w:b/>
                <w:bCs/>
                <w:color w:val="auto"/>
                <w:kern w:val="2"/>
                <w:sz w:val="24"/>
                <w:szCs w:val="32"/>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2、付款方式</w:t>
            </w:r>
          </w:p>
        </w:tc>
        <w:tc>
          <w:tcPr>
            <w:tcW w:w="2977"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3、服务交接时间及地点</w:t>
            </w:r>
          </w:p>
        </w:tc>
        <w:tc>
          <w:tcPr>
            <w:tcW w:w="2977"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4、其他要求：</w:t>
            </w:r>
          </w:p>
        </w:tc>
        <w:tc>
          <w:tcPr>
            <w:tcW w:w="2977"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宋体" w:eastAsia="宋体" w:cs="宋体"/>
                <w:color w:val="auto"/>
                <w:kern w:val="2"/>
                <w:sz w:val="24"/>
                <w:szCs w:val="24"/>
                <w:highlight w:val="none"/>
                <w:lang w:val="en-US" w:eastAsia="zh-CN" w:bidi="ar-SA"/>
              </w:rPr>
            </w:pPr>
          </w:p>
        </w:tc>
        <w:tc>
          <w:tcPr>
            <w:tcW w:w="2977"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spacing w:line="360" w:lineRule="exact"/>
              <w:jc w:val="center"/>
              <w:rPr>
                <w:rFonts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pPr>
              <w:pStyle w:val="27"/>
              <w:ind w:firstLine="422"/>
              <w:jc w:val="center"/>
              <w:rPr>
                <w:color w:val="auto"/>
                <w:highlight w:val="none"/>
              </w:rPr>
            </w:pPr>
          </w:p>
        </w:tc>
      </w:tr>
    </w:tbl>
    <w:p>
      <w:pPr>
        <w:autoSpaceDE w:val="0"/>
        <w:autoSpaceDN w:val="0"/>
        <w:adjustRightInd w:val="0"/>
        <w:ind w:firstLine="422"/>
        <w:jc w:val="left"/>
        <w:rPr>
          <w:rFonts w:ascii="宋体" w:hAnsi="Calibri" w:cs="宋体"/>
          <w:color w:val="auto"/>
          <w:kern w:val="0"/>
          <w:szCs w:val="21"/>
          <w:highlight w:val="none"/>
        </w:rPr>
      </w:pPr>
      <w:r>
        <w:rPr>
          <w:rFonts w:hint="eastAsia" w:ascii="宋体" w:hAnsi="Calibri" w:cs="宋体"/>
          <w:color w:val="auto"/>
          <w:kern w:val="0"/>
          <w:szCs w:val="21"/>
          <w:highlight w:val="none"/>
        </w:rPr>
        <w:t>注：</w:t>
      </w:r>
    </w:p>
    <w:p>
      <w:pPr>
        <w:autoSpaceDE w:val="0"/>
        <w:autoSpaceDN w:val="0"/>
        <w:adjustRightInd w:val="0"/>
        <w:ind w:firstLine="422"/>
        <w:jc w:val="left"/>
        <w:rPr>
          <w:rFonts w:ascii="宋体" w:hAnsi="Calibri" w:cs="宋体"/>
          <w:color w:val="auto"/>
          <w:kern w:val="0"/>
          <w:szCs w:val="21"/>
          <w:highlight w:val="none"/>
        </w:rPr>
      </w:pPr>
      <w:r>
        <w:rPr>
          <w:rFonts w:ascii="宋体" w:hAnsi="Calibri" w:cs="宋体"/>
          <w:color w:val="auto"/>
          <w:kern w:val="0"/>
          <w:szCs w:val="21"/>
          <w:highlight w:val="none"/>
        </w:rPr>
        <w:t>1.</w:t>
      </w:r>
      <w:r>
        <w:rPr>
          <w:rFonts w:hint="eastAsia" w:ascii="宋体" w:hAnsi="Calibri" w:cs="宋体"/>
          <w:color w:val="auto"/>
          <w:kern w:val="0"/>
          <w:szCs w:val="21"/>
          <w:highlight w:val="none"/>
        </w:rPr>
        <w:t>说明：应对照磋商文件“第</w:t>
      </w:r>
      <w:r>
        <w:rPr>
          <w:rFonts w:hint="eastAsia" w:ascii="宋体" w:hAnsi="Calibri" w:cs="宋体"/>
          <w:color w:val="auto"/>
          <w:kern w:val="0"/>
          <w:szCs w:val="21"/>
          <w:highlight w:val="none"/>
          <w:lang w:val="en-US" w:eastAsia="zh-CN"/>
        </w:rPr>
        <w:t>二</w:t>
      </w:r>
      <w:r>
        <w:rPr>
          <w:rFonts w:hint="eastAsia" w:ascii="宋体" w:hAnsi="Calibri" w:cs="宋体"/>
          <w:color w:val="auto"/>
          <w:kern w:val="0"/>
          <w:szCs w:val="21"/>
          <w:highlight w:val="none"/>
        </w:rPr>
        <w:t>章</w:t>
      </w:r>
      <w:r>
        <w:rPr>
          <w:rFonts w:hint="eastAsia" w:ascii="宋体" w:hAnsi="Calibri" w:cs="宋体"/>
          <w:color w:val="auto"/>
          <w:kern w:val="0"/>
          <w:szCs w:val="21"/>
          <w:highlight w:val="none"/>
          <w:lang w:val="en-US" w:eastAsia="zh-CN"/>
        </w:rPr>
        <w:t xml:space="preserve"> </w:t>
      </w:r>
      <w:r>
        <w:rPr>
          <w:rFonts w:hint="eastAsia" w:ascii="宋体" w:hAnsi="Calibri" w:cs="宋体"/>
          <w:color w:val="auto"/>
          <w:kern w:val="0"/>
          <w:szCs w:val="21"/>
          <w:highlight w:val="none"/>
        </w:rPr>
        <w:t>采购需求”的内容逐条作出明确响应，并作出偏离说明。</w:t>
      </w:r>
    </w:p>
    <w:p>
      <w:pPr>
        <w:autoSpaceDE w:val="0"/>
        <w:autoSpaceDN w:val="0"/>
        <w:adjustRightInd w:val="0"/>
        <w:ind w:firstLine="422"/>
        <w:jc w:val="left"/>
        <w:rPr>
          <w:rFonts w:ascii="宋体" w:hAnsi="Calibri" w:cs="宋体"/>
          <w:color w:val="auto"/>
          <w:kern w:val="0"/>
          <w:szCs w:val="21"/>
          <w:highlight w:val="none"/>
        </w:rPr>
      </w:pPr>
      <w:r>
        <w:rPr>
          <w:rFonts w:ascii="宋体" w:hAnsi="Calibri" w:cs="宋体"/>
          <w:color w:val="auto"/>
          <w:kern w:val="0"/>
          <w:szCs w:val="21"/>
          <w:highlight w:val="none"/>
        </w:rPr>
        <w:t>2.</w:t>
      </w:r>
      <w:r>
        <w:rPr>
          <w:rFonts w:hint="eastAsia" w:ascii="宋体" w:hAnsi="Calibri" w:cs="宋体"/>
          <w:color w:val="auto"/>
          <w:kern w:val="0"/>
          <w:szCs w:val="21"/>
          <w:highlight w:val="none"/>
        </w:rPr>
        <w:t>供应商应根据自身的承诺，对照磋商文件要求，在“偏离说明”中注明“正偏离”、“负偏离”或者“无偏离”。既不属于“正偏离”也不属于“负偏离”即为“无偏离”。当响应文件的商务内容低于竞争性磋商采购文件要求时，供应商应当如实写明“负偏离”，否则视为虚假应标。</w:t>
      </w: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ind w:firstLine="420"/>
        <w:rPr>
          <w:rFonts w:ascii="宋体" w:hAnsi="宋体" w:cs="宋体"/>
          <w:b/>
          <w:color w:val="auto"/>
          <w:szCs w:val="21"/>
          <w:highlight w:val="none"/>
        </w:rPr>
      </w:pPr>
    </w:p>
    <w:p>
      <w:pPr>
        <w:widowControl/>
        <w:ind w:firstLine="420"/>
        <w:jc w:val="left"/>
        <w:rPr>
          <w:rFonts w:ascii="宋体" w:hAnsi="宋体" w:cs="宋体"/>
          <w:b/>
          <w:color w:val="auto"/>
          <w:szCs w:val="21"/>
          <w:highlight w:val="none"/>
        </w:rPr>
      </w:pPr>
      <w:r>
        <w:rPr>
          <w:rFonts w:ascii="宋体" w:hAnsi="宋体" w:cs="宋体"/>
          <w:b/>
          <w:color w:val="auto"/>
          <w:szCs w:val="21"/>
          <w:highlight w:val="none"/>
        </w:rPr>
        <w:br w:type="page"/>
      </w:r>
    </w:p>
    <w:p>
      <w:pPr>
        <w:ind w:firstLine="420"/>
        <w:rPr>
          <w:rFonts w:ascii="宋体" w:hAnsi="宋体" w:cs="宋体"/>
          <w:b/>
          <w:color w:val="auto"/>
          <w:szCs w:val="21"/>
          <w:highlight w:val="none"/>
        </w:rPr>
      </w:pP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、技术响应表格式</w:t>
      </w:r>
    </w:p>
    <w:p>
      <w:pPr>
        <w:ind w:firstLine="600"/>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技术响应表（格式）</w:t>
      </w:r>
    </w:p>
    <w:p>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4"/>
        <w:tblW w:w="897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7"/>
        <w:gridCol w:w="1958"/>
        <w:gridCol w:w="2112"/>
        <w:gridCol w:w="2227"/>
        <w:gridCol w:w="18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exact"/>
        </w:trPr>
        <w:tc>
          <w:tcPr>
            <w:tcW w:w="827" w:type="dxa"/>
            <w:tcBorders>
              <w:top w:val="single" w:color="000000" w:sz="4" w:space="0"/>
              <w:left w:val="single" w:color="000000" w:sz="4" w:space="0"/>
              <w:bottom w:val="single" w:color="000000" w:sz="4" w:space="0"/>
              <w:right w:val="single" w:color="000000" w:sz="4" w:space="0"/>
            </w:tcBorders>
            <w:vAlign w:val="center"/>
          </w:tcPr>
          <w:p>
            <w:pPr>
              <w:pStyle w:val="210"/>
              <w:spacing w:before="5"/>
              <w:ind w:left="0" w:right="0" w:firstLine="442"/>
              <w:jc w:val="center"/>
              <w:rPr>
                <w:rFonts w:ascii="Times New Roman"/>
                <w:color w:val="auto"/>
                <w:kern w:val="2"/>
                <w:highlight w:val="none"/>
                <w:lang w:eastAsia="zh-CN"/>
              </w:rPr>
            </w:pPr>
          </w:p>
          <w:p>
            <w:pPr>
              <w:pStyle w:val="210"/>
              <w:ind w:right="181"/>
              <w:jc w:val="center"/>
              <w:rPr>
                <w:color w:val="auto"/>
                <w:kern w:val="2"/>
                <w:sz w:val="21"/>
                <w:highlight w:val="none"/>
              </w:rPr>
            </w:pPr>
            <w:r>
              <w:rPr>
                <w:rFonts w:hint="eastAsia"/>
                <w:color w:val="auto"/>
                <w:kern w:val="2"/>
                <w:sz w:val="21"/>
                <w:highlight w:val="none"/>
              </w:rPr>
              <w:t>项号</w:t>
            </w:r>
          </w:p>
        </w:tc>
        <w:tc>
          <w:tcPr>
            <w:tcW w:w="1958" w:type="dxa"/>
            <w:tcBorders>
              <w:top w:val="single" w:color="000000" w:sz="4" w:space="0"/>
              <w:left w:val="single" w:color="000000" w:sz="4" w:space="0"/>
              <w:bottom w:val="single" w:color="000000" w:sz="4" w:space="0"/>
              <w:right w:val="single" w:color="000000" w:sz="4" w:space="0"/>
            </w:tcBorders>
            <w:vAlign w:val="center"/>
          </w:tcPr>
          <w:p>
            <w:pPr>
              <w:pStyle w:val="210"/>
              <w:spacing w:before="5"/>
              <w:ind w:left="0" w:right="0" w:firstLine="442"/>
              <w:jc w:val="center"/>
              <w:rPr>
                <w:rFonts w:ascii="Times New Roman"/>
                <w:color w:val="auto"/>
                <w:kern w:val="2"/>
                <w:highlight w:val="none"/>
              </w:rPr>
            </w:pPr>
          </w:p>
          <w:p>
            <w:pPr>
              <w:pStyle w:val="210"/>
              <w:ind w:left="0" w:right="0"/>
              <w:jc w:val="center"/>
              <w:rPr>
                <w:color w:val="auto"/>
                <w:kern w:val="2"/>
                <w:sz w:val="21"/>
                <w:highlight w:val="none"/>
                <w:lang w:eastAsia="zh-CN"/>
              </w:rPr>
            </w:pPr>
            <w:r>
              <w:rPr>
                <w:rFonts w:hint="eastAsia"/>
                <w:color w:val="auto"/>
                <w:kern w:val="2"/>
                <w:sz w:val="21"/>
                <w:highlight w:val="none"/>
                <w:lang w:eastAsia="zh-CN"/>
              </w:rPr>
              <w:t>服务内容</w:t>
            </w:r>
          </w:p>
        </w:tc>
        <w:tc>
          <w:tcPr>
            <w:tcW w:w="2112" w:type="dxa"/>
            <w:tcBorders>
              <w:top w:val="single" w:color="000000" w:sz="4" w:space="0"/>
              <w:left w:val="single" w:color="000000" w:sz="4" w:space="0"/>
              <w:bottom w:val="single" w:color="000000" w:sz="4" w:space="0"/>
              <w:right w:val="single" w:color="auto" w:sz="4" w:space="0"/>
            </w:tcBorders>
            <w:vAlign w:val="center"/>
          </w:tcPr>
          <w:p>
            <w:pPr>
              <w:snapToGrid w:val="0"/>
              <w:spacing w:before="120" w:beforeLines="50" w:line="360" w:lineRule="exact"/>
              <w:jc w:val="center"/>
              <w:rPr>
                <w:rFonts w:ascii="宋体" w:hAnsi="宋体"/>
                <w:color w:val="auto"/>
                <w:szCs w:val="21"/>
                <w:highlight w:val="none"/>
              </w:rPr>
            </w:pPr>
            <w:r>
              <w:rPr>
                <w:rFonts w:hint="eastAsia" w:ascii="宋体" w:hAnsi="宋体"/>
                <w:color w:val="auto"/>
                <w:szCs w:val="21"/>
                <w:highlight w:val="none"/>
              </w:rPr>
              <w:t>招标文件要求</w:t>
            </w:r>
          </w:p>
        </w:tc>
        <w:tc>
          <w:tcPr>
            <w:tcW w:w="2227" w:type="dxa"/>
            <w:tcBorders>
              <w:top w:val="single" w:color="000000" w:sz="4" w:space="0"/>
              <w:left w:val="single" w:color="auto" w:sz="4" w:space="0"/>
              <w:bottom w:val="single" w:color="000000" w:sz="4" w:space="0"/>
              <w:right w:val="single" w:color="000000" w:sz="4" w:space="0"/>
            </w:tcBorders>
            <w:vAlign w:val="center"/>
          </w:tcPr>
          <w:p>
            <w:pPr>
              <w:snapToGrid w:val="0"/>
              <w:spacing w:before="120" w:beforeLines="50" w:line="360" w:lineRule="exact"/>
              <w:jc w:val="center"/>
              <w:rPr>
                <w:rFonts w:ascii="宋体" w:hAnsi="宋体"/>
                <w:color w:val="auto"/>
                <w:szCs w:val="21"/>
                <w:highlight w:val="none"/>
              </w:rPr>
            </w:pPr>
            <w:r>
              <w:rPr>
                <w:rFonts w:hint="eastAsia" w:ascii="宋体" w:hAnsi="宋体"/>
                <w:color w:val="auto"/>
                <w:szCs w:val="21"/>
                <w:highlight w:val="none"/>
              </w:rPr>
              <w:t>响应文件响应</w:t>
            </w:r>
          </w:p>
        </w:tc>
        <w:tc>
          <w:tcPr>
            <w:tcW w:w="1846" w:type="dxa"/>
            <w:tcBorders>
              <w:top w:val="single" w:color="000000" w:sz="4" w:space="0"/>
              <w:left w:val="single" w:color="000000" w:sz="4" w:space="0"/>
              <w:bottom w:val="single" w:color="000000" w:sz="4" w:space="0"/>
              <w:right w:val="single" w:color="000000" w:sz="4" w:space="0"/>
            </w:tcBorders>
            <w:vAlign w:val="center"/>
          </w:tcPr>
          <w:p>
            <w:pPr>
              <w:pStyle w:val="210"/>
              <w:spacing w:before="5"/>
              <w:ind w:left="0" w:right="0" w:firstLine="442"/>
              <w:jc w:val="center"/>
              <w:rPr>
                <w:rFonts w:ascii="Times New Roman"/>
                <w:color w:val="auto"/>
                <w:kern w:val="2"/>
                <w:highlight w:val="none"/>
                <w:lang w:eastAsia="zh-CN"/>
              </w:rPr>
            </w:pPr>
          </w:p>
          <w:p>
            <w:pPr>
              <w:pStyle w:val="210"/>
              <w:ind w:right="131"/>
              <w:jc w:val="center"/>
              <w:rPr>
                <w:color w:val="auto"/>
                <w:kern w:val="2"/>
                <w:sz w:val="21"/>
                <w:highlight w:val="none"/>
              </w:rPr>
            </w:pPr>
            <w:r>
              <w:rPr>
                <w:rFonts w:hint="eastAsia"/>
                <w:color w:val="auto"/>
                <w:kern w:val="2"/>
                <w:sz w:val="21"/>
                <w:highlight w:val="none"/>
              </w:rPr>
              <w:t>偏离情况说明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Borders>
              <w:top w:val="single" w:color="000000" w:sz="4" w:space="0"/>
              <w:left w:val="single" w:color="000000" w:sz="4" w:space="0"/>
              <w:bottom w:val="single" w:color="000000" w:sz="4" w:space="0"/>
              <w:right w:val="single" w:color="000000" w:sz="4" w:space="0"/>
            </w:tcBorders>
            <w:vAlign w:val="center"/>
          </w:tcPr>
          <w:p>
            <w:pPr>
              <w:pStyle w:val="210"/>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80" w:lineRule="exact"/>
              <w:jc w:val="center"/>
              <w:rPr>
                <w:rFonts w:hint="default"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rPr>
              <w:t>基本情况</w:t>
            </w:r>
          </w:p>
        </w:tc>
        <w:tc>
          <w:tcPr>
            <w:tcW w:w="2112" w:type="dxa"/>
            <w:tcBorders>
              <w:top w:val="single" w:color="000000" w:sz="4" w:space="0"/>
              <w:left w:val="single" w:color="000000" w:sz="4" w:space="0"/>
              <w:bottom w:val="single" w:color="000000" w:sz="4" w:space="0"/>
              <w:right w:val="single" w:color="auto" w:sz="4" w:space="0"/>
            </w:tcBorders>
            <w:vAlign w:val="center"/>
          </w:tcPr>
          <w:p>
            <w:pPr>
              <w:ind w:firstLine="422"/>
              <w:jc w:val="center"/>
              <w:rPr>
                <w:color w:val="auto"/>
                <w:highlight w:val="none"/>
              </w:rPr>
            </w:pPr>
          </w:p>
        </w:tc>
        <w:tc>
          <w:tcPr>
            <w:tcW w:w="2227" w:type="dxa"/>
            <w:tcBorders>
              <w:top w:val="single" w:color="000000" w:sz="4" w:space="0"/>
              <w:left w:val="single" w:color="auto" w:sz="4" w:space="0"/>
              <w:bottom w:val="single" w:color="000000" w:sz="4" w:space="0"/>
              <w:right w:val="single" w:color="000000" w:sz="4" w:space="0"/>
            </w:tcBorders>
            <w:vAlign w:val="center"/>
          </w:tcPr>
          <w:p>
            <w:pPr>
              <w:ind w:firstLine="422"/>
              <w:jc w:val="center"/>
              <w:rPr>
                <w:color w:val="auto"/>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pPr>
              <w:ind w:firstLine="422"/>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Borders>
              <w:top w:val="single" w:color="000000" w:sz="4" w:space="0"/>
              <w:left w:val="single" w:color="000000" w:sz="4" w:space="0"/>
              <w:bottom w:val="single" w:color="000000" w:sz="4" w:space="0"/>
              <w:right w:val="single" w:color="000000" w:sz="4" w:space="0"/>
            </w:tcBorders>
            <w:vAlign w:val="center"/>
          </w:tcPr>
          <w:p>
            <w:pPr>
              <w:pStyle w:val="210"/>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80" w:lineRule="exact"/>
              <w:jc w:val="center"/>
              <w:rPr>
                <w:rFonts w:hint="default"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rPr>
              <w:t>服务要求</w:t>
            </w:r>
          </w:p>
        </w:tc>
        <w:tc>
          <w:tcPr>
            <w:tcW w:w="2112" w:type="dxa"/>
            <w:tcBorders>
              <w:top w:val="single" w:color="000000" w:sz="4" w:space="0"/>
              <w:left w:val="single" w:color="000000" w:sz="4" w:space="0"/>
              <w:bottom w:val="single" w:color="000000" w:sz="4" w:space="0"/>
              <w:right w:val="single" w:color="auto" w:sz="4" w:space="0"/>
            </w:tcBorders>
            <w:vAlign w:val="center"/>
          </w:tcPr>
          <w:p>
            <w:pPr>
              <w:ind w:firstLine="422"/>
              <w:jc w:val="center"/>
              <w:rPr>
                <w:color w:val="auto"/>
                <w:highlight w:val="none"/>
              </w:rPr>
            </w:pPr>
          </w:p>
        </w:tc>
        <w:tc>
          <w:tcPr>
            <w:tcW w:w="2227" w:type="dxa"/>
            <w:tcBorders>
              <w:top w:val="single" w:color="000000" w:sz="4" w:space="0"/>
              <w:left w:val="single" w:color="auto" w:sz="4" w:space="0"/>
              <w:bottom w:val="single" w:color="000000" w:sz="4" w:space="0"/>
              <w:right w:val="single" w:color="000000" w:sz="4" w:space="0"/>
            </w:tcBorders>
            <w:vAlign w:val="center"/>
          </w:tcPr>
          <w:p>
            <w:pPr>
              <w:ind w:firstLine="422"/>
              <w:jc w:val="center"/>
              <w:rPr>
                <w:color w:val="auto"/>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pPr>
              <w:ind w:firstLine="422"/>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exact"/>
        </w:trPr>
        <w:tc>
          <w:tcPr>
            <w:tcW w:w="827" w:type="dxa"/>
            <w:tcBorders>
              <w:top w:val="single" w:color="000000" w:sz="4" w:space="0"/>
              <w:left w:val="single" w:color="000000" w:sz="4" w:space="0"/>
              <w:bottom w:val="single" w:color="000000" w:sz="4" w:space="0"/>
              <w:right w:val="single" w:color="000000" w:sz="4" w:space="0"/>
            </w:tcBorders>
            <w:vAlign w:val="center"/>
          </w:tcPr>
          <w:p>
            <w:pPr>
              <w:pStyle w:val="210"/>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3</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80" w:lineRule="exact"/>
              <w:jc w:val="center"/>
              <w:rPr>
                <w:rFonts w:hint="default"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rPr>
              <w:t>服务内容</w:t>
            </w:r>
          </w:p>
        </w:tc>
        <w:tc>
          <w:tcPr>
            <w:tcW w:w="2112" w:type="dxa"/>
            <w:tcBorders>
              <w:top w:val="single" w:color="000000" w:sz="4" w:space="0"/>
              <w:left w:val="single" w:color="000000" w:sz="4" w:space="0"/>
              <w:bottom w:val="single" w:color="000000" w:sz="4" w:space="0"/>
              <w:right w:val="single" w:color="auto" w:sz="4" w:space="0"/>
            </w:tcBorders>
            <w:vAlign w:val="center"/>
          </w:tcPr>
          <w:p>
            <w:pPr>
              <w:ind w:firstLine="422"/>
              <w:jc w:val="center"/>
              <w:rPr>
                <w:color w:val="auto"/>
                <w:highlight w:val="none"/>
              </w:rPr>
            </w:pPr>
          </w:p>
        </w:tc>
        <w:tc>
          <w:tcPr>
            <w:tcW w:w="2227" w:type="dxa"/>
            <w:tcBorders>
              <w:top w:val="single" w:color="000000" w:sz="4" w:space="0"/>
              <w:left w:val="single" w:color="auto" w:sz="4" w:space="0"/>
              <w:bottom w:val="single" w:color="000000" w:sz="4" w:space="0"/>
              <w:right w:val="single" w:color="000000" w:sz="4" w:space="0"/>
            </w:tcBorders>
            <w:vAlign w:val="center"/>
          </w:tcPr>
          <w:p>
            <w:pPr>
              <w:ind w:firstLine="422"/>
              <w:jc w:val="center"/>
              <w:rPr>
                <w:color w:val="auto"/>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pPr>
              <w:ind w:firstLine="422"/>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Borders>
              <w:top w:val="single" w:color="000000" w:sz="4" w:space="0"/>
              <w:left w:val="single" w:color="000000" w:sz="4" w:space="0"/>
              <w:bottom w:val="single" w:color="000000" w:sz="4" w:space="0"/>
              <w:right w:val="single" w:color="000000" w:sz="4" w:space="0"/>
            </w:tcBorders>
            <w:vAlign w:val="center"/>
          </w:tcPr>
          <w:p>
            <w:pPr>
              <w:pStyle w:val="210"/>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4</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80" w:lineRule="exact"/>
              <w:jc w:val="center"/>
              <w:rPr>
                <w:rFonts w:hint="default"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rPr>
              <w:t>服务需求</w:t>
            </w:r>
          </w:p>
        </w:tc>
        <w:tc>
          <w:tcPr>
            <w:tcW w:w="2112" w:type="dxa"/>
            <w:tcBorders>
              <w:top w:val="single" w:color="000000" w:sz="4" w:space="0"/>
              <w:left w:val="single" w:color="000000" w:sz="4" w:space="0"/>
              <w:bottom w:val="single" w:color="000000" w:sz="4" w:space="0"/>
              <w:right w:val="single" w:color="auto" w:sz="4" w:space="0"/>
            </w:tcBorders>
            <w:vAlign w:val="center"/>
          </w:tcPr>
          <w:p>
            <w:pPr>
              <w:ind w:firstLine="422"/>
              <w:jc w:val="center"/>
              <w:rPr>
                <w:color w:val="auto"/>
                <w:highlight w:val="none"/>
              </w:rPr>
            </w:pPr>
          </w:p>
        </w:tc>
        <w:tc>
          <w:tcPr>
            <w:tcW w:w="2227" w:type="dxa"/>
            <w:tcBorders>
              <w:top w:val="single" w:color="000000" w:sz="4" w:space="0"/>
              <w:left w:val="single" w:color="auto" w:sz="4" w:space="0"/>
              <w:bottom w:val="single" w:color="000000" w:sz="4" w:space="0"/>
              <w:right w:val="single" w:color="000000" w:sz="4" w:space="0"/>
            </w:tcBorders>
            <w:vAlign w:val="center"/>
          </w:tcPr>
          <w:p>
            <w:pPr>
              <w:ind w:firstLine="422"/>
              <w:jc w:val="center"/>
              <w:rPr>
                <w:color w:val="auto"/>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pPr>
              <w:ind w:firstLine="422"/>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Borders>
              <w:top w:val="single" w:color="000000" w:sz="4" w:space="0"/>
              <w:left w:val="single" w:color="000000" w:sz="4" w:space="0"/>
              <w:bottom w:val="single" w:color="000000" w:sz="4" w:space="0"/>
              <w:right w:val="single" w:color="000000" w:sz="4" w:space="0"/>
            </w:tcBorders>
            <w:vAlign w:val="center"/>
          </w:tcPr>
          <w:p>
            <w:pPr>
              <w:pStyle w:val="210"/>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5</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80" w:lineRule="exact"/>
              <w:jc w:val="center"/>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rPr>
              <w:t>管理与</w:t>
            </w:r>
            <w:r>
              <w:rPr>
                <w:rFonts w:hint="eastAsia" w:hAnsi="宋体" w:cs="宋体"/>
                <w:color w:val="auto"/>
                <w:szCs w:val="21"/>
                <w:highlight w:val="none"/>
              </w:rPr>
              <w:t>考核</w:t>
            </w:r>
          </w:p>
        </w:tc>
        <w:tc>
          <w:tcPr>
            <w:tcW w:w="2112" w:type="dxa"/>
            <w:tcBorders>
              <w:top w:val="single" w:color="000000" w:sz="4" w:space="0"/>
              <w:left w:val="single" w:color="000000" w:sz="4" w:space="0"/>
              <w:bottom w:val="single" w:color="000000" w:sz="4" w:space="0"/>
              <w:right w:val="single" w:color="auto" w:sz="4" w:space="0"/>
            </w:tcBorders>
            <w:vAlign w:val="center"/>
          </w:tcPr>
          <w:p>
            <w:pPr>
              <w:ind w:firstLine="422"/>
              <w:jc w:val="center"/>
              <w:rPr>
                <w:color w:val="auto"/>
                <w:highlight w:val="none"/>
              </w:rPr>
            </w:pPr>
          </w:p>
        </w:tc>
        <w:tc>
          <w:tcPr>
            <w:tcW w:w="2227" w:type="dxa"/>
            <w:tcBorders>
              <w:top w:val="single" w:color="000000" w:sz="4" w:space="0"/>
              <w:left w:val="single" w:color="auto" w:sz="4" w:space="0"/>
              <w:bottom w:val="single" w:color="000000" w:sz="4" w:space="0"/>
              <w:right w:val="single" w:color="000000" w:sz="4" w:space="0"/>
            </w:tcBorders>
            <w:vAlign w:val="center"/>
          </w:tcPr>
          <w:p>
            <w:pPr>
              <w:ind w:firstLine="422"/>
              <w:jc w:val="center"/>
              <w:rPr>
                <w:color w:val="auto"/>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pPr>
              <w:ind w:firstLine="422"/>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Pr>
          <w:p>
            <w:pPr>
              <w:pStyle w:val="210"/>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6</w:t>
            </w:r>
          </w:p>
        </w:tc>
        <w:tc>
          <w:tcPr>
            <w:tcW w:w="1958" w:type="dxa"/>
            <w:shd w:val="clear" w:color="auto" w:fill="auto"/>
            <w:vAlign w:val="center"/>
          </w:tcPr>
          <w:p>
            <w:pPr>
              <w:pStyle w:val="27"/>
              <w:spacing w:line="600" w:lineRule="exact"/>
              <w:jc w:val="center"/>
              <w:rPr>
                <w:rFonts w:hint="eastAsia" w:ascii="宋体" w:hAnsi="宋体" w:eastAsia="宋体" w:cs="宋体"/>
                <w:color w:val="auto"/>
                <w:kern w:val="0"/>
                <w:sz w:val="21"/>
                <w:szCs w:val="21"/>
                <w:highlight w:val="none"/>
                <w:lang w:val="en-US" w:eastAsia="zh-CN" w:bidi="ar-SA"/>
              </w:rPr>
            </w:pPr>
            <w:r>
              <w:rPr>
                <w:rFonts w:hint="eastAsia" w:hAnsi="宋体" w:cs="宋体"/>
                <w:color w:val="auto"/>
                <w:sz w:val="21"/>
                <w:highlight w:val="none"/>
              </w:rPr>
              <w:t>……</w:t>
            </w:r>
          </w:p>
        </w:tc>
        <w:tc>
          <w:tcPr>
            <w:tcW w:w="2112" w:type="dxa"/>
          </w:tcPr>
          <w:p>
            <w:pPr>
              <w:ind w:firstLine="422"/>
              <w:jc w:val="center"/>
              <w:rPr>
                <w:color w:val="auto"/>
                <w:highlight w:val="none"/>
              </w:rPr>
            </w:pPr>
          </w:p>
        </w:tc>
        <w:tc>
          <w:tcPr>
            <w:tcW w:w="2227" w:type="dxa"/>
          </w:tcPr>
          <w:p>
            <w:pPr>
              <w:ind w:firstLine="422"/>
              <w:jc w:val="center"/>
              <w:rPr>
                <w:color w:val="auto"/>
                <w:highlight w:val="none"/>
              </w:rPr>
            </w:pPr>
          </w:p>
        </w:tc>
        <w:tc>
          <w:tcPr>
            <w:tcW w:w="1846" w:type="dxa"/>
          </w:tcPr>
          <w:p>
            <w:pPr>
              <w:ind w:firstLine="422"/>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Pr>
          <w:p>
            <w:pPr>
              <w:pStyle w:val="210"/>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7</w:t>
            </w:r>
          </w:p>
        </w:tc>
        <w:tc>
          <w:tcPr>
            <w:tcW w:w="1958" w:type="dxa"/>
            <w:shd w:val="clear" w:color="auto" w:fill="auto"/>
            <w:vAlign w:val="center"/>
          </w:tcPr>
          <w:p>
            <w:pPr>
              <w:pStyle w:val="27"/>
              <w:spacing w:line="600" w:lineRule="exact"/>
              <w:jc w:val="center"/>
              <w:rPr>
                <w:rFonts w:hint="eastAsia" w:ascii="宋体" w:hAnsi="宋体" w:eastAsia="宋体" w:cs="宋体"/>
                <w:color w:val="auto"/>
                <w:kern w:val="0"/>
                <w:sz w:val="21"/>
                <w:szCs w:val="21"/>
                <w:highlight w:val="none"/>
                <w:lang w:val="en-US" w:eastAsia="zh-CN" w:bidi="ar-SA"/>
              </w:rPr>
            </w:pPr>
            <w:r>
              <w:rPr>
                <w:rFonts w:hint="eastAsia" w:hAnsi="宋体" w:cs="宋体"/>
                <w:color w:val="auto"/>
                <w:sz w:val="21"/>
                <w:highlight w:val="none"/>
              </w:rPr>
              <w:t>……</w:t>
            </w:r>
          </w:p>
        </w:tc>
        <w:tc>
          <w:tcPr>
            <w:tcW w:w="2112" w:type="dxa"/>
          </w:tcPr>
          <w:p>
            <w:pPr>
              <w:ind w:firstLine="422"/>
              <w:jc w:val="center"/>
              <w:rPr>
                <w:color w:val="auto"/>
                <w:highlight w:val="none"/>
              </w:rPr>
            </w:pPr>
          </w:p>
        </w:tc>
        <w:tc>
          <w:tcPr>
            <w:tcW w:w="2227" w:type="dxa"/>
          </w:tcPr>
          <w:p>
            <w:pPr>
              <w:ind w:firstLine="422"/>
              <w:jc w:val="center"/>
              <w:rPr>
                <w:color w:val="auto"/>
                <w:highlight w:val="none"/>
              </w:rPr>
            </w:pPr>
          </w:p>
        </w:tc>
        <w:tc>
          <w:tcPr>
            <w:tcW w:w="1846" w:type="dxa"/>
          </w:tcPr>
          <w:p>
            <w:pPr>
              <w:ind w:firstLine="422"/>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Pr>
          <w:p>
            <w:pPr>
              <w:pStyle w:val="210"/>
              <w:ind w:left="0" w:right="0"/>
              <w:jc w:val="center"/>
              <w:rPr>
                <w:rFonts w:hint="default"/>
                <w:color w:val="auto"/>
                <w:kern w:val="2"/>
                <w:sz w:val="21"/>
                <w:highlight w:val="none"/>
                <w:lang w:val="en-US" w:eastAsia="zh-CN"/>
              </w:rPr>
            </w:pPr>
          </w:p>
        </w:tc>
        <w:tc>
          <w:tcPr>
            <w:tcW w:w="1958" w:type="dxa"/>
            <w:shd w:val="clear" w:color="auto" w:fill="auto"/>
            <w:vAlign w:val="top"/>
          </w:tcPr>
          <w:p>
            <w:pPr>
              <w:rPr>
                <w:rFonts w:hint="eastAsia" w:ascii="Times New Roman" w:hAnsi="Times New Roman" w:eastAsia="宋体" w:cs="Times New Roman"/>
                <w:color w:val="auto"/>
                <w:kern w:val="2"/>
                <w:sz w:val="21"/>
                <w:szCs w:val="24"/>
                <w:highlight w:val="none"/>
                <w:lang w:val="en-US" w:eastAsia="zh-CN" w:bidi="ar-SA"/>
              </w:rPr>
            </w:pPr>
          </w:p>
        </w:tc>
        <w:tc>
          <w:tcPr>
            <w:tcW w:w="2112" w:type="dxa"/>
          </w:tcPr>
          <w:p>
            <w:pPr>
              <w:ind w:firstLine="422"/>
              <w:jc w:val="center"/>
              <w:rPr>
                <w:color w:val="auto"/>
                <w:highlight w:val="none"/>
              </w:rPr>
            </w:pPr>
          </w:p>
        </w:tc>
        <w:tc>
          <w:tcPr>
            <w:tcW w:w="2227" w:type="dxa"/>
          </w:tcPr>
          <w:p>
            <w:pPr>
              <w:ind w:firstLine="422"/>
              <w:jc w:val="center"/>
              <w:rPr>
                <w:color w:val="auto"/>
                <w:highlight w:val="none"/>
              </w:rPr>
            </w:pPr>
          </w:p>
        </w:tc>
        <w:tc>
          <w:tcPr>
            <w:tcW w:w="1846" w:type="dxa"/>
          </w:tcPr>
          <w:p>
            <w:pPr>
              <w:ind w:firstLine="422"/>
              <w:jc w:val="center"/>
              <w:rPr>
                <w:color w:val="auto"/>
                <w:highlight w:val="none"/>
              </w:rPr>
            </w:pPr>
          </w:p>
        </w:tc>
      </w:tr>
    </w:tbl>
    <w:p>
      <w:pPr>
        <w:snapToGrid w:val="0"/>
        <w:spacing w:before="50" w:line="340" w:lineRule="exact"/>
        <w:ind w:firstLine="422"/>
        <w:jc w:val="left"/>
        <w:rPr>
          <w:rFonts w:ascii="宋体" w:hAnsi="宋体" w:cs="宋体"/>
          <w:color w:val="auto"/>
          <w:szCs w:val="21"/>
          <w:highlight w:val="none"/>
        </w:rPr>
      </w:pPr>
    </w:p>
    <w:p>
      <w:pPr>
        <w:autoSpaceDE w:val="0"/>
        <w:autoSpaceDN w:val="0"/>
        <w:adjustRightInd w:val="0"/>
        <w:ind w:firstLine="422"/>
        <w:jc w:val="left"/>
        <w:rPr>
          <w:rFonts w:ascii="宋体" w:hAnsi="Calibri" w:cs="宋体"/>
          <w:color w:val="auto"/>
          <w:kern w:val="0"/>
          <w:szCs w:val="21"/>
          <w:highlight w:val="none"/>
        </w:rPr>
      </w:pPr>
      <w:r>
        <w:rPr>
          <w:rFonts w:hint="eastAsia" w:ascii="宋体" w:hAnsi="Calibri" w:cs="宋体"/>
          <w:color w:val="auto"/>
          <w:kern w:val="0"/>
          <w:szCs w:val="21"/>
          <w:highlight w:val="none"/>
        </w:rPr>
        <w:t>注：</w:t>
      </w:r>
    </w:p>
    <w:p>
      <w:pPr>
        <w:autoSpaceDE w:val="0"/>
        <w:autoSpaceDN w:val="0"/>
        <w:adjustRightInd w:val="0"/>
        <w:ind w:firstLine="422"/>
        <w:jc w:val="left"/>
        <w:rPr>
          <w:rFonts w:ascii="宋体" w:hAnsi="Calibri" w:cs="宋体"/>
          <w:color w:val="auto"/>
          <w:kern w:val="0"/>
          <w:szCs w:val="21"/>
          <w:highlight w:val="none"/>
        </w:rPr>
      </w:pPr>
      <w:r>
        <w:rPr>
          <w:rFonts w:ascii="宋体" w:hAnsi="Calibri" w:cs="宋体"/>
          <w:color w:val="auto"/>
          <w:kern w:val="0"/>
          <w:szCs w:val="21"/>
          <w:highlight w:val="none"/>
        </w:rPr>
        <w:t>1.</w:t>
      </w:r>
      <w:r>
        <w:rPr>
          <w:rFonts w:hint="eastAsia" w:ascii="宋体" w:hAnsi="Calibri" w:cs="宋体"/>
          <w:color w:val="auto"/>
          <w:kern w:val="0"/>
          <w:szCs w:val="21"/>
          <w:highlight w:val="none"/>
        </w:rPr>
        <w:t>说明：应对照磋商文件“第</w:t>
      </w:r>
      <w:r>
        <w:rPr>
          <w:rFonts w:hint="eastAsia" w:ascii="宋体" w:hAnsi="Calibri" w:cs="宋体"/>
          <w:color w:val="auto"/>
          <w:kern w:val="0"/>
          <w:szCs w:val="21"/>
          <w:highlight w:val="none"/>
          <w:lang w:val="en-US" w:eastAsia="zh-CN"/>
        </w:rPr>
        <w:t>二</w:t>
      </w:r>
      <w:r>
        <w:rPr>
          <w:rFonts w:hint="eastAsia" w:ascii="宋体" w:hAnsi="Calibri" w:cs="宋体"/>
          <w:color w:val="auto"/>
          <w:kern w:val="0"/>
          <w:szCs w:val="21"/>
          <w:highlight w:val="none"/>
        </w:rPr>
        <w:t>章</w:t>
      </w:r>
      <w:r>
        <w:rPr>
          <w:rFonts w:hint="eastAsia" w:ascii="宋体" w:hAnsi="Calibri" w:cs="宋体"/>
          <w:color w:val="auto"/>
          <w:kern w:val="0"/>
          <w:szCs w:val="21"/>
          <w:highlight w:val="none"/>
          <w:lang w:val="en-US" w:eastAsia="zh-CN"/>
        </w:rPr>
        <w:t xml:space="preserve"> </w:t>
      </w:r>
      <w:r>
        <w:rPr>
          <w:rFonts w:hint="eastAsia" w:ascii="宋体" w:hAnsi="Calibri" w:cs="宋体"/>
          <w:color w:val="auto"/>
          <w:kern w:val="0"/>
          <w:szCs w:val="21"/>
          <w:highlight w:val="none"/>
        </w:rPr>
        <w:t>采购需求”的内容逐条作出明确响应，并作出偏离说明。</w:t>
      </w:r>
    </w:p>
    <w:p>
      <w:pPr>
        <w:autoSpaceDE w:val="0"/>
        <w:autoSpaceDN w:val="0"/>
        <w:adjustRightInd w:val="0"/>
        <w:ind w:firstLine="422"/>
        <w:jc w:val="left"/>
        <w:rPr>
          <w:rFonts w:ascii="宋体" w:hAnsi="Calibri" w:cs="宋体"/>
          <w:color w:val="auto"/>
          <w:kern w:val="0"/>
          <w:szCs w:val="21"/>
          <w:highlight w:val="none"/>
        </w:rPr>
      </w:pPr>
      <w:r>
        <w:rPr>
          <w:rFonts w:ascii="宋体" w:hAnsi="Calibri" w:cs="宋体"/>
          <w:color w:val="auto"/>
          <w:kern w:val="0"/>
          <w:szCs w:val="21"/>
          <w:highlight w:val="none"/>
        </w:rPr>
        <w:t>2.</w:t>
      </w:r>
      <w:r>
        <w:rPr>
          <w:rFonts w:hint="eastAsia" w:ascii="宋体" w:hAnsi="Calibri" w:cs="宋体"/>
          <w:color w:val="auto"/>
          <w:kern w:val="0"/>
          <w:szCs w:val="21"/>
          <w:highlight w:val="none"/>
        </w:rPr>
        <w:t>供应商应根据自身的承诺，对照磋商文件要求，在“偏离说明”中注明“正偏离”、“负偏离”或者“无偏离”。既不属于“正偏离”也不属于“负偏离”即为“无偏离”。当响应文件的商务内容低于竞争性磋商采购文件要求时，供应商应当如实写明“负偏离”，否则视为虚假应标。</w:t>
      </w:r>
    </w:p>
    <w:p>
      <w:pPr>
        <w:spacing w:line="360" w:lineRule="exact"/>
        <w:ind w:firstLine="6090" w:firstLineChars="2900"/>
        <w:rPr>
          <w:rFonts w:ascii="宋体" w:hAnsi="宋体"/>
          <w:color w:val="auto"/>
          <w:szCs w:val="21"/>
          <w:highlight w:val="none"/>
        </w:rPr>
      </w:pP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snapToGrid w:val="0"/>
        <w:spacing w:before="50" w:line="340" w:lineRule="exact"/>
        <w:ind w:firstLine="422"/>
        <w:jc w:val="left"/>
        <w:rPr>
          <w:rFonts w:ascii="宋体" w:hAnsi="宋体" w:cs="宋体"/>
          <w:color w:val="auto"/>
          <w:szCs w:val="21"/>
          <w:highlight w:val="none"/>
        </w:rPr>
      </w:pPr>
    </w:p>
    <w:p>
      <w:pPr>
        <w:snapToGrid w:val="0"/>
        <w:spacing w:before="50" w:line="340" w:lineRule="exact"/>
        <w:ind w:firstLine="422"/>
        <w:jc w:val="left"/>
        <w:rPr>
          <w:rFonts w:ascii="宋体" w:hAnsi="宋体" w:cs="宋体"/>
          <w:color w:val="auto"/>
          <w:szCs w:val="21"/>
          <w:highlight w:val="none"/>
        </w:rPr>
      </w:pPr>
    </w:p>
    <w:p>
      <w:pPr>
        <w:snapToGrid w:val="0"/>
        <w:spacing w:before="50" w:line="340" w:lineRule="exact"/>
        <w:ind w:firstLine="422"/>
        <w:jc w:val="left"/>
        <w:rPr>
          <w:rFonts w:ascii="宋体" w:hAnsi="宋体" w:cs="宋体"/>
          <w:color w:val="auto"/>
          <w:szCs w:val="21"/>
          <w:highlight w:val="none"/>
        </w:rPr>
      </w:pPr>
    </w:p>
    <w:p>
      <w:pPr>
        <w:snapToGrid w:val="0"/>
        <w:spacing w:before="50" w:line="340" w:lineRule="exact"/>
        <w:ind w:firstLine="422"/>
        <w:jc w:val="left"/>
        <w:rPr>
          <w:rFonts w:ascii="宋体" w:hAnsi="宋体" w:cs="宋体"/>
          <w:color w:val="auto"/>
          <w:szCs w:val="21"/>
          <w:highlight w:val="none"/>
        </w:rPr>
      </w:pPr>
    </w:p>
    <w:p>
      <w:pPr>
        <w:snapToGrid w:val="0"/>
        <w:spacing w:before="50" w:line="340" w:lineRule="exact"/>
        <w:ind w:firstLine="422"/>
        <w:jc w:val="left"/>
        <w:rPr>
          <w:rFonts w:ascii="宋体" w:hAnsi="宋体" w:cs="宋体"/>
          <w:color w:val="auto"/>
          <w:szCs w:val="21"/>
          <w:highlight w:val="none"/>
        </w:rPr>
      </w:pPr>
    </w:p>
    <w:p>
      <w:pPr>
        <w:ind w:firstLine="420"/>
        <w:rPr>
          <w:rFonts w:ascii="宋体" w:hAnsi="宋体" w:cs="宋体"/>
          <w:b/>
          <w:color w:val="auto"/>
          <w:szCs w:val="21"/>
          <w:highlight w:val="none"/>
        </w:rPr>
      </w:pPr>
      <w:r>
        <w:rPr>
          <w:rFonts w:hint="eastAsia" w:ascii="宋体" w:hAnsi="宋体" w:cs="宋体"/>
          <w:b/>
          <w:color w:val="auto"/>
          <w:szCs w:val="21"/>
          <w:highlight w:val="none"/>
          <w:lang w:val="en-US" w:eastAsia="zh-CN"/>
        </w:rPr>
        <w:t>七</w:t>
      </w:r>
      <w:r>
        <w:rPr>
          <w:rFonts w:hint="eastAsia" w:ascii="宋体" w:hAnsi="宋体" w:cs="宋体"/>
          <w:b/>
          <w:color w:val="auto"/>
          <w:szCs w:val="21"/>
          <w:highlight w:val="none"/>
        </w:rPr>
        <w:t>、拟投入人员汇总表格式</w:t>
      </w:r>
    </w:p>
    <w:p>
      <w:pPr>
        <w:ind w:firstLine="600"/>
        <w:jc w:val="center"/>
        <w:rPr>
          <w:rFonts w:ascii="宋体" w:hAnsi="宋体" w:cs="宋体"/>
          <w:b/>
          <w:bCs/>
          <w:color w:val="auto"/>
          <w:kern w:val="0"/>
          <w:sz w:val="30"/>
          <w:highlight w:val="none"/>
        </w:rPr>
      </w:pPr>
    </w:p>
    <w:p>
      <w:pPr>
        <w:ind w:firstLine="600"/>
        <w:jc w:val="center"/>
        <w:rPr>
          <w:rFonts w:ascii="宋体" w:hAnsi="宋体" w:cs="宋体"/>
          <w:color w:val="auto"/>
          <w:szCs w:val="21"/>
          <w:highlight w:val="none"/>
        </w:rPr>
      </w:pPr>
      <w:r>
        <w:rPr>
          <w:rFonts w:hint="eastAsia" w:ascii="宋体" w:hAnsi="宋体" w:cs="宋体"/>
          <w:b/>
          <w:bCs/>
          <w:color w:val="auto"/>
          <w:kern w:val="0"/>
          <w:sz w:val="30"/>
          <w:highlight w:val="none"/>
        </w:rPr>
        <w:t>拟投入人员汇总表</w:t>
      </w:r>
    </w:p>
    <w:p>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4"/>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645"/>
        <w:gridCol w:w="1778"/>
        <w:gridCol w:w="2278"/>
        <w:gridCol w:w="2278"/>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pPr>
              <w:spacing w:line="430" w:lineRule="exact"/>
              <w:jc w:val="center"/>
              <w:rPr>
                <w:rFonts w:ascii="宋体" w:hAnsi="宋体"/>
                <w:color w:val="auto"/>
                <w:szCs w:val="21"/>
                <w:highlight w:val="none"/>
              </w:rPr>
            </w:pPr>
            <w:r>
              <w:rPr>
                <w:rFonts w:hint="eastAsia" w:ascii="宋体" w:hAnsi="宋体"/>
                <w:color w:val="auto"/>
                <w:szCs w:val="21"/>
                <w:highlight w:val="none"/>
              </w:rPr>
              <w:t>序号</w:t>
            </w:r>
          </w:p>
        </w:tc>
        <w:tc>
          <w:tcPr>
            <w:tcW w:w="1645" w:type="dxa"/>
          </w:tcPr>
          <w:p>
            <w:pPr>
              <w:spacing w:line="430" w:lineRule="exact"/>
              <w:jc w:val="center"/>
              <w:rPr>
                <w:rFonts w:ascii="宋体" w:hAnsi="宋体"/>
                <w:color w:val="auto"/>
                <w:szCs w:val="21"/>
                <w:highlight w:val="none"/>
              </w:rPr>
            </w:pPr>
            <w:r>
              <w:rPr>
                <w:rFonts w:hint="eastAsia" w:ascii="宋体" w:hAnsi="宋体"/>
                <w:color w:val="auto"/>
                <w:szCs w:val="21"/>
                <w:highlight w:val="none"/>
              </w:rPr>
              <w:t>姓名</w:t>
            </w:r>
          </w:p>
        </w:tc>
        <w:tc>
          <w:tcPr>
            <w:tcW w:w="1778" w:type="dxa"/>
          </w:tcPr>
          <w:p>
            <w:pPr>
              <w:spacing w:line="430" w:lineRule="exact"/>
              <w:jc w:val="center"/>
              <w:rPr>
                <w:rFonts w:ascii="宋体" w:hAnsi="宋体"/>
                <w:color w:val="auto"/>
                <w:szCs w:val="21"/>
                <w:highlight w:val="none"/>
              </w:rPr>
            </w:pPr>
            <w:r>
              <w:rPr>
                <w:rFonts w:hint="eastAsia" w:ascii="宋体" w:hAnsi="宋体"/>
                <w:color w:val="auto"/>
                <w:szCs w:val="21"/>
                <w:highlight w:val="none"/>
              </w:rPr>
              <w:t>本项目担任角色</w:t>
            </w:r>
          </w:p>
        </w:tc>
        <w:tc>
          <w:tcPr>
            <w:tcW w:w="2278" w:type="dxa"/>
          </w:tcPr>
          <w:p>
            <w:pPr>
              <w:spacing w:line="430" w:lineRule="exact"/>
              <w:jc w:val="center"/>
              <w:rPr>
                <w:rFonts w:ascii="宋体" w:hAnsi="宋体"/>
                <w:color w:val="auto"/>
                <w:szCs w:val="21"/>
                <w:highlight w:val="none"/>
              </w:rPr>
            </w:pPr>
            <w:r>
              <w:rPr>
                <w:rFonts w:hint="eastAsia" w:ascii="宋体" w:hAnsi="宋体"/>
                <w:color w:val="auto"/>
                <w:szCs w:val="21"/>
                <w:highlight w:val="none"/>
              </w:rPr>
              <w:t>职称（如有）</w:t>
            </w:r>
          </w:p>
        </w:tc>
        <w:tc>
          <w:tcPr>
            <w:tcW w:w="2278" w:type="dxa"/>
          </w:tcPr>
          <w:p>
            <w:pPr>
              <w:spacing w:line="430" w:lineRule="exact"/>
              <w:jc w:val="center"/>
              <w:rPr>
                <w:rFonts w:ascii="宋体" w:hAnsi="宋体"/>
                <w:color w:val="auto"/>
                <w:szCs w:val="21"/>
                <w:highlight w:val="none"/>
              </w:rPr>
            </w:pPr>
            <w:r>
              <w:rPr>
                <w:rFonts w:hint="eastAsia" w:ascii="宋体" w:hAnsi="宋体"/>
                <w:bCs/>
                <w:color w:val="auto"/>
                <w:highlight w:val="none"/>
              </w:rPr>
              <w:t>技术资格证书/身份证</w:t>
            </w:r>
          </w:p>
        </w:tc>
        <w:tc>
          <w:tcPr>
            <w:tcW w:w="900" w:type="dxa"/>
          </w:tcPr>
          <w:p>
            <w:pPr>
              <w:spacing w:line="430" w:lineRule="exact"/>
              <w:jc w:val="center"/>
              <w:rPr>
                <w:rFonts w:ascii="宋体" w:hAnsi="宋体"/>
                <w:color w:val="auto"/>
                <w:szCs w:val="21"/>
                <w:highlight w:val="none"/>
              </w:rPr>
            </w:pPr>
            <w:r>
              <w:rPr>
                <w:rFonts w:hint="eastAsia" w:ascii="宋体"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5" w:type="dxa"/>
          </w:tcPr>
          <w:p>
            <w:pPr>
              <w:spacing w:line="430" w:lineRule="exact"/>
              <w:jc w:val="center"/>
              <w:rPr>
                <w:rFonts w:ascii="宋体" w:hAnsi="宋体"/>
                <w:color w:val="auto"/>
                <w:szCs w:val="21"/>
                <w:highlight w:val="none"/>
              </w:rPr>
            </w:pPr>
            <w:r>
              <w:rPr>
                <w:rFonts w:hint="eastAsia" w:ascii="宋体" w:hAnsi="宋体"/>
                <w:color w:val="auto"/>
                <w:szCs w:val="21"/>
                <w:highlight w:val="none"/>
              </w:rPr>
              <w:t>1</w:t>
            </w:r>
          </w:p>
        </w:tc>
        <w:tc>
          <w:tcPr>
            <w:tcW w:w="1645" w:type="dxa"/>
          </w:tcPr>
          <w:p>
            <w:pPr>
              <w:spacing w:line="430" w:lineRule="exact"/>
              <w:ind w:firstLine="422"/>
              <w:jc w:val="center"/>
              <w:rPr>
                <w:rFonts w:ascii="宋体" w:hAnsi="宋体"/>
                <w:color w:val="auto"/>
                <w:szCs w:val="21"/>
                <w:highlight w:val="none"/>
              </w:rPr>
            </w:pPr>
          </w:p>
        </w:tc>
        <w:tc>
          <w:tcPr>
            <w:tcW w:w="17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900" w:type="dxa"/>
          </w:tcPr>
          <w:p>
            <w:pPr>
              <w:spacing w:line="430" w:lineRule="exact"/>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pPr>
              <w:spacing w:line="430" w:lineRule="exact"/>
              <w:jc w:val="center"/>
              <w:rPr>
                <w:rFonts w:ascii="宋体" w:hAnsi="宋体"/>
                <w:color w:val="auto"/>
                <w:szCs w:val="21"/>
                <w:highlight w:val="none"/>
              </w:rPr>
            </w:pPr>
            <w:r>
              <w:rPr>
                <w:rFonts w:hint="eastAsia" w:ascii="宋体" w:hAnsi="宋体"/>
                <w:color w:val="auto"/>
                <w:szCs w:val="21"/>
                <w:highlight w:val="none"/>
              </w:rPr>
              <w:t>2</w:t>
            </w:r>
          </w:p>
        </w:tc>
        <w:tc>
          <w:tcPr>
            <w:tcW w:w="1645" w:type="dxa"/>
          </w:tcPr>
          <w:p>
            <w:pPr>
              <w:spacing w:line="430" w:lineRule="exact"/>
              <w:ind w:firstLine="422"/>
              <w:jc w:val="center"/>
              <w:rPr>
                <w:rFonts w:ascii="宋体" w:hAnsi="宋体"/>
                <w:color w:val="auto"/>
                <w:szCs w:val="21"/>
                <w:highlight w:val="none"/>
              </w:rPr>
            </w:pPr>
          </w:p>
        </w:tc>
        <w:tc>
          <w:tcPr>
            <w:tcW w:w="17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900" w:type="dxa"/>
          </w:tcPr>
          <w:p>
            <w:pPr>
              <w:spacing w:line="430" w:lineRule="exact"/>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pPr>
              <w:spacing w:line="430" w:lineRule="exact"/>
              <w:ind w:firstLine="422"/>
              <w:jc w:val="center"/>
              <w:rPr>
                <w:rFonts w:ascii="宋体" w:hAnsi="宋体"/>
                <w:color w:val="auto"/>
                <w:szCs w:val="21"/>
                <w:highlight w:val="none"/>
              </w:rPr>
            </w:pPr>
          </w:p>
        </w:tc>
        <w:tc>
          <w:tcPr>
            <w:tcW w:w="1645" w:type="dxa"/>
          </w:tcPr>
          <w:p>
            <w:pPr>
              <w:spacing w:line="430" w:lineRule="exact"/>
              <w:ind w:firstLine="422"/>
              <w:jc w:val="center"/>
              <w:rPr>
                <w:rFonts w:ascii="宋体" w:hAnsi="宋体"/>
                <w:color w:val="auto"/>
                <w:szCs w:val="21"/>
                <w:highlight w:val="none"/>
              </w:rPr>
            </w:pPr>
          </w:p>
        </w:tc>
        <w:tc>
          <w:tcPr>
            <w:tcW w:w="17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900" w:type="dxa"/>
          </w:tcPr>
          <w:p>
            <w:pPr>
              <w:spacing w:line="430" w:lineRule="exact"/>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95" w:type="dxa"/>
          </w:tcPr>
          <w:p>
            <w:pPr>
              <w:spacing w:line="430" w:lineRule="exact"/>
              <w:ind w:firstLine="422"/>
              <w:jc w:val="center"/>
              <w:rPr>
                <w:rFonts w:ascii="宋体" w:hAnsi="宋体"/>
                <w:color w:val="auto"/>
                <w:szCs w:val="21"/>
                <w:highlight w:val="none"/>
              </w:rPr>
            </w:pPr>
          </w:p>
        </w:tc>
        <w:tc>
          <w:tcPr>
            <w:tcW w:w="1645" w:type="dxa"/>
          </w:tcPr>
          <w:p>
            <w:pPr>
              <w:spacing w:line="430" w:lineRule="exact"/>
              <w:ind w:firstLine="422"/>
              <w:jc w:val="center"/>
              <w:rPr>
                <w:rFonts w:ascii="宋体" w:hAnsi="宋体"/>
                <w:color w:val="auto"/>
                <w:szCs w:val="21"/>
                <w:highlight w:val="none"/>
              </w:rPr>
            </w:pPr>
          </w:p>
        </w:tc>
        <w:tc>
          <w:tcPr>
            <w:tcW w:w="17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900" w:type="dxa"/>
          </w:tcPr>
          <w:p>
            <w:pPr>
              <w:spacing w:line="430" w:lineRule="exact"/>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pPr>
              <w:spacing w:line="430" w:lineRule="exact"/>
              <w:ind w:firstLine="422"/>
              <w:jc w:val="center"/>
              <w:rPr>
                <w:rFonts w:ascii="宋体" w:hAnsi="宋体"/>
                <w:color w:val="auto"/>
                <w:szCs w:val="21"/>
                <w:highlight w:val="none"/>
              </w:rPr>
            </w:pPr>
          </w:p>
        </w:tc>
        <w:tc>
          <w:tcPr>
            <w:tcW w:w="1645" w:type="dxa"/>
          </w:tcPr>
          <w:p>
            <w:pPr>
              <w:spacing w:line="430" w:lineRule="exact"/>
              <w:ind w:firstLine="422"/>
              <w:jc w:val="center"/>
              <w:rPr>
                <w:rFonts w:ascii="宋体" w:hAnsi="宋体"/>
                <w:color w:val="auto"/>
                <w:szCs w:val="21"/>
                <w:highlight w:val="none"/>
              </w:rPr>
            </w:pPr>
          </w:p>
        </w:tc>
        <w:tc>
          <w:tcPr>
            <w:tcW w:w="17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900" w:type="dxa"/>
          </w:tcPr>
          <w:p>
            <w:pPr>
              <w:spacing w:line="430" w:lineRule="exact"/>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pPr>
              <w:spacing w:line="430" w:lineRule="exact"/>
              <w:ind w:firstLine="422"/>
              <w:jc w:val="center"/>
              <w:rPr>
                <w:rFonts w:ascii="宋体" w:hAnsi="宋体"/>
                <w:color w:val="auto"/>
                <w:szCs w:val="21"/>
                <w:highlight w:val="none"/>
              </w:rPr>
            </w:pPr>
          </w:p>
        </w:tc>
        <w:tc>
          <w:tcPr>
            <w:tcW w:w="1645" w:type="dxa"/>
          </w:tcPr>
          <w:p>
            <w:pPr>
              <w:spacing w:line="430" w:lineRule="exact"/>
              <w:ind w:firstLine="422"/>
              <w:jc w:val="center"/>
              <w:rPr>
                <w:rFonts w:ascii="宋体" w:hAnsi="宋体"/>
                <w:color w:val="auto"/>
                <w:szCs w:val="21"/>
                <w:highlight w:val="none"/>
              </w:rPr>
            </w:pPr>
          </w:p>
        </w:tc>
        <w:tc>
          <w:tcPr>
            <w:tcW w:w="17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900" w:type="dxa"/>
          </w:tcPr>
          <w:p>
            <w:pPr>
              <w:spacing w:line="430" w:lineRule="exact"/>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95" w:type="dxa"/>
          </w:tcPr>
          <w:p>
            <w:pPr>
              <w:spacing w:line="430" w:lineRule="exact"/>
              <w:ind w:firstLine="422"/>
              <w:jc w:val="center"/>
              <w:rPr>
                <w:rFonts w:ascii="宋体" w:hAnsi="宋体"/>
                <w:color w:val="auto"/>
                <w:szCs w:val="21"/>
                <w:highlight w:val="none"/>
              </w:rPr>
            </w:pPr>
          </w:p>
        </w:tc>
        <w:tc>
          <w:tcPr>
            <w:tcW w:w="1645" w:type="dxa"/>
          </w:tcPr>
          <w:p>
            <w:pPr>
              <w:spacing w:line="430" w:lineRule="exact"/>
              <w:ind w:firstLine="422"/>
              <w:jc w:val="center"/>
              <w:rPr>
                <w:rFonts w:ascii="宋体" w:hAnsi="宋体"/>
                <w:color w:val="auto"/>
                <w:szCs w:val="21"/>
                <w:highlight w:val="none"/>
              </w:rPr>
            </w:pPr>
          </w:p>
        </w:tc>
        <w:tc>
          <w:tcPr>
            <w:tcW w:w="17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900" w:type="dxa"/>
          </w:tcPr>
          <w:p>
            <w:pPr>
              <w:spacing w:line="430" w:lineRule="exact"/>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pPr>
              <w:spacing w:line="430" w:lineRule="exact"/>
              <w:ind w:firstLine="422"/>
              <w:jc w:val="center"/>
              <w:rPr>
                <w:rFonts w:ascii="宋体" w:hAnsi="宋体"/>
                <w:color w:val="auto"/>
                <w:szCs w:val="21"/>
                <w:highlight w:val="none"/>
              </w:rPr>
            </w:pPr>
          </w:p>
        </w:tc>
        <w:tc>
          <w:tcPr>
            <w:tcW w:w="1645" w:type="dxa"/>
          </w:tcPr>
          <w:p>
            <w:pPr>
              <w:spacing w:line="430" w:lineRule="exact"/>
              <w:ind w:firstLine="422"/>
              <w:jc w:val="center"/>
              <w:rPr>
                <w:rFonts w:ascii="宋体" w:hAnsi="宋体"/>
                <w:color w:val="auto"/>
                <w:szCs w:val="21"/>
                <w:highlight w:val="none"/>
              </w:rPr>
            </w:pPr>
          </w:p>
        </w:tc>
        <w:tc>
          <w:tcPr>
            <w:tcW w:w="17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900" w:type="dxa"/>
          </w:tcPr>
          <w:p>
            <w:pPr>
              <w:spacing w:line="430" w:lineRule="exact"/>
              <w:ind w:firstLine="422"/>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pPr>
              <w:spacing w:line="430" w:lineRule="exact"/>
              <w:ind w:firstLine="422"/>
              <w:jc w:val="center"/>
              <w:rPr>
                <w:rFonts w:ascii="宋体" w:hAnsi="宋体"/>
                <w:color w:val="auto"/>
                <w:szCs w:val="21"/>
                <w:highlight w:val="none"/>
              </w:rPr>
            </w:pPr>
          </w:p>
        </w:tc>
        <w:tc>
          <w:tcPr>
            <w:tcW w:w="1645" w:type="dxa"/>
          </w:tcPr>
          <w:p>
            <w:pPr>
              <w:spacing w:line="430" w:lineRule="exact"/>
              <w:ind w:firstLine="422"/>
              <w:jc w:val="center"/>
              <w:rPr>
                <w:rFonts w:ascii="宋体" w:hAnsi="宋体"/>
                <w:color w:val="auto"/>
                <w:szCs w:val="21"/>
                <w:highlight w:val="none"/>
              </w:rPr>
            </w:pPr>
          </w:p>
        </w:tc>
        <w:tc>
          <w:tcPr>
            <w:tcW w:w="17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2278" w:type="dxa"/>
          </w:tcPr>
          <w:p>
            <w:pPr>
              <w:spacing w:line="430" w:lineRule="exact"/>
              <w:ind w:firstLine="422"/>
              <w:jc w:val="center"/>
              <w:rPr>
                <w:rFonts w:ascii="宋体" w:hAnsi="宋体"/>
                <w:color w:val="auto"/>
                <w:szCs w:val="21"/>
                <w:highlight w:val="none"/>
              </w:rPr>
            </w:pPr>
          </w:p>
        </w:tc>
        <w:tc>
          <w:tcPr>
            <w:tcW w:w="900" w:type="dxa"/>
          </w:tcPr>
          <w:p>
            <w:pPr>
              <w:spacing w:line="430" w:lineRule="exact"/>
              <w:ind w:firstLine="422"/>
              <w:jc w:val="center"/>
              <w:rPr>
                <w:rFonts w:ascii="宋体" w:hAnsi="宋体"/>
                <w:color w:val="auto"/>
                <w:szCs w:val="21"/>
                <w:highlight w:val="none"/>
              </w:rPr>
            </w:pPr>
          </w:p>
        </w:tc>
      </w:tr>
    </w:tbl>
    <w:p>
      <w:pPr>
        <w:spacing w:line="420" w:lineRule="exact"/>
        <w:ind w:firstLine="422" w:firstLineChars="200"/>
        <w:jc w:val="left"/>
        <w:rPr>
          <w:rFonts w:ascii="宋体" w:hAnsi="宋体"/>
          <w:b/>
          <w:bCs/>
          <w:color w:val="auto"/>
          <w:highlight w:val="none"/>
        </w:rPr>
      </w:pPr>
      <w:r>
        <w:rPr>
          <w:rFonts w:hint="eastAsia" w:ascii="宋体" w:hAnsi="宋体"/>
          <w:b/>
          <w:bCs/>
          <w:color w:val="auto"/>
          <w:highlight w:val="none"/>
        </w:rPr>
        <w:t>注：附拟投入人员如有有关专业技术资格证书的复印件和有效身份证复印件并加盖单位公章。</w:t>
      </w: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spacing w:line="360" w:lineRule="exact"/>
        <w:ind w:firstLine="7228" w:firstLineChars="3000"/>
        <w:jc w:val="right"/>
        <w:rPr>
          <w:rFonts w:ascii="宋体" w:hAnsi="宋体"/>
          <w:color w:val="auto"/>
          <w:szCs w:val="21"/>
          <w:highlight w:val="none"/>
        </w:rPr>
      </w:pPr>
      <w:r>
        <w:rPr>
          <w:rFonts w:hint="eastAsia" w:ascii="宋体" w:hAnsi="宋体" w:cs="宋体"/>
          <w:b/>
          <w:color w:val="auto"/>
          <w:sz w:val="24"/>
          <w:highlight w:val="none"/>
        </w:rPr>
        <w:br w:type="page"/>
      </w:r>
    </w:p>
    <w:p>
      <w:pPr>
        <w:pStyle w:val="27"/>
        <w:numPr>
          <w:ilvl w:val="0"/>
          <w:numId w:val="4"/>
        </w:numPr>
        <w:ind w:firstLine="422"/>
        <w:rPr>
          <w:rFonts w:hint="eastAsia"/>
          <w:b/>
          <w:bCs/>
          <w:color w:val="auto"/>
          <w:sz w:val="24"/>
          <w:szCs w:val="24"/>
          <w:highlight w:val="none"/>
        </w:rPr>
      </w:pPr>
      <w:r>
        <w:rPr>
          <w:rFonts w:hint="eastAsia"/>
          <w:b/>
          <w:bCs/>
          <w:color w:val="auto"/>
          <w:sz w:val="24"/>
          <w:szCs w:val="24"/>
          <w:highlight w:val="none"/>
        </w:rPr>
        <w:t>项目拟投入设备一览表</w:t>
      </w:r>
    </w:p>
    <w:p>
      <w:pPr>
        <w:snapToGrid w:val="0"/>
        <w:jc w:val="center"/>
        <w:rPr>
          <w:rFonts w:hint="eastAsia" w:hAnsi="宋体" w:cs="宋体"/>
          <w:b/>
          <w:color w:val="auto"/>
          <w:sz w:val="32"/>
          <w:szCs w:val="32"/>
          <w:highlight w:val="none"/>
        </w:rPr>
      </w:pPr>
      <w:r>
        <w:rPr>
          <w:rFonts w:hint="eastAsia" w:hAnsi="宋体" w:cs="宋体"/>
          <w:b/>
          <w:color w:val="auto"/>
          <w:sz w:val="32"/>
          <w:szCs w:val="32"/>
          <w:highlight w:val="none"/>
        </w:rPr>
        <w:t>项目拟投入设备一览表</w:t>
      </w:r>
    </w:p>
    <w:p>
      <w:pPr>
        <w:pStyle w:val="20"/>
        <w:rPr>
          <w:rFonts w:hint="eastAsia"/>
          <w:color w:val="auto"/>
          <w:highlight w:val="none"/>
        </w:rPr>
      </w:pPr>
    </w:p>
    <w:tbl>
      <w:tblPr>
        <w:tblStyle w:val="44"/>
        <w:tblW w:w="9174"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100"/>
        <w:gridCol w:w="1255"/>
        <w:gridCol w:w="1063"/>
        <w:gridCol w:w="1200"/>
        <w:gridCol w:w="1241"/>
        <w:gridCol w:w="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319" w:type="dxa"/>
            <w:noWrap w:val="0"/>
            <w:vAlign w:val="center"/>
          </w:tcPr>
          <w:p>
            <w:pPr>
              <w:jc w:val="center"/>
              <w:rPr>
                <w:rFonts w:hint="eastAsia" w:hAnsi="宋体" w:cs="宋体"/>
                <w:color w:val="auto"/>
                <w:sz w:val="24"/>
                <w:highlight w:val="none"/>
              </w:rPr>
            </w:pPr>
            <w:r>
              <w:rPr>
                <w:rFonts w:hint="eastAsia" w:hAnsi="宋体" w:cs="宋体"/>
                <w:color w:val="auto"/>
                <w:sz w:val="24"/>
                <w:highlight w:val="none"/>
              </w:rPr>
              <w:t>名称</w:t>
            </w:r>
          </w:p>
        </w:tc>
        <w:tc>
          <w:tcPr>
            <w:tcW w:w="2100" w:type="dxa"/>
            <w:noWrap w:val="0"/>
            <w:vAlign w:val="center"/>
          </w:tcPr>
          <w:p>
            <w:pPr>
              <w:jc w:val="center"/>
              <w:rPr>
                <w:rFonts w:hint="eastAsia" w:hAnsi="宋体" w:cs="宋体"/>
                <w:color w:val="auto"/>
                <w:sz w:val="24"/>
                <w:highlight w:val="none"/>
              </w:rPr>
            </w:pPr>
            <w:r>
              <w:rPr>
                <w:rFonts w:hint="eastAsia" w:hAnsi="宋体" w:cs="宋体"/>
                <w:color w:val="auto"/>
                <w:sz w:val="24"/>
                <w:highlight w:val="none"/>
              </w:rPr>
              <w:t>型号规格(或主要技术性能、参数)</w:t>
            </w:r>
          </w:p>
        </w:tc>
        <w:tc>
          <w:tcPr>
            <w:tcW w:w="1255" w:type="dxa"/>
            <w:noWrap w:val="0"/>
            <w:vAlign w:val="center"/>
          </w:tcPr>
          <w:p>
            <w:pPr>
              <w:jc w:val="center"/>
              <w:rPr>
                <w:rFonts w:hint="eastAsia" w:hAnsi="宋体" w:cs="宋体"/>
                <w:color w:val="auto"/>
                <w:sz w:val="24"/>
                <w:highlight w:val="none"/>
              </w:rPr>
            </w:pPr>
            <w:r>
              <w:rPr>
                <w:rFonts w:hint="eastAsia" w:hAnsi="宋体" w:cs="宋体"/>
                <w:color w:val="auto"/>
                <w:sz w:val="24"/>
                <w:highlight w:val="none"/>
              </w:rPr>
              <w:t>生产厂家</w:t>
            </w:r>
          </w:p>
        </w:tc>
        <w:tc>
          <w:tcPr>
            <w:tcW w:w="1063" w:type="dxa"/>
            <w:noWrap w:val="0"/>
            <w:vAlign w:val="center"/>
          </w:tcPr>
          <w:p>
            <w:pPr>
              <w:jc w:val="center"/>
              <w:rPr>
                <w:rFonts w:hint="eastAsia" w:hAnsi="宋体" w:cs="宋体"/>
                <w:color w:val="auto"/>
                <w:sz w:val="24"/>
                <w:highlight w:val="none"/>
              </w:rPr>
            </w:pPr>
            <w:r>
              <w:rPr>
                <w:rFonts w:hint="eastAsia" w:hAnsi="宋体" w:cs="宋体"/>
                <w:color w:val="auto"/>
                <w:sz w:val="24"/>
                <w:highlight w:val="none"/>
              </w:rPr>
              <w:t>数量</w:t>
            </w:r>
          </w:p>
        </w:tc>
        <w:tc>
          <w:tcPr>
            <w:tcW w:w="1200" w:type="dxa"/>
            <w:noWrap w:val="0"/>
            <w:vAlign w:val="center"/>
          </w:tcPr>
          <w:p>
            <w:pPr>
              <w:jc w:val="center"/>
              <w:rPr>
                <w:rFonts w:hint="eastAsia" w:hAnsi="宋体" w:cs="宋体"/>
                <w:color w:val="auto"/>
                <w:sz w:val="24"/>
                <w:highlight w:val="none"/>
              </w:rPr>
            </w:pPr>
            <w:r>
              <w:rPr>
                <w:rFonts w:hint="eastAsia" w:hAnsi="宋体" w:cs="宋体"/>
                <w:color w:val="auto"/>
                <w:sz w:val="24"/>
                <w:highlight w:val="none"/>
              </w:rPr>
              <w:t>价格</w:t>
            </w:r>
          </w:p>
        </w:tc>
        <w:tc>
          <w:tcPr>
            <w:tcW w:w="1241" w:type="dxa"/>
            <w:noWrap w:val="0"/>
            <w:vAlign w:val="center"/>
          </w:tcPr>
          <w:p>
            <w:pPr>
              <w:jc w:val="center"/>
              <w:rPr>
                <w:rFonts w:hint="eastAsia" w:hAnsi="宋体" w:cs="宋体"/>
                <w:color w:val="auto"/>
                <w:sz w:val="24"/>
                <w:highlight w:val="none"/>
              </w:rPr>
            </w:pPr>
            <w:r>
              <w:rPr>
                <w:rFonts w:hint="eastAsia" w:hAnsi="宋体" w:cs="宋体"/>
                <w:color w:val="auto"/>
                <w:sz w:val="24"/>
                <w:highlight w:val="none"/>
              </w:rPr>
              <w:t>购买时间</w:t>
            </w:r>
          </w:p>
        </w:tc>
        <w:tc>
          <w:tcPr>
            <w:tcW w:w="996" w:type="dxa"/>
            <w:noWrap w:val="0"/>
            <w:vAlign w:val="center"/>
          </w:tcPr>
          <w:p>
            <w:pPr>
              <w:jc w:val="center"/>
              <w:rPr>
                <w:rFonts w:hint="eastAsia" w:hAnsi="宋体" w:cs="宋体"/>
                <w:color w:val="auto"/>
                <w:sz w:val="24"/>
                <w:highlight w:val="none"/>
              </w:rPr>
            </w:pPr>
            <w:r>
              <w:rPr>
                <w:rFonts w:hint="eastAsia" w:hAnsi="宋体" w:cs="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9" w:type="dxa"/>
            <w:noWrap w:val="0"/>
            <w:vAlign w:val="center"/>
          </w:tcPr>
          <w:p>
            <w:pPr>
              <w:jc w:val="center"/>
              <w:rPr>
                <w:rFonts w:hint="eastAsia" w:hAnsi="宋体" w:cs="宋体"/>
                <w:color w:val="auto"/>
                <w:sz w:val="24"/>
                <w:highlight w:val="none"/>
              </w:rPr>
            </w:pPr>
          </w:p>
        </w:tc>
        <w:tc>
          <w:tcPr>
            <w:tcW w:w="2100" w:type="dxa"/>
            <w:noWrap w:val="0"/>
            <w:vAlign w:val="center"/>
          </w:tcPr>
          <w:p>
            <w:pPr>
              <w:jc w:val="center"/>
              <w:rPr>
                <w:rFonts w:hint="eastAsia" w:hAnsi="宋体" w:cs="宋体"/>
                <w:color w:val="auto"/>
                <w:sz w:val="24"/>
                <w:highlight w:val="none"/>
              </w:rPr>
            </w:pPr>
          </w:p>
        </w:tc>
        <w:tc>
          <w:tcPr>
            <w:tcW w:w="1255" w:type="dxa"/>
            <w:noWrap w:val="0"/>
            <w:vAlign w:val="center"/>
          </w:tcPr>
          <w:p>
            <w:pPr>
              <w:jc w:val="center"/>
              <w:rPr>
                <w:rFonts w:hint="eastAsia" w:hAnsi="宋体" w:cs="宋体"/>
                <w:color w:val="auto"/>
                <w:sz w:val="24"/>
                <w:highlight w:val="none"/>
              </w:rPr>
            </w:pPr>
          </w:p>
        </w:tc>
        <w:tc>
          <w:tcPr>
            <w:tcW w:w="1063" w:type="dxa"/>
            <w:noWrap w:val="0"/>
            <w:vAlign w:val="center"/>
          </w:tcPr>
          <w:p>
            <w:pPr>
              <w:jc w:val="center"/>
              <w:rPr>
                <w:rFonts w:hint="eastAsia" w:hAnsi="宋体" w:cs="宋体"/>
                <w:color w:val="auto"/>
                <w:sz w:val="24"/>
                <w:highlight w:val="none"/>
              </w:rPr>
            </w:pPr>
          </w:p>
        </w:tc>
        <w:tc>
          <w:tcPr>
            <w:tcW w:w="1200" w:type="dxa"/>
            <w:noWrap w:val="0"/>
            <w:vAlign w:val="center"/>
          </w:tcPr>
          <w:p>
            <w:pPr>
              <w:jc w:val="center"/>
              <w:rPr>
                <w:rFonts w:hint="eastAsia" w:hAnsi="宋体" w:cs="宋体"/>
                <w:color w:val="auto"/>
                <w:sz w:val="24"/>
                <w:highlight w:val="none"/>
              </w:rPr>
            </w:pPr>
          </w:p>
        </w:tc>
        <w:tc>
          <w:tcPr>
            <w:tcW w:w="1241" w:type="dxa"/>
            <w:noWrap w:val="0"/>
            <w:vAlign w:val="center"/>
          </w:tcPr>
          <w:p>
            <w:pPr>
              <w:jc w:val="center"/>
              <w:rPr>
                <w:rFonts w:hint="eastAsia" w:hAnsi="宋体" w:cs="宋体"/>
                <w:color w:val="auto"/>
                <w:sz w:val="24"/>
                <w:highlight w:val="none"/>
              </w:rPr>
            </w:pPr>
          </w:p>
        </w:tc>
        <w:tc>
          <w:tcPr>
            <w:tcW w:w="996" w:type="dxa"/>
            <w:noWrap w:val="0"/>
            <w:vAlign w:val="center"/>
          </w:tcPr>
          <w:p>
            <w:pPr>
              <w:jc w:val="center"/>
              <w:rPr>
                <w:rFonts w:hint="eastAsia"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9" w:type="dxa"/>
            <w:noWrap w:val="0"/>
            <w:vAlign w:val="center"/>
          </w:tcPr>
          <w:p>
            <w:pPr>
              <w:jc w:val="center"/>
              <w:rPr>
                <w:rFonts w:hint="eastAsia" w:hAnsi="宋体" w:cs="宋体"/>
                <w:color w:val="auto"/>
                <w:sz w:val="24"/>
                <w:highlight w:val="none"/>
              </w:rPr>
            </w:pPr>
          </w:p>
        </w:tc>
        <w:tc>
          <w:tcPr>
            <w:tcW w:w="2100" w:type="dxa"/>
            <w:noWrap w:val="0"/>
            <w:vAlign w:val="center"/>
          </w:tcPr>
          <w:p>
            <w:pPr>
              <w:jc w:val="center"/>
              <w:rPr>
                <w:rFonts w:hint="eastAsia" w:hAnsi="宋体" w:cs="宋体"/>
                <w:color w:val="auto"/>
                <w:sz w:val="24"/>
                <w:highlight w:val="none"/>
              </w:rPr>
            </w:pPr>
          </w:p>
        </w:tc>
        <w:tc>
          <w:tcPr>
            <w:tcW w:w="1255" w:type="dxa"/>
            <w:noWrap w:val="0"/>
            <w:vAlign w:val="center"/>
          </w:tcPr>
          <w:p>
            <w:pPr>
              <w:jc w:val="center"/>
              <w:rPr>
                <w:rFonts w:hint="eastAsia" w:hAnsi="宋体" w:cs="宋体"/>
                <w:color w:val="auto"/>
                <w:sz w:val="24"/>
                <w:highlight w:val="none"/>
              </w:rPr>
            </w:pPr>
          </w:p>
        </w:tc>
        <w:tc>
          <w:tcPr>
            <w:tcW w:w="1063" w:type="dxa"/>
            <w:noWrap w:val="0"/>
            <w:vAlign w:val="center"/>
          </w:tcPr>
          <w:p>
            <w:pPr>
              <w:jc w:val="center"/>
              <w:rPr>
                <w:rFonts w:hint="eastAsia" w:hAnsi="宋体" w:cs="宋体"/>
                <w:color w:val="auto"/>
                <w:sz w:val="24"/>
                <w:highlight w:val="none"/>
              </w:rPr>
            </w:pPr>
          </w:p>
        </w:tc>
        <w:tc>
          <w:tcPr>
            <w:tcW w:w="1200" w:type="dxa"/>
            <w:noWrap w:val="0"/>
            <w:vAlign w:val="center"/>
          </w:tcPr>
          <w:p>
            <w:pPr>
              <w:jc w:val="center"/>
              <w:rPr>
                <w:rFonts w:hint="eastAsia" w:hAnsi="宋体" w:cs="宋体"/>
                <w:color w:val="auto"/>
                <w:sz w:val="24"/>
                <w:highlight w:val="none"/>
              </w:rPr>
            </w:pPr>
          </w:p>
        </w:tc>
        <w:tc>
          <w:tcPr>
            <w:tcW w:w="1241" w:type="dxa"/>
            <w:noWrap w:val="0"/>
            <w:vAlign w:val="center"/>
          </w:tcPr>
          <w:p>
            <w:pPr>
              <w:jc w:val="center"/>
              <w:rPr>
                <w:rFonts w:hint="eastAsia" w:hAnsi="宋体" w:cs="宋体"/>
                <w:color w:val="auto"/>
                <w:sz w:val="24"/>
                <w:highlight w:val="none"/>
              </w:rPr>
            </w:pPr>
          </w:p>
        </w:tc>
        <w:tc>
          <w:tcPr>
            <w:tcW w:w="996" w:type="dxa"/>
            <w:noWrap w:val="0"/>
            <w:vAlign w:val="center"/>
          </w:tcPr>
          <w:p>
            <w:pPr>
              <w:jc w:val="center"/>
              <w:rPr>
                <w:rFonts w:hint="eastAsia"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9" w:type="dxa"/>
            <w:noWrap w:val="0"/>
            <w:vAlign w:val="center"/>
          </w:tcPr>
          <w:p>
            <w:pPr>
              <w:jc w:val="center"/>
              <w:rPr>
                <w:rFonts w:hint="eastAsia" w:hAnsi="宋体" w:cs="宋体"/>
                <w:color w:val="auto"/>
                <w:sz w:val="24"/>
                <w:highlight w:val="none"/>
              </w:rPr>
            </w:pPr>
          </w:p>
        </w:tc>
        <w:tc>
          <w:tcPr>
            <w:tcW w:w="2100" w:type="dxa"/>
            <w:noWrap w:val="0"/>
            <w:vAlign w:val="center"/>
          </w:tcPr>
          <w:p>
            <w:pPr>
              <w:jc w:val="center"/>
              <w:rPr>
                <w:rFonts w:hint="eastAsia" w:hAnsi="宋体" w:cs="宋体"/>
                <w:color w:val="auto"/>
                <w:sz w:val="24"/>
                <w:highlight w:val="none"/>
              </w:rPr>
            </w:pPr>
          </w:p>
        </w:tc>
        <w:tc>
          <w:tcPr>
            <w:tcW w:w="1255" w:type="dxa"/>
            <w:noWrap w:val="0"/>
            <w:vAlign w:val="center"/>
          </w:tcPr>
          <w:p>
            <w:pPr>
              <w:jc w:val="center"/>
              <w:rPr>
                <w:rFonts w:hint="eastAsia" w:hAnsi="宋体" w:cs="宋体"/>
                <w:color w:val="auto"/>
                <w:sz w:val="24"/>
                <w:highlight w:val="none"/>
              </w:rPr>
            </w:pPr>
          </w:p>
        </w:tc>
        <w:tc>
          <w:tcPr>
            <w:tcW w:w="1063" w:type="dxa"/>
            <w:noWrap w:val="0"/>
            <w:vAlign w:val="center"/>
          </w:tcPr>
          <w:p>
            <w:pPr>
              <w:jc w:val="center"/>
              <w:rPr>
                <w:rFonts w:hint="eastAsia" w:hAnsi="宋体" w:cs="宋体"/>
                <w:color w:val="auto"/>
                <w:sz w:val="24"/>
                <w:highlight w:val="none"/>
              </w:rPr>
            </w:pPr>
          </w:p>
        </w:tc>
        <w:tc>
          <w:tcPr>
            <w:tcW w:w="1200" w:type="dxa"/>
            <w:noWrap w:val="0"/>
            <w:vAlign w:val="center"/>
          </w:tcPr>
          <w:p>
            <w:pPr>
              <w:jc w:val="center"/>
              <w:rPr>
                <w:rFonts w:hint="eastAsia" w:hAnsi="宋体" w:cs="宋体"/>
                <w:color w:val="auto"/>
                <w:sz w:val="24"/>
                <w:highlight w:val="none"/>
              </w:rPr>
            </w:pPr>
          </w:p>
        </w:tc>
        <w:tc>
          <w:tcPr>
            <w:tcW w:w="1241" w:type="dxa"/>
            <w:noWrap w:val="0"/>
            <w:vAlign w:val="center"/>
          </w:tcPr>
          <w:p>
            <w:pPr>
              <w:jc w:val="center"/>
              <w:rPr>
                <w:rFonts w:hint="eastAsia" w:hAnsi="宋体" w:cs="宋体"/>
                <w:color w:val="auto"/>
                <w:sz w:val="24"/>
                <w:highlight w:val="none"/>
              </w:rPr>
            </w:pPr>
          </w:p>
        </w:tc>
        <w:tc>
          <w:tcPr>
            <w:tcW w:w="996" w:type="dxa"/>
            <w:noWrap w:val="0"/>
            <w:vAlign w:val="center"/>
          </w:tcPr>
          <w:p>
            <w:pPr>
              <w:jc w:val="center"/>
              <w:rPr>
                <w:rFonts w:hint="eastAsia"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9" w:type="dxa"/>
            <w:noWrap w:val="0"/>
            <w:vAlign w:val="center"/>
          </w:tcPr>
          <w:p>
            <w:pPr>
              <w:jc w:val="center"/>
              <w:rPr>
                <w:rFonts w:hint="eastAsia" w:hAnsi="宋体" w:cs="宋体"/>
                <w:color w:val="auto"/>
                <w:sz w:val="24"/>
                <w:highlight w:val="none"/>
              </w:rPr>
            </w:pPr>
          </w:p>
        </w:tc>
        <w:tc>
          <w:tcPr>
            <w:tcW w:w="2100" w:type="dxa"/>
            <w:noWrap w:val="0"/>
            <w:vAlign w:val="center"/>
          </w:tcPr>
          <w:p>
            <w:pPr>
              <w:jc w:val="center"/>
              <w:rPr>
                <w:rFonts w:hint="eastAsia" w:hAnsi="宋体" w:cs="宋体"/>
                <w:color w:val="auto"/>
                <w:sz w:val="24"/>
                <w:highlight w:val="none"/>
              </w:rPr>
            </w:pPr>
          </w:p>
        </w:tc>
        <w:tc>
          <w:tcPr>
            <w:tcW w:w="1255" w:type="dxa"/>
            <w:noWrap w:val="0"/>
            <w:vAlign w:val="center"/>
          </w:tcPr>
          <w:p>
            <w:pPr>
              <w:jc w:val="center"/>
              <w:rPr>
                <w:rFonts w:hint="eastAsia" w:hAnsi="宋体" w:cs="宋体"/>
                <w:color w:val="auto"/>
                <w:sz w:val="24"/>
                <w:highlight w:val="none"/>
              </w:rPr>
            </w:pPr>
          </w:p>
        </w:tc>
        <w:tc>
          <w:tcPr>
            <w:tcW w:w="1063" w:type="dxa"/>
            <w:noWrap w:val="0"/>
            <w:vAlign w:val="center"/>
          </w:tcPr>
          <w:p>
            <w:pPr>
              <w:jc w:val="center"/>
              <w:rPr>
                <w:rFonts w:hint="eastAsia" w:hAnsi="宋体" w:cs="宋体"/>
                <w:color w:val="auto"/>
                <w:sz w:val="24"/>
                <w:highlight w:val="none"/>
              </w:rPr>
            </w:pPr>
          </w:p>
        </w:tc>
        <w:tc>
          <w:tcPr>
            <w:tcW w:w="1200" w:type="dxa"/>
            <w:noWrap w:val="0"/>
            <w:vAlign w:val="center"/>
          </w:tcPr>
          <w:p>
            <w:pPr>
              <w:jc w:val="center"/>
              <w:rPr>
                <w:rFonts w:hint="eastAsia" w:hAnsi="宋体" w:cs="宋体"/>
                <w:color w:val="auto"/>
                <w:sz w:val="24"/>
                <w:highlight w:val="none"/>
              </w:rPr>
            </w:pPr>
          </w:p>
        </w:tc>
        <w:tc>
          <w:tcPr>
            <w:tcW w:w="1241" w:type="dxa"/>
            <w:noWrap w:val="0"/>
            <w:vAlign w:val="center"/>
          </w:tcPr>
          <w:p>
            <w:pPr>
              <w:jc w:val="center"/>
              <w:rPr>
                <w:rFonts w:hint="eastAsia" w:hAnsi="宋体" w:cs="宋体"/>
                <w:color w:val="auto"/>
                <w:sz w:val="24"/>
                <w:highlight w:val="none"/>
              </w:rPr>
            </w:pPr>
          </w:p>
        </w:tc>
        <w:tc>
          <w:tcPr>
            <w:tcW w:w="996" w:type="dxa"/>
            <w:noWrap w:val="0"/>
            <w:vAlign w:val="center"/>
          </w:tcPr>
          <w:p>
            <w:pPr>
              <w:jc w:val="center"/>
              <w:rPr>
                <w:rFonts w:hint="eastAsia"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9" w:type="dxa"/>
            <w:noWrap w:val="0"/>
            <w:vAlign w:val="center"/>
          </w:tcPr>
          <w:p>
            <w:pPr>
              <w:jc w:val="center"/>
              <w:rPr>
                <w:rFonts w:hint="eastAsia" w:hAnsi="宋体" w:cs="宋体"/>
                <w:color w:val="auto"/>
                <w:sz w:val="24"/>
                <w:highlight w:val="none"/>
              </w:rPr>
            </w:pPr>
          </w:p>
        </w:tc>
        <w:tc>
          <w:tcPr>
            <w:tcW w:w="2100" w:type="dxa"/>
            <w:noWrap w:val="0"/>
            <w:vAlign w:val="center"/>
          </w:tcPr>
          <w:p>
            <w:pPr>
              <w:jc w:val="center"/>
              <w:rPr>
                <w:rFonts w:hint="eastAsia" w:hAnsi="宋体" w:cs="宋体"/>
                <w:color w:val="auto"/>
                <w:sz w:val="24"/>
                <w:highlight w:val="none"/>
              </w:rPr>
            </w:pPr>
          </w:p>
        </w:tc>
        <w:tc>
          <w:tcPr>
            <w:tcW w:w="1255" w:type="dxa"/>
            <w:noWrap w:val="0"/>
            <w:vAlign w:val="center"/>
          </w:tcPr>
          <w:p>
            <w:pPr>
              <w:jc w:val="center"/>
              <w:rPr>
                <w:rFonts w:hint="eastAsia" w:hAnsi="宋体" w:cs="宋体"/>
                <w:color w:val="auto"/>
                <w:sz w:val="24"/>
                <w:highlight w:val="none"/>
              </w:rPr>
            </w:pPr>
          </w:p>
        </w:tc>
        <w:tc>
          <w:tcPr>
            <w:tcW w:w="1063" w:type="dxa"/>
            <w:noWrap w:val="0"/>
            <w:vAlign w:val="center"/>
          </w:tcPr>
          <w:p>
            <w:pPr>
              <w:jc w:val="center"/>
              <w:rPr>
                <w:rFonts w:hint="eastAsia" w:hAnsi="宋体" w:cs="宋体"/>
                <w:color w:val="auto"/>
                <w:sz w:val="24"/>
                <w:highlight w:val="none"/>
              </w:rPr>
            </w:pPr>
          </w:p>
        </w:tc>
        <w:tc>
          <w:tcPr>
            <w:tcW w:w="1200" w:type="dxa"/>
            <w:noWrap w:val="0"/>
            <w:vAlign w:val="center"/>
          </w:tcPr>
          <w:p>
            <w:pPr>
              <w:jc w:val="center"/>
              <w:rPr>
                <w:rFonts w:hint="eastAsia" w:hAnsi="宋体" w:cs="宋体"/>
                <w:color w:val="auto"/>
                <w:sz w:val="24"/>
                <w:highlight w:val="none"/>
              </w:rPr>
            </w:pPr>
          </w:p>
        </w:tc>
        <w:tc>
          <w:tcPr>
            <w:tcW w:w="1241" w:type="dxa"/>
            <w:noWrap w:val="0"/>
            <w:vAlign w:val="center"/>
          </w:tcPr>
          <w:p>
            <w:pPr>
              <w:jc w:val="center"/>
              <w:rPr>
                <w:rFonts w:hint="eastAsia" w:hAnsi="宋体" w:cs="宋体"/>
                <w:color w:val="auto"/>
                <w:sz w:val="24"/>
                <w:highlight w:val="none"/>
              </w:rPr>
            </w:pPr>
          </w:p>
        </w:tc>
        <w:tc>
          <w:tcPr>
            <w:tcW w:w="996" w:type="dxa"/>
            <w:noWrap w:val="0"/>
            <w:vAlign w:val="center"/>
          </w:tcPr>
          <w:p>
            <w:pPr>
              <w:jc w:val="center"/>
              <w:rPr>
                <w:rFonts w:hint="eastAsia"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9" w:type="dxa"/>
            <w:noWrap w:val="0"/>
            <w:vAlign w:val="center"/>
          </w:tcPr>
          <w:p>
            <w:pPr>
              <w:jc w:val="center"/>
              <w:rPr>
                <w:rFonts w:hint="eastAsia" w:hAnsi="宋体" w:cs="宋体"/>
                <w:color w:val="auto"/>
                <w:sz w:val="24"/>
                <w:highlight w:val="none"/>
              </w:rPr>
            </w:pPr>
          </w:p>
        </w:tc>
        <w:tc>
          <w:tcPr>
            <w:tcW w:w="2100" w:type="dxa"/>
            <w:noWrap w:val="0"/>
            <w:vAlign w:val="center"/>
          </w:tcPr>
          <w:p>
            <w:pPr>
              <w:jc w:val="center"/>
              <w:rPr>
                <w:rFonts w:hint="eastAsia" w:hAnsi="宋体" w:cs="宋体"/>
                <w:color w:val="auto"/>
                <w:sz w:val="24"/>
                <w:highlight w:val="none"/>
              </w:rPr>
            </w:pPr>
          </w:p>
        </w:tc>
        <w:tc>
          <w:tcPr>
            <w:tcW w:w="1255" w:type="dxa"/>
            <w:noWrap w:val="0"/>
            <w:vAlign w:val="center"/>
          </w:tcPr>
          <w:p>
            <w:pPr>
              <w:jc w:val="center"/>
              <w:rPr>
                <w:rFonts w:hint="eastAsia" w:hAnsi="宋体" w:cs="宋体"/>
                <w:color w:val="auto"/>
                <w:sz w:val="24"/>
                <w:highlight w:val="none"/>
              </w:rPr>
            </w:pPr>
          </w:p>
        </w:tc>
        <w:tc>
          <w:tcPr>
            <w:tcW w:w="1063" w:type="dxa"/>
            <w:noWrap w:val="0"/>
            <w:vAlign w:val="center"/>
          </w:tcPr>
          <w:p>
            <w:pPr>
              <w:jc w:val="center"/>
              <w:rPr>
                <w:rFonts w:hint="eastAsia" w:hAnsi="宋体" w:cs="宋体"/>
                <w:color w:val="auto"/>
                <w:sz w:val="24"/>
                <w:highlight w:val="none"/>
              </w:rPr>
            </w:pPr>
          </w:p>
        </w:tc>
        <w:tc>
          <w:tcPr>
            <w:tcW w:w="1200" w:type="dxa"/>
            <w:noWrap w:val="0"/>
            <w:vAlign w:val="center"/>
          </w:tcPr>
          <w:p>
            <w:pPr>
              <w:jc w:val="center"/>
              <w:rPr>
                <w:rFonts w:hint="eastAsia" w:hAnsi="宋体" w:cs="宋体"/>
                <w:color w:val="auto"/>
                <w:sz w:val="24"/>
                <w:highlight w:val="none"/>
              </w:rPr>
            </w:pPr>
          </w:p>
        </w:tc>
        <w:tc>
          <w:tcPr>
            <w:tcW w:w="1241" w:type="dxa"/>
            <w:noWrap w:val="0"/>
            <w:vAlign w:val="center"/>
          </w:tcPr>
          <w:p>
            <w:pPr>
              <w:jc w:val="center"/>
              <w:rPr>
                <w:rFonts w:hint="eastAsia" w:hAnsi="宋体" w:cs="宋体"/>
                <w:color w:val="auto"/>
                <w:sz w:val="24"/>
                <w:highlight w:val="none"/>
              </w:rPr>
            </w:pPr>
          </w:p>
        </w:tc>
        <w:tc>
          <w:tcPr>
            <w:tcW w:w="996" w:type="dxa"/>
            <w:noWrap w:val="0"/>
            <w:vAlign w:val="center"/>
          </w:tcPr>
          <w:p>
            <w:pPr>
              <w:jc w:val="center"/>
              <w:rPr>
                <w:rFonts w:hint="eastAsia" w:hAnsi="宋体" w:cs="宋体"/>
                <w:color w:val="auto"/>
                <w:sz w:val="24"/>
                <w:highlight w:val="none"/>
              </w:rPr>
            </w:pPr>
          </w:p>
        </w:tc>
      </w:tr>
    </w:tbl>
    <w:p>
      <w:pPr>
        <w:pStyle w:val="230"/>
        <w:ind w:firstLine="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注：供应商须承诺投入设备在服务期间仅限于本项目使用，并填写提供设备名称、型号规格(或主要技术性能、参数)、生产厂家、数量、价格、购买时间等资料。</w:t>
      </w:r>
    </w:p>
    <w:p>
      <w:pPr>
        <w:rPr>
          <w:rFonts w:hAnsi="宋体"/>
          <w:b/>
          <w:color w:val="auto"/>
          <w:szCs w:val="21"/>
          <w:highlight w:val="none"/>
        </w:rPr>
      </w:pPr>
    </w:p>
    <w:p>
      <w:pPr>
        <w:rPr>
          <w:rFonts w:hAnsi="宋体"/>
          <w:b/>
          <w:color w:val="auto"/>
          <w:szCs w:val="21"/>
          <w:highlight w:val="none"/>
        </w:rPr>
      </w:pPr>
    </w:p>
    <w:p>
      <w:pPr>
        <w:rPr>
          <w:rFonts w:hAnsi="宋体"/>
          <w:b/>
          <w:color w:val="auto"/>
          <w:szCs w:val="21"/>
          <w:highlight w:val="none"/>
        </w:rPr>
      </w:pPr>
    </w:p>
    <w:p>
      <w:pPr>
        <w:spacing w:line="360" w:lineRule="exact"/>
        <w:ind w:firstLine="6960" w:firstLineChars="2900"/>
        <w:rPr>
          <w:rFonts w:ascii="宋体" w:hAnsi="宋体"/>
          <w:color w:val="auto"/>
          <w:szCs w:val="21"/>
          <w:highlight w:val="none"/>
        </w:rPr>
      </w:pPr>
      <w:r>
        <w:rPr>
          <w:rFonts w:hint="eastAsia" w:hAnsi="宋体" w:cs="宋体"/>
          <w:color w:val="auto"/>
          <w:sz w:val="24"/>
          <w:highlight w:val="none"/>
        </w:rPr>
        <w:t xml:space="preserve"> </w:t>
      </w: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pStyle w:val="27"/>
        <w:snapToGrid w:val="0"/>
        <w:spacing w:line="600" w:lineRule="auto"/>
        <w:jc w:val="right"/>
        <w:rPr>
          <w:rFonts w:hint="eastAsia" w:hAnsi="宋体" w:cs="宋体"/>
          <w:color w:val="auto"/>
          <w:sz w:val="24"/>
          <w:szCs w:val="24"/>
          <w:highlight w:val="none"/>
        </w:rPr>
      </w:pPr>
    </w:p>
    <w:p>
      <w:pPr>
        <w:pStyle w:val="7"/>
        <w:numPr>
          <w:ilvl w:val="0"/>
          <w:numId w:val="0"/>
        </w:numPr>
        <w:rPr>
          <w:rFonts w:hint="eastAsia"/>
          <w:highlight w:val="none"/>
        </w:rPr>
      </w:pPr>
    </w:p>
    <w:p>
      <w:pPr>
        <w:pStyle w:val="27"/>
        <w:ind w:firstLine="422"/>
        <w:rPr>
          <w:rFonts w:hint="eastAsia" w:eastAsia="宋体"/>
          <w:b/>
          <w:bCs/>
          <w:color w:val="auto"/>
          <w:sz w:val="24"/>
          <w:szCs w:val="24"/>
          <w:highlight w:val="none"/>
          <w:lang w:eastAsia="zh-CN"/>
        </w:rPr>
      </w:pPr>
      <w:r>
        <w:rPr>
          <w:rFonts w:hint="eastAsia"/>
          <w:b/>
          <w:bCs/>
          <w:color w:val="auto"/>
          <w:sz w:val="24"/>
          <w:szCs w:val="24"/>
          <w:highlight w:val="none"/>
          <w:lang w:val="en-US" w:eastAsia="zh-CN"/>
        </w:rPr>
        <w:t>九、</w:t>
      </w:r>
      <w:r>
        <w:rPr>
          <w:rFonts w:hint="eastAsia" w:ascii="宋体" w:hAnsi="宋体"/>
          <w:b/>
          <w:bCs/>
          <w:color w:val="auto"/>
          <w:sz w:val="24"/>
          <w:szCs w:val="24"/>
          <w:highlight w:val="none"/>
        </w:rPr>
        <w:t>项目实施方案</w:t>
      </w:r>
      <w:r>
        <w:rPr>
          <w:rFonts w:hint="eastAsia"/>
          <w:b/>
          <w:bCs/>
          <w:color w:val="auto"/>
          <w:sz w:val="24"/>
          <w:szCs w:val="24"/>
          <w:highlight w:val="none"/>
          <w:lang w:eastAsia="zh-CN"/>
        </w:rPr>
        <w:t>（</w:t>
      </w:r>
      <w:r>
        <w:rPr>
          <w:rFonts w:hint="eastAsia"/>
          <w:b/>
          <w:bCs/>
          <w:color w:val="auto"/>
          <w:sz w:val="24"/>
          <w:szCs w:val="24"/>
          <w:highlight w:val="none"/>
          <w:lang w:val="en-US" w:eastAsia="zh-CN"/>
        </w:rPr>
        <w:t>格式自拟</w:t>
      </w:r>
      <w:r>
        <w:rPr>
          <w:rFonts w:hint="eastAsia"/>
          <w:b/>
          <w:bCs/>
          <w:color w:val="auto"/>
          <w:sz w:val="24"/>
          <w:szCs w:val="24"/>
          <w:highlight w:val="none"/>
          <w:lang w:eastAsia="zh-CN"/>
        </w:rPr>
        <w:t>）</w: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snapToGrid w:val="0"/>
        <w:spacing w:before="50"/>
        <w:ind w:firstLine="422"/>
        <w:jc w:val="left"/>
        <w:rPr>
          <w:rFonts w:ascii="宋体" w:hAnsi="宋体" w:cs="宋体"/>
          <w:color w:val="auto"/>
          <w:szCs w:val="21"/>
          <w:highlight w:val="none"/>
          <w:u w:val="single"/>
        </w:rPr>
      </w:pPr>
    </w:p>
    <w:p>
      <w:pPr>
        <w:snapToGrid w:val="0"/>
        <w:spacing w:before="50"/>
        <w:ind w:firstLine="422"/>
        <w:jc w:val="left"/>
        <w:rPr>
          <w:rFonts w:ascii="宋体" w:hAnsi="宋体" w:cs="宋体"/>
          <w:color w:val="auto"/>
          <w:szCs w:val="21"/>
          <w:highlight w:val="none"/>
          <w:u w:val="single"/>
        </w:rPr>
      </w:pPr>
    </w:p>
    <w:p>
      <w:pPr>
        <w:snapToGrid w:val="0"/>
        <w:spacing w:before="50"/>
        <w:ind w:firstLine="422"/>
        <w:jc w:val="left"/>
        <w:rPr>
          <w:rFonts w:ascii="宋体" w:hAnsi="宋体" w:cs="宋体"/>
          <w:color w:val="auto"/>
          <w:szCs w:val="21"/>
          <w:highlight w:val="none"/>
          <w:u w:val="single"/>
        </w:rPr>
      </w:pPr>
    </w:p>
    <w:p>
      <w:pPr>
        <w:snapToGrid w:val="0"/>
        <w:spacing w:before="50"/>
        <w:ind w:firstLine="422"/>
        <w:jc w:val="left"/>
        <w:rPr>
          <w:rFonts w:ascii="宋体" w:hAnsi="宋体" w:cs="宋体"/>
          <w:color w:val="auto"/>
          <w:szCs w:val="21"/>
          <w:highlight w:val="none"/>
          <w:u w:val="single"/>
        </w:rPr>
      </w:pPr>
    </w:p>
    <w:p>
      <w:pPr>
        <w:snapToGrid w:val="0"/>
        <w:spacing w:before="50"/>
        <w:ind w:firstLine="422"/>
        <w:jc w:val="left"/>
        <w:rPr>
          <w:rFonts w:ascii="宋体" w:hAnsi="宋体" w:cs="宋体"/>
          <w:color w:val="auto"/>
          <w:szCs w:val="21"/>
          <w:highlight w:val="none"/>
          <w:u w:val="single"/>
        </w:rPr>
      </w:pPr>
    </w:p>
    <w:p>
      <w:pPr>
        <w:snapToGrid w:val="0"/>
        <w:spacing w:before="50"/>
        <w:ind w:firstLine="422"/>
        <w:jc w:val="left"/>
        <w:rPr>
          <w:rFonts w:ascii="宋体" w:hAnsi="宋体" w:cs="宋体"/>
          <w:color w:val="auto"/>
          <w:szCs w:val="21"/>
          <w:highlight w:val="none"/>
          <w:u w:val="single"/>
        </w:rPr>
      </w:pPr>
    </w:p>
    <w:p>
      <w:pPr>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br w:type="page"/>
      </w:r>
    </w:p>
    <w:p>
      <w:pPr>
        <w:snapToGrid w:val="0"/>
        <w:spacing w:before="50" w:line="340" w:lineRule="exact"/>
        <w:ind w:firstLine="480"/>
        <w:jc w:val="left"/>
        <w:rPr>
          <w:rFonts w:ascii="宋体" w:hAnsi="宋体" w:cs="宋体"/>
          <w:b/>
          <w:color w:val="auto"/>
          <w:sz w:val="24"/>
          <w:szCs w:val="24"/>
          <w:highlight w:val="none"/>
        </w:rPr>
      </w:pPr>
      <w:r>
        <w:rPr>
          <w:rFonts w:hint="eastAsia" w:ascii="宋体" w:hAnsi="宋体" w:cs="宋体"/>
          <w:b/>
          <w:color w:val="auto"/>
          <w:sz w:val="24"/>
          <w:szCs w:val="24"/>
          <w:highlight w:val="none"/>
          <w:lang w:val="en-US" w:eastAsia="zh-CN"/>
        </w:rPr>
        <w:t>十</w:t>
      </w:r>
      <w:r>
        <w:rPr>
          <w:rFonts w:hint="eastAsia" w:ascii="宋体" w:hAnsi="宋体" w:cs="宋体"/>
          <w:b/>
          <w:color w:val="auto"/>
          <w:sz w:val="24"/>
          <w:szCs w:val="24"/>
          <w:highlight w:val="none"/>
        </w:rPr>
        <w:t>、服务承诺书</w:t>
      </w:r>
    </w:p>
    <w:p>
      <w:pPr>
        <w:pStyle w:val="27"/>
        <w:ind w:firstLine="422"/>
        <w:rPr>
          <w:color w:val="auto"/>
          <w:highlight w:val="none"/>
        </w:rPr>
      </w:pPr>
    </w:p>
    <w:p>
      <w:pPr>
        <w:pStyle w:val="27"/>
        <w:ind w:firstLine="422"/>
        <w:rPr>
          <w:color w:val="auto"/>
          <w:highlight w:val="none"/>
        </w:rPr>
      </w:pPr>
      <w:r>
        <w:rPr>
          <w:rFonts w:hint="eastAsia"/>
          <w:color w:val="auto"/>
          <w:highlight w:val="none"/>
        </w:rPr>
        <w:t>服务承诺书</w:t>
      </w:r>
    </w:p>
    <w:p>
      <w:pPr>
        <w:pStyle w:val="27"/>
        <w:ind w:firstLine="422"/>
        <w:rPr>
          <w:color w:val="auto"/>
          <w:highlight w:val="none"/>
        </w:rPr>
      </w:pPr>
      <w:r>
        <w:rPr>
          <w:rFonts w:hint="eastAsia"/>
          <w:color w:val="auto"/>
          <w:highlight w:val="none"/>
        </w:rPr>
        <w:t>第1条 对合同条款、付款方式全部予以响应。</w:t>
      </w:r>
    </w:p>
    <w:p>
      <w:pPr>
        <w:pStyle w:val="27"/>
        <w:ind w:firstLine="422"/>
        <w:rPr>
          <w:color w:val="auto"/>
          <w:highlight w:val="none"/>
        </w:rPr>
      </w:pPr>
      <w:r>
        <w:rPr>
          <w:rFonts w:hint="eastAsia"/>
          <w:color w:val="auto"/>
          <w:highlight w:val="none"/>
        </w:rPr>
        <w:t>第2条 （由供应商按《采购需求》要求自行填写，所作的承诺作为构成合同不可分割的部分，必须真实、诚信，如提供虚假承诺或在成交、成交后不按其承诺履行的，将依法追究违约责任，并按《中华人民共和国政府采购法》规定予以处罚。）</w: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r>
        <w:rPr>
          <w:rFonts w:hint="eastAsia"/>
          <w:color w:val="auto"/>
          <w:highlight w:val="none"/>
        </w:rPr>
        <w:t>备注：以上为服务承诺格式，第1条为供应商必须列明，其余条款供应商可根据实际情况一一列明。</w: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spacing w:line="360" w:lineRule="exact"/>
        <w:ind w:firstLine="6090" w:firstLineChars="2900"/>
        <w:jc w:val="right"/>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jc w:val="right"/>
        <w:rPr>
          <w:rFonts w:ascii="宋体" w:hAnsi="宋体"/>
          <w:color w:val="auto"/>
          <w:szCs w:val="21"/>
          <w:highlight w:val="none"/>
        </w:rPr>
      </w:pPr>
      <w:r>
        <w:rPr>
          <w:rFonts w:hint="eastAsia" w:ascii="宋体" w:hAnsi="宋体"/>
          <w:color w:val="auto"/>
          <w:szCs w:val="21"/>
          <w:highlight w:val="none"/>
        </w:rPr>
        <w:t>日期： 年 月 日</w:t>
      </w:r>
    </w:p>
    <w:p>
      <w:pPr>
        <w:snapToGrid w:val="0"/>
        <w:spacing w:before="50"/>
        <w:ind w:firstLine="422"/>
        <w:jc w:val="left"/>
        <w:rPr>
          <w:rFonts w:ascii="宋体" w:hAnsi="宋体" w:cs="宋体"/>
          <w:color w:val="auto"/>
          <w:szCs w:val="21"/>
          <w:highlight w:val="none"/>
          <w:u w:val="single"/>
        </w:rPr>
      </w:pPr>
    </w:p>
    <w:p>
      <w:pPr>
        <w:snapToGrid w:val="0"/>
        <w:spacing w:before="50"/>
        <w:ind w:firstLine="422"/>
        <w:jc w:val="left"/>
        <w:rPr>
          <w:rFonts w:ascii="宋体" w:hAnsi="宋体" w:cs="宋体"/>
          <w:color w:val="auto"/>
          <w:szCs w:val="21"/>
          <w:highlight w:val="none"/>
          <w:u w:val="singl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snapToGrid w:val="0"/>
        <w:spacing w:before="50" w:line="360" w:lineRule="exact"/>
        <w:ind w:firstLine="480"/>
        <w:jc w:val="left"/>
        <w:rPr>
          <w:rFonts w:hint="eastAsia" w:ascii="宋体" w:hAnsi="宋体"/>
          <w:b/>
          <w:color w:val="auto"/>
          <w:sz w:val="24"/>
          <w:highlight w:val="none"/>
        </w:rPr>
      </w:pPr>
    </w:p>
    <w:p>
      <w:pPr>
        <w:ind w:firstLine="422"/>
        <w:rPr>
          <w:rFonts w:hAnsi="宋体" w:cs="宋体"/>
          <w:color w:val="auto"/>
          <w:highlight w:val="none"/>
        </w:rPr>
      </w:pPr>
    </w:p>
    <w:p>
      <w:pPr>
        <w:numPr>
          <w:ilvl w:val="0"/>
          <w:numId w:val="0"/>
        </w:numPr>
        <w:spacing w:line="320" w:lineRule="exact"/>
        <w:rPr>
          <w:rFonts w:hint="eastAsia" w:ascii="宋体" w:hAnsi="宋体"/>
          <w:b/>
          <w:bCs/>
          <w:color w:val="auto"/>
          <w:sz w:val="28"/>
          <w:szCs w:val="28"/>
          <w:highlight w:val="none"/>
        </w:rPr>
      </w:pPr>
      <w:r>
        <w:rPr>
          <w:rFonts w:hint="eastAsia" w:ascii="宋体" w:hAnsi="宋体" w:eastAsia="宋体" w:cs="Times New Roman"/>
          <w:b/>
          <w:color w:val="auto"/>
          <w:sz w:val="24"/>
          <w:highlight w:val="none"/>
          <w:lang w:val="en-US" w:eastAsia="zh-CN"/>
        </w:rPr>
        <w:t>十一、</w:t>
      </w:r>
      <w:r>
        <w:rPr>
          <w:rFonts w:hint="eastAsia" w:ascii="宋体" w:hAnsi="宋体" w:eastAsia="宋体" w:cs="Times New Roman"/>
          <w:b/>
          <w:color w:val="auto"/>
          <w:sz w:val="24"/>
          <w:highlight w:val="none"/>
        </w:rPr>
        <w:t>供</w:t>
      </w:r>
      <w:r>
        <w:rPr>
          <w:rFonts w:hint="eastAsia" w:ascii="宋体" w:hAnsi="宋体" w:eastAsia="宋体" w:cs="Times New Roman"/>
          <w:b/>
          <w:color w:val="auto"/>
          <w:sz w:val="24"/>
          <w:highlight w:val="none"/>
          <w:lang w:val="en-US" w:eastAsia="zh-CN"/>
        </w:rPr>
        <w:t>应商对本项目的合理化建议和改进措施（格式自拟）</w:t>
      </w:r>
    </w:p>
    <w:p>
      <w:pPr>
        <w:widowControl w:val="0"/>
        <w:numPr>
          <w:ilvl w:val="0"/>
          <w:numId w:val="0"/>
        </w:numPr>
        <w:spacing w:line="320" w:lineRule="exact"/>
        <w:jc w:val="both"/>
        <w:rPr>
          <w:rFonts w:hint="eastAsia" w:ascii="宋体" w:hAnsi="宋体"/>
          <w:color w:val="auto"/>
          <w:szCs w:val="21"/>
          <w:highlight w:val="none"/>
        </w:rPr>
      </w:pPr>
    </w:p>
    <w:p>
      <w:pPr>
        <w:widowControl w:val="0"/>
        <w:numPr>
          <w:ilvl w:val="0"/>
          <w:numId w:val="0"/>
        </w:numPr>
        <w:spacing w:line="320" w:lineRule="exact"/>
        <w:jc w:val="both"/>
        <w:rPr>
          <w:rFonts w:hint="eastAsia" w:ascii="宋体" w:hAnsi="宋体"/>
          <w:b/>
          <w:bCs/>
          <w:color w:val="auto"/>
          <w:sz w:val="28"/>
          <w:szCs w:val="28"/>
          <w:highlight w:val="none"/>
          <w:lang w:val="en-US" w:eastAsia="zh-CN"/>
        </w:rPr>
      </w:pPr>
    </w:p>
    <w:p>
      <w:pPr>
        <w:numPr>
          <w:ilvl w:val="0"/>
          <w:numId w:val="0"/>
        </w:numPr>
        <w:spacing w:line="320" w:lineRule="exact"/>
        <w:rPr>
          <w:rFonts w:hint="eastAsia" w:ascii="宋体" w:hAnsi="宋体" w:eastAsia="宋体" w:cs="Times New Roman"/>
          <w:b/>
          <w:color w:val="auto"/>
          <w:sz w:val="24"/>
          <w:highlight w:val="none"/>
          <w:lang w:val="en-US" w:eastAsia="zh-CN"/>
        </w:rPr>
      </w:pPr>
      <w:r>
        <w:rPr>
          <w:rFonts w:hint="eastAsia" w:ascii="宋体" w:hAnsi="宋体" w:eastAsia="宋体" w:cs="Times New Roman"/>
          <w:b/>
          <w:color w:val="auto"/>
          <w:sz w:val="24"/>
          <w:highlight w:val="none"/>
          <w:lang w:val="en-US" w:eastAsia="zh-CN"/>
        </w:rPr>
        <w:t>十二、供应商认为需要提供的其他证明材料（供应商根据“第二章 采购需求”及“第四章 评标方法及评标标准”提供有关证明材料）</w:t>
      </w:r>
    </w:p>
    <w:p>
      <w:pPr>
        <w:snapToGrid w:val="0"/>
        <w:spacing w:before="50" w:line="340" w:lineRule="exact"/>
        <w:ind w:firstLine="420"/>
        <w:jc w:val="left"/>
        <w:rPr>
          <w:rFonts w:hint="eastAsia" w:ascii="宋体" w:hAnsi="宋体" w:cs="宋体"/>
          <w:b/>
          <w:color w:val="auto"/>
          <w:szCs w:val="21"/>
          <w:highlight w:val="none"/>
        </w:rPr>
      </w:pPr>
    </w:p>
    <w:p>
      <w:pPr>
        <w:snapToGrid w:val="0"/>
        <w:spacing w:before="50" w:line="340" w:lineRule="exact"/>
        <w:ind w:firstLine="420"/>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其中：</w:t>
      </w:r>
      <w:r>
        <w:rPr>
          <w:rFonts w:hint="eastAsia" w:ascii="宋体" w:hAnsi="宋体" w:cs="宋体"/>
          <w:b/>
          <w:color w:val="auto"/>
          <w:szCs w:val="21"/>
          <w:highlight w:val="none"/>
        </w:rPr>
        <w:t>供应商同类业绩情况一览表</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格式</w:t>
      </w:r>
      <w:r>
        <w:rPr>
          <w:rFonts w:hint="eastAsia" w:ascii="宋体" w:hAnsi="宋体" w:cs="宋体"/>
          <w:b/>
          <w:color w:val="auto"/>
          <w:szCs w:val="21"/>
          <w:highlight w:val="none"/>
          <w:lang w:eastAsia="zh-CN"/>
        </w:rPr>
        <w:t>）</w:t>
      </w:r>
    </w:p>
    <w:p>
      <w:pPr>
        <w:pStyle w:val="33"/>
        <w:snapToGrid w:val="0"/>
        <w:spacing w:line="360" w:lineRule="exact"/>
        <w:ind w:left="420" w:hanging="420"/>
        <w:jc w:val="center"/>
        <w:rPr>
          <w:rFonts w:ascii="宋体" w:hAnsi="宋体"/>
          <w:color w:val="auto"/>
          <w:sz w:val="21"/>
          <w:szCs w:val="21"/>
          <w:highlight w:val="none"/>
        </w:rPr>
      </w:pPr>
      <w:r>
        <w:rPr>
          <w:rFonts w:hint="eastAsia" w:ascii="宋体" w:hAnsi="宋体"/>
          <w:color w:val="auto"/>
          <w:sz w:val="21"/>
          <w:szCs w:val="21"/>
          <w:highlight w:val="none"/>
        </w:rPr>
        <w:t>供应商同类业绩情况一览表</w:t>
      </w:r>
    </w:p>
    <w:tbl>
      <w:tblPr>
        <w:tblStyle w:val="4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7"/>
        <w:gridCol w:w="1417"/>
        <w:gridCol w:w="1758"/>
        <w:gridCol w:w="1465"/>
        <w:gridCol w:w="23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33"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宋体" w:cs="宋体"/>
                <w:color w:val="auto"/>
                <w:sz w:val="24"/>
                <w:highlight w:val="none"/>
              </w:rPr>
            </w:pPr>
            <w:r>
              <w:rPr>
                <w:rFonts w:hint="eastAsia" w:hAnsi="宋体" w:cs="宋体"/>
                <w:color w:val="auto"/>
                <w:sz w:val="24"/>
                <w:highlight w:val="none"/>
              </w:rPr>
              <w:t>采购人名称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宋体" w:cs="宋体"/>
                <w:color w:val="auto"/>
                <w:sz w:val="24"/>
                <w:highlight w:val="none"/>
              </w:rPr>
            </w:pPr>
            <w:r>
              <w:rPr>
                <w:rFonts w:hint="eastAsia" w:hAnsi="宋体" w:cs="宋体"/>
                <w:color w:val="auto"/>
                <w:sz w:val="24"/>
                <w:highlight w:val="none"/>
              </w:rPr>
              <w:t>项目名称</w:t>
            </w:r>
          </w:p>
        </w:tc>
        <w:tc>
          <w:tcPr>
            <w:tcW w:w="1758" w:type="dxa"/>
            <w:tcBorders>
              <w:top w:val="single" w:color="auto" w:sz="4" w:space="0"/>
              <w:left w:val="single" w:color="auto" w:sz="4" w:space="0"/>
              <w:right w:val="single" w:color="auto" w:sz="4" w:space="0"/>
            </w:tcBorders>
            <w:noWrap w:val="0"/>
            <w:vAlign w:val="center"/>
          </w:tcPr>
          <w:p>
            <w:pPr>
              <w:snapToGrid w:val="0"/>
              <w:jc w:val="center"/>
              <w:rPr>
                <w:rFonts w:hint="eastAsia" w:hAnsi="宋体" w:cs="宋体"/>
                <w:color w:val="auto"/>
                <w:sz w:val="24"/>
                <w:highlight w:val="none"/>
              </w:rPr>
            </w:pPr>
            <w:r>
              <w:rPr>
                <w:rFonts w:hint="eastAsia" w:hAnsi="宋体" w:cs="宋体"/>
                <w:color w:val="auto"/>
                <w:sz w:val="24"/>
                <w:highlight w:val="none"/>
              </w:rPr>
              <w:t>合同签订时间</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宋体" w:cs="宋体"/>
                <w:color w:val="auto"/>
                <w:sz w:val="24"/>
                <w:highlight w:val="none"/>
              </w:rPr>
            </w:pPr>
            <w:r>
              <w:rPr>
                <w:rFonts w:hint="eastAsia" w:hAnsi="宋体" w:cs="宋体"/>
                <w:color w:val="auto"/>
                <w:sz w:val="24"/>
                <w:highlight w:val="none"/>
              </w:rPr>
              <w:t>合同金额</w:t>
            </w:r>
          </w:p>
          <w:p>
            <w:pPr>
              <w:snapToGrid w:val="0"/>
              <w:jc w:val="center"/>
              <w:rPr>
                <w:rFonts w:hint="eastAsia" w:hAnsi="宋体" w:cs="宋体"/>
                <w:color w:val="auto"/>
                <w:sz w:val="24"/>
                <w:highlight w:val="none"/>
              </w:rPr>
            </w:pPr>
            <w:r>
              <w:rPr>
                <w:rFonts w:hint="eastAsia" w:hAnsi="宋体" w:cs="宋体"/>
                <w:color w:val="auto"/>
                <w:sz w:val="24"/>
                <w:highlight w:val="none"/>
              </w:rPr>
              <w:t>（万元）</w:t>
            </w:r>
          </w:p>
        </w:tc>
        <w:tc>
          <w:tcPr>
            <w:tcW w:w="236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宋体" w:cs="宋体"/>
                <w:color w:val="auto"/>
                <w:sz w:val="24"/>
                <w:highlight w:val="none"/>
              </w:rPr>
            </w:pPr>
            <w:r>
              <w:rPr>
                <w:rFonts w:hint="eastAsia" w:hAnsi="宋体" w:cs="宋体"/>
                <w:color w:val="auto"/>
                <w:sz w:val="24"/>
                <w:highlight w:val="none"/>
              </w:rPr>
              <w:t>采购人联系人及</w:t>
            </w:r>
          </w:p>
          <w:p>
            <w:pPr>
              <w:snapToGrid w:val="0"/>
              <w:jc w:val="center"/>
              <w:rPr>
                <w:rFonts w:hint="eastAsia" w:hAnsi="宋体" w:cs="宋体"/>
                <w:color w:val="auto"/>
                <w:sz w:val="24"/>
                <w:highlight w:val="none"/>
              </w:rPr>
            </w:pPr>
            <w:r>
              <w:rPr>
                <w:rFonts w:hint="eastAsia" w:hAnsi="宋体" w:cs="宋体"/>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top"/>
          </w:tcPr>
          <w:p>
            <w:pPr>
              <w:snapToGrid w:val="0"/>
              <w:rPr>
                <w:rFonts w:hint="eastAsia" w:hAnsi="宋体" w:cs="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napToGrid w:val="0"/>
              <w:rPr>
                <w:rFonts w:hint="eastAsia" w:hAnsi="宋体" w:cs="宋体"/>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noWrap w:val="0"/>
            <w:vAlign w:val="top"/>
          </w:tcPr>
          <w:p>
            <w:pPr>
              <w:snapToGrid w:val="0"/>
              <w:rPr>
                <w:rFonts w:hint="eastAsia" w:hAnsi="宋体" w:cs="宋体"/>
                <w:color w:val="auto"/>
                <w:sz w:val="24"/>
                <w:highlight w:val="none"/>
              </w:rPr>
            </w:pPr>
          </w:p>
        </w:tc>
        <w:tc>
          <w:tcPr>
            <w:tcW w:w="1465" w:type="dxa"/>
            <w:tcBorders>
              <w:top w:val="single" w:color="auto" w:sz="4" w:space="0"/>
              <w:left w:val="single" w:color="auto" w:sz="4" w:space="0"/>
              <w:bottom w:val="single" w:color="auto" w:sz="4" w:space="0"/>
              <w:right w:val="single" w:color="auto" w:sz="4" w:space="0"/>
            </w:tcBorders>
            <w:noWrap w:val="0"/>
            <w:vAlign w:val="top"/>
          </w:tcPr>
          <w:p>
            <w:pPr>
              <w:snapToGrid w:val="0"/>
              <w:rPr>
                <w:rFonts w:hint="eastAsia" w:hAnsi="宋体" w:cs="宋体"/>
                <w:color w:val="auto"/>
                <w:sz w:val="24"/>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pPr>
              <w:snapToGrid w:val="0"/>
              <w:rPr>
                <w:rFonts w:hint="eastAsia"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4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4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4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14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cs="宋体"/>
                <w:color w:val="auto"/>
                <w:sz w:val="24"/>
                <w:highlight w:val="none"/>
              </w:rPr>
            </w:pPr>
          </w:p>
        </w:tc>
      </w:tr>
    </w:tbl>
    <w:p>
      <w:pPr>
        <w:pStyle w:val="16"/>
        <w:spacing w:before="0" w:after="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highlight w:val="none"/>
        </w:rPr>
        <w:t>投标人根据评标标准具体要求附业绩证明材料。</w:t>
      </w:r>
    </w:p>
    <w:p>
      <w:pPr>
        <w:pStyle w:val="16"/>
        <w:spacing w:before="0" w:after="0"/>
        <w:contextualSpacing/>
        <w:rPr>
          <w:rFonts w:hint="eastAsia" w:ascii="宋体" w:hAnsi="宋体" w:eastAsia="宋体" w:cs="宋体"/>
          <w:color w:val="auto"/>
          <w:sz w:val="24"/>
          <w:szCs w:val="24"/>
          <w:highlight w:val="none"/>
        </w:rPr>
      </w:pPr>
    </w:p>
    <w:p>
      <w:pPr>
        <w:pStyle w:val="27"/>
        <w:snapToGrid w:val="0"/>
        <w:spacing w:line="600" w:lineRule="auto"/>
        <w:jc w:val="right"/>
        <w:rPr>
          <w:rFonts w:hint="eastAsia" w:hAnsi="宋体" w:cs="宋体"/>
          <w:color w:val="auto"/>
          <w:sz w:val="24"/>
          <w:szCs w:val="24"/>
          <w:highlight w:val="none"/>
        </w:rPr>
      </w:pPr>
      <w:r>
        <w:rPr>
          <w:rFonts w:hint="eastAsia" w:hAnsi="宋体" w:cs="宋体"/>
          <w:color w:val="auto"/>
          <w:sz w:val="24"/>
          <w:highlight w:val="none"/>
        </w:rPr>
        <w:t xml:space="preserve">                        </w:t>
      </w:r>
    </w:p>
    <w:p>
      <w:pPr>
        <w:pStyle w:val="16"/>
        <w:snapToGrid w:val="0"/>
        <w:spacing w:line="360" w:lineRule="exact"/>
        <w:rPr>
          <w:rFonts w:ascii="宋体" w:hAnsi="宋体" w:eastAsia="宋体"/>
          <w:color w:val="auto"/>
          <w:sz w:val="21"/>
          <w:szCs w:val="21"/>
          <w:highlight w:val="none"/>
        </w:rPr>
      </w:pP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spacing w:line="320" w:lineRule="exact"/>
        <w:ind w:firstLine="422"/>
        <w:rPr>
          <w:rFonts w:ascii="宋体" w:hAnsi="宋体"/>
          <w:color w:val="auto"/>
          <w:szCs w:val="21"/>
          <w:highlight w:val="none"/>
        </w:rPr>
      </w:pPr>
    </w:p>
    <w:p>
      <w:pPr>
        <w:rPr>
          <w:rFonts w:hint="eastAsia" w:ascii="宋体" w:hAnsi="宋体" w:cs="宋体"/>
          <w:b/>
          <w:bCs/>
          <w:color w:val="auto"/>
          <w:szCs w:val="21"/>
          <w:highlight w:val="none"/>
        </w:rPr>
      </w:pPr>
      <w:r>
        <w:rPr>
          <w:rFonts w:hint="eastAsia" w:ascii="宋体" w:hAnsi="宋体" w:cs="宋体"/>
          <w:b/>
          <w:bCs/>
          <w:color w:val="auto"/>
          <w:szCs w:val="21"/>
          <w:highlight w:val="none"/>
        </w:rPr>
        <w:br w:type="page"/>
      </w:r>
    </w:p>
    <w:p>
      <w:pPr>
        <w:snapToGrid w:val="0"/>
        <w:spacing w:before="120" w:beforeLines="50" w:after="50"/>
        <w:ind w:firstLine="420"/>
        <w:rPr>
          <w:rFonts w:ascii="宋体" w:hAnsi="宋体" w:cs="宋体"/>
          <w:b/>
          <w:bCs/>
          <w:color w:val="auto"/>
          <w:szCs w:val="21"/>
          <w:highlight w:val="none"/>
        </w:rPr>
      </w:pPr>
      <w:r>
        <w:rPr>
          <w:rFonts w:hint="eastAsia" w:ascii="宋体" w:hAnsi="宋体" w:cs="宋体"/>
          <w:b/>
          <w:bCs/>
          <w:color w:val="auto"/>
          <w:szCs w:val="21"/>
          <w:highlight w:val="none"/>
        </w:rPr>
        <w:t>3、报价文件格式：</w:t>
      </w:r>
    </w:p>
    <w:p>
      <w:pPr>
        <w:spacing w:line="240" w:lineRule="atLeast"/>
        <w:ind w:firstLine="640"/>
        <w:jc w:val="center"/>
        <w:rPr>
          <w:rFonts w:ascii="宋体" w:hAnsi="宋体" w:cs="宋体"/>
          <w:b/>
          <w:color w:val="auto"/>
          <w:sz w:val="32"/>
          <w:szCs w:val="32"/>
          <w:highlight w:val="none"/>
        </w:rPr>
      </w:pPr>
    </w:p>
    <w:p>
      <w:pPr>
        <w:snapToGrid w:val="0"/>
        <w:spacing w:before="120"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pPr>
        <w:snapToGrid w:val="0"/>
        <w:spacing w:before="120" w:beforeLines="50" w:after="50" w:line="280" w:lineRule="exact"/>
        <w:ind w:firstLine="9" w:firstLineChars="3"/>
        <w:jc w:val="center"/>
        <w:rPr>
          <w:rFonts w:ascii="宋体" w:hAnsi="宋体" w:cs="宋体"/>
          <w:bCs/>
          <w:color w:val="auto"/>
          <w:sz w:val="32"/>
          <w:szCs w:val="32"/>
          <w:highlight w:val="none"/>
        </w:rPr>
      </w:pPr>
    </w:p>
    <w:p>
      <w:pPr>
        <w:snapToGrid w:val="0"/>
        <w:spacing w:before="120" w:beforeLines="50" w:after="50" w:line="280" w:lineRule="exact"/>
        <w:ind w:firstLine="9" w:firstLineChars="3"/>
        <w:jc w:val="center"/>
        <w:rPr>
          <w:rFonts w:ascii="宋体" w:hAnsi="宋体" w:cs="宋体"/>
          <w:bCs/>
          <w:color w:val="auto"/>
          <w:sz w:val="32"/>
          <w:szCs w:val="32"/>
          <w:highlight w:val="none"/>
        </w:rPr>
      </w:pPr>
    </w:p>
    <w:p>
      <w:pPr>
        <w:snapToGrid w:val="0"/>
        <w:spacing w:before="120" w:beforeLines="50" w:after="50" w:line="280" w:lineRule="exact"/>
        <w:ind w:firstLine="9" w:firstLineChars="3"/>
        <w:jc w:val="center"/>
        <w:rPr>
          <w:rFonts w:ascii="宋体" w:hAnsi="宋体" w:cs="宋体"/>
          <w:bCs/>
          <w:color w:val="auto"/>
          <w:sz w:val="32"/>
          <w:szCs w:val="32"/>
          <w:highlight w:val="none"/>
        </w:rPr>
      </w:pPr>
    </w:p>
    <w:p>
      <w:pPr>
        <w:snapToGrid w:val="0"/>
        <w:spacing w:before="120"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pPr>
        <w:snapToGrid w:val="0"/>
        <w:spacing w:before="120"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（报价文件）</w:t>
      </w:r>
    </w:p>
    <w:p>
      <w:pPr>
        <w:snapToGrid w:val="0"/>
        <w:spacing w:before="120" w:beforeLines="50" w:after="50"/>
        <w:ind w:firstLine="422"/>
        <w:rPr>
          <w:rFonts w:ascii="宋体" w:hAnsi="宋体" w:cs="宋体"/>
          <w:bCs/>
          <w:color w:val="auto"/>
          <w:szCs w:val="21"/>
          <w:highlight w:val="none"/>
        </w:rPr>
      </w:pPr>
    </w:p>
    <w:p>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pPr>
        <w:snapToGrid w:val="0"/>
        <w:spacing w:before="120" w:beforeLines="50" w:after="50" w:line="280" w:lineRule="exact"/>
        <w:ind w:firstLine="675" w:firstLineChars="225"/>
        <w:rPr>
          <w:rFonts w:ascii="宋体" w:hAnsi="宋体" w:cs="宋体"/>
          <w:bCs/>
          <w:color w:val="auto"/>
          <w:sz w:val="30"/>
          <w:szCs w:val="30"/>
          <w:highlight w:val="none"/>
        </w:rPr>
      </w:pPr>
    </w:p>
    <w:p>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pPr>
        <w:snapToGrid w:val="0"/>
        <w:spacing w:before="120" w:beforeLines="50" w:after="50" w:line="280" w:lineRule="exact"/>
        <w:ind w:firstLine="675" w:firstLineChars="225"/>
        <w:rPr>
          <w:rFonts w:ascii="宋体" w:hAnsi="宋体" w:cs="宋体"/>
          <w:bCs/>
          <w:color w:val="auto"/>
          <w:sz w:val="30"/>
          <w:szCs w:val="30"/>
          <w:highlight w:val="none"/>
        </w:rPr>
      </w:pPr>
    </w:p>
    <w:p>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pPr>
        <w:snapToGrid w:val="0"/>
        <w:spacing w:before="120" w:beforeLines="50" w:after="50" w:line="280" w:lineRule="exact"/>
        <w:ind w:firstLine="675" w:firstLineChars="225"/>
        <w:rPr>
          <w:rFonts w:ascii="宋体" w:hAnsi="宋体" w:cs="宋体"/>
          <w:bCs/>
          <w:color w:val="auto"/>
          <w:sz w:val="30"/>
          <w:szCs w:val="30"/>
          <w:highlight w:val="none"/>
        </w:rPr>
      </w:pPr>
    </w:p>
    <w:p>
      <w:pPr>
        <w:pStyle w:val="11"/>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pPr>
        <w:pStyle w:val="11"/>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pPr>
        <w:pStyle w:val="11"/>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pPr>
        <w:pStyle w:val="11"/>
        <w:snapToGrid w:val="0"/>
        <w:spacing w:before="50" w:after="50" w:line="280" w:lineRule="exact"/>
        <w:ind w:firstLine="675" w:firstLineChars="225"/>
        <w:rPr>
          <w:rFonts w:ascii="宋体" w:hAnsi="宋体" w:cs="宋体"/>
          <w:bCs/>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p>
    <w:p>
      <w:pPr>
        <w:snapToGrid w:val="0"/>
        <w:spacing w:before="120" w:beforeLines="50" w:after="50"/>
        <w:ind w:firstLine="602"/>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p>
    <w:p>
      <w:pPr>
        <w:tabs>
          <w:tab w:val="left" w:pos="1418"/>
        </w:tabs>
        <w:snapToGrid w:val="0"/>
        <w:spacing w:before="50" w:after="50" w:line="320" w:lineRule="exact"/>
        <w:ind w:firstLine="422"/>
        <w:jc w:val="center"/>
        <w:rPr>
          <w:rFonts w:hint="eastAsia" w:ascii="宋体" w:hAnsi="宋体"/>
          <w:bCs/>
          <w:color w:val="auto"/>
          <w:szCs w:val="21"/>
          <w:highlight w:val="none"/>
        </w:rPr>
      </w:pPr>
    </w:p>
    <w:p>
      <w:pPr>
        <w:tabs>
          <w:tab w:val="left" w:pos="1418"/>
        </w:tabs>
        <w:snapToGrid w:val="0"/>
        <w:spacing w:before="50" w:after="50" w:line="320" w:lineRule="exact"/>
        <w:ind w:firstLine="422"/>
        <w:jc w:val="center"/>
        <w:rPr>
          <w:rFonts w:ascii="宋体" w:hAnsi="宋体"/>
          <w:bCs/>
          <w:color w:val="auto"/>
          <w:szCs w:val="21"/>
          <w:highlight w:val="none"/>
        </w:rPr>
      </w:pPr>
      <w:r>
        <w:rPr>
          <w:rFonts w:hint="eastAsia" w:ascii="宋体" w:hAnsi="宋体"/>
          <w:bCs/>
          <w:color w:val="auto"/>
          <w:szCs w:val="21"/>
          <w:highlight w:val="none"/>
        </w:rPr>
        <w:t>目录</w:t>
      </w:r>
    </w:p>
    <w:p>
      <w:pPr>
        <w:spacing w:line="320" w:lineRule="exact"/>
        <w:ind w:firstLine="422"/>
        <w:jc w:val="center"/>
        <w:rPr>
          <w:rFonts w:ascii="宋体" w:hAnsi="宋体"/>
          <w:bCs/>
          <w:color w:val="auto"/>
          <w:szCs w:val="21"/>
          <w:highlight w:val="none"/>
        </w:rPr>
      </w:pPr>
      <w:r>
        <w:rPr>
          <w:rFonts w:hint="eastAsia" w:ascii="宋体" w:hAnsi="宋体"/>
          <w:bCs/>
          <w:color w:val="auto"/>
          <w:szCs w:val="21"/>
          <w:highlight w:val="none"/>
        </w:rPr>
        <w:t>(供应商需根据投标文件自行编制目录及页码)</w:t>
      </w:r>
    </w:p>
    <w:p>
      <w:pPr>
        <w:spacing w:line="320" w:lineRule="exact"/>
        <w:ind w:firstLine="422"/>
        <w:rPr>
          <w:rFonts w:ascii="宋体" w:hAnsi="宋体"/>
          <w:bCs/>
          <w:color w:val="auto"/>
          <w:szCs w:val="21"/>
          <w:highlight w:val="none"/>
        </w:rPr>
      </w:pPr>
    </w:p>
    <w:p>
      <w:pPr>
        <w:spacing w:line="320" w:lineRule="exact"/>
        <w:ind w:firstLine="422"/>
        <w:rPr>
          <w:rFonts w:ascii="宋体" w:hAnsi="宋体"/>
          <w:bCs/>
          <w:color w:val="auto"/>
          <w:szCs w:val="21"/>
          <w:highlight w:val="none"/>
        </w:rPr>
      </w:pPr>
    </w:p>
    <w:p>
      <w:pPr>
        <w:spacing w:line="320" w:lineRule="exact"/>
        <w:ind w:firstLine="422"/>
        <w:rPr>
          <w:rFonts w:ascii="宋体" w:hAnsi="宋体"/>
          <w:bCs/>
          <w:color w:val="auto"/>
          <w:szCs w:val="21"/>
          <w:highlight w:val="none"/>
        </w:rPr>
      </w:pPr>
    </w:p>
    <w:p>
      <w:pPr>
        <w:spacing w:line="320" w:lineRule="exact"/>
        <w:ind w:firstLine="422"/>
        <w:rPr>
          <w:rFonts w:ascii="宋体" w:hAnsi="宋体"/>
          <w:bCs/>
          <w:color w:val="auto"/>
          <w:szCs w:val="21"/>
          <w:highlight w:val="none"/>
        </w:rPr>
      </w:pPr>
    </w:p>
    <w:p>
      <w:pPr>
        <w:spacing w:line="320" w:lineRule="exact"/>
        <w:ind w:firstLine="422"/>
        <w:rPr>
          <w:rFonts w:ascii="宋体" w:hAnsi="宋体"/>
          <w:bCs/>
          <w:color w:val="auto"/>
          <w:szCs w:val="21"/>
          <w:highlight w:val="none"/>
        </w:rPr>
      </w:pPr>
    </w:p>
    <w:p>
      <w:pPr>
        <w:spacing w:line="320" w:lineRule="exact"/>
        <w:ind w:firstLine="422"/>
        <w:rPr>
          <w:rFonts w:ascii="宋体" w:hAnsi="宋体"/>
          <w:bCs/>
          <w:color w:val="auto"/>
          <w:szCs w:val="21"/>
          <w:highlight w:val="none"/>
        </w:rPr>
      </w:pPr>
    </w:p>
    <w:p>
      <w:pPr>
        <w:spacing w:line="320" w:lineRule="exact"/>
        <w:ind w:firstLine="422"/>
        <w:rPr>
          <w:rFonts w:ascii="宋体" w:hAnsi="宋体"/>
          <w:bCs/>
          <w:color w:val="auto"/>
          <w:szCs w:val="21"/>
          <w:highlight w:val="none"/>
        </w:rPr>
      </w:pPr>
    </w:p>
    <w:p>
      <w:pPr>
        <w:spacing w:line="320" w:lineRule="exact"/>
        <w:ind w:firstLine="422"/>
        <w:rPr>
          <w:rFonts w:ascii="宋体" w:hAnsi="宋体"/>
          <w:bCs/>
          <w:color w:val="auto"/>
          <w:szCs w:val="21"/>
          <w:highlight w:val="none"/>
        </w:rPr>
      </w:pPr>
    </w:p>
    <w:p>
      <w:pPr>
        <w:widowControl/>
        <w:ind w:firstLine="422"/>
        <w:jc w:val="left"/>
        <w:rPr>
          <w:rFonts w:ascii="宋体" w:hAnsi="宋体"/>
          <w:bCs/>
          <w:color w:val="auto"/>
          <w:szCs w:val="21"/>
          <w:highlight w:val="none"/>
        </w:rPr>
      </w:pPr>
      <w:r>
        <w:rPr>
          <w:rFonts w:ascii="宋体" w:hAnsi="宋体"/>
          <w:bCs/>
          <w:color w:val="auto"/>
          <w:szCs w:val="21"/>
          <w:highlight w:val="none"/>
        </w:rPr>
        <w:br w:type="page"/>
      </w:r>
    </w:p>
    <w:p>
      <w:pPr>
        <w:spacing w:line="320" w:lineRule="exact"/>
        <w:ind w:firstLine="422"/>
        <w:rPr>
          <w:rFonts w:ascii="宋体" w:hAnsi="宋体"/>
          <w:bCs/>
          <w:color w:val="auto"/>
          <w:szCs w:val="21"/>
          <w:highlight w:val="none"/>
        </w:rPr>
      </w:pPr>
    </w:p>
    <w:p>
      <w:pPr>
        <w:spacing w:line="320" w:lineRule="exact"/>
        <w:ind w:firstLine="420"/>
        <w:rPr>
          <w:rFonts w:ascii="宋体" w:hAnsi="宋体" w:cs="宋体"/>
          <w:b/>
          <w:color w:val="auto"/>
          <w:szCs w:val="21"/>
          <w:highlight w:val="none"/>
        </w:rPr>
      </w:pPr>
      <w:r>
        <w:rPr>
          <w:rFonts w:hint="eastAsia" w:ascii="宋体" w:hAnsi="宋体" w:cs="宋体"/>
          <w:b/>
          <w:color w:val="auto"/>
          <w:szCs w:val="21"/>
          <w:highlight w:val="none"/>
        </w:rPr>
        <w:t>一、竞标函格式</w:t>
      </w:r>
    </w:p>
    <w:p>
      <w:pPr>
        <w:snapToGrid w:val="0"/>
        <w:spacing w:before="120" w:beforeLines="50" w:after="50" w:line="360" w:lineRule="exact"/>
        <w:ind w:firstLine="640"/>
        <w:jc w:val="center"/>
        <w:rPr>
          <w:rFonts w:ascii="宋体" w:hAnsi="宋体"/>
          <w:b/>
          <w:color w:val="auto"/>
          <w:sz w:val="32"/>
          <w:szCs w:val="32"/>
          <w:highlight w:val="none"/>
        </w:rPr>
      </w:pPr>
      <w:r>
        <w:rPr>
          <w:rFonts w:hint="eastAsia" w:ascii="宋体" w:hAnsi="宋体"/>
          <w:b/>
          <w:color w:val="auto"/>
          <w:sz w:val="32"/>
          <w:szCs w:val="32"/>
          <w:highlight w:val="none"/>
        </w:rPr>
        <w:t>竞 标 函</w:t>
      </w:r>
    </w:p>
    <w:p>
      <w:pPr>
        <w:snapToGrid w:val="0"/>
        <w:spacing w:before="120" w:beforeLines="50" w:after="50" w:line="360" w:lineRule="exact"/>
        <w:ind w:firstLine="480"/>
        <w:jc w:val="center"/>
        <w:rPr>
          <w:rFonts w:ascii="宋体" w:hAnsi="宋体"/>
          <w:b/>
          <w:color w:val="auto"/>
          <w:sz w:val="24"/>
          <w:szCs w:val="20"/>
          <w:highlight w:val="none"/>
        </w:rPr>
      </w:pPr>
    </w:p>
    <w:p>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致：（采购人名称）：</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根据贵方为项目的招标公告（项目编号：     ），签字代表</w:t>
      </w:r>
      <w:r>
        <w:rPr>
          <w:rFonts w:hint="eastAsia" w:ascii="宋体" w:hAnsi="宋体"/>
          <w:color w:val="auto"/>
          <w:szCs w:val="21"/>
          <w:highlight w:val="none"/>
          <w:u w:val="single"/>
        </w:rPr>
        <w:t xml:space="preserve">     （全名）</w:t>
      </w:r>
      <w:r>
        <w:rPr>
          <w:rFonts w:hint="eastAsia" w:ascii="宋体" w:hAnsi="宋体"/>
          <w:color w:val="auto"/>
          <w:szCs w:val="21"/>
          <w:highlight w:val="none"/>
        </w:rPr>
        <w:t>经正式授权并代表供应商</w:t>
      </w:r>
      <w:r>
        <w:rPr>
          <w:rFonts w:hint="eastAsia" w:ascii="宋体" w:hAnsi="宋体"/>
          <w:color w:val="auto"/>
          <w:szCs w:val="21"/>
          <w:highlight w:val="none"/>
          <w:u w:val="single"/>
        </w:rPr>
        <w:t xml:space="preserve">                    （供应商名称）</w:t>
      </w:r>
      <w:r>
        <w:rPr>
          <w:rFonts w:hint="eastAsia" w:ascii="宋体" w:hAnsi="宋体"/>
          <w:color w:val="auto"/>
          <w:szCs w:val="21"/>
          <w:highlight w:val="none"/>
        </w:rPr>
        <w:t>现正式递交下述文件参加贵方组织的本次政府采购活动：</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一、报价文件电子版一份；</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二、资格文件电子版一份；</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三、商务和技术文件电子版一份；</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据此函，签字代表宣布同意如下：</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1.我方已详细审查全部“竞争性磋商文件”，包括修改文件（如有的话）以及全部参考资料和有关附件，已经了解我方对于磋商文件、采购过程、采购结果有依法进行询问、质疑、投诉的权利及相关渠道和要求。</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2.我方在投标之前已经与贵方进行了充分的沟通，完全理解并接受招标文件的各项规定和要求，对招标文件的合理性、合法性不再有异议。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3.本投标有效期自开标日起 个日（自然日）。</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4.如中标，本响应文件至本项目合同履行完毕止均保持有效，我方将按“竞争性磋商文件”及政府采购法律、法规的规定履行合同责任和义务。</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5.我方同意按照贵方要求提供与投标有关的一切数据或资料。</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pPr>
        <w:snapToGrid w:val="0"/>
        <w:spacing w:line="360" w:lineRule="exact"/>
        <w:ind w:firstLine="422"/>
        <w:rPr>
          <w:rFonts w:ascii="宋体" w:hAnsi="宋体"/>
          <w:color w:val="auto"/>
          <w:szCs w:val="21"/>
          <w:highlight w:val="none"/>
          <w:u w:val="single"/>
        </w:rPr>
      </w:pPr>
      <w:r>
        <w:rPr>
          <w:rFonts w:hint="eastAsia" w:ascii="宋体" w:hAnsi="宋体"/>
          <w:color w:val="auto"/>
          <w:szCs w:val="21"/>
          <w:highlight w:val="none"/>
        </w:rPr>
        <w:t>地址：邮编：电话：</w:t>
      </w:r>
    </w:p>
    <w:p>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传真：供应商代表姓名 职务：</w:t>
      </w:r>
    </w:p>
    <w:p>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供应商名称:</w:t>
      </w:r>
    </w:p>
    <w:p>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开户银行：   银行</w:t>
      </w:r>
      <w:r>
        <w:rPr>
          <w:rFonts w:hint="eastAsia" w:ascii="宋体" w:hAnsi="宋体"/>
          <w:color w:val="auto"/>
          <w:szCs w:val="21"/>
          <w:highlight w:val="none"/>
          <w:lang w:eastAsia="zh-CN"/>
        </w:rPr>
        <w:t>账号</w:t>
      </w:r>
      <w:r>
        <w:rPr>
          <w:rFonts w:hint="eastAsia" w:ascii="宋体" w:hAnsi="宋体"/>
          <w:color w:val="auto"/>
          <w:szCs w:val="21"/>
          <w:highlight w:val="none"/>
        </w:rPr>
        <w:t>：</w:t>
      </w:r>
    </w:p>
    <w:p>
      <w:pPr>
        <w:snapToGrid w:val="0"/>
        <w:spacing w:line="360" w:lineRule="exact"/>
        <w:ind w:firstLine="422"/>
        <w:rPr>
          <w:rFonts w:ascii="宋体" w:hAnsi="宋体"/>
          <w:color w:val="auto"/>
          <w:szCs w:val="21"/>
          <w:highlight w:val="none"/>
        </w:rPr>
      </w:pPr>
    </w:p>
    <w:p>
      <w:pPr>
        <w:snapToGrid w:val="0"/>
        <w:spacing w:line="360" w:lineRule="exact"/>
        <w:ind w:firstLine="422"/>
        <w:rPr>
          <w:rFonts w:ascii="宋体" w:hAnsi="宋体"/>
          <w:color w:val="auto"/>
          <w:szCs w:val="21"/>
          <w:highlight w:val="none"/>
        </w:rPr>
      </w:pP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pStyle w:val="27"/>
        <w:ind w:firstLine="422"/>
        <w:rPr>
          <w:color w:val="auto"/>
          <w:highlight w:val="none"/>
        </w:rPr>
      </w:pP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p>
    <w:p>
      <w:pPr>
        <w:spacing w:line="320" w:lineRule="exact"/>
        <w:ind w:firstLine="420"/>
        <w:rPr>
          <w:rFonts w:ascii="宋体" w:hAnsi="宋体" w:cs="宋体"/>
          <w:b/>
          <w:color w:val="auto"/>
          <w:szCs w:val="21"/>
          <w:highlight w:val="none"/>
        </w:rPr>
      </w:pPr>
      <w:r>
        <w:rPr>
          <w:rFonts w:hint="eastAsia" w:ascii="宋体" w:hAnsi="宋体" w:cs="宋体"/>
          <w:b/>
          <w:color w:val="auto"/>
          <w:szCs w:val="21"/>
          <w:highlight w:val="none"/>
        </w:rPr>
        <w:t>二、报价表格式</w:t>
      </w:r>
    </w:p>
    <w:p>
      <w:pPr>
        <w:spacing w:line="300" w:lineRule="auto"/>
        <w:ind w:firstLine="640"/>
        <w:jc w:val="center"/>
        <w:rPr>
          <w:rFonts w:ascii="宋体" w:hAnsi="宋体" w:cs="宋体"/>
          <w:b/>
          <w:color w:val="auto"/>
          <w:sz w:val="32"/>
          <w:szCs w:val="32"/>
          <w:highlight w:val="none"/>
        </w:rPr>
      </w:pPr>
      <w:r>
        <w:rPr>
          <w:rFonts w:hint="eastAsia" w:ascii="宋体" w:hAnsi="宋体" w:cs="宋体"/>
          <w:b/>
          <w:color w:val="auto"/>
          <w:sz w:val="32"/>
          <w:szCs w:val="32"/>
          <w:highlight w:val="none"/>
        </w:rPr>
        <w:t>报  价  表</w:t>
      </w:r>
    </w:p>
    <w:p>
      <w:pPr>
        <w:spacing w:line="300" w:lineRule="auto"/>
        <w:ind w:firstLine="640"/>
        <w:jc w:val="center"/>
        <w:rPr>
          <w:rFonts w:ascii="宋体" w:hAnsi="宋体" w:cs="宋体"/>
          <w:b/>
          <w:color w:val="auto"/>
          <w:sz w:val="32"/>
          <w:szCs w:val="32"/>
          <w:highlight w:val="none"/>
        </w:rPr>
      </w:pPr>
    </w:p>
    <w:p>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p>
      <w:pPr>
        <w:snapToGrid w:val="0"/>
        <w:spacing w:before="50" w:after="50"/>
        <w:ind w:firstLine="422"/>
        <w:rPr>
          <w:rFonts w:ascii="宋体" w:hAnsi="宋体" w:cs="宋体"/>
          <w:color w:val="auto"/>
          <w:highlight w:val="none"/>
          <w:u w:val="single"/>
        </w:rPr>
      </w:pPr>
    </w:p>
    <w:tbl>
      <w:tblPr>
        <w:tblStyle w:val="44"/>
        <w:tblW w:w="9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5"/>
        <w:gridCol w:w="2126"/>
        <w:gridCol w:w="1418"/>
        <w:gridCol w:w="1134"/>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jc w:val="center"/>
        </w:trPr>
        <w:tc>
          <w:tcPr>
            <w:tcW w:w="1135" w:type="dxa"/>
          </w:tcPr>
          <w:p>
            <w:pPr>
              <w:pStyle w:val="210"/>
              <w:spacing w:before="110"/>
              <w:ind w:right="224"/>
              <w:jc w:val="center"/>
              <w:rPr>
                <w:b/>
                <w:color w:val="auto"/>
                <w:sz w:val="21"/>
                <w:highlight w:val="none"/>
              </w:rPr>
            </w:pPr>
            <w:r>
              <w:rPr>
                <w:rFonts w:hint="eastAsia"/>
                <w:b/>
                <w:color w:val="auto"/>
                <w:sz w:val="21"/>
                <w:highlight w:val="none"/>
              </w:rPr>
              <w:t>项号</w:t>
            </w:r>
          </w:p>
        </w:tc>
        <w:tc>
          <w:tcPr>
            <w:tcW w:w="2126" w:type="dxa"/>
          </w:tcPr>
          <w:p>
            <w:pPr>
              <w:pStyle w:val="210"/>
              <w:spacing w:before="110"/>
              <w:ind w:left="0" w:right="0"/>
              <w:jc w:val="center"/>
              <w:rPr>
                <w:b/>
                <w:color w:val="auto"/>
                <w:sz w:val="21"/>
                <w:highlight w:val="none"/>
              </w:rPr>
            </w:pPr>
            <w:bookmarkStart w:id="39" w:name="OLE_LINK19"/>
            <w:r>
              <w:rPr>
                <w:rFonts w:hint="eastAsia"/>
                <w:b/>
                <w:color w:val="auto"/>
                <w:szCs w:val="21"/>
                <w:highlight w:val="none"/>
              </w:rPr>
              <w:t>服务名称</w:t>
            </w:r>
            <w:bookmarkEnd w:id="39"/>
          </w:p>
        </w:tc>
        <w:tc>
          <w:tcPr>
            <w:tcW w:w="1418" w:type="dxa"/>
          </w:tcPr>
          <w:p>
            <w:pPr>
              <w:pStyle w:val="210"/>
              <w:spacing w:before="110"/>
              <w:ind w:left="0" w:right="0"/>
              <w:jc w:val="center"/>
              <w:rPr>
                <w:b/>
                <w:color w:val="auto"/>
                <w:sz w:val="21"/>
                <w:highlight w:val="none"/>
              </w:rPr>
            </w:pPr>
            <w:r>
              <w:rPr>
                <w:rFonts w:hint="eastAsia"/>
                <w:b/>
                <w:color w:val="auto"/>
                <w:sz w:val="21"/>
                <w:highlight w:val="none"/>
              </w:rPr>
              <w:t>数量①</w:t>
            </w:r>
          </w:p>
        </w:tc>
        <w:tc>
          <w:tcPr>
            <w:tcW w:w="1134" w:type="dxa"/>
          </w:tcPr>
          <w:p>
            <w:pPr>
              <w:pStyle w:val="210"/>
              <w:spacing w:before="110"/>
              <w:ind w:left="0" w:right="0"/>
              <w:jc w:val="center"/>
              <w:rPr>
                <w:b/>
                <w:color w:val="auto"/>
                <w:sz w:val="21"/>
                <w:highlight w:val="none"/>
              </w:rPr>
            </w:pPr>
            <w:r>
              <w:rPr>
                <w:rFonts w:hint="eastAsia"/>
                <w:b/>
                <w:color w:val="auto"/>
                <w:sz w:val="21"/>
                <w:highlight w:val="none"/>
              </w:rPr>
              <w:t>单位</w:t>
            </w:r>
          </w:p>
        </w:tc>
        <w:tc>
          <w:tcPr>
            <w:tcW w:w="3260" w:type="dxa"/>
          </w:tcPr>
          <w:p>
            <w:pPr>
              <w:pStyle w:val="210"/>
              <w:spacing w:line="291" w:lineRule="exact"/>
              <w:ind w:left="0" w:right="0"/>
              <w:jc w:val="center"/>
              <w:rPr>
                <w:b/>
                <w:color w:val="auto"/>
                <w:sz w:val="21"/>
                <w:highlight w:val="none"/>
                <w:lang w:eastAsia="zh-CN"/>
              </w:rPr>
            </w:pPr>
            <w:r>
              <w:rPr>
                <w:rFonts w:hint="eastAsia"/>
                <w:b/>
                <w:color w:val="auto"/>
                <w:sz w:val="21"/>
                <w:highlight w:val="none"/>
                <w:lang w:eastAsia="zh-CN"/>
              </w:rPr>
              <w:t>竞标报价（元）</w:t>
            </w:r>
          </w:p>
          <w:p>
            <w:pPr>
              <w:pStyle w:val="210"/>
              <w:spacing w:line="325" w:lineRule="exact"/>
              <w:ind w:left="0" w:right="0"/>
              <w:jc w:val="center"/>
              <w:rPr>
                <w:b/>
                <w:color w:val="auto"/>
                <w:sz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exact"/>
          <w:jc w:val="center"/>
        </w:trPr>
        <w:tc>
          <w:tcPr>
            <w:tcW w:w="1135" w:type="dxa"/>
            <w:vAlign w:val="center"/>
          </w:tcPr>
          <w:p>
            <w:pPr>
              <w:pStyle w:val="210"/>
              <w:spacing w:before="38"/>
              <w:ind w:right="0"/>
              <w:jc w:val="center"/>
              <w:rPr>
                <w:rFonts w:hint="eastAsia" w:eastAsia="宋体"/>
                <w:color w:val="auto"/>
                <w:sz w:val="21"/>
                <w:highlight w:val="none"/>
                <w:lang w:val="en-US" w:eastAsia="zh-CN"/>
              </w:rPr>
            </w:pPr>
            <w:r>
              <w:rPr>
                <w:rFonts w:hint="eastAsia"/>
                <w:color w:val="auto"/>
                <w:sz w:val="21"/>
                <w:highlight w:val="none"/>
                <w:lang w:val="en-US" w:eastAsia="zh-CN"/>
              </w:rPr>
              <w:t>1</w:t>
            </w:r>
          </w:p>
        </w:tc>
        <w:tc>
          <w:tcPr>
            <w:tcW w:w="2126" w:type="dxa"/>
            <w:vAlign w:val="center"/>
          </w:tcPr>
          <w:p>
            <w:pPr>
              <w:widowControl/>
              <w:jc w:val="center"/>
              <w:rPr>
                <w:rFonts w:hint="eastAsia" w:ascii="宋体" w:hAnsi="宋体" w:eastAsia="宋体"/>
                <w:color w:val="auto"/>
                <w:highlight w:val="none"/>
                <w:lang w:eastAsia="zh-CN"/>
              </w:rPr>
            </w:pPr>
            <w:r>
              <w:rPr>
                <w:rFonts w:hint="eastAsia" w:ascii="宋体" w:hAnsi="宋体"/>
                <w:color w:val="auto"/>
                <w:highlight w:val="none"/>
                <w:lang w:eastAsia="zh-CN"/>
              </w:rPr>
              <w:t>广西壮族自治区脑科医院保安服务项目（重）</w:t>
            </w:r>
          </w:p>
        </w:tc>
        <w:tc>
          <w:tcPr>
            <w:tcW w:w="1418" w:type="dxa"/>
            <w:vAlign w:val="center"/>
          </w:tcPr>
          <w:p>
            <w:pPr>
              <w:ind w:firstLine="422"/>
              <w:jc w:val="center"/>
              <w:rPr>
                <w:rFonts w:hint="eastAsia" w:ascii="宋体" w:hAnsi="宋体" w:eastAsia="宋体"/>
                <w:color w:val="auto"/>
                <w:highlight w:val="none"/>
                <w:lang w:val="en-US" w:eastAsia="zh-CN"/>
              </w:rPr>
            </w:pPr>
            <w:r>
              <w:rPr>
                <w:rFonts w:hint="eastAsia" w:ascii="宋体" w:hAnsi="宋体"/>
                <w:color w:val="auto"/>
                <w:highlight w:val="none"/>
                <w:lang w:val="en-US" w:eastAsia="zh-CN"/>
              </w:rPr>
              <w:t>1</w:t>
            </w:r>
          </w:p>
        </w:tc>
        <w:tc>
          <w:tcPr>
            <w:tcW w:w="1134" w:type="dxa"/>
            <w:vAlign w:val="center"/>
          </w:tcPr>
          <w:p>
            <w:pPr>
              <w:ind w:firstLine="422"/>
              <w:jc w:val="center"/>
              <w:rPr>
                <w:rFonts w:hint="eastAsia" w:ascii="宋体" w:hAnsi="宋体" w:eastAsia="宋体"/>
                <w:color w:val="auto"/>
                <w:highlight w:val="none"/>
                <w:lang w:val="en-US" w:eastAsia="zh-CN"/>
              </w:rPr>
            </w:pPr>
            <w:r>
              <w:rPr>
                <w:rFonts w:hint="eastAsia" w:ascii="宋体" w:hAnsi="宋体"/>
                <w:color w:val="auto"/>
                <w:highlight w:val="none"/>
                <w:lang w:val="en-US" w:eastAsia="zh-CN"/>
              </w:rPr>
              <w:t>项</w:t>
            </w:r>
          </w:p>
        </w:tc>
        <w:tc>
          <w:tcPr>
            <w:tcW w:w="3260" w:type="dxa"/>
          </w:tcPr>
          <w:p>
            <w:pPr>
              <w:ind w:firstLine="422"/>
              <w:jc w:val="center"/>
              <w:rPr>
                <w:rFonts w:ascii="宋体" w:hAnsi="宋体"/>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exact"/>
          <w:jc w:val="center"/>
        </w:trPr>
        <w:tc>
          <w:tcPr>
            <w:tcW w:w="9073" w:type="dxa"/>
            <w:gridSpan w:val="5"/>
            <w:vAlign w:val="center"/>
          </w:tcPr>
          <w:p>
            <w:pPr>
              <w:pStyle w:val="210"/>
              <w:tabs>
                <w:tab w:val="left" w:pos="2931"/>
                <w:tab w:val="left" w:pos="4620"/>
                <w:tab w:val="left" w:pos="7020"/>
                <w:tab w:val="left" w:pos="7905"/>
                <w:tab w:val="left" w:pos="8140"/>
              </w:tabs>
              <w:spacing w:before="14" w:line="295" w:lineRule="auto"/>
              <w:ind w:left="0" w:right="142"/>
              <w:jc w:val="center"/>
              <w:rPr>
                <w:color w:val="auto"/>
                <w:sz w:val="24"/>
                <w:highlight w:val="none"/>
                <w:lang w:eastAsia="zh-CN"/>
              </w:rPr>
            </w:pPr>
            <w:r>
              <w:rPr>
                <w:rFonts w:hint="eastAsia"/>
                <w:color w:val="auto"/>
                <w:sz w:val="21"/>
                <w:szCs w:val="21"/>
                <w:highlight w:val="none"/>
                <w:lang w:eastAsia="zh-CN"/>
              </w:rPr>
              <w:t>投标报价（合计金额）大写：人民币</w:t>
            </w:r>
            <w:r>
              <w:rPr>
                <w:rFonts w:eastAsia="Times New Roman"/>
                <w:color w:val="auto"/>
                <w:szCs w:val="21"/>
                <w:highlight w:val="none"/>
                <w:u w:val="single"/>
                <w:lang w:eastAsia="zh-CN"/>
              </w:rPr>
              <w:tab/>
            </w:r>
            <w:r>
              <w:rPr>
                <w:rFonts w:eastAsia="Times New Roman"/>
                <w:color w:val="auto"/>
                <w:szCs w:val="21"/>
                <w:highlight w:val="none"/>
                <w:u w:val="single"/>
                <w:lang w:eastAsia="zh-CN"/>
              </w:rPr>
              <w:tab/>
            </w:r>
            <w:r>
              <w:rPr>
                <w:rFonts w:hint="eastAsia"/>
                <w:color w:val="auto"/>
                <w:szCs w:val="21"/>
                <w:highlight w:val="none"/>
                <w:lang w:eastAsia="zh-CN"/>
              </w:rPr>
              <w:t>（￥</w:t>
            </w:r>
            <w:r>
              <w:rPr>
                <w:rFonts w:eastAsia="Times New Roman"/>
                <w:color w:val="auto"/>
                <w:szCs w:val="21"/>
                <w:highlight w:val="none"/>
                <w:u w:val="single"/>
                <w:lang w:eastAsia="zh-CN"/>
              </w:rPr>
              <w:tab/>
            </w:r>
            <w:r>
              <w:rPr>
                <w:rFonts w:eastAsia="Times New Roman"/>
                <w:color w:val="auto"/>
                <w:szCs w:val="21"/>
                <w:highlight w:val="none"/>
                <w:u w:val="single"/>
                <w:lang w:eastAsia="zh-CN"/>
              </w:rPr>
              <w:tab/>
            </w:r>
            <w:r>
              <w:rPr>
                <w:rFonts w:eastAsia="Times New Roman"/>
                <w:color w:val="auto"/>
                <w:szCs w:val="21"/>
                <w:highlight w:val="none"/>
                <w:u w:val="single"/>
                <w:lang w:eastAsia="zh-CN"/>
              </w:rPr>
              <w:tab/>
            </w:r>
            <w:r>
              <w:rPr>
                <w:rFonts w:hint="eastAsia"/>
                <w:color w:val="auto"/>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exact"/>
          <w:jc w:val="center"/>
        </w:trPr>
        <w:tc>
          <w:tcPr>
            <w:tcW w:w="9073" w:type="dxa"/>
            <w:gridSpan w:val="5"/>
            <w:vAlign w:val="center"/>
          </w:tcPr>
          <w:p>
            <w:pPr>
              <w:pStyle w:val="210"/>
              <w:tabs>
                <w:tab w:val="left" w:pos="2931"/>
                <w:tab w:val="left" w:pos="4620"/>
                <w:tab w:val="left" w:pos="7020"/>
                <w:tab w:val="left" w:pos="7905"/>
                <w:tab w:val="left" w:pos="8140"/>
              </w:tabs>
              <w:spacing w:before="14" w:line="295" w:lineRule="auto"/>
              <w:ind w:left="0" w:right="142"/>
              <w:rPr>
                <w:rFonts w:hint="eastAsia" w:eastAsia="宋体"/>
                <w:color w:val="auto"/>
                <w:sz w:val="21"/>
                <w:szCs w:val="21"/>
                <w:highlight w:val="none"/>
                <w:lang w:eastAsia="zh-CN"/>
              </w:rPr>
            </w:pPr>
            <w:r>
              <w:rPr>
                <w:rFonts w:hint="eastAsia"/>
                <w:color w:val="auto"/>
                <w:sz w:val="21"/>
                <w:szCs w:val="21"/>
                <w:highlight w:val="none"/>
                <w:lang w:eastAsia="zh-CN"/>
              </w:rPr>
              <w:t>服务时间：自合同签订之日起2年。</w:t>
            </w:r>
          </w:p>
        </w:tc>
      </w:tr>
    </w:tbl>
    <w:p>
      <w:pPr>
        <w:snapToGrid w:val="0"/>
        <w:spacing w:before="50" w:after="50"/>
        <w:ind w:firstLine="422"/>
        <w:rPr>
          <w:rFonts w:ascii="宋体" w:hAnsi="宋体" w:cs="宋体"/>
          <w:color w:val="auto"/>
          <w:highlight w:val="none"/>
          <w:u w:val="single"/>
        </w:rPr>
      </w:pPr>
    </w:p>
    <w:p>
      <w:pPr>
        <w:snapToGrid w:val="0"/>
        <w:spacing w:before="50" w:after="50"/>
        <w:ind w:firstLine="105" w:firstLineChars="50"/>
        <w:jc w:val="left"/>
        <w:rPr>
          <w:rFonts w:ascii="宋体" w:hAnsi="宋体" w:cs="宋体"/>
          <w:color w:val="auto"/>
          <w:szCs w:val="21"/>
          <w:highlight w:val="none"/>
        </w:rPr>
      </w:pPr>
      <w:r>
        <w:rPr>
          <w:rFonts w:hint="eastAsia" w:ascii="宋体" w:hAnsi="宋体" w:cs="宋体"/>
          <w:color w:val="auto"/>
          <w:szCs w:val="21"/>
          <w:highlight w:val="none"/>
        </w:rPr>
        <w:t>注: 1、报价一经涂改，应在涂改处加盖供应商单位公章或者由供应商法定代表人或授权委托人签字，否则其响应文件作响应无效处理。</w:t>
      </w:r>
    </w:p>
    <w:p>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2、报价费用包含“第</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章</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采购需求”中提出的所有采购需求费用</w:t>
      </w:r>
      <w:r>
        <w:rPr>
          <w:rFonts w:hint="eastAsia" w:ascii="宋体" w:hAnsi="宋体" w:cs="宋体"/>
          <w:color w:val="auto"/>
          <w:szCs w:val="21"/>
          <w:highlight w:val="none"/>
          <w:lang w:val="en-US" w:eastAsia="zh-CN"/>
        </w:rPr>
        <w:t>包含本项目人员工资、保险费、福利费、加班费、管理费、税费、招标代理服务费以及供应商实施项目过程发生的交通费、差旅费、住宿费、伙食费等所有费用</w:t>
      </w:r>
      <w:r>
        <w:rPr>
          <w:rFonts w:hint="eastAsia" w:ascii="宋体" w:hAnsi="宋体" w:cs="宋体"/>
          <w:color w:val="auto"/>
          <w:szCs w:val="21"/>
          <w:highlight w:val="none"/>
        </w:rPr>
        <w:t>，不再另做结算。对于本磋商采购文件中未列明，而供应商认为必需的费用也需列入报价。在合同实施时，采购人将不予支付成交供应商没有列入的项目费用，并认为此项目的费用已包括在报价中。</w:t>
      </w:r>
    </w:p>
    <w:p>
      <w:pPr>
        <w:snapToGrid w:val="0"/>
        <w:spacing w:before="50" w:after="50"/>
        <w:ind w:firstLine="422"/>
        <w:jc w:val="left"/>
        <w:rPr>
          <w:rFonts w:ascii="宋体" w:hAnsi="宋体" w:cs="宋体"/>
          <w:color w:val="auto"/>
          <w:szCs w:val="21"/>
          <w:highlight w:val="none"/>
        </w:rPr>
      </w:pPr>
    </w:p>
    <w:p>
      <w:pPr>
        <w:snapToGrid w:val="0"/>
        <w:spacing w:before="50" w:after="50"/>
        <w:ind w:firstLine="420" w:firstLineChars="200"/>
        <w:rPr>
          <w:rFonts w:ascii="宋体" w:hAnsi="宋体" w:cs="宋体"/>
          <w:color w:val="auto"/>
          <w:szCs w:val="21"/>
          <w:highlight w:val="none"/>
        </w:rPr>
      </w:pPr>
    </w:p>
    <w:p>
      <w:pPr>
        <w:snapToGrid w:val="0"/>
        <w:spacing w:before="50" w:after="50"/>
        <w:ind w:firstLine="420" w:firstLineChars="200"/>
        <w:rPr>
          <w:rFonts w:ascii="宋体" w:hAnsi="宋体" w:cs="宋体"/>
          <w:color w:val="auto"/>
          <w:szCs w:val="21"/>
          <w:highlight w:val="none"/>
        </w:rPr>
      </w:pPr>
    </w:p>
    <w:p>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pPr>
        <w:spacing w:line="300" w:lineRule="auto"/>
        <w:ind w:firstLine="422"/>
        <w:jc w:val="left"/>
        <w:rPr>
          <w:rFonts w:ascii="宋体" w:hAnsi="宋体" w:cs="宋体"/>
          <w:color w:val="auto"/>
          <w:szCs w:val="21"/>
          <w:highlight w:val="none"/>
        </w:rPr>
      </w:pPr>
    </w:p>
    <w:p>
      <w:pPr>
        <w:spacing w:line="300" w:lineRule="auto"/>
        <w:ind w:firstLine="422"/>
        <w:jc w:val="left"/>
        <w:rPr>
          <w:rFonts w:ascii="宋体" w:hAnsi="宋体" w:cs="宋体"/>
          <w:color w:val="auto"/>
          <w:szCs w:val="21"/>
          <w:highlight w:val="none"/>
        </w:rPr>
      </w:pPr>
    </w:p>
    <w:p>
      <w:pPr>
        <w:spacing w:line="300" w:lineRule="auto"/>
        <w:ind w:firstLine="422"/>
        <w:jc w:val="left"/>
        <w:rPr>
          <w:rFonts w:ascii="宋体" w:hAnsi="宋体" w:cs="宋体"/>
          <w:color w:val="auto"/>
          <w:szCs w:val="21"/>
          <w:highlight w:val="none"/>
        </w:rPr>
      </w:pPr>
    </w:p>
    <w:p>
      <w:pPr>
        <w:spacing w:line="300" w:lineRule="auto"/>
        <w:ind w:firstLine="422"/>
        <w:jc w:val="left"/>
        <w:rPr>
          <w:rFonts w:ascii="宋体" w:hAnsi="宋体" w:cs="宋体"/>
          <w:color w:val="auto"/>
          <w:szCs w:val="21"/>
          <w:highlight w:val="none"/>
        </w:rPr>
      </w:pPr>
    </w:p>
    <w:p>
      <w:pPr>
        <w:spacing w:line="300" w:lineRule="auto"/>
        <w:ind w:firstLine="422"/>
        <w:jc w:val="left"/>
        <w:rPr>
          <w:rFonts w:ascii="宋体" w:hAnsi="宋体" w:cs="宋体"/>
          <w:color w:val="auto"/>
          <w:szCs w:val="21"/>
          <w:highlight w:val="none"/>
        </w:rPr>
      </w:pPr>
    </w:p>
    <w:p>
      <w:pPr>
        <w:spacing w:line="300" w:lineRule="auto"/>
        <w:ind w:firstLine="422"/>
        <w:jc w:val="left"/>
        <w:rPr>
          <w:rFonts w:ascii="宋体" w:hAnsi="宋体" w:cs="宋体"/>
          <w:color w:val="auto"/>
          <w:szCs w:val="21"/>
          <w:highlight w:val="none"/>
        </w:rPr>
      </w:pPr>
    </w:p>
    <w:p>
      <w:pPr>
        <w:spacing w:line="300" w:lineRule="auto"/>
        <w:ind w:firstLine="422"/>
        <w:jc w:val="left"/>
        <w:rPr>
          <w:rFonts w:ascii="宋体" w:hAnsi="宋体" w:cs="宋体"/>
          <w:color w:val="auto"/>
          <w:szCs w:val="21"/>
          <w:highlight w:val="none"/>
        </w:rPr>
      </w:pPr>
    </w:p>
    <w:p>
      <w:pPr>
        <w:spacing w:line="300" w:lineRule="auto"/>
        <w:ind w:firstLine="422"/>
        <w:jc w:val="left"/>
        <w:rPr>
          <w:rFonts w:ascii="宋体" w:hAnsi="宋体" w:cs="宋体"/>
          <w:color w:val="auto"/>
          <w:szCs w:val="21"/>
          <w:highlight w:val="none"/>
        </w:rPr>
      </w:pPr>
    </w:p>
    <w:p>
      <w:pPr>
        <w:spacing w:line="300" w:lineRule="auto"/>
        <w:ind w:firstLine="422"/>
        <w:jc w:val="left"/>
        <w:rPr>
          <w:rFonts w:ascii="宋体" w:hAnsi="宋体" w:cs="宋体"/>
          <w:color w:val="auto"/>
          <w:szCs w:val="21"/>
          <w:highlight w:val="none"/>
        </w:rPr>
      </w:pPr>
    </w:p>
    <w:p>
      <w:pPr>
        <w:spacing w:line="300" w:lineRule="auto"/>
        <w:ind w:firstLine="422"/>
        <w:jc w:val="left"/>
        <w:rPr>
          <w:rFonts w:ascii="宋体" w:hAnsi="宋体" w:cs="宋体"/>
          <w:color w:val="auto"/>
          <w:szCs w:val="21"/>
          <w:highlight w:val="none"/>
        </w:rPr>
      </w:pPr>
    </w:p>
    <w:p>
      <w:pPr>
        <w:spacing w:line="300" w:lineRule="auto"/>
        <w:ind w:firstLine="422"/>
        <w:jc w:val="left"/>
        <w:rPr>
          <w:rFonts w:ascii="宋体" w:hAnsi="宋体" w:cs="宋体"/>
          <w:color w:val="auto"/>
          <w:szCs w:val="21"/>
          <w:highlight w:val="none"/>
        </w:rPr>
      </w:pPr>
    </w:p>
    <w:p>
      <w:pPr>
        <w:snapToGrid w:val="0"/>
        <w:spacing w:before="50" w:after="50"/>
        <w:ind w:firstLine="422"/>
        <w:jc w:val="left"/>
        <w:rPr>
          <w:rFonts w:ascii="宋体" w:hAnsi="宋体" w:cs="宋体"/>
          <w:color w:val="auto"/>
          <w:szCs w:val="21"/>
          <w:highlight w:val="none"/>
        </w:rPr>
      </w:pPr>
    </w:p>
    <w:p>
      <w:pPr>
        <w:snapToGrid w:val="0"/>
        <w:spacing w:before="50" w:after="50"/>
        <w:ind w:firstLine="420" w:firstLineChars="200"/>
        <w:rPr>
          <w:rFonts w:ascii="宋体" w:hAnsi="宋体" w:cs="宋体"/>
          <w:color w:val="auto"/>
          <w:szCs w:val="21"/>
          <w:highlight w:val="none"/>
        </w:rPr>
      </w:pPr>
    </w:p>
    <w:p>
      <w:pPr>
        <w:rPr>
          <w:rFonts w:hint="eastAsia" w:ascii="宋体" w:hAnsi="宋体" w:eastAsia="宋体" w:cs="宋体"/>
          <w:color w:val="auto"/>
          <w:sz w:val="32"/>
          <w:szCs w:val="32"/>
          <w:highlight w:val="none"/>
        </w:rPr>
      </w:pPr>
      <w:bookmarkStart w:id="40" w:name="_Toc88747295"/>
      <w:r>
        <w:rPr>
          <w:rFonts w:hint="eastAsia" w:ascii="宋体" w:hAnsi="宋体" w:eastAsia="宋体" w:cs="宋体"/>
          <w:color w:val="auto"/>
          <w:sz w:val="32"/>
          <w:szCs w:val="32"/>
          <w:highlight w:val="none"/>
        </w:rPr>
        <w:br w:type="page"/>
      </w:r>
    </w:p>
    <w:p>
      <w:pPr>
        <w:pStyle w:val="4"/>
        <w:numPr>
          <w:ilvl w:val="0"/>
          <w:numId w:val="5"/>
        </w:numPr>
        <w:spacing w:line="480" w:lineRule="exact"/>
        <w:ind w:firstLine="482"/>
        <w:jc w:val="center"/>
        <w:rPr>
          <w:rFonts w:hint="eastAsia" w:ascii="宋体" w:hAnsi="宋体" w:eastAsia="宋体" w:cs="宋体"/>
          <w:color w:val="auto"/>
          <w:sz w:val="32"/>
          <w:szCs w:val="32"/>
          <w:highlight w:val="none"/>
        </w:rPr>
      </w:pPr>
      <w:bookmarkStart w:id="41" w:name="OLE_LINK24"/>
      <w:r>
        <w:rPr>
          <w:rFonts w:hint="eastAsia" w:ascii="宋体" w:hAnsi="宋体" w:eastAsia="宋体" w:cs="宋体"/>
          <w:color w:val="auto"/>
          <w:sz w:val="32"/>
          <w:szCs w:val="32"/>
          <w:highlight w:val="none"/>
        </w:rPr>
        <w:t>合同主要条款</w:t>
      </w:r>
      <w:bookmarkEnd w:id="40"/>
    </w:p>
    <w:p>
      <w:pPr>
        <w:pStyle w:val="20"/>
        <w:spacing w:line="256" w:lineRule="auto"/>
        <w:rPr>
          <w:color w:val="auto"/>
          <w:highlight w:val="none"/>
        </w:rPr>
      </w:pPr>
    </w:p>
    <w:p>
      <w:pPr>
        <w:pStyle w:val="20"/>
        <w:spacing w:line="257" w:lineRule="auto"/>
        <w:rPr>
          <w:color w:val="auto"/>
          <w:highlight w:val="none"/>
        </w:rPr>
      </w:pPr>
    </w:p>
    <w:p>
      <w:pPr>
        <w:jc w:val="center"/>
        <w:rPr>
          <w:rFonts w:ascii="宋体" w:hAnsi="宋体"/>
          <w:b/>
          <w:bCs/>
          <w:sz w:val="28"/>
          <w:szCs w:val="28"/>
          <w:highlight w:val="none"/>
        </w:rPr>
      </w:pPr>
      <w:bookmarkStart w:id="42" w:name="_Toc88747296"/>
      <w:r>
        <w:rPr>
          <w:rFonts w:hint="eastAsia" w:ascii="宋体" w:hAnsi="宋体"/>
          <w:b/>
          <w:bCs/>
          <w:sz w:val="28"/>
          <w:szCs w:val="28"/>
          <w:highlight w:val="none"/>
        </w:rPr>
        <w:t>广西壮族自治区政府采购合同</w:t>
      </w:r>
    </w:p>
    <w:p>
      <w:pPr>
        <w:rPr>
          <w:rFonts w:ascii="宋体" w:hAnsi="宋体"/>
          <w:sz w:val="28"/>
          <w:szCs w:val="28"/>
          <w:highlight w:val="none"/>
        </w:rPr>
      </w:pPr>
      <w:r>
        <w:rPr>
          <w:rFonts w:hint="eastAsia" w:ascii="宋体" w:hAnsi="宋体"/>
          <w:sz w:val="28"/>
          <w:szCs w:val="28"/>
          <w:highlight w:val="none"/>
        </w:rPr>
        <w:t xml:space="preserve"> </w:t>
      </w:r>
    </w:p>
    <w:p>
      <w:pPr>
        <w:rPr>
          <w:rFonts w:ascii="宋体" w:hAnsi="宋体"/>
          <w:sz w:val="28"/>
          <w:szCs w:val="28"/>
          <w:highlight w:val="none"/>
        </w:rPr>
      </w:pPr>
      <w:r>
        <w:rPr>
          <w:rFonts w:hint="eastAsia" w:ascii="宋体" w:hAnsi="宋体"/>
          <w:sz w:val="28"/>
          <w:szCs w:val="28"/>
          <w:highlight w:val="none"/>
        </w:rPr>
        <w:t xml:space="preserve"> </w:t>
      </w:r>
    </w:p>
    <w:p>
      <w:pPr>
        <w:rPr>
          <w:rFonts w:ascii="宋体" w:hAnsi="宋体"/>
          <w:sz w:val="28"/>
          <w:szCs w:val="28"/>
          <w:highlight w:val="none"/>
        </w:rPr>
      </w:pPr>
      <w:r>
        <w:rPr>
          <w:rFonts w:hint="eastAsia" w:ascii="宋体" w:hAnsi="宋体"/>
          <w:sz w:val="28"/>
          <w:szCs w:val="28"/>
          <w:highlight w:val="none"/>
        </w:rPr>
        <w:t xml:space="preserve"> </w:t>
      </w:r>
    </w:p>
    <w:p>
      <w:pPr>
        <w:rPr>
          <w:rFonts w:ascii="宋体" w:hAnsi="宋体"/>
          <w:sz w:val="28"/>
          <w:szCs w:val="28"/>
          <w:highlight w:val="none"/>
        </w:rPr>
      </w:pPr>
      <w:r>
        <w:rPr>
          <w:rFonts w:hint="eastAsia" w:ascii="宋体" w:hAnsi="宋体"/>
          <w:sz w:val="28"/>
          <w:szCs w:val="28"/>
          <w:highlight w:val="none"/>
        </w:rPr>
        <w:t xml:space="preserve"> </w:t>
      </w:r>
    </w:p>
    <w:p>
      <w:pPr>
        <w:rPr>
          <w:rFonts w:ascii="宋体" w:hAnsi="宋体"/>
          <w:sz w:val="28"/>
          <w:szCs w:val="28"/>
          <w:highlight w:val="none"/>
        </w:rPr>
      </w:pPr>
    </w:p>
    <w:p>
      <w:pPr>
        <w:rPr>
          <w:rFonts w:ascii="宋体" w:hAnsi="宋体"/>
          <w:sz w:val="28"/>
          <w:szCs w:val="28"/>
          <w:highlight w:val="none"/>
        </w:rPr>
      </w:pPr>
      <w:r>
        <w:rPr>
          <w:rFonts w:hint="eastAsia" w:ascii="宋体" w:hAnsi="宋体"/>
          <w:sz w:val="28"/>
          <w:szCs w:val="28"/>
          <w:highlight w:val="none"/>
        </w:rPr>
        <w:t xml:space="preserve"> </w:t>
      </w:r>
    </w:p>
    <w:p>
      <w:pPr>
        <w:rPr>
          <w:rFonts w:ascii="宋体" w:hAnsi="宋体"/>
          <w:sz w:val="28"/>
          <w:szCs w:val="28"/>
          <w:highlight w:val="none"/>
        </w:rPr>
      </w:pPr>
      <w:r>
        <w:rPr>
          <w:rFonts w:hint="eastAsia" w:ascii="宋体" w:hAnsi="宋体"/>
          <w:sz w:val="28"/>
          <w:szCs w:val="28"/>
          <w:highlight w:val="none"/>
        </w:rPr>
        <w:t xml:space="preserve"> </w:t>
      </w:r>
    </w:p>
    <w:p>
      <w:pPr>
        <w:spacing w:line="360" w:lineRule="auto"/>
        <w:ind w:left="1724" w:leftChars="152" w:hanging="1405" w:hangingChars="500"/>
        <w:rPr>
          <w:rFonts w:ascii="宋体" w:hAnsi="宋体"/>
          <w:b/>
          <w:bCs/>
          <w:sz w:val="28"/>
          <w:szCs w:val="28"/>
          <w:highlight w:val="none"/>
          <w:u w:val="single"/>
        </w:rPr>
      </w:pPr>
      <w:r>
        <w:rPr>
          <w:rFonts w:hint="eastAsia" w:ascii="宋体" w:hAnsi="宋体"/>
          <w:b/>
          <w:bCs/>
          <w:sz w:val="28"/>
          <w:szCs w:val="28"/>
          <w:highlight w:val="none"/>
        </w:rPr>
        <w:t>项目名称：</w:t>
      </w:r>
      <w:r>
        <w:rPr>
          <w:rFonts w:hint="eastAsia" w:ascii="宋体" w:hAnsi="宋体"/>
          <w:b/>
          <w:bCs/>
          <w:sz w:val="28"/>
          <w:szCs w:val="28"/>
          <w:highlight w:val="none"/>
          <w:u w:val="single"/>
          <w:lang w:eastAsia="zh-CN"/>
        </w:rPr>
        <w:t>广西壮族自治区脑科医院保安服务项目（重）</w:t>
      </w:r>
      <w:r>
        <w:rPr>
          <w:rFonts w:hint="eastAsia" w:ascii="宋体" w:hAnsi="宋体"/>
          <w:b/>
          <w:bCs/>
          <w:sz w:val="28"/>
          <w:szCs w:val="28"/>
          <w:highlight w:val="none"/>
          <w:u w:val="single"/>
        </w:rPr>
        <w:t xml:space="preserve">  </w:t>
      </w:r>
    </w:p>
    <w:p>
      <w:pPr>
        <w:spacing w:line="360" w:lineRule="auto"/>
        <w:ind w:firstLine="281" w:firstLineChars="100"/>
        <w:rPr>
          <w:rFonts w:ascii="宋体" w:hAnsi="宋体"/>
          <w:b/>
          <w:bCs/>
          <w:sz w:val="28"/>
          <w:szCs w:val="28"/>
          <w:highlight w:val="none"/>
          <w:u w:val="single"/>
        </w:rPr>
      </w:pPr>
      <w:r>
        <w:rPr>
          <w:rFonts w:hint="eastAsia" w:ascii="宋体" w:hAnsi="宋体"/>
          <w:b/>
          <w:bCs/>
          <w:sz w:val="28"/>
          <w:szCs w:val="28"/>
          <w:highlight w:val="none"/>
        </w:rPr>
        <w:t>合同编号：</w:t>
      </w:r>
      <w:r>
        <w:rPr>
          <w:rFonts w:hint="eastAsia" w:ascii="宋体" w:hAnsi="宋体"/>
          <w:b/>
          <w:bCs/>
          <w:sz w:val="28"/>
          <w:szCs w:val="28"/>
          <w:highlight w:val="none"/>
          <w:u w:val="single"/>
        </w:rPr>
        <w:t xml:space="preserve">                                 </w:t>
      </w:r>
    </w:p>
    <w:p>
      <w:pPr>
        <w:ind w:firstLine="742" w:firstLineChars="265"/>
        <w:jc w:val="center"/>
        <w:rPr>
          <w:rFonts w:ascii="宋体" w:hAnsi="宋体"/>
          <w:sz w:val="28"/>
          <w:szCs w:val="28"/>
          <w:highlight w:val="none"/>
        </w:rPr>
      </w:pPr>
      <w:r>
        <w:rPr>
          <w:rFonts w:hint="eastAsia" w:ascii="宋体" w:hAnsi="宋体"/>
          <w:sz w:val="28"/>
          <w:szCs w:val="28"/>
          <w:highlight w:val="none"/>
        </w:rPr>
        <w:t xml:space="preserve"> </w:t>
      </w:r>
    </w:p>
    <w:p>
      <w:pPr>
        <w:ind w:firstLine="742" w:firstLineChars="265"/>
        <w:jc w:val="center"/>
        <w:rPr>
          <w:rFonts w:ascii="宋体" w:hAnsi="宋体"/>
          <w:sz w:val="28"/>
          <w:szCs w:val="28"/>
          <w:highlight w:val="none"/>
        </w:rPr>
      </w:pPr>
      <w:r>
        <w:rPr>
          <w:rFonts w:hint="eastAsia" w:ascii="宋体" w:hAnsi="宋体"/>
          <w:sz w:val="28"/>
          <w:szCs w:val="28"/>
          <w:highlight w:val="none"/>
        </w:rPr>
        <w:t xml:space="preserve"> </w:t>
      </w:r>
    </w:p>
    <w:p>
      <w:pPr>
        <w:ind w:firstLine="742" w:firstLineChars="265"/>
        <w:jc w:val="center"/>
        <w:rPr>
          <w:rFonts w:ascii="宋体" w:hAnsi="宋体"/>
          <w:sz w:val="28"/>
          <w:szCs w:val="28"/>
          <w:highlight w:val="none"/>
        </w:rPr>
      </w:pPr>
      <w:r>
        <w:rPr>
          <w:rFonts w:hint="eastAsia" w:ascii="宋体" w:hAnsi="宋体"/>
          <w:sz w:val="28"/>
          <w:szCs w:val="28"/>
          <w:highlight w:val="none"/>
        </w:rPr>
        <w:t xml:space="preserve"> </w:t>
      </w:r>
    </w:p>
    <w:p>
      <w:pPr>
        <w:spacing w:line="340" w:lineRule="exact"/>
        <w:ind w:firstLine="281" w:firstLineChars="100"/>
        <w:rPr>
          <w:rFonts w:hint="default" w:ascii="宋体" w:hAnsi="宋体" w:eastAsia="宋体"/>
          <w:b/>
          <w:bCs/>
          <w:sz w:val="28"/>
          <w:szCs w:val="28"/>
          <w:highlight w:val="none"/>
          <w:u w:val="single"/>
          <w:lang w:val="en-US" w:eastAsia="zh-CN"/>
        </w:rPr>
      </w:pPr>
      <w:r>
        <w:rPr>
          <w:rFonts w:hint="eastAsia" w:ascii="宋体" w:hAnsi="宋体"/>
          <w:b/>
          <w:bCs/>
          <w:sz w:val="28"/>
          <w:szCs w:val="28"/>
          <w:highlight w:val="none"/>
        </w:rPr>
        <w:t>采购单位（甲方）：</w:t>
      </w:r>
      <w:r>
        <w:rPr>
          <w:rFonts w:hint="eastAsia" w:ascii="宋体" w:hAnsi="宋体"/>
          <w:b/>
          <w:bCs/>
          <w:sz w:val="28"/>
          <w:szCs w:val="28"/>
          <w:highlight w:val="none"/>
          <w:u w:val="single"/>
          <w:lang w:val="en-US" w:eastAsia="zh-CN"/>
        </w:rPr>
        <w:t>广西壮族自治区脑科医院</w:t>
      </w:r>
    </w:p>
    <w:p>
      <w:pPr>
        <w:spacing w:line="340" w:lineRule="exact"/>
        <w:ind w:firstLine="745" w:firstLineChars="265"/>
        <w:rPr>
          <w:rFonts w:ascii="宋体" w:hAnsi="宋体"/>
          <w:b/>
          <w:bCs/>
          <w:sz w:val="28"/>
          <w:szCs w:val="28"/>
          <w:highlight w:val="none"/>
        </w:rPr>
      </w:pPr>
      <w:r>
        <w:rPr>
          <w:rFonts w:hint="eastAsia" w:ascii="宋体" w:hAnsi="宋体"/>
          <w:b/>
          <w:bCs/>
          <w:sz w:val="28"/>
          <w:szCs w:val="28"/>
          <w:highlight w:val="none"/>
        </w:rPr>
        <w:t xml:space="preserve"> </w:t>
      </w:r>
    </w:p>
    <w:p>
      <w:pPr>
        <w:spacing w:line="360" w:lineRule="auto"/>
        <w:ind w:firstLine="281" w:firstLineChars="100"/>
        <w:rPr>
          <w:rFonts w:ascii="宋体" w:hAnsi="宋体"/>
          <w:b/>
          <w:bCs/>
          <w:sz w:val="28"/>
          <w:szCs w:val="28"/>
          <w:highlight w:val="none"/>
          <w:u w:val="single"/>
        </w:rPr>
      </w:pPr>
      <w:r>
        <w:rPr>
          <w:rFonts w:hint="eastAsia" w:ascii="宋体" w:hAnsi="宋体"/>
          <w:b/>
          <w:bCs/>
          <w:sz w:val="28"/>
          <w:szCs w:val="28"/>
          <w:highlight w:val="none"/>
        </w:rPr>
        <w:t>供 应 商（乙方）：</w:t>
      </w:r>
      <w:r>
        <w:rPr>
          <w:rFonts w:hint="eastAsia" w:ascii="宋体" w:hAnsi="宋体"/>
          <w:b/>
          <w:bCs/>
          <w:sz w:val="28"/>
          <w:szCs w:val="28"/>
          <w:highlight w:val="none"/>
          <w:u w:val="single"/>
        </w:rPr>
        <w:t xml:space="preserve">                         </w:t>
      </w:r>
    </w:p>
    <w:p>
      <w:pPr>
        <w:ind w:firstLine="742" w:firstLineChars="265"/>
        <w:jc w:val="center"/>
        <w:rPr>
          <w:rFonts w:ascii="宋体" w:hAnsi="宋体"/>
          <w:sz w:val="28"/>
          <w:szCs w:val="28"/>
          <w:highlight w:val="none"/>
        </w:rPr>
      </w:pPr>
      <w:r>
        <w:rPr>
          <w:rFonts w:hint="eastAsia" w:ascii="宋体" w:hAnsi="宋体"/>
          <w:sz w:val="28"/>
          <w:szCs w:val="28"/>
          <w:highlight w:val="none"/>
        </w:rPr>
        <w:t xml:space="preserve"> </w:t>
      </w:r>
    </w:p>
    <w:p>
      <w:pPr>
        <w:ind w:firstLine="742" w:firstLineChars="265"/>
        <w:jc w:val="center"/>
        <w:rPr>
          <w:rFonts w:ascii="宋体" w:hAnsi="宋体"/>
          <w:sz w:val="28"/>
          <w:szCs w:val="28"/>
          <w:highlight w:val="none"/>
        </w:rPr>
      </w:pPr>
      <w:r>
        <w:rPr>
          <w:rFonts w:hint="eastAsia" w:ascii="宋体" w:hAnsi="宋体"/>
          <w:sz w:val="28"/>
          <w:szCs w:val="28"/>
          <w:highlight w:val="none"/>
        </w:rPr>
        <w:t xml:space="preserve"> </w:t>
      </w:r>
    </w:p>
    <w:p>
      <w:pPr>
        <w:ind w:firstLine="742" w:firstLineChars="265"/>
        <w:jc w:val="center"/>
        <w:rPr>
          <w:rFonts w:ascii="宋体" w:hAnsi="宋体"/>
          <w:sz w:val="28"/>
          <w:szCs w:val="28"/>
          <w:highlight w:val="none"/>
        </w:rPr>
      </w:pPr>
      <w:r>
        <w:rPr>
          <w:rFonts w:hint="eastAsia" w:ascii="宋体" w:hAnsi="宋体"/>
          <w:sz w:val="28"/>
          <w:szCs w:val="28"/>
          <w:highlight w:val="none"/>
        </w:rPr>
        <w:t xml:space="preserve"> </w:t>
      </w:r>
    </w:p>
    <w:p>
      <w:pPr>
        <w:ind w:firstLine="742" w:firstLineChars="265"/>
        <w:jc w:val="center"/>
        <w:rPr>
          <w:rFonts w:ascii="宋体" w:hAnsi="宋体"/>
          <w:sz w:val="28"/>
          <w:szCs w:val="28"/>
          <w:highlight w:val="none"/>
        </w:rPr>
      </w:pPr>
      <w:r>
        <w:rPr>
          <w:rFonts w:hint="eastAsia" w:ascii="宋体" w:hAnsi="宋体"/>
          <w:sz w:val="28"/>
          <w:szCs w:val="28"/>
          <w:highlight w:val="none"/>
        </w:rPr>
        <w:t xml:space="preserve"> </w:t>
      </w:r>
    </w:p>
    <w:p>
      <w:pPr>
        <w:spacing w:line="340" w:lineRule="exact"/>
        <w:ind w:firstLine="281" w:firstLineChars="100"/>
        <w:rPr>
          <w:rFonts w:ascii="宋体" w:hAnsi="宋体"/>
          <w:b/>
          <w:bCs/>
          <w:sz w:val="28"/>
          <w:szCs w:val="28"/>
          <w:highlight w:val="none"/>
          <w:u w:val="single"/>
        </w:rPr>
      </w:pPr>
      <w:r>
        <w:rPr>
          <w:rFonts w:hint="eastAsia" w:ascii="宋体" w:hAnsi="宋体"/>
          <w:b/>
          <w:bCs/>
          <w:sz w:val="28"/>
          <w:szCs w:val="28"/>
          <w:highlight w:val="none"/>
        </w:rPr>
        <w:t>签订合同地点：</w:t>
      </w:r>
      <w:r>
        <w:rPr>
          <w:rFonts w:hint="eastAsia" w:ascii="宋体" w:hAnsi="宋体"/>
          <w:b/>
          <w:bCs/>
          <w:sz w:val="28"/>
          <w:szCs w:val="28"/>
          <w:highlight w:val="none"/>
          <w:u w:val="single"/>
        </w:rPr>
        <w:t xml:space="preserve">                               </w:t>
      </w:r>
    </w:p>
    <w:p>
      <w:pPr>
        <w:spacing w:line="340" w:lineRule="exact"/>
        <w:ind w:firstLine="745" w:firstLineChars="265"/>
        <w:rPr>
          <w:rFonts w:ascii="宋体" w:hAnsi="宋体"/>
          <w:b/>
          <w:bCs/>
          <w:sz w:val="28"/>
          <w:szCs w:val="28"/>
          <w:highlight w:val="none"/>
        </w:rPr>
      </w:pPr>
    </w:p>
    <w:p>
      <w:pPr>
        <w:spacing w:line="340" w:lineRule="exact"/>
        <w:ind w:firstLine="281" w:firstLineChars="100"/>
        <w:rPr>
          <w:rFonts w:ascii="宋体" w:hAnsi="宋体"/>
          <w:b/>
          <w:bCs/>
          <w:sz w:val="28"/>
          <w:szCs w:val="28"/>
          <w:highlight w:val="none"/>
          <w:u w:val="single"/>
        </w:rPr>
      </w:pPr>
      <w:r>
        <w:rPr>
          <w:rFonts w:hint="eastAsia" w:ascii="宋体" w:hAnsi="宋体"/>
          <w:b/>
          <w:bCs/>
          <w:sz w:val="28"/>
          <w:szCs w:val="28"/>
          <w:highlight w:val="none"/>
        </w:rPr>
        <w:t>签订合同时间：</w:t>
      </w:r>
      <w:r>
        <w:rPr>
          <w:rFonts w:hint="eastAsia" w:ascii="宋体" w:hAnsi="宋体"/>
          <w:b/>
          <w:bCs/>
          <w:sz w:val="28"/>
          <w:szCs w:val="28"/>
          <w:highlight w:val="none"/>
          <w:u w:val="single"/>
        </w:rPr>
        <w:t xml:space="preserve">                                </w:t>
      </w:r>
    </w:p>
    <w:p>
      <w:pPr>
        <w:jc w:val="center"/>
        <w:rPr>
          <w:rFonts w:ascii="宋体" w:hAnsi="宋体"/>
          <w:sz w:val="28"/>
          <w:szCs w:val="28"/>
          <w:highlight w:val="none"/>
        </w:rPr>
      </w:pPr>
      <w:r>
        <w:rPr>
          <w:rFonts w:hint="eastAsia" w:ascii="宋体" w:hAnsi="宋体"/>
          <w:sz w:val="28"/>
          <w:szCs w:val="28"/>
          <w:highlight w:val="none"/>
        </w:rPr>
        <w:t xml:space="preserve"> </w:t>
      </w:r>
    </w:p>
    <w:p>
      <w:pPr>
        <w:jc w:val="center"/>
        <w:rPr>
          <w:rFonts w:ascii="宋体" w:hAnsi="宋体"/>
          <w:sz w:val="28"/>
          <w:szCs w:val="28"/>
          <w:highlight w:val="none"/>
        </w:rPr>
      </w:pPr>
      <w:r>
        <w:rPr>
          <w:rFonts w:hint="eastAsia" w:ascii="宋体" w:hAnsi="宋体"/>
          <w:sz w:val="28"/>
          <w:szCs w:val="28"/>
          <w:highlight w:val="none"/>
        </w:rPr>
        <w:t xml:space="preserve"> </w:t>
      </w:r>
    </w:p>
    <w:p>
      <w:pPr>
        <w:jc w:val="center"/>
        <w:rPr>
          <w:rFonts w:ascii="宋体" w:hAnsi="宋体"/>
          <w:sz w:val="28"/>
          <w:szCs w:val="28"/>
          <w:highlight w:val="none"/>
        </w:rPr>
      </w:pPr>
      <w:r>
        <w:rPr>
          <w:rFonts w:hint="eastAsia" w:ascii="宋体" w:hAnsi="宋体"/>
          <w:sz w:val="28"/>
          <w:szCs w:val="28"/>
          <w:highlight w:val="none"/>
        </w:rPr>
        <w:t xml:space="preserve"> </w:t>
      </w:r>
    </w:p>
    <w:p>
      <w:pPr>
        <w:jc w:val="center"/>
        <w:rPr>
          <w:rFonts w:ascii="宋体" w:hAnsi="宋体"/>
          <w:sz w:val="28"/>
          <w:szCs w:val="28"/>
          <w:highlight w:val="none"/>
        </w:rPr>
      </w:pPr>
      <w:r>
        <w:rPr>
          <w:rFonts w:hint="eastAsia" w:ascii="宋体" w:hAnsi="宋体"/>
          <w:sz w:val="28"/>
          <w:szCs w:val="28"/>
          <w:highlight w:val="none"/>
        </w:rPr>
        <w:t xml:space="preserve"> </w:t>
      </w:r>
    </w:p>
    <w:p>
      <w:pPr>
        <w:jc w:val="center"/>
        <w:rPr>
          <w:rFonts w:ascii="宋体" w:hAnsi="Courier New"/>
          <w:sz w:val="28"/>
          <w:szCs w:val="28"/>
          <w:highlight w:val="none"/>
        </w:rPr>
      </w:pPr>
      <w:r>
        <w:rPr>
          <w:rFonts w:hint="eastAsia" w:ascii="宋体" w:hAnsi="Courier New"/>
          <w:sz w:val="28"/>
          <w:szCs w:val="28"/>
          <w:highlight w:val="none"/>
        </w:rPr>
        <w:t xml:space="preserve"> </w:t>
      </w:r>
    </w:p>
    <w:p>
      <w:pPr>
        <w:snapToGrid w:val="0"/>
        <w:spacing w:line="400" w:lineRule="exact"/>
        <w:jc w:val="center"/>
        <w:rPr>
          <w:rFonts w:hint="eastAsia" w:ascii="宋体" w:hAnsi="宋体" w:cs="宋体"/>
          <w:b/>
          <w:bCs/>
          <w:sz w:val="32"/>
          <w:szCs w:val="32"/>
          <w:highlight w:val="none"/>
        </w:rPr>
      </w:pPr>
      <w:r>
        <w:rPr>
          <w:rFonts w:hint="eastAsia" w:ascii="宋体" w:hAnsi="Courier New"/>
          <w:sz w:val="28"/>
          <w:szCs w:val="28"/>
          <w:highlight w:val="none"/>
        </w:rPr>
        <w:br w:type="page"/>
      </w:r>
      <w:r>
        <w:rPr>
          <w:rFonts w:hint="eastAsia" w:ascii="宋体" w:hAnsi="宋体" w:cs="宋体"/>
          <w:b/>
          <w:bCs/>
          <w:sz w:val="32"/>
          <w:szCs w:val="32"/>
          <w:highlight w:val="none"/>
        </w:rPr>
        <w:t>《采购合同书》</w:t>
      </w:r>
    </w:p>
    <w:p>
      <w:pPr>
        <w:snapToGrid w:val="0"/>
        <w:spacing w:line="400" w:lineRule="exact"/>
        <w:ind w:right="480" w:firstLine="5250" w:firstLineChars="2500"/>
        <w:rPr>
          <w:rFonts w:hint="eastAsia" w:ascii="宋体" w:hAnsi="宋体" w:cs="宋体"/>
          <w:bCs/>
          <w:szCs w:val="21"/>
          <w:highlight w:val="none"/>
        </w:rPr>
      </w:pPr>
    </w:p>
    <w:p>
      <w:pPr>
        <w:snapToGrid w:val="0"/>
        <w:spacing w:line="400" w:lineRule="exact"/>
        <w:ind w:right="480" w:firstLine="5250" w:firstLineChars="2500"/>
        <w:rPr>
          <w:rFonts w:hint="eastAsia" w:ascii="宋体" w:hAnsi="宋体" w:cs="宋体"/>
          <w:bCs/>
          <w:szCs w:val="21"/>
          <w:highlight w:val="none"/>
          <w:u w:val="single"/>
        </w:rPr>
      </w:pPr>
      <w:r>
        <w:rPr>
          <w:rFonts w:hint="eastAsia" w:ascii="宋体" w:hAnsi="宋体" w:cs="宋体"/>
          <w:bCs/>
          <w:szCs w:val="21"/>
          <w:highlight w:val="none"/>
        </w:rPr>
        <w:t>合同编号：</w:t>
      </w:r>
    </w:p>
    <w:p>
      <w:pPr>
        <w:snapToGrid w:val="0"/>
        <w:spacing w:line="400" w:lineRule="exact"/>
        <w:rPr>
          <w:rFonts w:hint="eastAsia" w:ascii="宋体" w:hAnsi="宋体" w:cs="宋体"/>
          <w:szCs w:val="21"/>
          <w:highlight w:val="none"/>
        </w:rPr>
      </w:pPr>
    </w:p>
    <w:p>
      <w:pPr>
        <w:snapToGrid w:val="0"/>
        <w:spacing w:line="360" w:lineRule="atLeast"/>
        <w:rPr>
          <w:rFonts w:hint="eastAsia" w:ascii="宋体" w:hAnsi="宋体" w:cs="宋体"/>
          <w:szCs w:val="21"/>
          <w:highlight w:val="none"/>
          <w:u w:val="single"/>
        </w:rPr>
      </w:pPr>
      <w:r>
        <w:rPr>
          <w:rFonts w:hint="eastAsia" w:ascii="宋体" w:hAnsi="宋体" w:cs="宋体"/>
          <w:szCs w:val="21"/>
          <w:highlight w:val="none"/>
        </w:rPr>
        <w:t>采购单位（甲方）</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pacing w:val="-20"/>
          <w:szCs w:val="21"/>
          <w:highlight w:val="none"/>
        </w:rPr>
        <w:t>采 购 计 划 号</w:t>
      </w:r>
      <w:r>
        <w:rPr>
          <w:rFonts w:hint="eastAsia" w:ascii="宋体" w:hAnsi="宋体" w:cs="宋体"/>
          <w:szCs w:val="21"/>
          <w:highlight w:val="none"/>
          <w:u w:val="single"/>
        </w:rPr>
        <w:t xml:space="preserve">                     </w:t>
      </w:r>
    </w:p>
    <w:p>
      <w:pPr>
        <w:snapToGrid w:val="0"/>
        <w:spacing w:line="360" w:lineRule="atLeast"/>
        <w:rPr>
          <w:rFonts w:hint="eastAsia" w:ascii="宋体" w:hAnsi="宋体" w:cs="宋体"/>
          <w:szCs w:val="21"/>
          <w:highlight w:val="none"/>
          <w:u w:val="single"/>
        </w:rPr>
      </w:pPr>
      <w:r>
        <w:rPr>
          <w:rFonts w:hint="eastAsia" w:ascii="宋体" w:hAnsi="宋体" w:cs="宋体"/>
          <w:szCs w:val="21"/>
          <w:highlight w:val="none"/>
        </w:rPr>
        <w:t>供 应 商（乙方）</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pacing w:val="-20"/>
          <w:szCs w:val="21"/>
          <w:highlight w:val="none"/>
        </w:rPr>
        <w:t>招  标  编  号</w:t>
      </w:r>
      <w:r>
        <w:rPr>
          <w:rFonts w:hint="eastAsia" w:ascii="宋体" w:hAnsi="宋体" w:cs="宋体"/>
          <w:szCs w:val="21"/>
          <w:highlight w:val="none"/>
          <w:u w:val="single"/>
        </w:rPr>
        <w:t xml:space="preserve">                     </w:t>
      </w:r>
    </w:p>
    <w:p>
      <w:pPr>
        <w:snapToGrid w:val="0"/>
        <w:spacing w:line="360" w:lineRule="atLeast"/>
        <w:rPr>
          <w:rFonts w:hint="eastAsia" w:ascii="宋体" w:hAnsi="宋体" w:cs="宋体"/>
          <w:szCs w:val="21"/>
          <w:highlight w:val="none"/>
          <w:u w:val="single"/>
        </w:rPr>
      </w:pPr>
      <w:r>
        <w:rPr>
          <w:rFonts w:hint="eastAsia" w:ascii="宋体" w:hAnsi="宋体" w:cs="宋体"/>
          <w:szCs w:val="21"/>
          <w:highlight w:val="none"/>
        </w:rPr>
        <w:t xml:space="preserve">签  订  地  点  </w:t>
      </w:r>
      <w:r>
        <w:rPr>
          <w:rFonts w:hint="eastAsia" w:ascii="宋体" w:hAnsi="宋体" w:cs="宋体"/>
          <w:szCs w:val="21"/>
          <w:highlight w:val="none"/>
          <w:u w:val="single"/>
        </w:rPr>
        <w:t xml:space="preserve">                          </w:t>
      </w:r>
      <w:r>
        <w:rPr>
          <w:rFonts w:hint="eastAsia" w:ascii="宋体" w:hAnsi="宋体" w:cs="宋体"/>
          <w:szCs w:val="21"/>
          <w:highlight w:val="none"/>
        </w:rPr>
        <w:t xml:space="preserve">  签 订 时 间</w:t>
      </w:r>
      <w:r>
        <w:rPr>
          <w:rFonts w:hint="eastAsia" w:ascii="宋体" w:hAnsi="宋体" w:cs="宋体"/>
          <w:szCs w:val="21"/>
          <w:highlight w:val="none"/>
          <w:u w:val="single"/>
        </w:rPr>
        <w:t xml:space="preserve">                    </w:t>
      </w:r>
    </w:p>
    <w:p>
      <w:pPr>
        <w:snapToGrid w:val="0"/>
        <w:spacing w:line="360" w:lineRule="atLeast"/>
        <w:ind w:firstLine="420" w:firstLineChars="20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根据《中华人民共和国政府采购法》、《中华人民共和国民法典》等法律、法规规定，按照</w:t>
      </w:r>
      <w:r>
        <w:rPr>
          <w:rFonts w:hint="eastAsia" w:ascii="宋体" w:hAnsi="宋体"/>
          <w:szCs w:val="21"/>
          <w:highlight w:val="none"/>
        </w:rPr>
        <w:t>招标文件规定条款和乙方投标文件及其承诺，甲乙双方签订本合同。</w:t>
      </w:r>
    </w:p>
    <w:p>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第一条　合同标的</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1、项目一览表</w:t>
      </w:r>
    </w:p>
    <w:tbl>
      <w:tblPr>
        <w:tblStyle w:val="44"/>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966"/>
        <w:gridCol w:w="1000"/>
        <w:gridCol w:w="1027"/>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Cs w:val="21"/>
                <w:highlight w:val="none"/>
              </w:rPr>
            </w:pPr>
            <w:r>
              <w:rPr>
                <w:rFonts w:hint="eastAsia" w:ascii="宋体" w:hAnsi="宋体" w:cs="宋体"/>
                <w:szCs w:val="21"/>
                <w:highlight w:val="none"/>
              </w:rPr>
              <w:t>序号</w:t>
            </w:r>
          </w:p>
        </w:tc>
        <w:tc>
          <w:tcPr>
            <w:tcW w:w="396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Cs w:val="21"/>
                <w:highlight w:val="none"/>
              </w:rPr>
            </w:pPr>
            <w:r>
              <w:rPr>
                <w:rFonts w:hint="eastAsia" w:ascii="宋体" w:hAnsi="宋体" w:cs="宋体"/>
                <w:szCs w:val="21"/>
                <w:highlight w:val="none"/>
              </w:rPr>
              <w:t>服务内容</w:t>
            </w:r>
          </w:p>
        </w:tc>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Cs w:val="21"/>
                <w:highlight w:val="none"/>
              </w:rPr>
            </w:pPr>
            <w:r>
              <w:rPr>
                <w:rFonts w:hint="eastAsia" w:ascii="宋体" w:hAnsi="宋体" w:cs="宋体"/>
                <w:szCs w:val="21"/>
                <w:highlight w:val="none"/>
              </w:rPr>
              <w:t>数  量</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Cs w:val="21"/>
                <w:highlight w:val="none"/>
              </w:rPr>
            </w:pPr>
            <w:r>
              <w:rPr>
                <w:rFonts w:hint="eastAsia" w:ascii="宋体" w:hAnsi="宋体" w:cs="宋体"/>
                <w:szCs w:val="21"/>
                <w:highlight w:val="none"/>
              </w:rPr>
              <w:t>单位</w:t>
            </w:r>
          </w:p>
        </w:tc>
        <w:tc>
          <w:tcPr>
            <w:tcW w:w="18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Cs w:val="21"/>
                <w:highlight w:val="none"/>
              </w:rPr>
            </w:pPr>
            <w:r>
              <w:rPr>
                <w:rFonts w:hint="eastAsia" w:ascii="宋体" w:hAnsi="宋体" w:cs="宋体"/>
                <w:szCs w:val="21"/>
                <w:highlight w:val="none"/>
              </w:rPr>
              <w:t xml:space="preserve">总 </w:t>
            </w:r>
            <w:r>
              <w:rPr>
                <w:rFonts w:ascii="宋体" w:hAnsi="宋体" w:cs="宋体"/>
                <w:szCs w:val="21"/>
                <w:highlight w:val="none"/>
              </w:rPr>
              <w:t xml:space="preserve"> </w:t>
            </w:r>
            <w:r>
              <w:rPr>
                <w:rFonts w:hint="eastAsia" w:ascii="宋体" w:hAnsi="宋体" w:cs="宋体"/>
                <w:szCs w:val="21"/>
                <w:highlight w:val="none"/>
              </w:rPr>
              <w:t>价</w:t>
            </w:r>
          </w:p>
          <w:p>
            <w:pPr>
              <w:spacing w:line="360" w:lineRule="auto"/>
              <w:jc w:val="center"/>
              <w:rPr>
                <w:rFonts w:ascii="宋体" w:hAnsi="宋体" w:cs="宋体"/>
                <w:szCs w:val="21"/>
                <w:highlight w:val="none"/>
              </w:rPr>
            </w:pPr>
            <w:r>
              <w:rPr>
                <w:rFonts w:hint="eastAsia" w:ascii="宋体" w:hAnsi="宋体" w:cs="宋体"/>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1</w:t>
            </w:r>
          </w:p>
        </w:tc>
        <w:tc>
          <w:tcPr>
            <w:tcW w:w="396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szCs w:val="21"/>
                <w:highlight w:val="none"/>
                <w:lang w:eastAsia="zh-CN"/>
              </w:rPr>
            </w:pPr>
            <w:r>
              <w:rPr>
                <w:rFonts w:hint="eastAsia" w:ascii="宋体" w:hAnsi="宋体" w:cs="宋体"/>
                <w:szCs w:val="21"/>
                <w:highlight w:val="none"/>
                <w:lang w:eastAsia="zh-CN"/>
              </w:rPr>
              <w:t>广西壮族自治区脑科医院保安服务项目（重）</w:t>
            </w:r>
          </w:p>
        </w:tc>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1</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项</w:t>
            </w:r>
          </w:p>
        </w:tc>
        <w:tc>
          <w:tcPr>
            <w:tcW w:w="18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highlight w:val="none"/>
              </w:rPr>
            </w:pPr>
          </w:p>
        </w:tc>
      </w:tr>
    </w:tbl>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2、合同合计金额包括但不限于满足本次投标全部采购需求所应提供的服务，包</w:t>
      </w:r>
      <w:r>
        <w:rPr>
          <w:rFonts w:hint="eastAsia" w:ascii="宋体" w:hAnsi="宋体" w:eastAsia="宋体" w:cs="宋体"/>
          <w:szCs w:val="21"/>
          <w:highlight w:val="none"/>
        </w:rPr>
        <w:t>含但不限于按照《劳动合同法》的规定与员工签订劳动合同并按照国家及省市的相关规定为投入本项目人员统一办理社会保险和人员意外伤害等各种保险并承担相关费用</w:t>
      </w:r>
      <w:r>
        <w:rPr>
          <w:rFonts w:hint="eastAsia" w:ascii="宋体" w:hAnsi="宋体" w:eastAsia="宋体" w:cs="宋体"/>
          <w:szCs w:val="21"/>
          <w:highlight w:val="none"/>
          <w:lang w:eastAsia="zh-CN"/>
        </w:rPr>
        <w:t>；</w:t>
      </w:r>
      <w:r>
        <w:rPr>
          <w:rFonts w:hint="eastAsia" w:ascii="宋体" w:hAnsi="宋体" w:eastAsia="宋体" w:cs="宋体"/>
          <w:szCs w:val="21"/>
          <w:highlight w:val="none"/>
        </w:rPr>
        <w:t>包含本项目人员工资、保险费、福利费、加班费、管理费、交通费、服装费、增派保安员费用、税费等相关费用</w:t>
      </w:r>
      <w:r>
        <w:rPr>
          <w:rFonts w:hint="eastAsia" w:ascii="宋体" w:hAnsi="宋体" w:eastAsia="宋体" w:cs="宋体"/>
          <w:szCs w:val="21"/>
          <w:highlight w:val="none"/>
          <w:lang w:eastAsia="zh-CN"/>
        </w:rPr>
        <w:t>；</w:t>
      </w:r>
      <w:r>
        <w:rPr>
          <w:rFonts w:hint="eastAsia" w:ascii="宋体" w:hAnsi="宋体" w:eastAsia="宋体" w:cs="宋体"/>
          <w:szCs w:val="21"/>
          <w:highlight w:val="none"/>
        </w:rPr>
        <w:t>保安服务所需的专用工具、安保用品、器材、车辆等相关费用</w:t>
      </w:r>
      <w:r>
        <w:rPr>
          <w:rFonts w:hint="eastAsia" w:ascii="仿宋_GB2312" w:hAnsi="仿宋_GB2312" w:eastAsia="仿宋_GB2312" w:cs="仿宋_GB2312"/>
          <w:color w:val="auto"/>
          <w:sz w:val="28"/>
          <w:szCs w:val="28"/>
          <w:highlight w:val="none"/>
          <w:lang w:eastAsia="zh-CN"/>
        </w:rPr>
        <w:t>；</w:t>
      </w:r>
      <w:r>
        <w:rPr>
          <w:rFonts w:hint="eastAsia" w:ascii="宋体" w:hAnsi="宋体" w:cs="宋体"/>
          <w:szCs w:val="21"/>
          <w:highlight w:val="none"/>
        </w:rPr>
        <w:t>如</w:t>
      </w:r>
      <w:r>
        <w:rPr>
          <w:rFonts w:hint="eastAsia" w:ascii="宋体" w:hAnsi="宋体" w:cs="宋体"/>
          <w:szCs w:val="21"/>
          <w:highlight w:val="none"/>
          <w:lang w:val="en-US" w:eastAsia="zh-CN"/>
        </w:rPr>
        <w:t>竞争性磋商</w:t>
      </w:r>
      <w:r>
        <w:rPr>
          <w:rFonts w:hint="eastAsia" w:ascii="宋体" w:hAnsi="宋体" w:cs="宋体"/>
          <w:szCs w:val="21"/>
          <w:highlight w:val="none"/>
        </w:rPr>
        <w:t>文件对其另有规定的，从其规定。</w:t>
      </w:r>
    </w:p>
    <w:p>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第二条　质量保证</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第三条　</w:t>
      </w:r>
      <w:r>
        <w:rPr>
          <w:rFonts w:hint="eastAsia" w:ascii="宋体" w:hAnsi="宋体" w:cs="宋体"/>
          <w:b/>
          <w:szCs w:val="21"/>
          <w:highlight w:val="none"/>
          <w:lang w:val="en-US" w:eastAsia="zh-CN"/>
        </w:rPr>
        <w:t>甲方权利和义务</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 xml:space="preserve">1、审定乙方提交的安保服务实施方案、工作预案及管理制度，监督检查乙方各项方案和计划的实施， </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 xml:space="preserve">对乙方提供的服务进行考核并评分。 </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 xml:space="preserve">2、指导、监督和配合乙方管理服务工作的实施及制度的执行。 </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 xml:space="preserve">3、根据医院安全防范工作的情况，有权要求乙方更换考核不合格的服务人员，根据约定的服务质量要求评价及验收乙方的工作质量，按工作质量支付乙方服务费。 </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 xml:space="preserve">4、与乙方共同做好治安、消防、交通、综合治理等宣传教育活动。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5、法律、法规、政策规定的及招投标文件载明的其他权利、义务。</w:t>
      </w:r>
    </w:p>
    <w:p>
      <w:pPr>
        <w:spacing w:line="360" w:lineRule="auto"/>
        <w:ind w:firstLine="422" w:firstLineChars="200"/>
        <w:rPr>
          <w:rFonts w:hint="eastAsia" w:ascii="宋体" w:hAnsi="宋体" w:cs="宋体"/>
          <w:b/>
          <w:szCs w:val="21"/>
          <w:highlight w:val="none"/>
          <w:lang w:val="en-US" w:eastAsia="zh-CN"/>
        </w:rPr>
      </w:pPr>
      <w:r>
        <w:rPr>
          <w:rFonts w:hint="eastAsia" w:ascii="宋体" w:hAnsi="宋体" w:cs="宋体"/>
          <w:b/>
          <w:szCs w:val="21"/>
          <w:highlight w:val="none"/>
          <w:lang w:val="en-US" w:eastAsia="zh-CN"/>
        </w:rPr>
        <w:t xml:space="preserve">第四条　乙方权利和义务 </w:t>
      </w:r>
    </w:p>
    <w:p>
      <w:pPr>
        <w:keepNext w:val="0"/>
        <w:keepLines w:val="0"/>
        <w:widowControl/>
        <w:suppressLineNumbers w:val="0"/>
        <w:jc w:val="left"/>
        <w:rPr>
          <w:highlight w:val="none"/>
        </w:rPr>
      </w:pPr>
    </w:p>
    <w:p>
      <w:pPr>
        <w:spacing w:line="360" w:lineRule="auto"/>
        <w:ind w:firstLine="422" w:firstLineChars="200"/>
        <w:rPr>
          <w:rFonts w:hint="eastAsia" w:ascii="宋体" w:hAnsi="宋体" w:cs="宋体"/>
          <w:b/>
          <w:szCs w:val="21"/>
          <w:highlight w:val="none"/>
        </w:rPr>
      </w:pPr>
    </w:p>
    <w:p>
      <w:pPr>
        <w:spacing w:line="360" w:lineRule="auto"/>
        <w:ind w:firstLine="422" w:firstLineChars="200"/>
        <w:rPr>
          <w:rFonts w:hint="eastAsia" w:ascii="宋体" w:hAnsi="宋体" w:cs="宋体"/>
          <w:b/>
          <w:szCs w:val="21"/>
          <w:highlight w:val="none"/>
        </w:rPr>
      </w:pPr>
    </w:p>
    <w:p>
      <w:pPr>
        <w:spacing w:line="360" w:lineRule="auto"/>
        <w:ind w:firstLine="422" w:firstLineChars="200"/>
        <w:rPr>
          <w:rFonts w:hint="eastAsia" w:ascii="宋体" w:hAnsi="宋体" w:cs="宋体"/>
          <w:b/>
          <w:szCs w:val="21"/>
          <w:highlight w:val="none"/>
        </w:rPr>
      </w:pPr>
    </w:p>
    <w:p>
      <w:pPr>
        <w:spacing w:line="360" w:lineRule="auto"/>
        <w:ind w:firstLine="420" w:firstLineChars="200"/>
        <w:rPr>
          <w:rFonts w:hint="eastAsia" w:ascii="宋体" w:hAnsi="宋体" w:cs="宋体"/>
          <w:szCs w:val="21"/>
          <w:highlight w:val="none"/>
        </w:rPr>
      </w:pP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1、乙方应保证所提供服务在使用时不会侵犯任何第三方的专利权、商标权、工业设计权等知识产权及其他合法权利，且所有权、处分权等没有受到任何限制。</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3、按合同条款获取安保服务费用，合同期内，如遇到政府调整最低工资标准，由乙方自行负责，甲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方不再增加服务费。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4、保安公司在签订合同之日起，立即准备所有进驻前期工作，确保进驻后保安服务工作正常开展。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5、依照医院规定和实际情况，制定相应的安保服务实施方案、工作预案和管理制度并具体实施。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6、在服务期内接受甲方的监督、考核、评议，配合甲方做好各项服务工作，对发现存在问题及时整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改到位。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7、乙方应当按照法律和法规的规定与乙方指派的服务人员签订劳动合同、并为其购买社会保险（包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括基本养老、工伤、失业、生育、医疗保险）；在合同有效期内，须按《劳动法》规定承担所聘请的保安人员的待遇及相关责任，并对其所聘人员的健康状况、人身意外事故、工伤事故等履行相应责任，甲方对保安人员各项意外事故不承担责任。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8、在甲乙双方合同履行过程中，乙方应做好相关人员的出勤、培训等相关管理工作。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9、自行配足和补充所聘员工所需服装、装备（对讲机、手电筒及其他工作必备器材），制作工作需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要的相关证件、标识牌，费用自理。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10、妥善保管、维护向甲方借用或租用的物品、办公和住宿用房的设施，不得变卖、抵押或者改作他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用，合同终止及时归还，如有损坏，给予相应赔偿。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11、自行承担办公用房的装修和管理工作产生的水电费、电视费、网络费、电话费及其他办公费用。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12、乙方因管理不善、保安人员不作为造成甲方损失的，由乙方赔偿甲方具体损失。 </w:t>
      </w:r>
    </w:p>
    <w:p>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13、法律、法规、政策规定的及招投标文件载明的其他权利、义务。</w:t>
      </w:r>
    </w:p>
    <w:p>
      <w:pPr>
        <w:spacing w:line="360" w:lineRule="auto"/>
        <w:ind w:firstLine="422" w:firstLineChars="200"/>
        <w:rPr>
          <w:rFonts w:hint="eastAsia" w:ascii="宋体" w:hAnsi="宋体" w:cs="宋体"/>
          <w:szCs w:val="21"/>
          <w:highlight w:val="none"/>
        </w:rPr>
      </w:pPr>
      <w:r>
        <w:rPr>
          <w:rFonts w:hint="eastAsia" w:ascii="宋体" w:hAnsi="宋体" w:cs="宋体"/>
          <w:b/>
          <w:szCs w:val="21"/>
          <w:highlight w:val="none"/>
        </w:rPr>
        <w:t>第</w:t>
      </w:r>
      <w:r>
        <w:rPr>
          <w:rFonts w:hint="eastAsia" w:ascii="宋体" w:hAnsi="宋体" w:cs="宋体"/>
          <w:b/>
          <w:szCs w:val="21"/>
          <w:highlight w:val="none"/>
          <w:lang w:val="en-US" w:eastAsia="zh-CN"/>
        </w:rPr>
        <w:t>五</w:t>
      </w:r>
      <w:r>
        <w:rPr>
          <w:rFonts w:hint="eastAsia" w:ascii="宋体" w:hAnsi="宋体" w:cs="宋体"/>
          <w:b/>
          <w:szCs w:val="21"/>
          <w:highlight w:val="none"/>
        </w:rPr>
        <w:t>条　</w:t>
      </w:r>
      <w:r>
        <w:rPr>
          <w:rFonts w:hint="eastAsia" w:ascii="宋体" w:hAnsi="宋体" w:cs="宋体"/>
          <w:b/>
          <w:szCs w:val="21"/>
          <w:highlight w:val="none"/>
          <w:lang w:val="en-US" w:eastAsia="zh-CN"/>
        </w:rPr>
        <w:t>交接时间及地点、</w:t>
      </w:r>
      <w:r>
        <w:rPr>
          <w:rFonts w:hint="eastAsia" w:ascii="宋体" w:hAnsi="宋体" w:cs="宋体"/>
          <w:b/>
          <w:szCs w:val="21"/>
          <w:highlight w:val="none"/>
        </w:rPr>
        <w:t>交付和验收</w:t>
      </w:r>
    </w:p>
    <w:p>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1、服务期限： 2026年7月 21日起至 2028年7月 20 日 ，服务地点： 柳州市鱼峰区鸡喇路1号（广西壮族自治区脑科医院）  。</w:t>
      </w:r>
    </w:p>
    <w:p>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2、服务交接时间：</w:t>
      </w:r>
      <w:r>
        <w:rPr>
          <w:rFonts w:hint="eastAsia" w:ascii="宋体" w:hAnsi="宋体" w:eastAsia="宋体" w:cs="宋体"/>
          <w:szCs w:val="21"/>
          <w:highlight w:val="none"/>
        </w:rPr>
        <w:t>自合同约定提供服务之日</w:t>
      </w:r>
      <w:r>
        <w:rPr>
          <w:rFonts w:hint="eastAsia" w:ascii="宋体" w:hAnsi="宋体" w:eastAsia="宋体" w:cs="宋体"/>
          <w:szCs w:val="21"/>
          <w:highlight w:val="none"/>
          <w:lang w:eastAsia="zh-CN"/>
        </w:rPr>
        <w:t>前</w:t>
      </w:r>
      <w:r>
        <w:rPr>
          <w:rFonts w:hint="eastAsia" w:ascii="宋体" w:hAnsi="宋体" w:eastAsia="宋体" w:cs="宋体"/>
          <w:szCs w:val="21"/>
          <w:highlight w:val="none"/>
          <w:lang w:val="en-US" w:eastAsia="zh-CN"/>
        </w:rPr>
        <w:t>7日内</w:t>
      </w:r>
      <w:r>
        <w:rPr>
          <w:rFonts w:hint="eastAsia" w:ascii="宋体" w:hAnsi="宋体" w:eastAsia="宋体" w:cs="宋体"/>
          <w:szCs w:val="21"/>
          <w:highlight w:val="none"/>
          <w:lang w:eastAsia="zh-CN"/>
        </w:rPr>
        <w:t>要到服务地点熟悉相关的服务岗位并做好交接，合同约定提供服务之日要正常履职</w:t>
      </w:r>
      <w:r>
        <w:rPr>
          <w:rFonts w:hint="eastAsia" w:ascii="宋体" w:hAnsi="宋体" w:eastAsia="宋体" w:cs="宋体"/>
          <w:szCs w:val="21"/>
          <w:highlight w:val="none"/>
        </w:rPr>
        <w:t>；</w:t>
      </w:r>
    </w:p>
    <w:p>
      <w:pPr>
        <w:pStyle w:val="40"/>
        <w:ind w:firstLine="420" w:firstLineChars="200"/>
        <w:jc w:val="both"/>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3、服务地点：柳州市鸡喇路1号广西壮族自治区脑科医院内采购人指定地点。</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、乙方应按投标文件的承诺向甲方提供相应的服务，并提供所服务内容的相关技术资料。</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、乙方提供不符合投标文件和本合同规定的服务成果，甲方有权拒绝接受。</w:t>
      </w:r>
    </w:p>
    <w:p>
      <w:pPr>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乙方完成服务后应及时书面通知甲方进行验收，甲方应在收到通知后七个工作日内进行验收，逾期不开始验收的，乙方可视同验收合格。验收合格后由甲乙双方签署验收单并加盖采购人公章，甲乙双方各执一份。</w:t>
      </w:r>
    </w:p>
    <w:p>
      <w:pPr>
        <w:spacing w:line="360" w:lineRule="auto"/>
        <w:ind w:firstLine="420" w:firstLineChars="200"/>
        <w:rPr>
          <w:rFonts w:hint="eastAsia" w:ascii="宋体" w:hAnsi="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、甲乙双方应按照《</w:t>
      </w:r>
      <w:r>
        <w:rPr>
          <w:rFonts w:ascii="宋体" w:hAnsi="宋体" w:cs="宋体"/>
          <w:szCs w:val="21"/>
          <w:highlight w:val="none"/>
        </w:rPr>
        <w:t>广西壮族自治区政府采购项目履约验收管理办法</w:t>
      </w:r>
      <w:r>
        <w:rPr>
          <w:rFonts w:hint="eastAsia" w:ascii="宋体" w:hAnsi="宋体" w:cs="宋体"/>
          <w:szCs w:val="21"/>
          <w:highlight w:val="none"/>
        </w:rPr>
        <w:t>》、双方合同、投标文件验收。</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8</w:t>
      </w:r>
      <w:r>
        <w:rPr>
          <w:rFonts w:hint="eastAsia" w:ascii="宋体" w:hAnsi="宋体" w:cs="宋体"/>
          <w:szCs w:val="21"/>
          <w:highlight w:val="none"/>
        </w:rPr>
        <w:t>、甲方在初步验收或者最终验收过程中如发现乙方提供的服务成果不满足投标文件及本合同规定的，可暂缓向乙方付款，直到乙方及时完善并提交相应的服务成果且经甲方验收合格后，方可办理付款。</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、甲方验收时以书面形式提出异议的，乙方应自收到甲方书面异议后五个工作日内及时予以解决，否则甲方有权不出具服务验收合格单。</w:t>
      </w:r>
    </w:p>
    <w:p>
      <w:pPr>
        <w:snapToGrid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w:t>
      </w:r>
      <w:r>
        <w:rPr>
          <w:rFonts w:hint="eastAsia" w:ascii="宋体" w:hAnsi="宋体" w:cs="宋体"/>
          <w:b/>
          <w:szCs w:val="21"/>
          <w:highlight w:val="none"/>
          <w:lang w:val="en-US" w:eastAsia="zh-CN"/>
        </w:rPr>
        <w:t>六</w:t>
      </w:r>
      <w:r>
        <w:rPr>
          <w:rFonts w:hint="eastAsia" w:ascii="宋体" w:hAnsi="宋体" w:cs="宋体"/>
          <w:b/>
          <w:szCs w:val="21"/>
          <w:highlight w:val="none"/>
        </w:rPr>
        <w:t>条  售后服务及培训</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1、乙方应按照国家有关法律法规和本合同所附的《售后服务承诺》要求为甲方提供相应的售后服务。</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2、甲方应提供必要测试条件（如场地、电源、水源等）。</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3、乙方负责甲方有关人员的培训。培训时间、地点：</w:t>
      </w:r>
      <w:r>
        <w:rPr>
          <w:rFonts w:hint="eastAsia" w:ascii="宋体" w:hAnsi="宋体" w:cs="宋体"/>
          <w:szCs w:val="21"/>
          <w:highlight w:val="none"/>
          <w:u w:val="single"/>
        </w:rPr>
        <w:t xml:space="preserve"> </w:t>
      </w:r>
      <w:r>
        <w:rPr>
          <w:rFonts w:ascii="宋体" w:hAnsi="宋体" w:cs="宋体"/>
          <w:szCs w:val="21"/>
          <w:highlight w:val="none"/>
          <w:u w:val="single"/>
        </w:rPr>
        <w:t xml:space="preserve">                   </w:t>
      </w:r>
      <w:r>
        <w:rPr>
          <w:rFonts w:hint="eastAsia" w:ascii="宋体" w:hAnsi="宋体" w:cs="宋体"/>
          <w:szCs w:val="21"/>
          <w:highlight w:val="none"/>
        </w:rPr>
        <w:t>。</w:t>
      </w:r>
    </w:p>
    <w:p>
      <w:pPr>
        <w:snapToGrid w:val="0"/>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4、乙方违反招标文件、投标文件或《售后服务承诺》三次以上的（含本数），视为乙方根本违约，甲方有权单方解除合同；</w:t>
      </w:r>
    </w:p>
    <w:p>
      <w:pPr>
        <w:snapToGrid w:val="0"/>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5、乙方不得转包，一经发现视为乙方根本违约，甲方有权单方解除合同；</w:t>
      </w:r>
    </w:p>
    <w:p>
      <w:pPr>
        <w:snapToGrid w:val="0"/>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6、乙方违约的，每次向甲方赔偿相当于合同总金额10%的违约金；（数额双方协商确定）多次违约的，违约金数额累加计算；</w:t>
      </w:r>
    </w:p>
    <w:p>
      <w:pPr>
        <w:snapToGrid w:val="0"/>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7、其它根据实际情况相应增加一些条款。详见双方补充协议（如有）。</w:t>
      </w:r>
    </w:p>
    <w:p>
      <w:pPr>
        <w:snapToGrid w:val="0"/>
        <w:spacing w:line="360" w:lineRule="auto"/>
        <w:ind w:firstLine="422" w:firstLineChars="200"/>
        <w:rPr>
          <w:rFonts w:hint="eastAsia" w:ascii="宋体" w:hAnsi="宋体" w:cs="宋体"/>
          <w:szCs w:val="21"/>
          <w:highlight w:val="none"/>
          <w:u w:val="single"/>
        </w:rPr>
      </w:pPr>
      <w:r>
        <w:rPr>
          <w:rFonts w:hint="eastAsia" w:ascii="宋体" w:hAnsi="宋体" w:cs="宋体"/>
          <w:b/>
          <w:szCs w:val="21"/>
          <w:highlight w:val="none"/>
        </w:rPr>
        <w:t>第</w:t>
      </w:r>
      <w:r>
        <w:rPr>
          <w:rFonts w:hint="eastAsia" w:ascii="宋体" w:hAnsi="宋体" w:cs="宋体"/>
          <w:b/>
          <w:szCs w:val="21"/>
          <w:highlight w:val="none"/>
          <w:lang w:val="en-US" w:eastAsia="zh-CN"/>
        </w:rPr>
        <w:t>七</w:t>
      </w:r>
      <w:r>
        <w:rPr>
          <w:rFonts w:hint="eastAsia" w:ascii="宋体" w:hAnsi="宋体" w:cs="宋体"/>
          <w:b/>
          <w:szCs w:val="21"/>
          <w:highlight w:val="none"/>
        </w:rPr>
        <w:t>条　付款方式</w:t>
      </w:r>
    </w:p>
    <w:p>
      <w:pPr>
        <w:snapToGrid w:val="0"/>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签订后采购人按月向</w:t>
      </w:r>
      <w:r>
        <w:rPr>
          <w:rFonts w:hint="eastAsia" w:ascii="宋体" w:hAnsi="宋体" w:cs="宋体"/>
          <w:bCs/>
          <w:szCs w:val="21"/>
          <w:highlight w:val="none"/>
          <w:lang w:eastAsia="zh-CN"/>
        </w:rPr>
        <w:t>乙方</w:t>
      </w:r>
      <w:r>
        <w:rPr>
          <w:rFonts w:hint="eastAsia" w:ascii="宋体" w:hAnsi="宋体" w:cs="宋体"/>
          <w:bCs/>
          <w:szCs w:val="21"/>
          <w:highlight w:val="none"/>
        </w:rPr>
        <w:t>支付服务费，</w:t>
      </w:r>
      <w:r>
        <w:rPr>
          <w:rFonts w:hint="eastAsia" w:ascii="宋体" w:hAnsi="宋体" w:cs="宋体"/>
          <w:bCs/>
          <w:szCs w:val="21"/>
          <w:highlight w:val="none"/>
          <w:lang w:eastAsia="zh-CN"/>
        </w:rPr>
        <w:t>乙方</w:t>
      </w:r>
      <w:r>
        <w:rPr>
          <w:rFonts w:hint="eastAsia" w:ascii="宋体" w:hAnsi="宋体" w:cs="宋体"/>
          <w:bCs/>
          <w:szCs w:val="21"/>
          <w:highlight w:val="none"/>
        </w:rPr>
        <w:t>应当于下月前5个工作日内，将上月合法、有效发票开具给采购人，采购人在收到发票后5个工作日内启动支付流程，否则，采购人可以顺延付款（均不计利息）。</w:t>
      </w:r>
    </w:p>
    <w:p>
      <w:pPr>
        <w:snapToGrid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w:t>
      </w:r>
      <w:r>
        <w:rPr>
          <w:rFonts w:hint="eastAsia" w:ascii="宋体" w:hAnsi="宋体" w:cs="宋体"/>
          <w:b/>
          <w:szCs w:val="21"/>
          <w:highlight w:val="none"/>
          <w:lang w:val="en-US" w:eastAsia="zh-CN"/>
        </w:rPr>
        <w:t>八</w:t>
      </w:r>
      <w:r>
        <w:rPr>
          <w:rFonts w:hint="eastAsia" w:ascii="宋体" w:hAnsi="宋体" w:cs="宋体"/>
          <w:b/>
          <w:szCs w:val="21"/>
          <w:highlight w:val="none"/>
        </w:rPr>
        <w:t>条　履约保证金</w:t>
      </w:r>
    </w:p>
    <w:p>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履约保证金金额：按</w:t>
      </w:r>
      <w:r>
        <w:rPr>
          <w:rFonts w:hint="eastAsia" w:ascii="宋体" w:hAnsi="宋体" w:cs="宋体"/>
          <w:color w:val="auto"/>
          <w:szCs w:val="21"/>
          <w:highlight w:val="none"/>
          <w:lang w:val="en-US" w:eastAsia="zh-CN"/>
        </w:rPr>
        <w:t>中标</w:t>
      </w:r>
      <w:r>
        <w:rPr>
          <w:rFonts w:hint="eastAsia" w:ascii="宋体" w:hAnsi="宋体" w:cs="宋体"/>
          <w:color w:val="auto"/>
          <w:szCs w:val="21"/>
          <w:highlight w:val="none"/>
        </w:rPr>
        <w:t>金额的</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即</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eastAsia="zh-CN"/>
        </w:rPr>
        <w:t>。</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履约保证金递交方式：银行转账、支票、汇票、本票或者银行、保险机构出具的保函</w:t>
      </w:r>
      <w:r>
        <w:rPr>
          <w:rFonts w:hint="eastAsia" w:ascii="宋体" w:hAnsi="宋体" w:cs="宋体"/>
          <w:color w:val="auto"/>
          <w:szCs w:val="21"/>
          <w:highlight w:val="none"/>
          <w:lang w:eastAsia="zh-CN"/>
        </w:rPr>
        <w:t>、电子保函</w:t>
      </w:r>
      <w:r>
        <w:rPr>
          <w:rFonts w:hint="eastAsia" w:ascii="宋体" w:hAnsi="宋体" w:cs="宋体"/>
          <w:color w:val="auto"/>
          <w:szCs w:val="21"/>
          <w:highlight w:val="none"/>
        </w:rPr>
        <w:t>等非现金方式。</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履约保证金退付方式、时间及条件：待</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年服务期满后无息退还。</w:t>
      </w:r>
    </w:p>
    <w:p>
      <w:pPr>
        <w:spacing w:line="360" w:lineRule="auto"/>
        <w:ind w:firstLine="420" w:firstLineChars="200"/>
        <w:rPr>
          <w:rFonts w:hint="eastAsia" w:ascii="宋体" w:hAnsi="宋体" w:cs="宋体"/>
          <w:szCs w:val="21"/>
          <w:highlight w:val="none"/>
        </w:rPr>
      </w:pPr>
      <w:r>
        <w:rPr>
          <w:rFonts w:hint="eastAsia" w:ascii="宋体" w:hAnsi="宋体" w:cs="宋体"/>
          <w:color w:val="auto"/>
          <w:szCs w:val="21"/>
          <w:highlight w:val="none"/>
        </w:rPr>
        <w:t>签订合同后，如</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不按双方签订的合同规定履约，则没收其全部履约保证金，履约保证金不足以赔偿损失的，按实际损失赔偿。</w:t>
      </w:r>
    </w:p>
    <w:p>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w:t>
      </w:r>
      <w:r>
        <w:rPr>
          <w:rFonts w:hint="eastAsia" w:ascii="宋体" w:hAnsi="宋体" w:cs="宋体"/>
          <w:b/>
          <w:szCs w:val="21"/>
          <w:highlight w:val="none"/>
          <w:lang w:val="en-US" w:eastAsia="zh-CN"/>
        </w:rPr>
        <w:t>九</w:t>
      </w:r>
      <w:r>
        <w:rPr>
          <w:rFonts w:hint="eastAsia" w:ascii="宋体" w:hAnsi="宋体" w:cs="宋体"/>
          <w:b/>
          <w:szCs w:val="21"/>
          <w:highlight w:val="none"/>
        </w:rPr>
        <w:t>条  税费</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本合同执行中相关的一切税费均由乙方负担，合同另有约定的除外。</w:t>
      </w:r>
    </w:p>
    <w:p>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w:t>
      </w:r>
      <w:r>
        <w:rPr>
          <w:rFonts w:hint="eastAsia" w:ascii="宋体" w:hAnsi="宋体" w:cs="宋体"/>
          <w:b/>
          <w:szCs w:val="21"/>
          <w:highlight w:val="none"/>
          <w:lang w:val="en-US" w:eastAsia="zh-CN"/>
        </w:rPr>
        <w:t>十</w:t>
      </w:r>
      <w:r>
        <w:rPr>
          <w:rFonts w:hint="eastAsia" w:ascii="宋体" w:hAnsi="宋体" w:cs="宋体"/>
          <w:b/>
          <w:szCs w:val="21"/>
          <w:highlight w:val="none"/>
        </w:rPr>
        <w:t>条　违约责任</w:t>
      </w:r>
    </w:p>
    <w:p>
      <w:pPr>
        <w:snapToGrid w:val="0"/>
        <w:spacing w:line="360" w:lineRule="auto"/>
        <w:ind w:firstLine="420" w:firstLineChars="200"/>
        <w:rPr>
          <w:rFonts w:hint="eastAsia" w:ascii="宋体" w:hAnsi="宋体" w:cs="宋体"/>
          <w:szCs w:val="21"/>
          <w:highlight w:val="none"/>
        </w:rPr>
      </w:pPr>
      <w:r>
        <w:rPr>
          <w:rFonts w:hint="eastAsia" w:ascii="宋体" w:hAnsi="宋体"/>
          <w:szCs w:val="21"/>
          <w:highlight w:val="none"/>
        </w:rPr>
        <w:t>1、除不可抗力原因外，乙方没有按照合同规定的时间提供服务的，甲方可要求乙方支付违约金。每推迟一天按合同金额的3‰支付违约金，该违约金累计不超过合同金额的10%。</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2、乙方提供的服务如侵犯了第三方合法权益而引发的任何纠纷或者诉讼，均由乙方负责交涉并承担全部责任。</w:t>
      </w:r>
    </w:p>
    <w:p>
      <w:pPr>
        <w:snapToGrid w:val="0"/>
        <w:spacing w:line="360" w:lineRule="auto"/>
        <w:ind w:firstLine="420" w:firstLineChars="200"/>
        <w:rPr>
          <w:rFonts w:hint="eastAsia" w:ascii="宋体" w:hAnsi="宋体"/>
          <w:szCs w:val="21"/>
          <w:highlight w:val="none"/>
        </w:rPr>
      </w:pPr>
      <w:r>
        <w:rPr>
          <w:rFonts w:ascii="宋体" w:hAnsi="宋体"/>
          <w:szCs w:val="21"/>
          <w:highlight w:val="none"/>
        </w:rPr>
        <w:t>3</w:t>
      </w:r>
      <w:r>
        <w:rPr>
          <w:rFonts w:hint="eastAsia" w:ascii="宋体" w:hAnsi="宋体"/>
          <w:szCs w:val="21"/>
          <w:highlight w:val="none"/>
        </w:rPr>
        <w:t>、甲方除不可抗力原因外延期付款的，每天向乙方偿付延期款额3‰滞纳金，但滞纳金累计不得超过延期款额5%。</w:t>
      </w:r>
    </w:p>
    <w:p>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 xml:space="preserve">4、乙方未尽管理责任导致甲方或第三人人身、财产损害的，应按过错比例承担相应法律责任； </w:t>
      </w:r>
    </w:p>
    <w:p>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 xml:space="preserve">5、甲方违法、违约导致乙方不能提供约定服务的，乙方有权要求甲方在一个月内解决； </w:t>
      </w:r>
    </w:p>
    <w:p>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 xml:space="preserve">6、乙方违法、违约，不履行本项目招标文件的规定和本合同约定、投标承诺和约定服务的，甲方有权根据本合同和本项目招标文件中的规定要求乙方承担相应责任、解除或终止本合同。 </w:t>
      </w:r>
    </w:p>
    <w:p>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7、乙方不得将项目全部或部分进行转包、分包， 如有违反，乙方需赔偿甲方因此造成损失，并向甲方一次性支付合同总价</w:t>
      </w:r>
      <w:r>
        <w:rPr>
          <w:rFonts w:hint="default" w:ascii="宋体" w:hAnsi="宋体"/>
          <w:szCs w:val="21"/>
          <w:highlight w:val="none"/>
          <w:lang w:val="en-US" w:eastAsia="zh-CN"/>
        </w:rPr>
        <w:t>20%</w:t>
      </w:r>
      <w:r>
        <w:rPr>
          <w:rFonts w:hint="eastAsia" w:ascii="宋体" w:hAnsi="宋体"/>
          <w:szCs w:val="21"/>
          <w:highlight w:val="none"/>
          <w:lang w:val="en-US" w:eastAsia="zh-CN"/>
        </w:rPr>
        <w:t>作为违约金，甲方有权单方解除合同。</w:t>
      </w:r>
    </w:p>
    <w:p>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第十</w:t>
      </w:r>
      <w:r>
        <w:rPr>
          <w:rFonts w:hint="eastAsia" w:ascii="宋体" w:hAnsi="宋体" w:cs="宋体"/>
          <w:b/>
          <w:szCs w:val="21"/>
          <w:highlight w:val="none"/>
          <w:lang w:val="en-US" w:eastAsia="zh-CN"/>
        </w:rPr>
        <w:t>一</w:t>
      </w:r>
      <w:r>
        <w:rPr>
          <w:rFonts w:hint="eastAsia" w:ascii="宋体" w:hAnsi="宋体" w:cs="宋体"/>
          <w:b/>
          <w:szCs w:val="21"/>
          <w:highlight w:val="none"/>
        </w:rPr>
        <w:t>条  不可抗力事件处理</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1、在合同有效期内，任何一方因不可抗力事件导致不能履行合同，则合同履行期可延长，其延长期与不可抗力影响期相同。</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2、不可抗力事件发生后，应立即通知对方，并寄送有关权威机构出具的证明。</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3、不可抗力事件延续三十天以上，双方应通过友好协商，确定是否继续履行合同。</w:t>
      </w:r>
    </w:p>
    <w:p>
      <w:pPr>
        <w:pStyle w:val="40"/>
        <w:ind w:firstLine="422" w:firstLineChars="200"/>
        <w:jc w:val="left"/>
        <w:rPr>
          <w:rFonts w:hint="eastAsia" w:ascii="宋体" w:hAnsi="宋体" w:eastAsia="宋体" w:cs="宋体"/>
          <w:b/>
          <w:bCs w:val="0"/>
          <w:kern w:val="2"/>
          <w:sz w:val="21"/>
          <w:szCs w:val="21"/>
          <w:highlight w:val="none"/>
          <w:lang w:val="en-US" w:eastAsia="zh-CN" w:bidi="ar-SA"/>
        </w:rPr>
      </w:pPr>
      <w:r>
        <w:rPr>
          <w:rFonts w:hint="eastAsia" w:ascii="宋体" w:hAnsi="宋体" w:eastAsia="宋体" w:cs="宋体"/>
          <w:b/>
          <w:bCs w:val="0"/>
          <w:kern w:val="2"/>
          <w:sz w:val="21"/>
          <w:szCs w:val="21"/>
          <w:highlight w:val="none"/>
          <w:lang w:val="en-US" w:eastAsia="zh-CN" w:bidi="ar-SA"/>
        </w:rPr>
        <w:t>第十</w:t>
      </w:r>
      <w:r>
        <w:rPr>
          <w:rFonts w:hint="eastAsia" w:ascii="宋体" w:hAnsi="宋体" w:cs="宋体"/>
          <w:b/>
          <w:bCs w:val="0"/>
          <w:kern w:val="2"/>
          <w:sz w:val="21"/>
          <w:szCs w:val="21"/>
          <w:highlight w:val="none"/>
          <w:lang w:val="en-US" w:eastAsia="zh-CN" w:bidi="ar-SA"/>
        </w:rPr>
        <w:t>二</w:t>
      </w:r>
      <w:r>
        <w:rPr>
          <w:rFonts w:hint="eastAsia" w:ascii="宋体" w:hAnsi="宋体" w:eastAsia="宋体" w:cs="宋体"/>
          <w:b/>
          <w:bCs w:val="0"/>
          <w:kern w:val="2"/>
          <w:sz w:val="21"/>
          <w:szCs w:val="21"/>
          <w:highlight w:val="none"/>
          <w:lang w:val="en-US" w:eastAsia="zh-CN" w:bidi="ar-SA"/>
        </w:rPr>
        <w:t>条  其他要求</w:t>
      </w:r>
    </w:p>
    <w:p>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乙方</w:t>
      </w:r>
      <w:r>
        <w:rPr>
          <w:rFonts w:hint="eastAsia" w:ascii="宋体" w:hAnsi="宋体" w:eastAsia="宋体" w:cs="宋体"/>
          <w:szCs w:val="21"/>
          <w:highlight w:val="none"/>
        </w:rPr>
        <w:t>派驻的实际人员应保证人员职数不变，在岗位上因不可抗力的因素，不能坚守岗位（或到岗）的，成交供应商可以自行调配具有同等资质的人员到岗执勤，但是必须保证该岗位人员累计在岗半年时间具有该岗位要求的资质条件，否则视为虚假应标，采购人有权立即解除合同。</w:t>
      </w:r>
    </w:p>
    <w:p>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乙方</w:t>
      </w:r>
      <w:r>
        <w:rPr>
          <w:rFonts w:hint="eastAsia" w:ascii="宋体" w:hAnsi="宋体" w:eastAsia="宋体" w:cs="宋体"/>
          <w:szCs w:val="21"/>
          <w:highlight w:val="none"/>
        </w:rPr>
        <w:t>每月须向采购人提供全院的停车收费数据、现金流量（银行、微信或支付宝收费流水账单）。</w:t>
      </w:r>
    </w:p>
    <w:p>
      <w:pPr>
        <w:spacing w:line="360" w:lineRule="auto"/>
        <w:ind w:firstLine="422" w:firstLineChars="200"/>
        <w:rPr>
          <w:rFonts w:hint="eastAsia" w:ascii="宋体" w:hAnsi="宋体" w:cs="宋体"/>
          <w:szCs w:val="21"/>
          <w:highlight w:val="none"/>
        </w:rPr>
      </w:pPr>
      <w:r>
        <w:rPr>
          <w:rFonts w:hint="eastAsia" w:ascii="宋体" w:hAnsi="宋体" w:cs="宋体"/>
          <w:b/>
          <w:szCs w:val="21"/>
          <w:highlight w:val="none"/>
        </w:rPr>
        <w:t>第十</w:t>
      </w:r>
      <w:r>
        <w:rPr>
          <w:rFonts w:hint="eastAsia" w:ascii="宋体" w:hAnsi="宋体" w:cs="宋体"/>
          <w:b/>
          <w:szCs w:val="21"/>
          <w:highlight w:val="none"/>
          <w:lang w:val="en-US" w:eastAsia="zh-CN"/>
        </w:rPr>
        <w:t>三</w:t>
      </w:r>
      <w:r>
        <w:rPr>
          <w:rFonts w:hint="eastAsia" w:ascii="宋体" w:hAnsi="宋体" w:cs="宋体"/>
          <w:b/>
          <w:szCs w:val="21"/>
          <w:highlight w:val="none"/>
        </w:rPr>
        <w:t xml:space="preserve">条  </w:t>
      </w:r>
      <w:r>
        <w:rPr>
          <w:rFonts w:hint="eastAsia" w:ascii="宋体" w:hAnsi="宋体" w:eastAsia="宋体" w:cs="宋体"/>
          <w:b/>
          <w:bCs w:val="0"/>
          <w:kern w:val="2"/>
          <w:sz w:val="21"/>
          <w:szCs w:val="21"/>
          <w:highlight w:val="none"/>
          <w:lang w:val="en-US" w:eastAsia="zh-CN" w:bidi="ar-SA"/>
        </w:rPr>
        <w:t>保密条款</w:t>
      </w:r>
    </w:p>
    <w:p>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 xml:space="preserve">甲乙双方在合作过程中知悉的对方相关信息，包括但不限于员工信息、单位信息等，不得以任何理由 </w:t>
      </w:r>
    </w:p>
    <w:p>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泄露给第三人，保密条款长期有效，保密义务不因合同解除而终止。</w:t>
      </w:r>
    </w:p>
    <w:p>
      <w:pPr>
        <w:spacing w:line="360" w:lineRule="auto"/>
        <w:ind w:firstLine="422" w:firstLineChars="200"/>
        <w:rPr>
          <w:rFonts w:hint="eastAsia" w:ascii="宋体" w:hAnsi="宋体" w:cs="宋体"/>
          <w:szCs w:val="21"/>
          <w:highlight w:val="none"/>
        </w:rPr>
      </w:pPr>
      <w:r>
        <w:rPr>
          <w:rFonts w:hint="eastAsia" w:ascii="宋体" w:hAnsi="宋体" w:cs="宋体"/>
          <w:b/>
          <w:szCs w:val="21"/>
          <w:highlight w:val="none"/>
        </w:rPr>
        <w:t>第十</w:t>
      </w:r>
      <w:r>
        <w:rPr>
          <w:rFonts w:hint="eastAsia" w:ascii="宋体" w:hAnsi="宋体" w:cs="宋体"/>
          <w:b/>
          <w:szCs w:val="21"/>
          <w:highlight w:val="none"/>
          <w:lang w:val="en-US" w:eastAsia="zh-CN"/>
        </w:rPr>
        <w:t>四</w:t>
      </w:r>
      <w:r>
        <w:rPr>
          <w:rFonts w:hint="eastAsia" w:ascii="宋体" w:hAnsi="宋体" w:cs="宋体"/>
          <w:b/>
          <w:szCs w:val="21"/>
          <w:highlight w:val="none"/>
        </w:rPr>
        <w:t>条  合同争议解决</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1、因服务质量问题发生争议的，应邀请国家认可的质量检测机构进行鉴定。服务符合标准的，鉴定费由甲方承担；服务不符合标准的，鉴定费由乙方承担。</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2、因履行本合同引起的或者与本合同有关的争议，甲乙双方应首先通过友好协商解决，如果协商不能解决，可向甲方所在地有管辖权人民法院提起诉讼。</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4、诉讼期间，本合同继续履行。</w:t>
      </w:r>
    </w:p>
    <w:p>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第十</w:t>
      </w:r>
      <w:r>
        <w:rPr>
          <w:rFonts w:hint="eastAsia" w:ascii="宋体" w:hAnsi="宋体" w:cs="宋体"/>
          <w:b/>
          <w:szCs w:val="21"/>
          <w:highlight w:val="none"/>
          <w:lang w:val="en-US" w:eastAsia="zh-CN"/>
        </w:rPr>
        <w:t>五</w:t>
      </w:r>
      <w:r>
        <w:rPr>
          <w:rFonts w:hint="eastAsia" w:ascii="宋体" w:hAnsi="宋体" w:cs="宋体"/>
          <w:b/>
          <w:szCs w:val="21"/>
          <w:highlight w:val="none"/>
        </w:rPr>
        <w:t>条  合同生效及其它</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1、合同经双方法定代表人或者授权代表签字并加盖单位公章后生效（委托代理人签字的需后附授权委托书，格式自拟）。</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2、合同执行中涉及采购资金和采购内容修改或者补充的，须经财政部门审批，并签书面补充协议报财政部门备案，方可作为主合同不可分割的一部分。</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3、本合同未尽事宜，遵照《中华人民共和国民法典》有关条文执行。</w:t>
      </w:r>
    </w:p>
    <w:p>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第十</w:t>
      </w:r>
      <w:r>
        <w:rPr>
          <w:rFonts w:hint="eastAsia" w:ascii="宋体" w:hAnsi="宋体" w:cs="宋体"/>
          <w:b/>
          <w:szCs w:val="21"/>
          <w:highlight w:val="none"/>
          <w:lang w:val="en-US" w:eastAsia="zh-CN"/>
        </w:rPr>
        <w:t>六</w:t>
      </w:r>
      <w:r>
        <w:rPr>
          <w:rFonts w:hint="eastAsia" w:ascii="宋体" w:hAnsi="宋体" w:cs="宋体"/>
          <w:b/>
          <w:szCs w:val="21"/>
          <w:highlight w:val="none"/>
        </w:rPr>
        <w:t>条　合同的变更、终止与转让</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1、除《中华人民共和国政府采购法》第五十条规定的情形外，本合同一经签订，甲乙双方不得擅自变更、中止或者终止。</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2、乙方不得擅自转让其应履行的合同义务。</w:t>
      </w:r>
    </w:p>
    <w:p>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第十</w:t>
      </w:r>
      <w:r>
        <w:rPr>
          <w:rFonts w:hint="eastAsia" w:ascii="宋体" w:hAnsi="宋体" w:cs="宋体"/>
          <w:b/>
          <w:szCs w:val="21"/>
          <w:highlight w:val="none"/>
          <w:lang w:val="en-US" w:eastAsia="zh-CN"/>
        </w:rPr>
        <w:t>七</w:t>
      </w:r>
      <w:r>
        <w:rPr>
          <w:rFonts w:hint="eastAsia" w:ascii="宋体" w:hAnsi="宋体" w:cs="宋体"/>
          <w:b/>
          <w:szCs w:val="21"/>
          <w:highlight w:val="none"/>
        </w:rPr>
        <w:t>条　签订本合同依据</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w:t>
      </w:r>
      <w:r>
        <w:rPr>
          <w:rFonts w:hint="eastAsia" w:ascii="宋体" w:hAnsi="宋体"/>
          <w:szCs w:val="21"/>
          <w:highlight w:val="none"/>
          <w:lang w:val="en-US" w:eastAsia="zh-CN"/>
        </w:rPr>
        <w:t>成交</w:t>
      </w:r>
      <w:r>
        <w:rPr>
          <w:rFonts w:hint="eastAsia" w:ascii="宋体" w:hAnsi="宋体"/>
          <w:szCs w:val="21"/>
          <w:highlight w:val="none"/>
        </w:rPr>
        <w:t>通知书</w:t>
      </w:r>
      <w:r>
        <w:rPr>
          <w:rFonts w:hint="eastAsia" w:ascii="宋体" w:hAnsi="宋体" w:cs="宋体"/>
          <w:szCs w:val="21"/>
          <w:highlight w:val="none"/>
        </w:rPr>
        <w:t>；</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val="en-US" w:eastAsia="zh-CN"/>
        </w:rPr>
        <w:t>报价文件</w:t>
      </w:r>
      <w:r>
        <w:rPr>
          <w:rFonts w:hint="eastAsia" w:ascii="宋体" w:hAnsi="宋体" w:cs="宋体"/>
          <w:szCs w:val="21"/>
          <w:highlight w:val="none"/>
        </w:rPr>
        <w:t>；</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3、商务要求偏离表和技术要求偏离表；</w:t>
      </w:r>
    </w:p>
    <w:p>
      <w:pPr>
        <w:spacing w:line="360" w:lineRule="auto"/>
        <w:ind w:firstLine="420" w:firstLineChars="200"/>
        <w:rPr>
          <w:rFonts w:ascii="宋体" w:hAnsi="宋体" w:cs="宋体"/>
          <w:szCs w:val="21"/>
          <w:highlight w:val="none"/>
        </w:rPr>
      </w:pPr>
      <w:r>
        <w:rPr>
          <w:rFonts w:ascii="宋体" w:hAnsi="宋体" w:cs="宋体"/>
          <w:szCs w:val="21"/>
          <w:highlight w:val="none"/>
        </w:rPr>
        <w:t>4</w:t>
      </w:r>
      <w:r>
        <w:rPr>
          <w:rFonts w:hint="eastAsia" w:ascii="宋体" w:hAnsi="宋体" w:cs="宋体"/>
          <w:szCs w:val="21"/>
          <w:highlight w:val="none"/>
        </w:rPr>
        <w:t>、服务方案；</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5、投标文件中的其他相关文件。</w:t>
      </w:r>
    </w:p>
    <w:p>
      <w:pPr>
        <w:spacing w:line="360" w:lineRule="auto"/>
        <w:ind w:firstLine="420" w:firstLineChars="200"/>
        <w:rPr>
          <w:rFonts w:hint="eastAsia" w:ascii="宋体" w:hAnsi="宋体" w:cs="宋体"/>
          <w:szCs w:val="21"/>
          <w:highlight w:val="none"/>
        </w:rPr>
      </w:pPr>
      <w:r>
        <w:rPr>
          <w:rFonts w:ascii="宋体" w:hAnsi="宋体" w:cs="宋体"/>
          <w:szCs w:val="21"/>
          <w:highlight w:val="none"/>
        </w:rPr>
        <w:t>6</w:t>
      </w:r>
      <w:r>
        <w:rPr>
          <w:rFonts w:hint="eastAsia" w:ascii="宋体" w:hAnsi="宋体" w:cs="宋体"/>
          <w:szCs w:val="21"/>
          <w:highlight w:val="none"/>
        </w:rPr>
        <w:t>、上述合同文件互相补充和解释。如果合同文件之间存在矛盾或者不一致之处，以上述文件的排列顺序在先者为准。</w:t>
      </w:r>
    </w:p>
    <w:p>
      <w:pPr>
        <w:spacing w:line="360" w:lineRule="auto"/>
        <w:ind w:firstLine="422" w:firstLineChars="200"/>
        <w:rPr>
          <w:rFonts w:hint="eastAsia" w:ascii="宋体" w:hAnsi="宋体" w:cs="宋体"/>
          <w:szCs w:val="21"/>
          <w:highlight w:val="none"/>
        </w:rPr>
      </w:pPr>
      <w:r>
        <w:rPr>
          <w:rFonts w:hint="eastAsia" w:ascii="宋体" w:hAnsi="宋体" w:cs="宋体"/>
          <w:b/>
          <w:szCs w:val="21"/>
          <w:highlight w:val="none"/>
        </w:rPr>
        <w:t>第十</w:t>
      </w:r>
      <w:r>
        <w:rPr>
          <w:rFonts w:hint="eastAsia" w:ascii="宋体" w:hAnsi="宋体" w:cs="宋体"/>
          <w:b/>
          <w:szCs w:val="21"/>
          <w:highlight w:val="none"/>
          <w:lang w:val="en-US" w:eastAsia="zh-CN"/>
        </w:rPr>
        <w:t>八</w:t>
      </w:r>
      <w:r>
        <w:rPr>
          <w:rFonts w:hint="eastAsia" w:ascii="宋体" w:hAnsi="宋体" w:cs="宋体"/>
          <w:b/>
          <w:szCs w:val="21"/>
          <w:highlight w:val="none"/>
        </w:rPr>
        <w:t>条　</w:t>
      </w:r>
      <w:r>
        <w:rPr>
          <w:rFonts w:hint="eastAsia" w:ascii="宋体" w:hAnsi="宋体" w:cs="宋体"/>
          <w:szCs w:val="21"/>
          <w:highlight w:val="none"/>
        </w:rPr>
        <w:t>本合同一式六份，具有同等法律效力，财政部门（政府采购监管部门）、采购代理机构各一份，甲乙双方各一份（可根据需要另增加）。</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本合同甲乙双方签字盖章后生效，自签订之日起七个工作日内，甲方应当将合同副本报同级财政部门备案。</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本合同自签订之日起2个工作日内，甲方应当将采购合同在广西壮族自治区财政厅指定的媒体上公告。</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 xml:space="preserve">甲方（章）           </w:t>
            </w:r>
          </w:p>
          <w:p>
            <w:pPr>
              <w:snapToGrid w:val="0"/>
              <w:spacing w:line="360" w:lineRule="auto"/>
              <w:rPr>
                <w:rFonts w:hint="eastAsia" w:ascii="宋体" w:hAnsi="宋体"/>
                <w:szCs w:val="21"/>
                <w:highlight w:val="none"/>
              </w:rPr>
            </w:pPr>
          </w:p>
          <w:p>
            <w:pPr>
              <w:snapToGrid w:val="0"/>
              <w:spacing w:line="360" w:lineRule="auto"/>
              <w:ind w:firstLine="945" w:firstLineChars="450"/>
              <w:jc w:val="right"/>
              <w:rPr>
                <w:rFonts w:hint="eastAsia" w:ascii="宋体" w:hAnsi="宋体"/>
                <w:szCs w:val="21"/>
                <w:highlight w:val="none"/>
              </w:rPr>
            </w:pPr>
            <w:r>
              <w:rPr>
                <w:rFonts w:hint="eastAsia" w:ascii="宋体" w:hAnsi="宋体"/>
                <w:szCs w:val="21"/>
                <w:highlight w:val="none"/>
              </w:rPr>
              <w:t>年   月   日</w:t>
            </w:r>
          </w:p>
        </w:tc>
        <w:tc>
          <w:tcPr>
            <w:tcW w:w="4517"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 xml:space="preserve">乙方（章）              </w:t>
            </w:r>
          </w:p>
          <w:p>
            <w:pPr>
              <w:snapToGrid w:val="0"/>
              <w:spacing w:line="360" w:lineRule="auto"/>
              <w:rPr>
                <w:rFonts w:hint="eastAsia" w:ascii="宋体" w:hAnsi="宋体"/>
                <w:szCs w:val="21"/>
                <w:highlight w:val="none"/>
              </w:rPr>
            </w:pPr>
          </w:p>
          <w:p>
            <w:pPr>
              <w:snapToGrid w:val="0"/>
              <w:spacing w:line="360" w:lineRule="auto"/>
              <w:jc w:val="right"/>
              <w:rPr>
                <w:rFonts w:hint="eastAsia" w:ascii="宋体" w:hAnsi="宋体"/>
                <w:szCs w:val="21"/>
                <w:highlight w:val="none"/>
              </w:rPr>
            </w:pPr>
            <w:r>
              <w:rPr>
                <w:rFonts w:hint="eastAsia" w:ascii="宋体" w:hAnsi="宋体"/>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单位地址：</w:t>
            </w:r>
          </w:p>
        </w:tc>
        <w:tc>
          <w:tcPr>
            <w:tcW w:w="4517"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4516" w:type="dxa"/>
            <w:noWrap w:val="0"/>
            <w:vAlign w:val="top"/>
          </w:tcPr>
          <w:p>
            <w:pPr>
              <w:snapToGrid w:val="0"/>
              <w:spacing w:line="360" w:lineRule="auto"/>
              <w:rPr>
                <w:rFonts w:hint="eastAsia" w:ascii="宋体" w:hAnsi="宋体"/>
                <w:szCs w:val="21"/>
                <w:highlight w:val="none"/>
              </w:rPr>
            </w:pPr>
            <w:r>
              <w:rPr>
                <w:rFonts w:hint="eastAsia" w:ascii="宋体" w:hAnsi="宋体"/>
                <w:szCs w:val="21"/>
                <w:highlight w:val="none"/>
              </w:rPr>
              <w:t>法定代表人或者委托代理人：</w:t>
            </w:r>
          </w:p>
        </w:tc>
        <w:tc>
          <w:tcPr>
            <w:tcW w:w="4517" w:type="dxa"/>
            <w:noWrap w:val="0"/>
            <w:vAlign w:val="top"/>
          </w:tcPr>
          <w:p>
            <w:pPr>
              <w:snapToGrid w:val="0"/>
              <w:spacing w:line="360" w:lineRule="auto"/>
              <w:rPr>
                <w:rFonts w:hint="eastAsia" w:ascii="宋体" w:hAnsi="宋体"/>
                <w:szCs w:val="21"/>
                <w:highlight w:val="none"/>
              </w:rPr>
            </w:pPr>
            <w:r>
              <w:rPr>
                <w:rFonts w:hint="eastAsia" w:ascii="宋体" w:hAnsi="宋体"/>
                <w:szCs w:val="21"/>
                <w:highlight w:val="none"/>
              </w:rPr>
              <w:t>法定代表人或者委托代理人：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4516"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电话：</w:t>
            </w:r>
          </w:p>
        </w:tc>
        <w:tc>
          <w:tcPr>
            <w:tcW w:w="4517"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4516"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电子邮箱：</w:t>
            </w:r>
          </w:p>
        </w:tc>
        <w:tc>
          <w:tcPr>
            <w:tcW w:w="4517"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开户银行：</w:t>
            </w:r>
          </w:p>
        </w:tc>
        <w:tc>
          <w:tcPr>
            <w:tcW w:w="4517"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4516"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账号：</w:t>
            </w:r>
          </w:p>
        </w:tc>
        <w:tc>
          <w:tcPr>
            <w:tcW w:w="4517"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516"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邮政编码：</w:t>
            </w:r>
          </w:p>
        </w:tc>
        <w:tc>
          <w:tcPr>
            <w:tcW w:w="4517" w:type="dxa"/>
            <w:noWrap w:val="0"/>
            <w:vAlign w:val="center"/>
          </w:tcPr>
          <w:p>
            <w:pPr>
              <w:snapToGrid w:val="0"/>
              <w:spacing w:line="360" w:lineRule="auto"/>
              <w:rPr>
                <w:rFonts w:hint="eastAsia" w:ascii="宋体" w:hAnsi="宋体"/>
                <w:szCs w:val="21"/>
                <w:highlight w:val="none"/>
              </w:rPr>
            </w:pPr>
            <w:r>
              <w:rPr>
                <w:rFonts w:hint="eastAsia" w:ascii="宋体" w:hAnsi="宋体"/>
                <w:szCs w:val="21"/>
                <w:highlight w:val="none"/>
              </w:rPr>
              <w:t>邮政编码：</w:t>
            </w:r>
          </w:p>
        </w:tc>
      </w:tr>
      <w:bookmarkEnd w:id="41"/>
    </w:tbl>
    <w:p>
      <w:pPr>
        <w:pStyle w:val="4"/>
        <w:jc w:val="center"/>
        <w:rPr>
          <w:rFonts w:hint="eastAsia"/>
          <w:highlight w:val="none"/>
        </w:rPr>
        <w:sectPr>
          <w:footerReference r:id="rId7" w:type="default"/>
          <w:pgSz w:w="11906" w:h="16838"/>
          <w:pgMar w:top="1134" w:right="1134" w:bottom="1134" w:left="1134" w:header="851" w:footer="709" w:gutter="0"/>
          <w:pgNumType w:fmt="decimal" w:start="1"/>
          <w:cols w:space="720" w:num="1"/>
          <w:docGrid w:linePitch="312" w:charSpace="0"/>
        </w:sectPr>
      </w:pPr>
    </w:p>
    <w:p>
      <w:pPr>
        <w:rPr>
          <w:rFonts w:hint="eastAsia" w:ascii="宋体" w:hAnsi="宋体" w:cs="宋体"/>
          <w:color w:val="auto"/>
          <w:sz w:val="32"/>
          <w:szCs w:val="32"/>
          <w:highlight w:val="none"/>
        </w:rPr>
      </w:pPr>
    </w:p>
    <w:p>
      <w:pPr>
        <w:pStyle w:val="4"/>
        <w:spacing w:line="480" w:lineRule="exact"/>
        <w:ind w:firstLine="482"/>
        <w:jc w:val="center"/>
        <w:rPr>
          <w:rFonts w:ascii="宋体" w:hAnsi="宋体" w:cs="宋体"/>
          <w:color w:val="auto"/>
          <w:sz w:val="32"/>
          <w:szCs w:val="32"/>
          <w:highlight w:val="none"/>
        </w:rPr>
      </w:pPr>
      <w:r>
        <w:rPr>
          <w:rFonts w:hint="eastAsia" w:ascii="宋体" w:hAnsi="宋体" w:cs="宋体"/>
          <w:color w:val="auto"/>
          <w:sz w:val="32"/>
          <w:szCs w:val="32"/>
          <w:highlight w:val="none"/>
        </w:rPr>
        <w:t>第六章 评审方法和评审标准</w:t>
      </w:r>
      <w:bookmarkEnd w:id="42"/>
    </w:p>
    <w:p>
      <w:pPr>
        <w:pStyle w:val="27"/>
        <w:spacing w:line="360" w:lineRule="exact"/>
        <w:ind w:firstLine="420"/>
        <w:rPr>
          <w:rFonts w:hAnsi="宋体" w:cs="宋体"/>
          <w:b/>
          <w:bCs/>
          <w:color w:val="auto"/>
          <w:sz w:val="21"/>
          <w:highlight w:val="none"/>
        </w:rPr>
      </w:pPr>
      <w:r>
        <w:rPr>
          <w:rFonts w:hint="eastAsia" w:hAnsi="宋体" w:cs="宋体"/>
          <w:b/>
          <w:bCs/>
          <w:color w:val="auto"/>
          <w:sz w:val="21"/>
          <w:highlight w:val="none"/>
        </w:rPr>
        <w:t>一、评标原则</w:t>
      </w:r>
    </w:p>
    <w:p>
      <w:pPr>
        <w:spacing w:line="360" w:lineRule="exact"/>
        <w:ind w:firstLine="420" w:firstLineChars="200"/>
        <w:rPr>
          <w:rFonts w:ascii="宋体" w:hAnsi="宋体" w:cs="宋体"/>
          <w:color w:val="auto"/>
          <w:szCs w:val="21"/>
          <w:highlight w:val="none"/>
        </w:rPr>
      </w:pPr>
      <w:r>
        <w:rPr>
          <w:rFonts w:hint="eastAsia" w:ascii="宋体" w:hAnsi="宋体" w:cs="宋体"/>
          <w:bCs/>
          <w:color w:val="auto"/>
          <w:szCs w:val="21"/>
          <w:highlight w:val="none"/>
        </w:rPr>
        <w:t xml:space="preserve"> </w:t>
      </w:r>
      <w:r>
        <w:rPr>
          <w:rFonts w:hint="eastAsia" w:ascii="宋体" w:hAnsi="宋体" w:cs="宋体"/>
          <w:color w:val="auto"/>
          <w:szCs w:val="21"/>
          <w:highlight w:val="none"/>
        </w:rPr>
        <w:t>(一) “磋商小组”构成：本采购项目的“磋商小组”分别由依法组成的评审专家、采购人代表共</w:t>
      </w:r>
      <w:r>
        <w:rPr>
          <w:rFonts w:hint="eastAsia" w:ascii="宋体" w:hAnsi="宋体" w:cs="宋体"/>
          <w:color w:val="auto"/>
          <w:szCs w:val="21"/>
          <w:highlight w:val="none"/>
          <w:u w:val="single"/>
        </w:rPr>
        <w:t>三</w:t>
      </w:r>
      <w:r>
        <w:rPr>
          <w:rFonts w:hint="eastAsia" w:ascii="宋体" w:hAnsi="宋体" w:cs="宋体"/>
          <w:color w:val="auto"/>
          <w:szCs w:val="21"/>
          <w:highlight w:val="none"/>
        </w:rPr>
        <w:t>人以上单数构成，其中评审专家人数不少于成员总数的三分之二。</w:t>
      </w:r>
    </w:p>
    <w:p>
      <w:pPr>
        <w:pStyle w:val="27"/>
        <w:spacing w:line="360" w:lineRule="exact"/>
        <w:ind w:firstLine="420"/>
        <w:rPr>
          <w:rFonts w:hAnsi="宋体" w:cs="宋体"/>
          <w:color w:val="auto"/>
          <w:kern w:val="2"/>
          <w:sz w:val="21"/>
          <w:highlight w:val="none"/>
        </w:rPr>
      </w:pPr>
      <w:r>
        <w:rPr>
          <w:rFonts w:hint="eastAsia" w:hAnsi="宋体" w:cs="宋体"/>
          <w:color w:val="auto"/>
          <w:kern w:val="2"/>
          <w:sz w:val="21"/>
          <w:highlight w:val="none"/>
        </w:rPr>
        <w:t>(二)评审依据：</w:t>
      </w:r>
    </w:p>
    <w:p>
      <w:pPr>
        <w:pStyle w:val="27"/>
        <w:spacing w:line="360" w:lineRule="exact"/>
        <w:ind w:firstLine="420"/>
        <w:rPr>
          <w:rFonts w:hAnsi="宋体" w:cs="宋体"/>
          <w:color w:val="auto"/>
          <w:kern w:val="2"/>
          <w:sz w:val="21"/>
          <w:highlight w:val="none"/>
        </w:rPr>
      </w:pPr>
      <w:r>
        <w:rPr>
          <w:rFonts w:hint="eastAsia" w:hAnsi="宋体" w:cs="宋体"/>
          <w:color w:val="auto"/>
          <w:kern w:val="2"/>
          <w:sz w:val="21"/>
          <w:highlight w:val="none"/>
        </w:rPr>
        <w:t>1、以磋商文件和响应文件为评审依据，对供应商的价格、实施方案、企业实力等方面内容按百分制打分。</w:t>
      </w:r>
    </w:p>
    <w:p>
      <w:pPr>
        <w:keepNext w:val="0"/>
        <w:keepLines w:val="0"/>
        <w:pageBreakBefore w:val="0"/>
        <w:widowControl/>
        <w:kinsoku/>
        <w:wordWrap/>
        <w:overflowPunct/>
        <w:topLinePunct w:val="0"/>
        <w:autoSpaceDE/>
        <w:autoSpaceDN/>
        <w:bidi w:val="0"/>
        <w:snapToGrid/>
        <w:spacing w:line="312" w:lineRule="auto"/>
        <w:ind w:firstLine="420" w:firstLineChars="200"/>
        <w:textAlignment w:val="baseline"/>
        <w:rPr>
          <w:rFonts w:hAnsi="宋体" w:cs="宋体"/>
          <w:color w:val="auto"/>
          <w:kern w:val="2"/>
          <w:sz w:val="21"/>
          <w:highlight w:val="none"/>
        </w:rPr>
      </w:pPr>
      <w:r>
        <w:rPr>
          <w:rFonts w:hint="eastAsia" w:ascii="宋体" w:hAnsi="宋体" w:cs="宋体"/>
          <w:color w:val="auto"/>
          <w:szCs w:val="21"/>
          <w:highlight w:val="none"/>
        </w:rPr>
        <w:t>2、</w:t>
      </w:r>
      <w:r>
        <w:rPr>
          <w:rStyle w:val="226"/>
          <w:rFonts w:hint="eastAsia" w:ascii="宋体" w:hAnsi="宋体" w:eastAsia="宋体" w:cs="宋体"/>
          <w:color w:val="auto"/>
          <w:kern w:val="0"/>
          <w:sz w:val="21"/>
          <w:szCs w:val="21"/>
          <w:highlight w:val="none"/>
          <w:lang w:val="en-US" w:eastAsia="zh-CN"/>
        </w:rPr>
        <w:t>本项目</w:t>
      </w:r>
      <w:r>
        <w:rPr>
          <w:rStyle w:val="226"/>
          <w:rFonts w:hint="eastAsia" w:ascii="宋体" w:hAnsi="宋体" w:eastAsia="宋体" w:cs="宋体"/>
          <w:color w:val="auto"/>
          <w:kern w:val="0"/>
          <w:sz w:val="21"/>
          <w:szCs w:val="21"/>
          <w:highlight w:val="none"/>
        </w:rPr>
        <w:t>专门面向中小企业采购的项目或者采购包，不再执行价格评审优惠的扶持政策</w:t>
      </w:r>
      <w:r>
        <w:rPr>
          <w:rFonts w:hint="eastAsia" w:hAnsi="宋体" w:cs="宋体"/>
          <w:color w:val="auto"/>
          <w:kern w:val="2"/>
          <w:sz w:val="21"/>
          <w:highlight w:val="none"/>
        </w:rPr>
        <w:t>。</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color w:val="auto"/>
          <w:szCs w:val="21"/>
          <w:highlight w:val="none"/>
        </w:rPr>
        <w:t>3、根据《关于推动解决政府采购异常低价问题的通知》（财库〔2026〕2号）的规定，评审中出现下列情形之一的，评标委员会应当启动异常低价投标审查程序：</w:t>
      </w:r>
    </w:p>
    <w:p>
      <w:pPr>
        <w:pStyle w:val="27"/>
        <w:spacing w:line="360" w:lineRule="exact"/>
        <w:ind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①投标报价低于全部通过符合性审查供应商投标报价平均值50%的，即投标报价&lt;全部通过符合性审查供应商投标报价平均值×50%；</w:t>
      </w:r>
    </w:p>
    <w:p>
      <w:pPr>
        <w:pStyle w:val="27"/>
        <w:spacing w:line="360" w:lineRule="exact"/>
        <w:ind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②投标报价低于通过符合性审查的次低报价供应商投标报价50%的，即投标报价&lt;通过符合性审查的次低报价供应商投标报价×50%；</w:t>
      </w:r>
    </w:p>
    <w:p>
      <w:pPr>
        <w:pStyle w:val="27"/>
        <w:spacing w:line="360" w:lineRule="exact"/>
        <w:ind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③投标报价低于采购项目最高限价45%的，即投标报价&lt;采购项目最高限价×45%；</w:t>
      </w:r>
    </w:p>
    <w:p>
      <w:pPr>
        <w:pStyle w:val="27"/>
        <w:spacing w:line="360" w:lineRule="exact"/>
        <w:ind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④评标委员会基于专业判断，认为供应商报价过低，有可能影响产品质量或者不能诚信履约的其他情形。</w:t>
      </w:r>
    </w:p>
    <w:p>
      <w:pPr>
        <w:pStyle w:val="27"/>
        <w:spacing w:line="360" w:lineRule="exact"/>
        <w:ind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评标委员会启动异常低价投标审查后，属于前述第①项至第④项情形的，应当要求相关供应商在评审现场合理的时间内对投标价格作出解释，提供项目具体成本测算等与报价合理性相关的书面说明及必要的证明材料，包括但不限于原材料成本、人工成本、制造费用等。其中，属于第③项情形，供应商已随投标文件一并提交相关书面说明及必要的证明材料的，在评审现场可不再重复提交。</w:t>
      </w:r>
    </w:p>
    <w:p>
      <w:pPr>
        <w:pStyle w:val="27"/>
        <w:spacing w:line="360" w:lineRule="exact"/>
        <w:ind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（三）评标方式：以封闭方式进行。评审全过程中不允许供应商与“磋商小组”之间有可能影响到评审结果公正性的私下会面与谈话，以体现公平、公正的基本原则。</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二、评审方法</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（一）资格审查</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磋商小组依法对供应商的资格进行审查。</w:t>
      </w:r>
    </w:p>
    <w:tbl>
      <w:tblPr>
        <w:tblStyle w:val="44"/>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750"/>
        <w:gridCol w:w="3051"/>
        <w:gridCol w:w="4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jc w:val="center"/>
              <w:rPr>
                <w:rFonts w:hAnsi="宋体" w:cs="宋体"/>
                <w:color w:val="auto"/>
                <w:kern w:val="2"/>
                <w:sz w:val="21"/>
                <w:highlight w:val="none"/>
              </w:rPr>
            </w:pPr>
            <w:r>
              <w:rPr>
                <w:rFonts w:hint="eastAsia" w:hAnsi="宋体" w:cs="宋体"/>
                <w:color w:val="auto"/>
                <w:sz w:val="21"/>
                <w:highlight w:val="none"/>
              </w:rPr>
              <w:t>序号</w:t>
            </w:r>
          </w:p>
        </w:tc>
        <w:tc>
          <w:tcPr>
            <w:tcW w:w="3801" w:type="dxa"/>
            <w:gridSpan w:val="2"/>
            <w:tcBorders>
              <w:top w:val="single" w:color="auto" w:sz="4" w:space="0"/>
              <w:left w:val="single" w:color="auto" w:sz="4" w:space="0"/>
              <w:bottom w:val="single" w:color="auto" w:sz="4" w:space="0"/>
              <w:right w:val="single" w:color="auto" w:sz="4" w:space="0"/>
            </w:tcBorders>
            <w:vAlign w:val="center"/>
          </w:tcPr>
          <w:p>
            <w:pPr>
              <w:pStyle w:val="27"/>
              <w:spacing w:line="360" w:lineRule="exact"/>
              <w:jc w:val="center"/>
              <w:rPr>
                <w:rFonts w:hAnsi="宋体" w:cs="宋体"/>
                <w:color w:val="auto"/>
                <w:kern w:val="2"/>
                <w:sz w:val="21"/>
                <w:highlight w:val="none"/>
              </w:rPr>
            </w:pPr>
            <w:r>
              <w:rPr>
                <w:rFonts w:hint="eastAsia" w:hAnsi="宋体" w:cs="宋体"/>
                <w:color w:val="auto"/>
                <w:sz w:val="21"/>
                <w:highlight w:val="none"/>
              </w:rPr>
              <w:t>检查因素</w:t>
            </w:r>
          </w:p>
        </w:tc>
        <w:tc>
          <w:tcPr>
            <w:tcW w:w="4985"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jc w:val="center"/>
              <w:rPr>
                <w:rFonts w:hAnsi="宋体" w:cs="宋体"/>
                <w:color w:val="auto"/>
                <w:kern w:val="2"/>
                <w:sz w:val="21"/>
                <w:highlight w:val="none"/>
              </w:rPr>
            </w:pPr>
            <w:r>
              <w:rPr>
                <w:rFonts w:hint="eastAsia" w:hAnsi="宋体" w:cs="宋体"/>
                <w:color w:val="auto"/>
                <w:sz w:val="21"/>
                <w:highlight w:val="none"/>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vMerge w:val="restart"/>
            <w:tcBorders>
              <w:top w:val="single" w:color="auto" w:sz="4" w:space="0"/>
              <w:left w:val="single" w:color="auto" w:sz="4" w:space="0"/>
              <w:bottom w:val="single" w:color="auto" w:sz="4" w:space="0"/>
              <w:right w:val="single" w:color="auto" w:sz="4" w:space="0"/>
            </w:tcBorders>
            <w:vAlign w:val="center"/>
          </w:tcPr>
          <w:p>
            <w:pPr>
              <w:pStyle w:val="27"/>
              <w:spacing w:line="360" w:lineRule="exact"/>
              <w:rPr>
                <w:rFonts w:hAnsi="宋体" w:cs="宋体"/>
                <w:color w:val="auto"/>
                <w:kern w:val="2"/>
                <w:sz w:val="21"/>
                <w:highlight w:val="none"/>
              </w:rPr>
            </w:pPr>
            <w:r>
              <w:rPr>
                <w:rFonts w:hint="eastAsia" w:hAnsi="宋体" w:cs="宋体"/>
                <w:color w:val="auto"/>
                <w:sz w:val="21"/>
                <w:highlight w:val="none"/>
              </w:rPr>
              <w:t>（一）</w:t>
            </w:r>
          </w:p>
        </w:tc>
        <w:tc>
          <w:tcPr>
            <w:tcW w:w="750" w:type="dxa"/>
            <w:vMerge w:val="restart"/>
            <w:tcBorders>
              <w:top w:val="single" w:color="auto" w:sz="4" w:space="0"/>
              <w:left w:val="single" w:color="auto" w:sz="4" w:space="0"/>
              <w:bottom w:val="single" w:color="auto" w:sz="4" w:space="0"/>
              <w:right w:val="single" w:color="auto" w:sz="4" w:space="0"/>
            </w:tcBorders>
            <w:vAlign w:val="center"/>
          </w:tcPr>
          <w:p>
            <w:pPr>
              <w:pStyle w:val="27"/>
              <w:spacing w:line="360" w:lineRule="exact"/>
              <w:jc w:val="center"/>
              <w:rPr>
                <w:rFonts w:hAnsi="宋体" w:cs="宋体"/>
                <w:color w:val="auto"/>
                <w:kern w:val="2"/>
                <w:sz w:val="21"/>
                <w:highlight w:val="none"/>
              </w:rPr>
            </w:pPr>
            <w:r>
              <w:rPr>
                <w:rFonts w:hint="eastAsia" w:cs="宋体"/>
                <w:color w:val="auto"/>
                <w:sz w:val="21"/>
                <w:highlight w:val="none"/>
                <w:lang w:eastAsia="zh-CN"/>
              </w:rPr>
              <w:t>供应商</w:t>
            </w:r>
            <w:r>
              <w:rPr>
                <w:rFonts w:hint="eastAsia" w:hAnsi="宋体" w:cs="宋体"/>
                <w:color w:val="auto"/>
                <w:sz w:val="21"/>
                <w:highlight w:val="none"/>
              </w:rPr>
              <w:t>应符合的基本资格条件</w:t>
            </w:r>
          </w:p>
        </w:tc>
        <w:tc>
          <w:tcPr>
            <w:tcW w:w="3051"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1.具有独立承担民事责任的能力</w:t>
            </w:r>
          </w:p>
        </w:tc>
        <w:tc>
          <w:tcPr>
            <w:tcW w:w="4985"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bookmarkStart w:id="43" w:name="OLE_LINK9"/>
            <w:r>
              <w:rPr>
                <w:rFonts w:hint="eastAsia" w:ascii="宋体" w:hAnsi="宋体" w:eastAsia="宋体" w:cs="宋体"/>
                <w:color w:val="auto"/>
                <w:kern w:val="0"/>
                <w:sz w:val="21"/>
                <w:szCs w:val="21"/>
                <w:highlight w:val="none"/>
                <w:lang w:val="en-US" w:eastAsia="zh-CN" w:bidi="ar-SA"/>
              </w:rPr>
              <w:t>1.投标供应商提供合法的主体资格证明（如营业执照、事业单位法人证书、执业许可证、个体工商户营业执照、自然人身份证等）复印件、税务登记证、组织机构代码证副本复印件（采用“三证合一”营业执照的，不须提供税务登记证、组织机构代码证）。</w:t>
            </w:r>
          </w:p>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2.如为分支机构投标的，须提供其总公司“营业执照”副本复印件和总公司对</w:t>
            </w:r>
            <w:r>
              <w:rPr>
                <w:rFonts w:hint="eastAsia" w:cs="宋体"/>
                <w:color w:val="auto"/>
                <w:kern w:val="0"/>
                <w:sz w:val="21"/>
                <w:szCs w:val="21"/>
                <w:highlight w:val="none"/>
                <w:lang w:val="en-US" w:eastAsia="zh-CN" w:bidi="ar-SA"/>
              </w:rPr>
              <w:t>供应商</w:t>
            </w:r>
            <w:r>
              <w:rPr>
                <w:rFonts w:hint="eastAsia" w:ascii="宋体" w:hAnsi="宋体" w:eastAsia="宋体" w:cs="宋体"/>
                <w:color w:val="auto"/>
                <w:kern w:val="0"/>
                <w:sz w:val="21"/>
                <w:szCs w:val="21"/>
                <w:highlight w:val="none"/>
                <w:lang w:val="en-US" w:eastAsia="zh-CN" w:bidi="ar-SA"/>
              </w:rPr>
              <w:t>参与本项目投标的授权书原件。</w:t>
            </w:r>
            <w:bookmark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szCs w:val="21"/>
                <w:highlight w:val="none"/>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szCs w:val="21"/>
                <w:highlight w:val="none"/>
              </w:rPr>
            </w:pPr>
          </w:p>
        </w:tc>
        <w:tc>
          <w:tcPr>
            <w:tcW w:w="3051"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2.具有良好的商业信誉和健全的财务会计制度、有依法缴纳税收和社会保障金的良好记录</w:t>
            </w:r>
          </w:p>
        </w:tc>
        <w:tc>
          <w:tcPr>
            <w:tcW w:w="4985"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政府采购供应商资格信用承诺函(按格式填写)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szCs w:val="21"/>
                <w:highlight w:val="none"/>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szCs w:val="21"/>
                <w:highlight w:val="none"/>
              </w:rPr>
            </w:pPr>
          </w:p>
        </w:tc>
        <w:tc>
          <w:tcPr>
            <w:tcW w:w="3051"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bookmarkStart w:id="44" w:name="OLE_LINK27"/>
            <w:r>
              <w:rPr>
                <w:rFonts w:hint="eastAsia" w:ascii="宋体" w:hAnsi="宋体" w:eastAsia="宋体" w:cs="宋体"/>
                <w:color w:val="auto"/>
                <w:kern w:val="0"/>
                <w:sz w:val="21"/>
                <w:szCs w:val="21"/>
                <w:highlight w:val="none"/>
                <w:lang w:val="en-US" w:eastAsia="zh-CN" w:bidi="ar-SA"/>
              </w:rPr>
              <w:t>3.具有履行合同所必需的设备和专业技术能力</w:t>
            </w:r>
            <w:bookmarkEnd w:id="44"/>
          </w:p>
        </w:tc>
        <w:tc>
          <w:tcPr>
            <w:tcW w:w="4985"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bookmarkStart w:id="45" w:name="OLE_LINK12"/>
            <w:r>
              <w:rPr>
                <w:rFonts w:hint="eastAsia" w:ascii="宋体" w:hAnsi="宋体" w:eastAsia="宋体" w:cs="宋体"/>
                <w:color w:val="auto"/>
                <w:kern w:val="0"/>
                <w:sz w:val="21"/>
                <w:szCs w:val="21"/>
                <w:highlight w:val="none"/>
                <w:lang w:val="en-US" w:eastAsia="zh-CN" w:bidi="ar-SA"/>
              </w:rPr>
              <w:t>提供磋商声明书或相关证明材料。</w:t>
            </w:r>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szCs w:val="21"/>
                <w:highlight w:val="none"/>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szCs w:val="21"/>
                <w:highlight w:val="none"/>
              </w:rPr>
            </w:pPr>
          </w:p>
        </w:tc>
        <w:tc>
          <w:tcPr>
            <w:tcW w:w="3051"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bookmarkStart w:id="46" w:name="OLE_LINK15"/>
            <w:r>
              <w:rPr>
                <w:rFonts w:hint="eastAsia" w:ascii="宋体" w:hAnsi="宋体" w:eastAsia="宋体" w:cs="宋体"/>
                <w:color w:val="auto"/>
                <w:kern w:val="0"/>
                <w:sz w:val="21"/>
                <w:szCs w:val="21"/>
                <w:highlight w:val="none"/>
                <w:lang w:val="en-US" w:eastAsia="zh-CN" w:bidi="ar-SA"/>
              </w:rPr>
              <w:t>参加政府采购活动前三年内，在经营活动中没有重大违法记录</w:t>
            </w:r>
            <w:bookmarkEnd w:id="46"/>
          </w:p>
        </w:tc>
        <w:tc>
          <w:tcPr>
            <w:tcW w:w="4985"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 提供参加政府采购活动前三年内在经营活动中没有重大违法记录和不良信用记录的书面声明书。</w:t>
            </w:r>
          </w:p>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2.在资格审查时，将通过 “信用中国”网站(www.creditchina.gov.cn)、"中国政府采购网"(www.ccgp.gov.cn)等渠道查询</w:t>
            </w:r>
            <w:r>
              <w:rPr>
                <w:rFonts w:hint="eastAsia" w:cs="宋体"/>
                <w:color w:val="auto"/>
                <w:kern w:val="0"/>
                <w:sz w:val="21"/>
                <w:szCs w:val="21"/>
                <w:highlight w:val="none"/>
                <w:lang w:val="en-US" w:eastAsia="zh-CN" w:bidi="ar-SA"/>
              </w:rPr>
              <w:t>供应商</w:t>
            </w:r>
            <w:r>
              <w:rPr>
                <w:rFonts w:hint="eastAsia" w:ascii="宋体" w:hAnsi="宋体" w:eastAsia="宋体" w:cs="宋体"/>
                <w:color w:val="auto"/>
                <w:kern w:val="0"/>
                <w:sz w:val="21"/>
                <w:szCs w:val="21"/>
                <w:highlight w:val="none"/>
                <w:lang w:val="en-US" w:eastAsia="zh-CN" w:bidi="ar-SA"/>
              </w:rPr>
              <w:t>信用记录，对列入失信被执行人、重大税收违法案件当事人名单、政府采购严重违法失信行为记录名单的</w:t>
            </w:r>
            <w:r>
              <w:rPr>
                <w:rFonts w:hint="eastAsia" w:cs="宋体"/>
                <w:color w:val="auto"/>
                <w:kern w:val="0"/>
                <w:sz w:val="21"/>
                <w:szCs w:val="21"/>
                <w:highlight w:val="none"/>
                <w:lang w:val="en-US" w:eastAsia="zh-CN" w:bidi="ar-SA"/>
              </w:rPr>
              <w:t>供应商</w:t>
            </w:r>
            <w:r>
              <w:rPr>
                <w:rFonts w:hint="eastAsia" w:ascii="宋体" w:hAnsi="宋体" w:eastAsia="宋体" w:cs="宋体"/>
                <w:color w:val="auto"/>
                <w:kern w:val="0"/>
                <w:sz w:val="21"/>
                <w:szCs w:val="21"/>
                <w:highlight w:val="none"/>
                <w:lang w:val="en-US" w:eastAsia="zh-CN" w:bidi="ar-SA"/>
              </w:rPr>
              <w:t>将拒绝其参与政府采购活动。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szCs w:val="21"/>
                <w:highlight w:val="none"/>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szCs w:val="21"/>
                <w:highlight w:val="none"/>
              </w:rPr>
            </w:pPr>
          </w:p>
        </w:tc>
        <w:tc>
          <w:tcPr>
            <w:tcW w:w="3051" w:type="dxa"/>
            <w:vMerge w:val="restart"/>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5.法律、行政法规规定的其他条件</w:t>
            </w:r>
          </w:p>
        </w:tc>
        <w:tc>
          <w:tcPr>
            <w:tcW w:w="4985"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1.单位负责人为同一人或者存在直接控股、管理关系的不同供应商，不得参加同一合同项下的政府采购活动。</w:t>
            </w:r>
          </w:p>
          <w:p>
            <w:pPr>
              <w:pStyle w:val="27"/>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提供</w:t>
            </w:r>
            <w:r>
              <w:rPr>
                <w:rFonts w:hint="eastAsia" w:cs="宋体"/>
                <w:color w:val="auto"/>
                <w:kern w:val="0"/>
                <w:sz w:val="21"/>
                <w:szCs w:val="21"/>
                <w:highlight w:val="none"/>
                <w:lang w:val="en-US" w:eastAsia="zh-CN" w:bidi="ar-SA"/>
              </w:rPr>
              <w:t>供应商</w:t>
            </w:r>
            <w:r>
              <w:rPr>
                <w:rFonts w:hint="eastAsia" w:ascii="宋体" w:hAnsi="宋体" w:eastAsia="宋体" w:cs="宋体"/>
                <w:color w:val="auto"/>
                <w:kern w:val="0"/>
                <w:sz w:val="21"/>
                <w:szCs w:val="21"/>
                <w:highlight w:val="none"/>
                <w:lang w:val="en-US" w:eastAsia="zh-CN" w:bidi="ar-SA"/>
              </w:rPr>
              <w:t>直接控股、管理关系信息表。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szCs w:val="21"/>
                <w:highlight w:val="none"/>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szCs w:val="21"/>
                <w:highlight w:val="none"/>
              </w:rPr>
            </w:pPr>
          </w:p>
        </w:tc>
        <w:tc>
          <w:tcPr>
            <w:tcW w:w="305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ind w:firstLine="422" w:firstLineChars="0"/>
              <w:textAlignment w:val="auto"/>
              <w:rPr>
                <w:rFonts w:hint="eastAsia" w:ascii="宋体" w:hAnsi="宋体" w:eastAsia="宋体" w:cs="宋体"/>
                <w:color w:val="auto"/>
                <w:kern w:val="0"/>
                <w:sz w:val="21"/>
                <w:szCs w:val="21"/>
                <w:highlight w:val="none"/>
                <w:lang w:val="en-US" w:eastAsia="zh-CN" w:bidi="ar-SA"/>
              </w:rPr>
            </w:pPr>
          </w:p>
        </w:tc>
        <w:tc>
          <w:tcPr>
            <w:tcW w:w="4985"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kinsoku/>
              <w:wordWrap/>
              <w:overflowPunct/>
              <w:topLinePunct w:val="0"/>
              <w:autoSpaceDE/>
              <w:autoSpaceDN/>
              <w:bidi w:val="0"/>
              <w:adjustRightInd/>
              <w:snapToGrid/>
              <w:spacing w:line="360" w:lineRule="exact"/>
              <w:ind w:firstLine="422"/>
              <w:textAlignment w:val="auto"/>
              <w:rPr>
                <w:rFonts w:hint="eastAsia" w:ascii="宋体" w:hAnsi="宋体" w:eastAsia="宋体" w:cs="宋体"/>
                <w:color w:val="auto"/>
                <w:kern w:val="0"/>
                <w:sz w:val="21"/>
                <w:szCs w:val="21"/>
                <w:highlight w:val="none"/>
                <w:lang w:val="en-US" w:eastAsia="zh-CN" w:bidi="ar-SA"/>
              </w:rPr>
            </w:pPr>
            <w:bookmarkStart w:id="47" w:name="OLE_LINK16"/>
            <w:r>
              <w:rPr>
                <w:rFonts w:hint="eastAsia" w:ascii="宋体" w:hAnsi="宋体" w:eastAsia="宋体" w:cs="宋体"/>
                <w:color w:val="auto"/>
                <w:kern w:val="0"/>
                <w:sz w:val="21"/>
                <w:szCs w:val="21"/>
                <w:highlight w:val="none"/>
                <w:lang w:val="en-US" w:eastAsia="zh-CN" w:bidi="ar-SA"/>
              </w:rPr>
              <w:t>2.为本项目提供过整体设计、规范编制或者项目管理、监理、检测等服务的供应商，不得再参加本项目上述服务以外的其他采购活动。</w:t>
            </w:r>
          </w:p>
          <w:p>
            <w:pPr>
              <w:pStyle w:val="27"/>
              <w:keepNext w:val="0"/>
              <w:keepLines w:val="0"/>
              <w:pageBreakBefore w:val="0"/>
              <w:kinsoku/>
              <w:wordWrap/>
              <w:overflowPunct/>
              <w:topLinePunct w:val="0"/>
              <w:autoSpaceDE/>
              <w:autoSpaceDN/>
              <w:bidi w:val="0"/>
              <w:adjustRightInd/>
              <w:snapToGrid/>
              <w:spacing w:line="360" w:lineRule="exact"/>
              <w:ind w:firstLine="422"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提供磋商声明书</w:t>
            </w:r>
            <w:bookmarkEnd w:id="47"/>
            <w:r>
              <w:rPr>
                <w:rFonts w:hint="eastAsia" w:ascii="宋体" w:hAnsi="宋体" w:eastAsia="宋体" w:cs="宋体"/>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rPr>
                <w:rFonts w:hAnsi="宋体" w:cs="宋体"/>
                <w:color w:val="auto"/>
                <w:kern w:val="2"/>
                <w:sz w:val="21"/>
                <w:highlight w:val="none"/>
              </w:rPr>
            </w:pPr>
            <w:r>
              <w:rPr>
                <w:rFonts w:hint="eastAsia" w:hAnsi="宋体" w:cs="宋体"/>
                <w:color w:val="auto"/>
                <w:sz w:val="21"/>
                <w:highlight w:val="none"/>
              </w:rPr>
              <w:t>（二）</w:t>
            </w:r>
          </w:p>
        </w:tc>
        <w:tc>
          <w:tcPr>
            <w:tcW w:w="3801" w:type="dxa"/>
            <w:gridSpan w:val="2"/>
            <w:tcBorders>
              <w:top w:val="single" w:color="auto" w:sz="4" w:space="0"/>
              <w:left w:val="single" w:color="auto" w:sz="4" w:space="0"/>
              <w:bottom w:val="single" w:color="auto" w:sz="4" w:space="0"/>
              <w:right w:val="single" w:color="auto" w:sz="4" w:space="0"/>
            </w:tcBorders>
            <w:vAlign w:val="center"/>
          </w:tcPr>
          <w:p>
            <w:pPr>
              <w:pStyle w:val="27"/>
              <w:spacing w:line="360" w:lineRule="exact"/>
              <w:jc w:val="center"/>
              <w:rPr>
                <w:rFonts w:hAnsi="宋体" w:cs="宋体"/>
                <w:color w:val="auto"/>
                <w:kern w:val="2"/>
                <w:sz w:val="21"/>
                <w:highlight w:val="none"/>
              </w:rPr>
            </w:pPr>
            <w:bookmarkStart w:id="48" w:name="OLE_LINK4"/>
            <w:r>
              <w:rPr>
                <w:rFonts w:hint="eastAsia" w:hAnsi="宋体" w:cs="宋体"/>
                <w:color w:val="auto"/>
                <w:sz w:val="21"/>
                <w:highlight w:val="none"/>
              </w:rPr>
              <w:t>落实政府采购政策需满足的资格要求</w:t>
            </w:r>
            <w:bookmarkEnd w:id="48"/>
          </w:p>
        </w:tc>
        <w:tc>
          <w:tcPr>
            <w:tcW w:w="4985"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rPr>
                <w:rFonts w:hAnsi="宋体" w:cs="宋体"/>
                <w:color w:val="auto"/>
                <w:kern w:val="2"/>
                <w:sz w:val="21"/>
                <w:highlight w:val="none"/>
              </w:rPr>
            </w:pPr>
            <w:r>
              <w:rPr>
                <w:rFonts w:hint="eastAsia" w:hAnsi="宋体" w:cs="宋体"/>
                <w:color w:val="auto"/>
                <w:sz w:val="21"/>
                <w:highlight w:val="none"/>
              </w:rPr>
              <w:t>按</w:t>
            </w:r>
            <w:r>
              <w:rPr>
                <w:rFonts w:hint="eastAsia" w:cs="宋体"/>
                <w:color w:val="auto"/>
                <w:sz w:val="21"/>
                <w:highlight w:val="none"/>
                <w:lang w:val="en-US" w:eastAsia="zh-CN"/>
              </w:rPr>
              <w:t>竞争性磋商</w:t>
            </w:r>
            <w:r>
              <w:rPr>
                <w:rFonts w:hint="eastAsia" w:hAnsi="宋体" w:cs="宋体"/>
                <w:color w:val="auto"/>
                <w:sz w:val="21"/>
                <w:highlight w:val="none"/>
              </w:rPr>
              <w:t>公告“二、申请人的资格要求2.落实政府采购政策需满足的资格要求”的要求提交（</w:t>
            </w:r>
            <w:r>
              <w:rPr>
                <w:rFonts w:hint="eastAsia" w:cs="宋体"/>
                <w:color w:val="auto"/>
                <w:sz w:val="21"/>
                <w:highlight w:val="none"/>
                <w:lang w:val="en-US" w:eastAsia="zh-CN"/>
              </w:rPr>
              <w:t>若</w:t>
            </w:r>
            <w:r>
              <w:rPr>
                <w:rFonts w:hint="eastAsia" w:hAnsi="宋体" w:cs="宋体"/>
                <w:color w:val="auto"/>
                <w:sz w:val="21"/>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rPr>
                <w:rFonts w:hAnsi="宋体" w:cs="宋体"/>
                <w:color w:val="auto"/>
                <w:kern w:val="2"/>
                <w:sz w:val="21"/>
                <w:highlight w:val="none"/>
              </w:rPr>
            </w:pPr>
            <w:r>
              <w:rPr>
                <w:rFonts w:hint="eastAsia" w:hAnsi="宋体" w:cs="宋体"/>
                <w:color w:val="auto"/>
                <w:sz w:val="21"/>
                <w:highlight w:val="none"/>
              </w:rPr>
              <w:t>（三）</w:t>
            </w:r>
          </w:p>
        </w:tc>
        <w:tc>
          <w:tcPr>
            <w:tcW w:w="3801" w:type="dxa"/>
            <w:gridSpan w:val="2"/>
            <w:tcBorders>
              <w:top w:val="single" w:color="auto" w:sz="4" w:space="0"/>
              <w:left w:val="single" w:color="auto" w:sz="4" w:space="0"/>
              <w:bottom w:val="single" w:color="auto" w:sz="4" w:space="0"/>
              <w:right w:val="single" w:color="auto" w:sz="4" w:space="0"/>
            </w:tcBorders>
            <w:vAlign w:val="center"/>
          </w:tcPr>
          <w:p>
            <w:pPr>
              <w:pStyle w:val="27"/>
              <w:spacing w:line="360" w:lineRule="exact"/>
              <w:ind w:firstLine="420" w:firstLineChars="200"/>
              <w:rPr>
                <w:rFonts w:hAnsi="宋体" w:cs="宋体"/>
                <w:color w:val="auto"/>
                <w:kern w:val="2"/>
                <w:sz w:val="21"/>
                <w:highlight w:val="none"/>
              </w:rPr>
            </w:pPr>
            <w:r>
              <w:rPr>
                <w:rFonts w:hint="eastAsia" w:hAnsi="宋体" w:cs="宋体"/>
                <w:color w:val="auto"/>
                <w:sz w:val="21"/>
                <w:highlight w:val="none"/>
              </w:rPr>
              <w:t>特定资格条件</w:t>
            </w:r>
          </w:p>
        </w:tc>
        <w:tc>
          <w:tcPr>
            <w:tcW w:w="4985"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rPr>
                <w:rFonts w:hAnsi="宋体" w:cs="宋体"/>
                <w:color w:val="auto"/>
                <w:kern w:val="2"/>
                <w:sz w:val="21"/>
                <w:highlight w:val="none"/>
              </w:rPr>
            </w:pPr>
            <w:bookmarkStart w:id="49" w:name="OLE_LINK5"/>
            <w:r>
              <w:rPr>
                <w:rFonts w:hint="eastAsia" w:cs="宋体"/>
                <w:color w:val="auto"/>
                <w:sz w:val="21"/>
                <w:highlight w:val="none"/>
                <w:lang w:eastAsia="zh-CN"/>
              </w:rPr>
              <w:t>供应商</w:t>
            </w:r>
            <w:r>
              <w:rPr>
                <w:rFonts w:hint="eastAsia" w:hAnsi="宋体" w:cs="宋体"/>
                <w:color w:val="auto"/>
                <w:sz w:val="21"/>
                <w:highlight w:val="none"/>
              </w:rPr>
              <w:t>须具备</w:t>
            </w:r>
            <w:bookmarkEnd w:id="49"/>
            <w:r>
              <w:rPr>
                <w:rFonts w:hint="eastAsia" w:hAnsi="宋体" w:cs="宋体"/>
                <w:color w:val="auto"/>
                <w:sz w:val="21"/>
                <w:highlight w:val="none"/>
              </w:rPr>
              <w:t>行政主管部门颁发的有效《保安服务许可证》</w:t>
            </w:r>
          </w:p>
        </w:tc>
      </w:tr>
    </w:tbl>
    <w:p>
      <w:pPr>
        <w:pStyle w:val="27"/>
        <w:spacing w:line="360" w:lineRule="exact"/>
        <w:ind w:firstLine="420" w:firstLineChars="200"/>
        <w:rPr>
          <w:rFonts w:hint="eastAsia" w:hAnsi="宋体" w:cs="宋体"/>
          <w:color w:val="auto"/>
          <w:sz w:val="21"/>
          <w:highlight w:val="none"/>
        </w:rPr>
      </w:pPr>
    </w:p>
    <w:p>
      <w:pPr>
        <w:pStyle w:val="27"/>
        <w:spacing w:line="360" w:lineRule="exact"/>
        <w:ind w:firstLine="420" w:firstLineChars="200"/>
        <w:rPr>
          <w:rFonts w:hint="eastAsia" w:hAnsi="宋体" w:cs="宋体"/>
          <w:color w:val="auto"/>
          <w:sz w:val="21"/>
          <w:highlight w:val="none"/>
        </w:rPr>
      </w:pP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（二）符合性审查</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磋商小组根据采购文件要求各</w:t>
      </w:r>
      <w:r>
        <w:rPr>
          <w:rFonts w:hint="eastAsia" w:cs="宋体"/>
          <w:color w:val="auto"/>
          <w:sz w:val="21"/>
          <w:highlight w:val="none"/>
          <w:lang w:eastAsia="zh-CN"/>
        </w:rPr>
        <w:t>供应商</w:t>
      </w:r>
      <w:r>
        <w:rPr>
          <w:rFonts w:hint="eastAsia" w:hAnsi="宋体" w:cs="宋体"/>
          <w:color w:val="auto"/>
          <w:sz w:val="21"/>
          <w:highlight w:val="none"/>
        </w:rPr>
        <w:t>响应文件的有效性、完整性、响应性等进行审查，以确定是否对采购文件的实质性要求作出响应。</w:t>
      </w:r>
    </w:p>
    <w:tbl>
      <w:tblPr>
        <w:tblStyle w:val="44"/>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303"/>
        <w:gridCol w:w="6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rPr>
                <w:rFonts w:hAnsi="宋体" w:cs="宋体"/>
                <w:color w:val="auto"/>
                <w:kern w:val="2"/>
                <w:sz w:val="21"/>
                <w:highlight w:val="none"/>
              </w:rPr>
            </w:pPr>
            <w:r>
              <w:rPr>
                <w:rFonts w:hint="eastAsia" w:hAnsi="宋体" w:cs="宋体"/>
                <w:color w:val="auto"/>
                <w:sz w:val="21"/>
                <w:highlight w:val="none"/>
              </w:rPr>
              <w:t>序号</w:t>
            </w:r>
          </w:p>
        </w:tc>
        <w:tc>
          <w:tcPr>
            <w:tcW w:w="2303"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ind w:firstLine="420" w:firstLineChars="200"/>
              <w:rPr>
                <w:rFonts w:hAnsi="宋体" w:cs="宋体"/>
                <w:color w:val="auto"/>
                <w:kern w:val="2"/>
                <w:sz w:val="21"/>
                <w:highlight w:val="none"/>
              </w:rPr>
            </w:pPr>
            <w:r>
              <w:rPr>
                <w:rFonts w:hint="eastAsia" w:hAnsi="宋体" w:cs="宋体"/>
                <w:color w:val="auto"/>
                <w:sz w:val="21"/>
                <w:highlight w:val="none"/>
              </w:rPr>
              <w:t>评审因素</w:t>
            </w:r>
          </w:p>
        </w:tc>
        <w:tc>
          <w:tcPr>
            <w:tcW w:w="6666"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ind w:firstLine="420" w:firstLineChars="200"/>
              <w:rPr>
                <w:rFonts w:hAnsi="宋体" w:cs="宋体"/>
                <w:color w:val="auto"/>
                <w:kern w:val="2"/>
                <w:sz w:val="21"/>
                <w:highlight w:val="none"/>
              </w:rPr>
            </w:pPr>
            <w:r>
              <w:rPr>
                <w:rFonts w:hint="eastAsia" w:hAnsi="宋体" w:cs="宋体"/>
                <w:color w:val="auto"/>
                <w:sz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jc w:val="center"/>
              <w:rPr>
                <w:rFonts w:hAnsi="宋体" w:cs="宋体"/>
                <w:color w:val="auto"/>
                <w:kern w:val="2"/>
                <w:sz w:val="21"/>
                <w:highlight w:val="none"/>
              </w:rPr>
            </w:pPr>
            <w:r>
              <w:rPr>
                <w:rFonts w:hint="eastAsia" w:hAnsi="宋体" w:cs="宋体"/>
                <w:color w:val="auto"/>
                <w:sz w:val="21"/>
                <w:highlight w:val="none"/>
              </w:rPr>
              <w:t>1</w:t>
            </w:r>
          </w:p>
        </w:tc>
        <w:tc>
          <w:tcPr>
            <w:tcW w:w="2303"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rPr>
                <w:rFonts w:hAnsi="宋体" w:cs="宋体"/>
                <w:color w:val="auto"/>
                <w:kern w:val="2"/>
                <w:sz w:val="21"/>
                <w:highlight w:val="none"/>
              </w:rPr>
            </w:pPr>
            <w:r>
              <w:rPr>
                <w:rFonts w:hint="eastAsia" w:hAnsi="宋体" w:cs="宋体"/>
                <w:color w:val="auto"/>
                <w:sz w:val="21"/>
                <w:highlight w:val="none"/>
              </w:rPr>
              <w:t>商务和技术文件审查</w:t>
            </w:r>
          </w:p>
        </w:tc>
        <w:tc>
          <w:tcPr>
            <w:tcW w:w="6666"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ind w:firstLine="420" w:firstLineChars="200"/>
              <w:rPr>
                <w:rFonts w:hAnsi="宋体" w:cs="宋体"/>
                <w:color w:val="auto"/>
                <w:sz w:val="21"/>
                <w:highlight w:val="none"/>
              </w:rPr>
            </w:pPr>
            <w:r>
              <w:rPr>
                <w:rFonts w:hint="eastAsia" w:hAnsi="宋体" w:cs="宋体"/>
                <w:bCs/>
                <w:color w:val="auto"/>
                <w:sz w:val="21"/>
                <w:highlight w:val="none"/>
              </w:rPr>
              <w:t>1.未按照磋商采购文件的规定提交磋商保证金的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2.响应文件未按磋商采购文件要求签署、盖章的。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3.投标代表人未能出具身份证明或与法定代表人授权委托人身份不符的。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4.响应文件的实质性内容未使用中文表述、意思表述不明确、前后矛盾或者使用计量单位不符合磋商采购文件要求的（经评标委员会认定并允许其当场更正的笔误除外）。</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5.磋商有效期、服务期或交货期、质保期等商务条款不能满足磋商采购文件要求的；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6.未实质性响应磋商采购文件要求或者响应文件有招标方不能接受的附加条件的；</w:t>
            </w:r>
          </w:p>
          <w:p>
            <w:pPr>
              <w:pStyle w:val="27"/>
              <w:spacing w:line="360" w:lineRule="exact"/>
              <w:ind w:firstLine="420" w:firstLineChars="200"/>
              <w:rPr>
                <w:rFonts w:hAnsi="宋体" w:cs="宋体"/>
                <w:color w:val="auto"/>
                <w:sz w:val="21"/>
                <w:highlight w:val="none"/>
              </w:rPr>
            </w:pPr>
            <w:bookmarkStart w:id="50" w:name="OLE_LINK11"/>
            <w:r>
              <w:rPr>
                <w:rFonts w:hint="eastAsia" w:hAnsi="宋体" w:cs="宋体"/>
                <w:color w:val="auto"/>
                <w:sz w:val="21"/>
                <w:highlight w:val="none"/>
              </w:rPr>
              <w:t>7.</w:t>
            </w:r>
            <w:r>
              <w:rPr>
                <w:rFonts w:hint="eastAsia" w:hAnsi="宋体" w:cs="宋体"/>
                <w:bCs/>
                <w:color w:val="auto"/>
                <w:sz w:val="21"/>
                <w:highlight w:val="none"/>
              </w:rPr>
              <w:t>未提供磋商采购文件中“13.响应文件的组成13.2商务和技术文件”要求必须提供的资料的；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8.响应文件标明的响应或偏离与事实不符或虚假竞标的；</w:t>
            </w:r>
          </w:p>
          <w:p>
            <w:pPr>
              <w:pStyle w:val="27"/>
              <w:spacing w:line="360" w:lineRule="exact"/>
              <w:ind w:firstLine="420" w:firstLineChars="200"/>
              <w:rPr>
                <w:rFonts w:hAnsi="宋体" w:cs="宋体"/>
                <w:color w:val="auto"/>
                <w:sz w:val="21"/>
                <w:highlight w:val="none"/>
              </w:rPr>
            </w:pPr>
            <w:r>
              <w:rPr>
                <w:rFonts w:hint="eastAsia" w:hAnsi="宋体" w:cs="宋体"/>
                <w:bCs/>
                <w:color w:val="auto"/>
                <w:sz w:val="21"/>
                <w:highlight w:val="none"/>
              </w:rPr>
              <w:t>9.</w:t>
            </w:r>
            <w:r>
              <w:rPr>
                <w:rFonts w:hint="eastAsia" w:hAnsi="宋体" w:cs="宋体"/>
                <w:color w:val="auto"/>
                <w:sz w:val="21"/>
                <w:highlight w:val="none"/>
              </w:rPr>
              <w:t>明显不符合</w:t>
            </w:r>
            <w:r>
              <w:rPr>
                <w:rFonts w:hint="eastAsia" w:hAnsi="宋体" w:cs="宋体"/>
                <w:bCs/>
                <w:color w:val="auto"/>
                <w:sz w:val="21"/>
                <w:highlight w:val="none"/>
              </w:rPr>
              <w:t>磋商采购文件</w:t>
            </w:r>
            <w:r>
              <w:rPr>
                <w:rFonts w:hint="eastAsia" w:hAnsi="宋体" w:cs="宋体"/>
                <w:color w:val="auto"/>
                <w:sz w:val="21"/>
                <w:highlight w:val="none"/>
              </w:rPr>
              <w:t>要求的质量标准、采购需求，或者与磋商采购文件中标“▲”的技术指标、服务需求发生实质性偏离的；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10.技术方案不明确，存在一个或一个以上备选（替代）竞标方案的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11.响应文件中的文件资料因填写不齐全或者内容虚假或者出现其他情形而导致被评标委员会认定无效的；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12.属于供应商须知正文7.特别说明第7.6点情形的；</w:t>
            </w:r>
          </w:p>
          <w:p>
            <w:pPr>
              <w:pStyle w:val="27"/>
              <w:spacing w:line="360" w:lineRule="exact"/>
              <w:ind w:firstLine="420" w:firstLineChars="200"/>
              <w:rPr>
                <w:rFonts w:hAnsi="宋体" w:cs="宋体"/>
                <w:color w:val="auto"/>
                <w:kern w:val="2"/>
                <w:sz w:val="21"/>
                <w:highlight w:val="none"/>
              </w:rPr>
            </w:pPr>
            <w:r>
              <w:rPr>
                <w:rFonts w:hint="eastAsia" w:hAnsi="宋体" w:cs="宋体"/>
                <w:color w:val="auto"/>
                <w:sz w:val="21"/>
                <w:highlight w:val="none"/>
              </w:rPr>
              <w:t>13.法律、法规和磋商采购文件规定的其他无效情形。</w:t>
            </w:r>
            <w:bookmarkEnd w:id="5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3"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jc w:val="center"/>
              <w:rPr>
                <w:rFonts w:hAnsi="宋体" w:cs="宋体"/>
                <w:color w:val="auto"/>
                <w:kern w:val="2"/>
                <w:sz w:val="21"/>
                <w:highlight w:val="none"/>
              </w:rPr>
            </w:pPr>
            <w:r>
              <w:rPr>
                <w:rFonts w:hint="eastAsia" w:hAnsi="宋体" w:cs="宋体"/>
                <w:color w:val="auto"/>
                <w:sz w:val="21"/>
                <w:highlight w:val="none"/>
              </w:rPr>
              <w:t>2</w:t>
            </w:r>
          </w:p>
        </w:tc>
        <w:tc>
          <w:tcPr>
            <w:tcW w:w="2303"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rPr>
                <w:rFonts w:hAnsi="宋体" w:cs="宋体"/>
                <w:color w:val="auto"/>
                <w:kern w:val="2"/>
                <w:sz w:val="21"/>
                <w:highlight w:val="none"/>
              </w:rPr>
            </w:pPr>
            <w:r>
              <w:rPr>
                <w:rFonts w:hint="eastAsia" w:hAnsi="宋体" w:cs="宋体"/>
                <w:color w:val="auto"/>
                <w:sz w:val="21"/>
                <w:highlight w:val="none"/>
              </w:rPr>
              <w:t>报价文件审查</w:t>
            </w:r>
          </w:p>
        </w:tc>
        <w:tc>
          <w:tcPr>
            <w:tcW w:w="6666" w:type="dxa"/>
            <w:tcBorders>
              <w:top w:val="single" w:color="auto" w:sz="4" w:space="0"/>
              <w:left w:val="single" w:color="auto" w:sz="4" w:space="0"/>
              <w:bottom w:val="single" w:color="auto" w:sz="4" w:space="0"/>
              <w:right w:val="single" w:color="auto" w:sz="4" w:space="0"/>
            </w:tcBorders>
            <w:vAlign w:val="center"/>
          </w:tcPr>
          <w:p>
            <w:pPr>
              <w:pStyle w:val="27"/>
              <w:spacing w:line="360" w:lineRule="exact"/>
              <w:ind w:firstLine="420" w:firstLineChars="200"/>
              <w:rPr>
                <w:rFonts w:hAnsi="宋体" w:cs="宋体"/>
                <w:color w:val="auto"/>
                <w:sz w:val="21"/>
                <w:highlight w:val="none"/>
              </w:rPr>
            </w:pPr>
            <w:bookmarkStart w:id="51" w:name="OLE_LINK17"/>
            <w:r>
              <w:rPr>
                <w:rFonts w:hint="eastAsia" w:hAnsi="宋体" w:cs="宋体"/>
                <w:color w:val="auto"/>
                <w:sz w:val="21"/>
                <w:highlight w:val="none"/>
              </w:rPr>
              <w:t>1.未提供磋商采购文件中“13.响应文件的组成13.2报价文件”要求必须提供的资料的；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2.报价超过磋商采购文件中规定的预算金额或者最高限价的；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3.未采用人民币报价或者未按照磋商采购文件标明的币种报价的；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4.竞标报价具有选择性，或者开标价格与响应文件承诺的优惠（折扣）价格不一致的；</w:t>
            </w:r>
          </w:p>
          <w:p>
            <w:pPr>
              <w:pStyle w:val="27"/>
              <w:spacing w:line="360" w:lineRule="exact"/>
              <w:ind w:firstLine="420" w:firstLineChars="200"/>
              <w:rPr>
                <w:rFonts w:hAnsi="宋体" w:cs="宋体"/>
                <w:color w:val="auto"/>
                <w:sz w:val="21"/>
                <w:highlight w:val="none"/>
              </w:rPr>
            </w:pPr>
            <w:r>
              <w:rPr>
                <w:rFonts w:hint="eastAsia" w:hAnsi="宋体" w:cs="宋体"/>
                <w:color w:val="auto"/>
                <w:sz w:val="21"/>
                <w:highlight w:val="none"/>
              </w:rPr>
              <w:t>5.法律、法规和磋商采购文件规定的其他无效情形。</w:t>
            </w:r>
          </w:p>
          <w:p>
            <w:pPr>
              <w:pStyle w:val="27"/>
              <w:spacing w:line="360" w:lineRule="exact"/>
              <w:ind w:firstLine="420" w:firstLineChars="200"/>
              <w:rPr>
                <w:rFonts w:hAnsi="宋体" w:cs="宋体"/>
                <w:color w:val="auto"/>
                <w:kern w:val="2"/>
                <w:sz w:val="21"/>
                <w:highlight w:val="none"/>
              </w:rPr>
            </w:pPr>
            <w:r>
              <w:rPr>
                <w:rFonts w:hint="eastAsia" w:hAnsi="宋体" w:cs="宋体"/>
                <w:color w:val="auto"/>
                <w:sz w:val="21"/>
                <w:highlight w:val="none"/>
              </w:rPr>
              <w:t>6.出现恶意竞争低于成本价的情形。</w:t>
            </w:r>
            <w:bookmarkEnd w:id="51"/>
          </w:p>
        </w:tc>
      </w:tr>
    </w:tbl>
    <w:p>
      <w:pPr>
        <w:pStyle w:val="27"/>
        <w:snapToGrid w:val="0"/>
        <w:spacing w:line="360" w:lineRule="exact"/>
        <w:ind w:firstLine="420" w:firstLineChars="200"/>
        <w:rPr>
          <w:rFonts w:hint="eastAsia" w:hAnsi="宋体"/>
          <w:color w:val="auto"/>
          <w:sz w:val="21"/>
          <w:highlight w:val="none"/>
        </w:rPr>
      </w:pPr>
    </w:p>
    <w:p>
      <w:pPr>
        <w:rPr>
          <w:rFonts w:hint="eastAsia" w:hAnsi="宋体"/>
          <w:color w:val="auto"/>
          <w:sz w:val="21"/>
          <w:highlight w:val="none"/>
        </w:rPr>
      </w:pPr>
      <w:r>
        <w:rPr>
          <w:rFonts w:hint="eastAsia" w:hAnsi="宋体"/>
          <w:color w:val="auto"/>
          <w:sz w:val="21"/>
          <w:highlight w:val="none"/>
        </w:rPr>
        <w:br w:type="page"/>
      </w:r>
    </w:p>
    <w:p>
      <w:pPr>
        <w:pStyle w:val="27"/>
        <w:snapToGrid w:val="0"/>
        <w:spacing w:line="360" w:lineRule="exact"/>
        <w:ind w:firstLine="420" w:firstLineChars="200"/>
        <w:rPr>
          <w:rFonts w:hAnsi="宋体"/>
          <w:color w:val="auto"/>
          <w:sz w:val="21"/>
          <w:highlight w:val="none"/>
        </w:rPr>
      </w:pPr>
      <w:r>
        <w:rPr>
          <w:rFonts w:hint="eastAsia" w:hAnsi="宋体"/>
          <w:color w:val="auto"/>
          <w:sz w:val="21"/>
          <w:highlight w:val="none"/>
        </w:rPr>
        <w:t>（三）详细评审</w:t>
      </w:r>
    </w:p>
    <w:p>
      <w:pPr>
        <w:pStyle w:val="27"/>
        <w:spacing w:line="360" w:lineRule="exact"/>
        <w:ind w:firstLine="420"/>
        <w:rPr>
          <w:rFonts w:hAnsi="宋体" w:cs="宋体"/>
          <w:b/>
          <w:bCs/>
          <w:color w:val="auto"/>
          <w:sz w:val="21"/>
          <w:highlight w:val="none"/>
        </w:rPr>
      </w:pPr>
      <w:r>
        <w:rPr>
          <w:rFonts w:hint="eastAsia" w:hAnsi="宋体"/>
          <w:color w:val="auto"/>
          <w:sz w:val="21"/>
          <w:highlight w:val="none"/>
        </w:rPr>
        <w:t>对进入详评的，采用百分制综合评分法，计分办法（按四舍五入取至百分位）：</w:t>
      </w:r>
    </w:p>
    <w:tbl>
      <w:tblPr>
        <w:tblStyle w:val="44"/>
        <w:tblW w:w="96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1"/>
        <w:gridCol w:w="1147"/>
        <w:gridCol w:w="71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321" w:type="dxa"/>
            <w:vAlign w:val="center"/>
          </w:tcPr>
          <w:p>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评标项目</w:t>
            </w:r>
          </w:p>
        </w:tc>
        <w:tc>
          <w:tcPr>
            <w:tcW w:w="1147" w:type="dxa"/>
            <w:vAlign w:val="center"/>
          </w:tcPr>
          <w:p>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评标分值</w:t>
            </w:r>
          </w:p>
        </w:tc>
        <w:tc>
          <w:tcPr>
            <w:tcW w:w="7153" w:type="dxa"/>
            <w:vAlign w:val="center"/>
          </w:tcPr>
          <w:p>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评标方法描述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321" w:type="dxa"/>
            <w:vAlign w:val="center"/>
          </w:tcPr>
          <w:p>
            <w:pPr>
              <w:keepNext w:val="0"/>
              <w:keepLines w:val="0"/>
              <w:pageBreakBefore w:val="0"/>
              <w:numPr>
                <w:ilvl w:val="0"/>
                <w:numId w:val="0"/>
              </w:numPr>
              <w:kinsoku/>
              <w:wordWrap/>
              <w:overflowPunct/>
              <w:topLinePunct w:val="0"/>
              <w:autoSpaceDE/>
              <w:autoSpaceDN/>
              <w:bidi w:val="0"/>
              <w:snapToGrid/>
              <w:spacing w:line="312" w:lineRule="auto"/>
              <w:jc w:val="center"/>
              <w:rPr>
                <w:rStyle w:val="226"/>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Style w:val="226"/>
                <w:rFonts w:hint="eastAsia" w:ascii="宋体" w:hAnsi="宋体" w:eastAsia="宋体" w:cs="宋体"/>
                <w:color w:val="auto"/>
                <w:sz w:val="21"/>
                <w:szCs w:val="21"/>
                <w:highlight w:val="none"/>
              </w:rPr>
              <w:t>价格分</w:t>
            </w:r>
          </w:p>
          <w:p>
            <w:pPr>
              <w:pStyle w:val="2"/>
              <w:keepNext w:val="0"/>
              <w:keepLines w:val="0"/>
              <w:pageBreakBefore w:val="0"/>
              <w:numPr>
                <w:ilvl w:val="0"/>
                <w:numId w:val="0"/>
              </w:numPr>
              <w:kinsoku/>
              <w:wordWrap/>
              <w:overflowPunct/>
              <w:topLinePunct w:val="0"/>
              <w:autoSpaceDE/>
              <w:autoSpaceDN/>
              <w:bidi w:val="0"/>
              <w:snapToGrid/>
              <w:spacing w:line="312" w:lineRule="auto"/>
              <w:rPr>
                <w:rFonts w:hint="eastAsia" w:ascii="宋体" w:hAnsi="宋体" w:eastAsia="宋体" w:cs="宋体"/>
                <w:sz w:val="21"/>
                <w:szCs w:val="21"/>
                <w:highlight w:val="none"/>
                <w:lang w:eastAsia="zh-Hans"/>
              </w:rPr>
            </w:pPr>
            <w:r>
              <w:rPr>
                <w:rFonts w:hint="eastAsia" w:ascii="宋体" w:hAnsi="宋体" w:eastAsia="宋体" w:cs="宋体"/>
                <w:sz w:val="21"/>
                <w:szCs w:val="21"/>
                <w:highlight w:val="none"/>
                <w:lang w:eastAsia="zh-Hans"/>
              </w:rPr>
              <w:t>（满分20分）</w:t>
            </w:r>
          </w:p>
        </w:tc>
        <w:tc>
          <w:tcPr>
            <w:tcW w:w="1147" w:type="dxa"/>
            <w:vAlign w:val="center"/>
          </w:tcPr>
          <w:p>
            <w:pPr>
              <w:keepNext w:val="0"/>
              <w:keepLines w:val="0"/>
              <w:pageBreakBefore w:val="0"/>
              <w:kinsoku/>
              <w:wordWrap/>
              <w:overflowPunct/>
              <w:topLinePunct w:val="0"/>
              <w:autoSpaceDE/>
              <w:autoSpaceDN/>
              <w:bidi w:val="0"/>
              <w:snapToGrid/>
              <w:spacing w:line="312" w:lineRule="auto"/>
              <w:jc w:val="center"/>
              <w:rPr>
                <w:rStyle w:val="226"/>
                <w:rFonts w:hint="eastAsia" w:ascii="宋体" w:hAnsi="宋体" w:eastAsia="宋体" w:cs="宋体"/>
                <w:color w:val="auto"/>
                <w:sz w:val="21"/>
                <w:szCs w:val="21"/>
                <w:highlight w:val="none"/>
                <w:lang w:val="en-US" w:eastAsia="zh-CN"/>
              </w:rPr>
            </w:pPr>
            <w:r>
              <w:rPr>
                <w:rStyle w:val="226"/>
                <w:rFonts w:hint="eastAsia" w:ascii="宋体" w:hAnsi="宋体" w:eastAsia="宋体" w:cs="宋体"/>
                <w:color w:val="auto"/>
                <w:sz w:val="21"/>
                <w:szCs w:val="21"/>
                <w:highlight w:val="none"/>
                <w:lang w:val="en-US" w:eastAsia="zh-CN"/>
              </w:rPr>
              <w:t>投标报价</w:t>
            </w:r>
          </w:p>
          <w:p>
            <w:pPr>
              <w:keepNext w:val="0"/>
              <w:keepLines w:val="0"/>
              <w:pageBreakBefore w:val="0"/>
              <w:kinsoku/>
              <w:wordWrap/>
              <w:overflowPunct/>
              <w:topLinePunct w:val="0"/>
              <w:autoSpaceDE/>
              <w:autoSpaceDN/>
              <w:bidi w:val="0"/>
              <w:snapToGrid/>
              <w:spacing w:line="312" w:lineRule="auto"/>
              <w:jc w:val="center"/>
              <w:rPr>
                <w:rStyle w:val="226"/>
                <w:rFonts w:hint="eastAsia" w:ascii="宋体" w:hAnsi="宋体" w:eastAsia="宋体" w:cs="宋体"/>
                <w:color w:val="auto"/>
                <w:sz w:val="21"/>
                <w:szCs w:val="21"/>
                <w:highlight w:val="none"/>
              </w:rPr>
            </w:pPr>
            <w:r>
              <w:rPr>
                <w:rStyle w:val="226"/>
                <w:rFonts w:hint="eastAsia" w:ascii="宋体" w:hAnsi="宋体" w:eastAsia="宋体" w:cs="宋体"/>
                <w:color w:val="auto"/>
                <w:sz w:val="21"/>
                <w:szCs w:val="21"/>
                <w:highlight w:val="none"/>
                <w:lang w:val="en-US" w:eastAsia="zh-CN"/>
              </w:rPr>
              <w:t>（满分20分）</w:t>
            </w:r>
          </w:p>
        </w:tc>
        <w:tc>
          <w:tcPr>
            <w:tcW w:w="7153" w:type="dxa"/>
            <w:vAlign w:val="center"/>
          </w:tcPr>
          <w:p>
            <w:pPr>
              <w:keepNext w:val="0"/>
              <w:keepLines w:val="0"/>
              <w:pageBreakBefore w:val="0"/>
              <w:widowControl/>
              <w:kinsoku/>
              <w:wordWrap/>
              <w:overflowPunct/>
              <w:topLinePunct w:val="0"/>
              <w:autoSpaceDE/>
              <w:autoSpaceDN/>
              <w:bidi w:val="0"/>
              <w:adjustRightInd/>
              <w:snapToGrid/>
              <w:spacing w:line="312" w:lineRule="auto"/>
              <w:textAlignment w:val="baseline"/>
              <w:rPr>
                <w:rStyle w:val="226"/>
                <w:rFonts w:hint="eastAsia" w:ascii="宋体" w:hAnsi="宋体" w:eastAsia="宋体" w:cs="宋体"/>
                <w:color w:val="auto"/>
                <w:kern w:val="0"/>
                <w:sz w:val="21"/>
                <w:szCs w:val="21"/>
                <w:highlight w:val="none"/>
              </w:rPr>
            </w:pPr>
            <w:r>
              <w:rPr>
                <w:rStyle w:val="226"/>
                <w:rFonts w:hint="eastAsia" w:ascii="宋体" w:hAnsi="宋体" w:eastAsia="宋体" w:cs="宋体"/>
                <w:color w:val="auto"/>
                <w:kern w:val="0"/>
                <w:sz w:val="21"/>
                <w:szCs w:val="21"/>
                <w:highlight w:val="none"/>
              </w:rPr>
              <w:t>（1）以进入详评的且最后报价最低的供应商的价格为磋商基准价，其价格分为</w:t>
            </w:r>
            <w:r>
              <w:rPr>
                <w:rStyle w:val="226"/>
                <w:rFonts w:hint="eastAsia" w:ascii="宋体" w:hAnsi="宋体" w:eastAsia="宋体" w:cs="宋体"/>
                <w:color w:val="auto"/>
                <w:kern w:val="0"/>
                <w:sz w:val="21"/>
                <w:szCs w:val="21"/>
                <w:highlight w:val="none"/>
                <w:lang w:val="en-US" w:eastAsia="zh-CN"/>
              </w:rPr>
              <w:t>20</w:t>
            </w:r>
            <w:r>
              <w:rPr>
                <w:rStyle w:val="226"/>
                <w:rFonts w:hint="eastAsia" w:ascii="宋体" w:hAnsi="宋体" w:eastAsia="宋体" w:cs="宋体"/>
                <w:color w:val="auto"/>
                <w:kern w:val="0"/>
                <w:sz w:val="21"/>
                <w:szCs w:val="21"/>
                <w:highlight w:val="none"/>
              </w:rPr>
              <w:t>分。</w:t>
            </w:r>
          </w:p>
          <w:p>
            <w:pPr>
              <w:keepNext w:val="0"/>
              <w:keepLines w:val="0"/>
              <w:pageBreakBefore w:val="0"/>
              <w:widowControl/>
              <w:kinsoku/>
              <w:wordWrap/>
              <w:overflowPunct/>
              <w:topLinePunct w:val="0"/>
              <w:autoSpaceDE/>
              <w:autoSpaceDN/>
              <w:bidi w:val="0"/>
              <w:adjustRightInd/>
              <w:snapToGrid/>
              <w:spacing w:line="312" w:lineRule="auto"/>
              <w:textAlignment w:val="baseline"/>
              <w:rPr>
                <w:rStyle w:val="226"/>
                <w:rFonts w:hint="eastAsia" w:ascii="宋体" w:hAnsi="宋体" w:eastAsia="宋体" w:cs="宋体"/>
                <w:color w:val="auto"/>
                <w:kern w:val="0"/>
                <w:sz w:val="21"/>
                <w:szCs w:val="21"/>
                <w:highlight w:val="none"/>
              </w:rPr>
            </w:pPr>
            <w:r>
              <w:rPr>
                <w:rStyle w:val="226"/>
                <w:rFonts w:hint="eastAsia" w:ascii="宋体" w:hAnsi="宋体" w:eastAsia="宋体" w:cs="宋体"/>
                <w:color w:val="auto"/>
                <w:kern w:val="0"/>
                <w:sz w:val="21"/>
                <w:szCs w:val="21"/>
                <w:highlight w:val="none"/>
              </w:rPr>
              <w:t>（2）磋商报价得分=（磋商基准价/最后磋商报价）×</w:t>
            </w:r>
            <w:r>
              <w:rPr>
                <w:rStyle w:val="226"/>
                <w:rFonts w:hint="eastAsia" w:ascii="宋体" w:hAnsi="宋体" w:eastAsia="宋体" w:cs="宋体"/>
                <w:color w:val="auto"/>
                <w:kern w:val="0"/>
                <w:sz w:val="21"/>
                <w:szCs w:val="21"/>
                <w:highlight w:val="none"/>
                <w:lang w:val="en-US" w:eastAsia="zh-CN"/>
              </w:rPr>
              <w:t>20</w:t>
            </w:r>
            <w:r>
              <w:rPr>
                <w:rStyle w:val="226"/>
                <w:rFonts w:hint="eastAsia" w:ascii="宋体" w:hAnsi="宋体" w:eastAsia="宋体" w:cs="宋体"/>
                <w:color w:val="auto"/>
                <w:kern w:val="0"/>
                <w:sz w:val="21"/>
                <w:szCs w:val="21"/>
                <w:highlight w:val="none"/>
              </w:rPr>
              <w:t>分</w:t>
            </w:r>
          </w:p>
          <w:p>
            <w:pPr>
              <w:keepNext w:val="0"/>
              <w:keepLines w:val="0"/>
              <w:pageBreakBefore w:val="0"/>
              <w:widowControl/>
              <w:kinsoku/>
              <w:wordWrap/>
              <w:overflowPunct/>
              <w:topLinePunct w:val="0"/>
              <w:autoSpaceDE/>
              <w:autoSpaceDN/>
              <w:bidi w:val="0"/>
              <w:adjustRightInd/>
              <w:snapToGrid/>
              <w:spacing w:line="312" w:lineRule="auto"/>
              <w:textAlignment w:val="baseline"/>
              <w:rPr>
                <w:rStyle w:val="226"/>
                <w:rFonts w:hint="eastAsia" w:ascii="宋体" w:hAnsi="宋体" w:eastAsia="宋体" w:cs="宋体"/>
                <w:color w:val="auto"/>
                <w:kern w:val="0"/>
                <w:sz w:val="21"/>
                <w:szCs w:val="21"/>
                <w:highlight w:val="none"/>
              </w:rPr>
            </w:pPr>
            <w:r>
              <w:rPr>
                <w:rStyle w:val="226"/>
                <w:rFonts w:hint="eastAsia" w:ascii="宋体" w:hAnsi="宋体" w:eastAsia="宋体" w:cs="宋体"/>
                <w:color w:val="auto"/>
                <w:kern w:val="0"/>
                <w:sz w:val="21"/>
                <w:szCs w:val="21"/>
                <w:highlight w:val="none"/>
              </w:rPr>
              <w:t>注：</w:t>
            </w:r>
            <w:r>
              <w:rPr>
                <w:rStyle w:val="226"/>
                <w:rFonts w:hint="eastAsia" w:ascii="宋体" w:hAnsi="宋体" w:eastAsia="宋体" w:cs="宋体"/>
                <w:color w:val="auto"/>
                <w:kern w:val="0"/>
                <w:sz w:val="21"/>
                <w:szCs w:val="21"/>
                <w:highlight w:val="none"/>
                <w:lang w:val="en-US" w:eastAsia="zh-CN"/>
              </w:rPr>
              <w:t>本项目</w:t>
            </w:r>
            <w:r>
              <w:rPr>
                <w:rStyle w:val="226"/>
                <w:rFonts w:hint="eastAsia" w:ascii="宋体" w:hAnsi="宋体" w:eastAsia="宋体" w:cs="宋体"/>
                <w:color w:val="auto"/>
                <w:kern w:val="0"/>
                <w:sz w:val="21"/>
                <w:szCs w:val="21"/>
                <w:highlight w:val="none"/>
              </w:rPr>
              <w:t xml:space="preserve">专门面向中小企业采购的项目或者采购包，不再执行价格 </w:t>
            </w:r>
          </w:p>
          <w:p>
            <w:pPr>
              <w:keepNext w:val="0"/>
              <w:keepLines w:val="0"/>
              <w:pageBreakBefore w:val="0"/>
              <w:widowControl/>
              <w:kinsoku/>
              <w:wordWrap/>
              <w:overflowPunct/>
              <w:topLinePunct w:val="0"/>
              <w:autoSpaceDE/>
              <w:autoSpaceDN/>
              <w:bidi w:val="0"/>
              <w:adjustRightInd/>
              <w:snapToGrid/>
              <w:spacing w:line="312" w:lineRule="auto"/>
              <w:textAlignment w:val="baseline"/>
              <w:rPr>
                <w:rStyle w:val="226"/>
                <w:rFonts w:hint="eastAsia" w:ascii="宋体" w:hAnsi="宋体" w:eastAsia="宋体" w:cs="宋体"/>
                <w:color w:val="auto"/>
                <w:kern w:val="0"/>
                <w:sz w:val="21"/>
                <w:szCs w:val="21"/>
                <w:highlight w:val="none"/>
              </w:rPr>
            </w:pPr>
            <w:r>
              <w:rPr>
                <w:rStyle w:val="226"/>
                <w:rFonts w:hint="eastAsia" w:ascii="宋体" w:hAnsi="宋体" w:eastAsia="宋体" w:cs="宋体"/>
                <w:color w:val="auto"/>
                <w:kern w:val="0"/>
                <w:sz w:val="21"/>
                <w:szCs w:val="21"/>
                <w:highlight w:val="none"/>
              </w:rPr>
              <w:t>评审优惠的扶持政策。</w:t>
            </w:r>
          </w:p>
          <w:p>
            <w:pPr>
              <w:pStyle w:val="2"/>
              <w:keepNext w:val="0"/>
              <w:keepLines w:val="0"/>
              <w:pageBreakBefore w:val="0"/>
              <w:kinsoku/>
              <w:wordWrap/>
              <w:overflowPunct/>
              <w:topLinePunct w:val="0"/>
              <w:autoSpaceDE/>
              <w:autoSpaceDN/>
              <w:bidi w:val="0"/>
              <w:adjustRightInd/>
              <w:spacing w:line="312" w:lineRule="auto"/>
              <w:rPr>
                <w:rFonts w:hint="eastAsia" w:eastAsia="宋体"/>
                <w:highlight w:val="none"/>
                <w:lang w:eastAsia="zh-CN"/>
              </w:rPr>
            </w:pPr>
            <w:r>
              <w:rPr>
                <w:rStyle w:val="226"/>
                <w:rFonts w:hint="eastAsia" w:ascii="宋体" w:hAnsi="宋体" w:eastAsia="宋体" w:cs="宋体"/>
                <w:color w:val="auto"/>
                <w:kern w:val="0"/>
                <w:sz w:val="21"/>
                <w:szCs w:val="21"/>
                <w:highlight w:val="none"/>
                <w:lang w:val="en-US" w:eastAsia="zh-CN" w:bidi="ar-SA"/>
              </w:rPr>
              <w:t>（3）评标小组认为</w:t>
            </w:r>
            <w:r>
              <w:rPr>
                <w:rStyle w:val="226"/>
                <w:rFonts w:hint="eastAsia" w:ascii="宋体" w:hAnsi="宋体" w:cs="宋体"/>
                <w:color w:val="auto"/>
                <w:kern w:val="0"/>
                <w:sz w:val="21"/>
                <w:szCs w:val="21"/>
                <w:highlight w:val="none"/>
                <w:lang w:val="en-US" w:eastAsia="zh-CN" w:bidi="ar-SA"/>
              </w:rPr>
              <w:t>供应商</w:t>
            </w:r>
            <w:r>
              <w:rPr>
                <w:rStyle w:val="226"/>
                <w:rFonts w:hint="eastAsia" w:ascii="宋体" w:hAnsi="宋体" w:eastAsia="宋体" w:cs="宋体"/>
                <w:color w:val="auto"/>
                <w:kern w:val="0"/>
                <w:sz w:val="21"/>
                <w:szCs w:val="21"/>
                <w:highlight w:val="none"/>
                <w:lang w:val="en-US" w:eastAsia="zh-CN" w:bidi="ar-SA"/>
              </w:rPr>
              <w:t>的报价明显低于其他通过符合性审查</w:t>
            </w:r>
            <w:r>
              <w:rPr>
                <w:rStyle w:val="226"/>
                <w:rFonts w:hint="eastAsia" w:ascii="宋体" w:hAnsi="宋体" w:cs="宋体"/>
                <w:color w:val="auto"/>
                <w:kern w:val="0"/>
                <w:sz w:val="21"/>
                <w:szCs w:val="21"/>
                <w:highlight w:val="none"/>
                <w:lang w:val="en-US" w:eastAsia="zh-CN" w:bidi="ar-SA"/>
              </w:rPr>
              <w:t>供应商</w:t>
            </w:r>
            <w:r>
              <w:rPr>
                <w:rStyle w:val="226"/>
                <w:rFonts w:hint="eastAsia" w:ascii="宋体" w:hAnsi="宋体" w:eastAsia="宋体" w:cs="宋体"/>
                <w:color w:val="auto"/>
                <w:kern w:val="0"/>
                <w:sz w:val="21"/>
                <w:szCs w:val="21"/>
                <w:highlight w:val="none"/>
                <w:lang w:val="en-US" w:eastAsia="zh-CN" w:bidi="ar-SA"/>
              </w:rPr>
              <w:t>的报价，有可能影响产品质量或者不能诚信履约的，应当通过广西政府采购云平台发起询标函，要求其在评审现场合理的时间内通过广西政府采购云平台提供书面说明，必要时提交相关证明材料；</w:t>
            </w:r>
            <w:r>
              <w:rPr>
                <w:rStyle w:val="226"/>
                <w:rFonts w:hint="eastAsia" w:ascii="宋体" w:hAnsi="宋体" w:cs="宋体"/>
                <w:color w:val="auto"/>
                <w:kern w:val="0"/>
                <w:sz w:val="21"/>
                <w:szCs w:val="21"/>
                <w:highlight w:val="none"/>
                <w:lang w:val="en-US" w:eastAsia="zh-CN" w:bidi="ar-SA"/>
              </w:rPr>
              <w:t>供应商</w:t>
            </w:r>
            <w:r>
              <w:rPr>
                <w:rStyle w:val="226"/>
                <w:rFonts w:hint="eastAsia" w:ascii="宋体" w:hAnsi="宋体" w:eastAsia="宋体" w:cs="宋体"/>
                <w:color w:val="auto"/>
                <w:kern w:val="0"/>
                <w:sz w:val="21"/>
                <w:szCs w:val="21"/>
                <w:highlight w:val="none"/>
                <w:lang w:val="en-US" w:eastAsia="zh-CN" w:bidi="ar-SA"/>
              </w:rPr>
              <w:t>不能证明其报价合理性的，评标委员会应当将其作为无效投标处理。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321" w:type="dxa"/>
            <w:vMerge w:val="restart"/>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2.技术分</w:t>
            </w:r>
          </w:p>
          <w:p>
            <w:pPr>
              <w:keepNext w:val="0"/>
              <w:keepLines w:val="0"/>
              <w:pageBreakBefore w:val="0"/>
              <w:widowControl/>
              <w:kinsoku/>
              <w:wordWrap/>
              <w:overflowPunct/>
              <w:topLinePunct w:val="0"/>
              <w:autoSpaceDE/>
              <w:autoSpaceDN/>
              <w:bidi w:val="0"/>
              <w:adjustRightInd/>
              <w:snapToGrid/>
              <w:spacing w:line="312" w:lineRule="auto"/>
              <w:jc w:val="center"/>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（满分</w:t>
            </w:r>
            <w:r>
              <w:rPr>
                <w:rFonts w:hint="eastAsia" w:ascii="宋体" w:hAnsi="宋体" w:cs="宋体"/>
                <w:color w:val="auto"/>
                <w:kern w:val="2"/>
                <w:sz w:val="21"/>
                <w:szCs w:val="21"/>
                <w:highlight w:val="none"/>
                <w:lang w:val="en-US" w:eastAsia="zh-CN" w:bidi="ar-SA"/>
              </w:rPr>
              <w:t>65</w:t>
            </w:r>
            <w:r>
              <w:rPr>
                <w:rFonts w:hint="eastAsia" w:ascii="宋体" w:hAnsi="宋体" w:eastAsia="宋体" w:cs="宋体"/>
                <w:color w:val="auto"/>
                <w:kern w:val="2"/>
                <w:sz w:val="21"/>
                <w:szCs w:val="21"/>
                <w:highlight w:val="none"/>
                <w:lang w:val="en-US" w:eastAsia="zh-CN" w:bidi="ar-SA"/>
              </w:rPr>
              <w:t>分）</w:t>
            </w:r>
          </w:p>
        </w:tc>
        <w:tc>
          <w:tcPr>
            <w:tcW w:w="1147" w:type="dxa"/>
            <w:vAlign w:val="center"/>
          </w:tcPr>
          <w:p>
            <w:pPr>
              <w:keepNext w:val="0"/>
              <w:keepLines w:val="0"/>
              <w:pageBreakBefore w:val="0"/>
              <w:kinsoku/>
              <w:wordWrap/>
              <w:overflowPunct/>
              <w:topLinePunct w:val="0"/>
              <w:autoSpaceDE/>
              <w:autoSpaceDN/>
              <w:bidi w:val="0"/>
              <w:snapToGrid/>
              <w:spacing w:line="312"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实施方案分（满分15分）</w:t>
            </w:r>
          </w:p>
          <w:p>
            <w:pPr>
              <w:keepNext w:val="0"/>
              <w:keepLines w:val="0"/>
              <w:pageBreakBefore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2"/>
                <w:sz w:val="21"/>
                <w:szCs w:val="21"/>
                <w:highlight w:val="none"/>
                <w:lang w:val="en-US" w:eastAsia="zh-Hans" w:bidi="ar-SA"/>
              </w:rPr>
            </w:pPr>
          </w:p>
        </w:tc>
        <w:tc>
          <w:tcPr>
            <w:tcW w:w="7153" w:type="dxa"/>
            <w:vAlign w:val="center"/>
          </w:tcPr>
          <w:p>
            <w:pPr>
              <w:keepNext w:val="0"/>
              <w:keepLines w:val="0"/>
              <w:pageBreakBefore w:val="0"/>
              <w:kinsoku/>
              <w:wordWrap/>
              <w:overflowPunct/>
              <w:topLinePunct w:val="0"/>
              <w:autoSpaceDE/>
              <w:autoSpaceDN/>
              <w:bidi w:val="0"/>
              <w:snapToGrid/>
              <w:spacing w:line="312" w:lineRule="auto"/>
              <w:ind w:firstLine="420" w:firstLineChars="200"/>
              <w:rPr>
                <w:rFonts w:hint="eastAsia" w:ascii="宋体" w:hAnsi="宋体" w:eastAsia="宋体" w:cs="宋体"/>
                <w:bCs/>
                <w:color w:val="auto"/>
                <w:sz w:val="21"/>
                <w:szCs w:val="21"/>
                <w:highlight w:val="none"/>
              </w:rPr>
            </w:pPr>
            <w:bookmarkStart w:id="52" w:name="OLE_LINK18"/>
            <w:r>
              <w:rPr>
                <w:rFonts w:hint="eastAsia" w:ascii="宋体" w:hAnsi="宋体" w:eastAsia="宋体" w:cs="宋体"/>
                <w:bCs/>
                <w:color w:val="auto"/>
                <w:sz w:val="21"/>
                <w:szCs w:val="21"/>
                <w:highlight w:val="none"/>
              </w:rPr>
              <w:t>评委根据各</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提供的针对本项目的服务区域安保管理措施、管理制度、工作及实施方案内容独立打分。</w:t>
            </w:r>
          </w:p>
          <w:p>
            <w:pPr>
              <w:keepNext w:val="0"/>
              <w:keepLines w:val="0"/>
              <w:pageBreakBefore w:val="0"/>
              <w:kinsoku/>
              <w:wordWrap/>
              <w:overflowPunct/>
              <w:topLinePunct w:val="0"/>
              <w:autoSpaceDE/>
              <w:autoSpaceDN/>
              <w:bidi w:val="0"/>
              <w:snapToGrid/>
              <w:spacing w:line="312" w:lineRule="auto"/>
              <w:ind w:firstLine="422" w:firstLineChars="200"/>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一档（0</w:t>
            </w:r>
            <w:r>
              <w:rPr>
                <w:rFonts w:hint="eastAsia" w:ascii="宋体" w:hAnsi="宋体" w:cs="宋体"/>
                <w:b/>
                <w:bCs w:val="0"/>
                <w:color w:val="auto"/>
                <w:sz w:val="21"/>
                <w:szCs w:val="21"/>
                <w:highlight w:val="none"/>
                <w:lang w:val="en-US" w:eastAsia="zh-CN"/>
              </w:rPr>
              <w:t>.0</w:t>
            </w:r>
            <w:r>
              <w:rPr>
                <w:rFonts w:hint="eastAsia" w:ascii="宋体" w:hAnsi="宋体" w:eastAsia="宋体" w:cs="宋体"/>
                <w:b/>
                <w:bCs w:val="0"/>
                <w:color w:val="auto"/>
                <w:sz w:val="21"/>
                <w:szCs w:val="21"/>
                <w:highlight w:val="none"/>
              </w:rPr>
              <w:t>分）</w:t>
            </w:r>
            <w:r>
              <w:rPr>
                <w:rFonts w:hint="eastAsia" w:ascii="宋体" w:hAnsi="宋体" w:eastAsia="宋体" w:cs="宋体"/>
                <w:bCs/>
                <w:color w:val="auto"/>
                <w:sz w:val="21"/>
                <w:szCs w:val="21"/>
                <w:highlight w:val="none"/>
              </w:rPr>
              <w:t>：未提供方案或提供的内容与本项目无关。</w:t>
            </w:r>
          </w:p>
          <w:p>
            <w:pPr>
              <w:keepNext w:val="0"/>
              <w:keepLines w:val="0"/>
              <w:pageBreakBefore w:val="0"/>
              <w:kinsoku/>
              <w:wordWrap/>
              <w:overflowPunct/>
              <w:topLinePunct w:val="0"/>
              <w:autoSpaceDE/>
              <w:autoSpaceDN/>
              <w:bidi w:val="0"/>
              <w:snapToGrid/>
              <w:spacing w:line="312" w:lineRule="auto"/>
              <w:ind w:firstLine="422" w:firstLineChars="200"/>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二档（5.0分）</w:t>
            </w:r>
            <w:r>
              <w:rPr>
                <w:rFonts w:hint="eastAsia" w:ascii="宋体" w:hAnsi="宋体" w:eastAsia="宋体" w:cs="宋体"/>
                <w:bCs/>
                <w:color w:val="auto"/>
                <w:sz w:val="21"/>
                <w:szCs w:val="21"/>
                <w:highlight w:val="none"/>
              </w:rPr>
              <w:t>：提供服务范围、内容和服务标准（工作方案基本完整，措施及管理责任基本清晰）；工作人员安排计划、组织管理体系基本满足采购需求，可基本实施管理工作；物资装备的配备、人员配置的科学性和合理性一般；安保管理的安全防范措施、进退场交接措施和采购人的配合方法一般；工作安排与现场实际情况吻合，可操作性一般。</w:t>
            </w:r>
          </w:p>
          <w:p>
            <w:pPr>
              <w:keepNext w:val="0"/>
              <w:keepLines w:val="0"/>
              <w:pageBreakBefore w:val="0"/>
              <w:kinsoku/>
              <w:wordWrap/>
              <w:overflowPunct/>
              <w:topLinePunct w:val="0"/>
              <w:autoSpaceDE/>
              <w:autoSpaceDN/>
              <w:bidi w:val="0"/>
              <w:snapToGrid/>
              <w:spacing w:line="312" w:lineRule="auto"/>
              <w:ind w:firstLine="422" w:firstLineChars="200"/>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三档（10.0分）</w:t>
            </w:r>
            <w:r>
              <w:rPr>
                <w:rFonts w:hint="eastAsia" w:ascii="宋体" w:hAnsi="宋体" w:eastAsia="宋体" w:cs="宋体"/>
                <w:bCs/>
                <w:color w:val="auto"/>
                <w:sz w:val="21"/>
                <w:szCs w:val="21"/>
                <w:highlight w:val="none"/>
              </w:rPr>
              <w:t>：提供服务范围、内容和服务标准（工作方案完整，措施及管理责任较清晰）；工作人员安排计划合理，组织管理体系科学，能够较有效实施管理工作；物资装备的配备、人员配置的科学性和合理性完全满足采购需求要求；安保管理及安全防范措施较有力（符合治安监管要求，企业监管防控有效）；进退场交接措施和采购人的配合方法较好，工作安排与现场实际情况吻合，有一定的可操作性。</w:t>
            </w:r>
          </w:p>
          <w:p>
            <w:pPr>
              <w:keepNext w:val="0"/>
              <w:keepLines w:val="0"/>
              <w:pageBreakBefore w:val="0"/>
              <w:kinsoku/>
              <w:wordWrap/>
              <w:overflowPunct/>
              <w:topLinePunct w:val="0"/>
              <w:autoSpaceDE/>
              <w:autoSpaceDN/>
              <w:bidi w:val="0"/>
              <w:snapToGrid/>
              <w:spacing w:line="312" w:lineRule="auto"/>
              <w:ind w:firstLine="422"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val="0"/>
                <w:color w:val="auto"/>
                <w:sz w:val="21"/>
                <w:szCs w:val="21"/>
                <w:highlight w:val="none"/>
              </w:rPr>
              <w:t>四档（15.0分）</w:t>
            </w:r>
            <w:r>
              <w:rPr>
                <w:rFonts w:hint="eastAsia" w:ascii="宋体" w:hAnsi="宋体" w:eastAsia="宋体" w:cs="宋体"/>
                <w:bCs/>
                <w:color w:val="auto"/>
                <w:sz w:val="21"/>
                <w:szCs w:val="21"/>
                <w:highlight w:val="none"/>
              </w:rPr>
              <w:t>：提供服务范围、内容和服务标准（工作方案完整，措施有效扎实管理责任清晰）；工作人员安排计划合理，组织管理体系科学，能够有效实施管理工作；物资装备的配备、人员配置的科学性和合理性强；安保管理的安全防范措施科学规范（符合治安监管要求，企业监管防控有效）；进退场交接措施和采购人的配合方法完善有效，工作安排与现场实际情况吻合，可操作性强。</w:t>
            </w:r>
            <w:bookmarkEnd w:id="5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321" w:type="dxa"/>
            <w:vMerge w:val="continue"/>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baseline"/>
              <w:rPr>
                <w:rFonts w:hint="eastAsia" w:ascii="宋体" w:hAnsi="宋体" w:eastAsia="宋体" w:cs="宋体"/>
                <w:color w:val="auto"/>
                <w:kern w:val="2"/>
                <w:sz w:val="21"/>
                <w:szCs w:val="21"/>
                <w:highlight w:val="none"/>
                <w:lang w:val="en-US" w:eastAsia="zh-CN" w:bidi="ar-SA"/>
              </w:rPr>
            </w:pPr>
          </w:p>
        </w:tc>
        <w:tc>
          <w:tcPr>
            <w:tcW w:w="1147" w:type="dxa"/>
            <w:vAlign w:val="center"/>
          </w:tcPr>
          <w:p>
            <w:pPr>
              <w:keepNext w:val="0"/>
              <w:keepLines w:val="0"/>
              <w:pageBreakBefore w:val="0"/>
              <w:kinsoku/>
              <w:wordWrap/>
              <w:overflowPunct/>
              <w:topLinePunct w:val="0"/>
              <w:autoSpaceDE/>
              <w:autoSpaceDN/>
              <w:bidi w:val="0"/>
              <w:snapToGrid/>
              <w:spacing w:line="312"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组织有效的管理机构分</w:t>
            </w:r>
          </w:p>
          <w:p>
            <w:pPr>
              <w:keepNext w:val="0"/>
              <w:keepLines w:val="0"/>
              <w:pageBreakBefore w:val="0"/>
              <w:kinsoku/>
              <w:wordWrap/>
              <w:overflowPunct/>
              <w:topLinePunct w:val="0"/>
              <w:autoSpaceDE/>
              <w:autoSpaceDN/>
              <w:bidi w:val="0"/>
              <w:snapToGrid/>
              <w:spacing w:line="312"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（满分8分）</w:t>
            </w:r>
          </w:p>
          <w:p>
            <w:pPr>
              <w:keepNext w:val="0"/>
              <w:keepLines w:val="0"/>
              <w:pageBreakBefore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2"/>
                <w:sz w:val="21"/>
                <w:szCs w:val="21"/>
                <w:highlight w:val="none"/>
                <w:lang w:val="en-US" w:eastAsia="zh-CN" w:bidi="ar-SA"/>
              </w:rPr>
            </w:pPr>
          </w:p>
        </w:tc>
        <w:tc>
          <w:tcPr>
            <w:tcW w:w="7153" w:type="dxa"/>
            <w:vAlign w:val="center"/>
          </w:tcPr>
          <w:p>
            <w:pPr>
              <w:keepNext w:val="0"/>
              <w:keepLines w:val="0"/>
              <w:pageBreakBefore w:val="0"/>
              <w:kinsoku/>
              <w:wordWrap/>
              <w:overflowPunct/>
              <w:topLinePunct w:val="0"/>
              <w:autoSpaceDE/>
              <w:autoSpaceDN/>
              <w:bidi w:val="0"/>
              <w:snapToGrid/>
              <w:spacing w:line="312"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评委根据各</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提供的针对本项目的组织有效的管理机构内容独立打分。</w:t>
            </w:r>
          </w:p>
          <w:p>
            <w:pPr>
              <w:keepNext w:val="0"/>
              <w:keepLines w:val="0"/>
              <w:pageBreakBefore w:val="0"/>
              <w:kinsoku/>
              <w:wordWrap/>
              <w:overflowPunct/>
              <w:topLinePunct w:val="0"/>
              <w:autoSpaceDE/>
              <w:autoSpaceDN/>
              <w:bidi w:val="0"/>
              <w:snapToGrid/>
              <w:spacing w:line="312" w:lineRule="auto"/>
              <w:ind w:firstLine="422" w:firstLineChars="200"/>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一档（0</w:t>
            </w:r>
            <w:r>
              <w:rPr>
                <w:rFonts w:hint="eastAsia" w:ascii="宋体" w:hAnsi="宋体" w:cs="宋体"/>
                <w:b/>
                <w:bCs w:val="0"/>
                <w:color w:val="auto"/>
                <w:sz w:val="21"/>
                <w:szCs w:val="21"/>
                <w:highlight w:val="none"/>
                <w:lang w:val="en-US" w:eastAsia="zh-CN"/>
              </w:rPr>
              <w:t>.0</w:t>
            </w:r>
            <w:r>
              <w:rPr>
                <w:rFonts w:hint="eastAsia" w:ascii="宋体" w:hAnsi="宋体" w:eastAsia="宋体" w:cs="宋体"/>
                <w:b/>
                <w:bCs w:val="0"/>
                <w:color w:val="auto"/>
                <w:sz w:val="21"/>
                <w:szCs w:val="21"/>
                <w:highlight w:val="none"/>
              </w:rPr>
              <w:t>分）</w:t>
            </w:r>
            <w:r>
              <w:rPr>
                <w:rFonts w:hint="eastAsia" w:ascii="宋体" w:hAnsi="宋体" w:eastAsia="宋体" w:cs="宋体"/>
                <w:bCs/>
                <w:color w:val="auto"/>
                <w:sz w:val="21"/>
                <w:szCs w:val="21"/>
                <w:highlight w:val="none"/>
              </w:rPr>
              <w:t>：未提供方案或提供的内容与本项目无关。</w:t>
            </w:r>
          </w:p>
          <w:p>
            <w:pPr>
              <w:keepNext w:val="0"/>
              <w:keepLines w:val="0"/>
              <w:pageBreakBefore w:val="0"/>
              <w:kinsoku/>
              <w:wordWrap/>
              <w:overflowPunct/>
              <w:topLinePunct w:val="0"/>
              <w:autoSpaceDE/>
              <w:autoSpaceDN/>
              <w:bidi w:val="0"/>
              <w:snapToGrid/>
              <w:spacing w:line="312" w:lineRule="auto"/>
              <w:ind w:firstLine="422" w:firstLineChars="200"/>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二档（4.0分）</w:t>
            </w:r>
            <w:r>
              <w:rPr>
                <w:rFonts w:hint="eastAsia" w:ascii="宋体" w:hAnsi="宋体" w:eastAsia="宋体" w:cs="宋体"/>
                <w:bCs/>
                <w:color w:val="auto"/>
                <w:sz w:val="21"/>
                <w:szCs w:val="21"/>
                <w:highlight w:val="none"/>
              </w:rPr>
              <w:t>：有较完善管理规章制度（岗位责任、管理维护运作制度及标准、管理人员考核制度及标准）和内部管理架构，有日常考核表单（管理其它项目时已使用的例表），均有一定的可操作性。</w:t>
            </w:r>
          </w:p>
          <w:p>
            <w:pPr>
              <w:keepNext w:val="0"/>
              <w:keepLines w:val="0"/>
              <w:pageBreakBefore w:val="0"/>
              <w:kinsoku/>
              <w:wordWrap/>
              <w:overflowPunct/>
              <w:topLinePunct w:val="0"/>
              <w:autoSpaceDE/>
              <w:autoSpaceDN/>
              <w:bidi w:val="0"/>
              <w:snapToGrid/>
              <w:spacing w:line="312" w:lineRule="auto"/>
              <w:ind w:firstLine="422"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val="0"/>
                <w:color w:val="auto"/>
                <w:sz w:val="21"/>
                <w:szCs w:val="21"/>
                <w:highlight w:val="none"/>
              </w:rPr>
              <w:t>三档（8.0分）</w:t>
            </w:r>
            <w:r>
              <w:rPr>
                <w:rFonts w:hint="eastAsia" w:ascii="宋体" w:hAnsi="宋体" w:eastAsia="宋体" w:cs="宋体"/>
                <w:bCs/>
                <w:color w:val="auto"/>
                <w:sz w:val="21"/>
                <w:szCs w:val="21"/>
                <w:highlight w:val="none"/>
              </w:rPr>
              <w:t>：有完善的管理规章制度（岗位责任、管理维护运作制度及标准、管理人员考核制度及标准）和内部管理架构，有详细的日常考核表单（管理其它项目时已使用的例表），均有较强的可操作性；管理机构设置完整，能胜任项目方的采购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321" w:type="dxa"/>
            <w:vMerge w:val="continue"/>
            <w:vAlign w:val="center"/>
          </w:tcPr>
          <w:p>
            <w:pPr>
              <w:keepNext w:val="0"/>
              <w:keepLines w:val="0"/>
              <w:pageBreakBefore w:val="0"/>
              <w:kinsoku/>
              <w:wordWrap/>
              <w:overflowPunct/>
              <w:topLinePunct w:val="0"/>
              <w:autoSpaceDE/>
              <w:autoSpaceDN/>
              <w:bidi w:val="0"/>
              <w:snapToGrid/>
              <w:spacing w:line="312" w:lineRule="auto"/>
              <w:jc w:val="center"/>
              <w:rPr>
                <w:rStyle w:val="226"/>
                <w:rFonts w:hint="eastAsia" w:ascii="宋体" w:hAnsi="宋体" w:eastAsia="宋体" w:cs="宋体"/>
                <w:color w:val="auto"/>
                <w:sz w:val="21"/>
                <w:szCs w:val="21"/>
                <w:highlight w:val="none"/>
                <w:lang w:val="en-US" w:eastAsia="zh-CN"/>
              </w:rPr>
            </w:pPr>
          </w:p>
        </w:tc>
        <w:tc>
          <w:tcPr>
            <w:tcW w:w="1147" w:type="dxa"/>
            <w:vAlign w:val="center"/>
          </w:tcPr>
          <w:p>
            <w:pPr>
              <w:keepNext w:val="0"/>
              <w:keepLines w:val="0"/>
              <w:pageBreakBefore w:val="0"/>
              <w:kinsoku/>
              <w:wordWrap/>
              <w:overflowPunct/>
              <w:topLinePunct w:val="0"/>
              <w:autoSpaceDE/>
              <w:autoSpaceDN/>
              <w:bidi w:val="0"/>
              <w:snapToGrid/>
              <w:spacing w:line="312"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物资配备</w:t>
            </w:r>
          </w:p>
          <w:p>
            <w:pPr>
              <w:keepNext w:val="0"/>
              <w:keepLines w:val="0"/>
              <w:pageBreakBefore w:val="0"/>
              <w:kinsoku/>
              <w:wordWrap/>
              <w:overflowPunct/>
              <w:topLinePunct w:val="0"/>
              <w:autoSpaceDE/>
              <w:autoSpaceDN/>
              <w:bidi w:val="0"/>
              <w:snapToGrid/>
              <w:spacing w:line="312" w:lineRule="auto"/>
              <w:jc w:val="center"/>
              <w:rPr>
                <w:rStyle w:val="46"/>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Cs/>
                <w:color w:val="auto"/>
                <w:sz w:val="21"/>
                <w:szCs w:val="21"/>
                <w:highlight w:val="none"/>
              </w:rPr>
              <w:t>（满分4分）</w:t>
            </w:r>
          </w:p>
        </w:tc>
        <w:tc>
          <w:tcPr>
            <w:tcW w:w="7153" w:type="dxa"/>
            <w:vAlign w:val="center"/>
          </w:tcPr>
          <w:p>
            <w:pPr>
              <w:keepNext w:val="0"/>
              <w:keepLines w:val="0"/>
              <w:pageBreakBefore w:val="0"/>
              <w:kinsoku/>
              <w:wordWrap/>
              <w:overflowPunct/>
              <w:topLinePunct w:val="0"/>
              <w:autoSpaceDE/>
              <w:autoSpaceDN/>
              <w:bidi w:val="0"/>
              <w:snapToGrid/>
              <w:spacing w:line="312"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评委根据实际需求，依据各</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提供的拟投入本项目的设备、设施情况，独立打分。</w:t>
            </w:r>
          </w:p>
          <w:p>
            <w:pPr>
              <w:keepNext w:val="0"/>
              <w:keepLines w:val="0"/>
              <w:pageBreakBefore w:val="0"/>
              <w:kinsoku/>
              <w:wordWrap/>
              <w:overflowPunct/>
              <w:topLinePunct w:val="0"/>
              <w:autoSpaceDE/>
              <w:autoSpaceDN/>
              <w:bidi w:val="0"/>
              <w:snapToGrid/>
              <w:spacing w:line="312" w:lineRule="auto"/>
              <w:ind w:firstLine="422" w:firstLineChars="200"/>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一档（2.0分</w:t>
            </w:r>
            <w:r>
              <w:rPr>
                <w:rFonts w:hint="eastAsia" w:ascii="宋体" w:hAnsi="宋体" w:eastAsia="宋体" w:cs="宋体"/>
                <w:bCs/>
                <w:color w:val="auto"/>
                <w:sz w:val="21"/>
                <w:szCs w:val="21"/>
                <w:highlight w:val="none"/>
              </w:rPr>
              <w:t>）：提供的设备、设施措施较为周全、完善；拟投入项目不少于</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辆巡逻电动车、一级防备器材，通讯工具等。</w:t>
            </w:r>
          </w:p>
          <w:p>
            <w:pPr>
              <w:keepNext w:val="0"/>
              <w:keepLines w:val="0"/>
              <w:pageBreakBefore w:val="0"/>
              <w:kinsoku/>
              <w:wordWrap/>
              <w:overflowPunct/>
              <w:topLinePunct w:val="0"/>
              <w:autoSpaceDE/>
              <w:autoSpaceDN/>
              <w:bidi w:val="0"/>
              <w:snapToGrid/>
              <w:spacing w:line="312" w:lineRule="auto"/>
              <w:ind w:firstLine="422" w:firstLineChars="200"/>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二档（4.0分）</w:t>
            </w:r>
            <w:r>
              <w:rPr>
                <w:rFonts w:hint="eastAsia" w:ascii="宋体" w:hAnsi="宋体" w:eastAsia="宋体" w:cs="宋体"/>
                <w:bCs/>
                <w:color w:val="auto"/>
                <w:sz w:val="21"/>
                <w:szCs w:val="21"/>
                <w:highlight w:val="none"/>
              </w:rPr>
              <w:t>：提供的设备、设施措施很好满足</w:t>
            </w:r>
            <w:r>
              <w:rPr>
                <w:rFonts w:hint="eastAsia" w:ascii="宋体" w:hAnsi="宋体" w:cs="宋体"/>
                <w:bCs/>
                <w:color w:val="auto"/>
                <w:sz w:val="21"/>
                <w:szCs w:val="21"/>
                <w:highlight w:val="none"/>
                <w:lang w:val="en-US" w:eastAsia="zh-CN"/>
              </w:rPr>
              <w:t>医院</w:t>
            </w:r>
            <w:r>
              <w:rPr>
                <w:rFonts w:hint="eastAsia" w:ascii="宋体" w:hAnsi="宋体" w:eastAsia="宋体" w:cs="宋体"/>
                <w:bCs/>
                <w:color w:val="auto"/>
                <w:sz w:val="21"/>
                <w:szCs w:val="21"/>
                <w:highlight w:val="none"/>
              </w:rPr>
              <w:t>保安巡逻、处理应急响应；拟投入项目不少于</w:t>
            </w:r>
            <w:r>
              <w:rPr>
                <w:rFonts w:hint="eastAsia" w:ascii="宋体" w:hAnsi="宋体" w:cs="宋体"/>
                <w:bCs/>
                <w:color w:val="auto"/>
                <w:sz w:val="21"/>
                <w:szCs w:val="21"/>
                <w:highlight w:val="none"/>
                <w:lang w:val="en-US" w:eastAsia="zh-CN"/>
              </w:rPr>
              <w:t>2辆巡逻电动车，一个防爆保险柜</w:t>
            </w:r>
            <w:r>
              <w:rPr>
                <w:rFonts w:hint="eastAsia" w:ascii="宋体" w:hAnsi="宋体" w:eastAsia="宋体" w:cs="宋体"/>
                <w:bCs/>
                <w:color w:val="auto"/>
                <w:sz w:val="21"/>
                <w:szCs w:val="21"/>
                <w:highlight w:val="none"/>
              </w:rPr>
              <w:t>，一级防备器材，通讯工具等。</w:t>
            </w:r>
          </w:p>
          <w:p>
            <w:pPr>
              <w:keepNext w:val="0"/>
              <w:keepLines w:val="0"/>
              <w:pageBreakBefore w:val="0"/>
              <w:kinsoku/>
              <w:wordWrap/>
              <w:overflowPunct/>
              <w:topLinePunct w:val="0"/>
              <w:autoSpaceDE/>
              <w:autoSpaceDN/>
              <w:bidi w:val="0"/>
              <w:snapToGrid/>
              <w:spacing w:line="312" w:lineRule="auto"/>
              <w:ind w:firstLine="422" w:firstLineChars="200"/>
              <w:rPr>
                <w:rStyle w:val="46"/>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color w:val="auto"/>
                <w:sz w:val="21"/>
                <w:szCs w:val="21"/>
                <w:highlight w:val="none"/>
                <w:lang w:val="en-US" w:eastAsia="zh-CN"/>
              </w:rPr>
              <w:t>备注：</w:t>
            </w:r>
            <w:r>
              <w:rPr>
                <w:rFonts w:hint="eastAsia" w:ascii="宋体" w:hAnsi="宋体" w:eastAsia="宋体" w:cs="宋体"/>
                <w:b/>
                <w:color w:val="auto"/>
                <w:sz w:val="21"/>
                <w:szCs w:val="21"/>
                <w:highlight w:val="none"/>
              </w:rPr>
              <w:t>出示彩图，以</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出具购置设备发票复印件为准（以</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名义），否则该项不得分。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321" w:type="dxa"/>
            <w:vMerge w:val="continue"/>
            <w:vAlign w:val="center"/>
          </w:tcPr>
          <w:p>
            <w:pPr>
              <w:keepNext w:val="0"/>
              <w:keepLines w:val="0"/>
              <w:pageBreakBefore w:val="0"/>
              <w:kinsoku/>
              <w:wordWrap/>
              <w:overflowPunct/>
              <w:topLinePunct w:val="0"/>
              <w:autoSpaceDE/>
              <w:autoSpaceDN/>
              <w:bidi w:val="0"/>
              <w:snapToGrid/>
              <w:spacing w:line="312" w:lineRule="auto"/>
              <w:jc w:val="center"/>
              <w:rPr>
                <w:rStyle w:val="226"/>
                <w:rFonts w:hint="eastAsia" w:ascii="宋体" w:hAnsi="宋体" w:eastAsia="宋体" w:cs="宋体"/>
                <w:color w:val="auto"/>
                <w:sz w:val="21"/>
                <w:szCs w:val="21"/>
                <w:highlight w:val="none"/>
              </w:rPr>
            </w:pPr>
          </w:p>
        </w:tc>
        <w:tc>
          <w:tcPr>
            <w:tcW w:w="1147" w:type="dxa"/>
            <w:vAlign w:val="center"/>
          </w:tcPr>
          <w:p>
            <w:pPr>
              <w:keepNext w:val="0"/>
              <w:keepLines w:val="0"/>
              <w:pageBreakBefore w:val="0"/>
              <w:kinsoku/>
              <w:wordWrap/>
              <w:overflowPunct/>
              <w:topLinePunct w:val="0"/>
              <w:autoSpaceDE/>
              <w:autoSpaceDN/>
              <w:bidi w:val="0"/>
              <w:snapToGrid/>
              <w:spacing w:line="312"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人员配置分</w:t>
            </w:r>
          </w:p>
          <w:p>
            <w:pPr>
              <w:keepNext w:val="0"/>
              <w:keepLines w:val="0"/>
              <w:pageBreakBefore w:val="0"/>
              <w:kinsoku/>
              <w:wordWrap/>
              <w:overflowPunct/>
              <w:topLinePunct w:val="0"/>
              <w:autoSpaceDE/>
              <w:autoSpaceDN/>
              <w:bidi w:val="0"/>
              <w:snapToGrid/>
              <w:spacing w:line="312" w:lineRule="auto"/>
              <w:rPr>
                <w:rStyle w:val="46"/>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Cs/>
                <w:color w:val="auto"/>
                <w:sz w:val="21"/>
                <w:szCs w:val="21"/>
                <w:highlight w:val="none"/>
              </w:rPr>
              <w:t>（满分2</w:t>
            </w: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tc>
        <w:tc>
          <w:tcPr>
            <w:tcW w:w="7153" w:type="dxa"/>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val="0"/>
                <w:color w:val="auto"/>
                <w:sz w:val="21"/>
                <w:szCs w:val="21"/>
                <w:highlight w:val="none"/>
              </w:rPr>
            </w:pPr>
            <w:bookmarkStart w:id="53" w:name="OLE_LINK21"/>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lang w:val="en-US" w:eastAsia="zh-CN"/>
              </w:rPr>
              <w:t>1</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rPr>
              <w:t>派驻人员基本条件</w:t>
            </w:r>
            <w:r>
              <w:rPr>
                <w:rFonts w:hint="eastAsia" w:ascii="宋体" w:hAnsi="宋体" w:eastAsia="宋体" w:cs="宋体"/>
                <w:b/>
                <w:bCs w:val="0"/>
                <w:color w:val="auto"/>
                <w:sz w:val="21"/>
                <w:szCs w:val="21"/>
                <w:highlight w:val="none"/>
                <w:lang w:eastAsia="zh-CN"/>
              </w:rPr>
              <w:t>（</w:t>
            </w:r>
            <w:r>
              <w:rPr>
                <w:rFonts w:hint="eastAsia" w:ascii="宋体" w:hAnsi="宋体" w:cs="宋体"/>
                <w:b/>
                <w:bCs w:val="0"/>
                <w:color w:val="auto"/>
                <w:sz w:val="21"/>
                <w:szCs w:val="21"/>
                <w:highlight w:val="none"/>
                <w:lang w:val="en-US" w:eastAsia="zh-CN"/>
              </w:rPr>
              <w:t>满分12</w:t>
            </w:r>
            <w:r>
              <w:rPr>
                <w:rFonts w:hint="eastAsia" w:ascii="宋体" w:hAnsi="宋体" w:eastAsia="宋体" w:cs="宋体"/>
                <w:b/>
                <w:bCs w:val="0"/>
                <w:color w:val="auto"/>
                <w:sz w:val="21"/>
                <w:szCs w:val="21"/>
                <w:highlight w:val="none"/>
                <w:lang w:val="en-US" w:eastAsia="zh-CN"/>
              </w:rPr>
              <w:t>分</w:t>
            </w:r>
            <w:r>
              <w:rPr>
                <w:rFonts w:hint="eastAsia" w:ascii="宋体" w:hAnsi="宋体" w:eastAsia="宋体" w:cs="宋体"/>
                <w:b/>
                <w:bCs w:val="0"/>
                <w:color w:val="auto"/>
                <w:sz w:val="21"/>
                <w:szCs w:val="21"/>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宋体" w:hAnsi="宋体" w:eastAsia="宋体" w:cs="宋体"/>
                <w:bCs/>
                <w:color w:val="auto"/>
                <w:sz w:val="21"/>
                <w:szCs w:val="21"/>
                <w:highlight w:val="none"/>
                <w:lang w:eastAsia="zh-CN"/>
              </w:rPr>
            </w:pPr>
            <w:r>
              <w:rPr>
                <w:rFonts w:hint="default" w:ascii="宋体" w:hAnsi="宋体" w:eastAsia="宋体" w:cs="宋体"/>
                <w:bCs/>
                <w:color w:val="auto"/>
                <w:sz w:val="21"/>
                <w:szCs w:val="21"/>
                <w:highlight w:val="none"/>
                <w:lang w:eastAsia="zh-CN"/>
              </w:rPr>
              <w:t>①年龄18周岁（含）—55周岁（含）：所有派驻人员全部符合要求</w:t>
            </w:r>
            <w:r>
              <w:rPr>
                <w:rFonts w:hint="default" w:ascii="宋体" w:hAnsi="宋体" w:eastAsia="宋体" w:cs="宋体"/>
                <w:b/>
                <w:bCs w:val="0"/>
                <w:color w:val="auto"/>
                <w:sz w:val="21"/>
                <w:szCs w:val="21"/>
                <w:highlight w:val="none"/>
                <w:lang w:eastAsia="zh-CN"/>
              </w:rPr>
              <w:t>得4分</w:t>
            </w:r>
            <w:r>
              <w:rPr>
                <w:rFonts w:hint="default" w:ascii="宋体" w:hAnsi="宋体" w:eastAsia="宋体" w:cs="宋体"/>
                <w:bCs/>
                <w:color w:val="auto"/>
                <w:sz w:val="21"/>
                <w:szCs w:val="21"/>
                <w:highlight w:val="none"/>
                <w:lang w:eastAsia="zh-CN"/>
              </w:rPr>
              <w:t>，每有1人不符合要求扣1分，扣完本项分值为止。</w:t>
            </w:r>
          </w:p>
          <w:p>
            <w:pPr>
              <w:pStyle w:val="2"/>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宋体" w:hAnsi="宋体" w:eastAsia="宋体" w:cs="宋体"/>
                <w:bCs/>
                <w:color w:val="auto"/>
                <w:sz w:val="21"/>
                <w:szCs w:val="21"/>
                <w:highlight w:val="none"/>
                <w:lang w:eastAsia="zh-CN"/>
              </w:rPr>
            </w:pPr>
            <w:r>
              <w:rPr>
                <w:rFonts w:hint="default" w:ascii="宋体" w:hAnsi="宋体" w:eastAsia="宋体" w:cs="宋体"/>
                <w:bCs/>
                <w:color w:val="auto"/>
                <w:sz w:val="21"/>
                <w:szCs w:val="21"/>
                <w:highlight w:val="none"/>
                <w:lang w:eastAsia="zh-CN"/>
              </w:rPr>
              <w:t>②50周岁（不含）以下保安员数量不低于派驻总人数的20%（即不少于9人）：全部符合要求</w:t>
            </w:r>
            <w:r>
              <w:rPr>
                <w:rFonts w:hint="default" w:ascii="宋体" w:hAnsi="宋体" w:eastAsia="宋体" w:cs="宋体"/>
                <w:b/>
                <w:bCs w:val="0"/>
                <w:color w:val="auto"/>
                <w:sz w:val="21"/>
                <w:szCs w:val="21"/>
                <w:highlight w:val="none"/>
                <w:lang w:eastAsia="zh-CN"/>
              </w:rPr>
              <w:t>得4分</w:t>
            </w:r>
            <w:r>
              <w:rPr>
                <w:rFonts w:hint="default" w:ascii="宋体" w:hAnsi="宋体" w:eastAsia="宋体" w:cs="宋体"/>
                <w:bCs/>
                <w:color w:val="auto"/>
                <w:sz w:val="21"/>
                <w:szCs w:val="21"/>
                <w:highlight w:val="none"/>
                <w:lang w:eastAsia="zh-CN"/>
              </w:rPr>
              <w:t>，每缺1人扣1分，扣完本项分值为止。</w:t>
            </w:r>
          </w:p>
          <w:p>
            <w:pPr>
              <w:pStyle w:val="2"/>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宋体" w:hAnsi="宋体" w:eastAsia="宋体" w:cs="宋体"/>
                <w:bCs/>
                <w:color w:val="auto"/>
                <w:sz w:val="21"/>
                <w:szCs w:val="21"/>
                <w:highlight w:val="none"/>
                <w:lang w:eastAsia="zh-CN"/>
              </w:rPr>
            </w:pPr>
            <w:r>
              <w:rPr>
                <w:rFonts w:hint="default" w:ascii="宋体" w:hAnsi="宋体" w:eastAsia="宋体" w:cs="宋体"/>
                <w:bCs/>
                <w:color w:val="auto"/>
                <w:sz w:val="21"/>
                <w:szCs w:val="21"/>
                <w:highlight w:val="none"/>
                <w:lang w:eastAsia="zh-CN"/>
              </w:rPr>
              <w:t>③性别比例：派驻人员中男性占比＞80%</w:t>
            </w:r>
            <w:r>
              <w:rPr>
                <w:rFonts w:hint="eastAsia" w:ascii="宋体" w:hAnsi="宋体" w:cs="宋体"/>
                <w:bCs/>
                <w:color w:val="auto"/>
                <w:sz w:val="21"/>
                <w:szCs w:val="21"/>
                <w:highlight w:val="none"/>
                <w:lang w:eastAsia="zh-CN"/>
              </w:rPr>
              <w:t>，</w:t>
            </w:r>
            <w:r>
              <w:rPr>
                <w:rFonts w:hint="default" w:ascii="宋体" w:hAnsi="宋体" w:eastAsia="宋体" w:cs="宋体"/>
                <w:b/>
                <w:bCs w:val="0"/>
                <w:color w:val="auto"/>
                <w:sz w:val="21"/>
                <w:szCs w:val="21"/>
                <w:highlight w:val="none"/>
                <w:lang w:eastAsia="zh-CN"/>
              </w:rPr>
              <w:t>得2分</w:t>
            </w:r>
            <w:r>
              <w:rPr>
                <w:rFonts w:hint="default" w:ascii="宋体" w:hAnsi="宋体" w:eastAsia="宋体" w:cs="宋体"/>
                <w:bCs/>
                <w:color w:val="auto"/>
                <w:sz w:val="21"/>
                <w:szCs w:val="21"/>
                <w:highlight w:val="none"/>
                <w:lang w:eastAsia="zh-CN"/>
              </w:rPr>
              <w:t>，未达到该比例的本项不得分。</w:t>
            </w:r>
          </w:p>
          <w:p>
            <w:pPr>
              <w:pStyle w:val="2"/>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宋体" w:hAnsi="宋体" w:eastAsia="宋体" w:cs="宋体"/>
                <w:bCs/>
                <w:color w:val="auto"/>
                <w:sz w:val="21"/>
                <w:szCs w:val="21"/>
                <w:highlight w:val="none"/>
                <w:lang w:eastAsia="zh-CN"/>
              </w:rPr>
            </w:pPr>
            <w:r>
              <w:rPr>
                <w:rFonts w:hint="default" w:ascii="宋体" w:hAnsi="宋体" w:eastAsia="宋体" w:cs="宋体"/>
                <w:bCs/>
                <w:color w:val="auto"/>
                <w:sz w:val="21"/>
                <w:szCs w:val="21"/>
                <w:highlight w:val="none"/>
                <w:lang w:eastAsia="zh-CN"/>
              </w:rPr>
              <w:t>④派驻人员身体健康无传染性疾病</w:t>
            </w:r>
            <w:r>
              <w:rPr>
                <w:rFonts w:hint="eastAsia" w:ascii="宋体" w:hAnsi="宋体" w:cs="宋体"/>
                <w:bCs/>
                <w:color w:val="auto"/>
                <w:sz w:val="21"/>
                <w:szCs w:val="21"/>
                <w:highlight w:val="none"/>
                <w:lang w:eastAsia="zh-CN"/>
              </w:rPr>
              <w:t>，</w:t>
            </w:r>
            <w:r>
              <w:rPr>
                <w:rFonts w:hint="default" w:ascii="宋体" w:hAnsi="宋体" w:eastAsia="宋体" w:cs="宋体"/>
                <w:bCs/>
                <w:color w:val="auto"/>
                <w:sz w:val="21"/>
                <w:szCs w:val="21"/>
                <w:highlight w:val="none"/>
                <w:lang w:eastAsia="zh-CN"/>
              </w:rPr>
              <w:t>沟通</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理解、</w:t>
            </w:r>
            <w:r>
              <w:rPr>
                <w:rFonts w:hint="default" w:ascii="宋体" w:hAnsi="宋体" w:eastAsia="宋体" w:cs="宋体"/>
                <w:bCs/>
                <w:color w:val="auto"/>
                <w:sz w:val="21"/>
                <w:szCs w:val="21"/>
                <w:highlight w:val="none"/>
                <w:lang w:eastAsia="zh-CN"/>
              </w:rPr>
              <w:t>表达</w:t>
            </w:r>
            <w:r>
              <w:rPr>
                <w:rFonts w:hint="eastAsia" w:ascii="宋体" w:hAnsi="宋体" w:cs="宋体"/>
                <w:bCs/>
                <w:color w:val="auto"/>
                <w:sz w:val="21"/>
                <w:szCs w:val="21"/>
                <w:highlight w:val="none"/>
                <w:lang w:val="en-US" w:eastAsia="zh-CN"/>
              </w:rPr>
              <w:t>无障碍</w:t>
            </w:r>
            <w:r>
              <w:rPr>
                <w:rFonts w:hint="eastAsia" w:ascii="宋体" w:hAnsi="宋体" w:cs="宋体"/>
                <w:bCs/>
                <w:color w:val="auto"/>
                <w:sz w:val="21"/>
                <w:szCs w:val="21"/>
                <w:highlight w:val="none"/>
                <w:lang w:eastAsia="zh-CN"/>
              </w:rPr>
              <w:t>，</w:t>
            </w:r>
            <w:r>
              <w:rPr>
                <w:rFonts w:hint="default" w:ascii="宋体" w:hAnsi="宋体" w:eastAsia="宋体" w:cs="宋体"/>
                <w:b/>
                <w:bCs w:val="0"/>
                <w:color w:val="auto"/>
                <w:sz w:val="21"/>
                <w:szCs w:val="21"/>
                <w:highlight w:val="none"/>
                <w:lang w:eastAsia="zh-CN"/>
              </w:rPr>
              <w:t>得2分</w:t>
            </w:r>
            <w:r>
              <w:rPr>
                <w:rFonts w:hint="default" w:ascii="宋体" w:hAnsi="宋体" w:eastAsia="宋体" w:cs="宋体"/>
                <w:bCs/>
                <w:color w:val="auto"/>
                <w:sz w:val="21"/>
                <w:szCs w:val="21"/>
                <w:highlight w:val="none"/>
                <w:lang w:eastAsia="zh-CN"/>
              </w:rPr>
              <w:t>，每有1人不符合其中任意一项要求扣 0.5 分，扣完本项分值为止。</w:t>
            </w:r>
          </w:p>
          <w:p>
            <w:pPr>
              <w:pStyle w:val="18"/>
              <w:keepNext w:val="0"/>
              <w:keepLines w:val="0"/>
              <w:pageBreakBefore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w:t>
            </w: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供应商须在响应文件中提供派驻人员身份证、</w:t>
            </w:r>
            <w:r>
              <w:rPr>
                <w:rFonts w:hint="eastAsia"/>
                <w:b/>
                <w:bCs/>
                <w:highlight w:val="none"/>
                <w:lang w:val="en-US" w:eastAsia="zh-CN"/>
              </w:rPr>
              <w:t>提供一年内的体检报告单</w:t>
            </w:r>
            <w:r>
              <w:rPr>
                <w:rFonts w:hint="eastAsia" w:ascii="宋体" w:hAnsi="宋体" w:eastAsia="宋体" w:cs="宋体"/>
                <w:b/>
                <w:bCs/>
                <w:color w:val="auto"/>
                <w:sz w:val="21"/>
                <w:szCs w:val="21"/>
                <w:highlight w:val="none"/>
                <w:lang w:val="en-US" w:eastAsia="zh-CN"/>
              </w:rPr>
              <w:t>等相关证明材料；</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lang w:val="en-US" w:eastAsia="zh-CN"/>
              </w:rPr>
              <w:t>2</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rPr>
              <w:t>持证上岗与专业资质</w:t>
            </w:r>
            <w:r>
              <w:rPr>
                <w:rFonts w:hint="eastAsia" w:ascii="宋体" w:hAnsi="宋体" w:eastAsia="宋体" w:cs="宋体"/>
                <w:b/>
                <w:bCs w:val="0"/>
                <w:color w:val="auto"/>
                <w:sz w:val="21"/>
                <w:szCs w:val="21"/>
                <w:highlight w:val="none"/>
                <w:lang w:eastAsia="zh-CN"/>
              </w:rPr>
              <w:t>（</w:t>
            </w:r>
            <w:r>
              <w:rPr>
                <w:rFonts w:hint="eastAsia" w:ascii="宋体" w:hAnsi="宋体" w:cs="宋体"/>
                <w:b/>
                <w:bCs w:val="0"/>
                <w:color w:val="auto"/>
                <w:sz w:val="21"/>
                <w:szCs w:val="21"/>
                <w:highlight w:val="none"/>
                <w:lang w:val="en-US" w:eastAsia="zh-CN"/>
              </w:rPr>
              <w:t>满分</w:t>
            </w:r>
            <w:r>
              <w:rPr>
                <w:rFonts w:hint="eastAsia" w:ascii="宋体" w:hAnsi="宋体" w:eastAsia="宋体" w:cs="宋体"/>
                <w:b/>
                <w:bCs w:val="0"/>
                <w:color w:val="auto"/>
                <w:sz w:val="21"/>
                <w:szCs w:val="21"/>
                <w:highlight w:val="none"/>
                <w:lang w:val="en-US" w:eastAsia="zh-CN"/>
              </w:rPr>
              <w:t>8分</w:t>
            </w:r>
            <w:r>
              <w:rPr>
                <w:rFonts w:hint="eastAsia" w:ascii="宋体" w:hAnsi="宋体" w:eastAsia="宋体" w:cs="宋体"/>
                <w:b/>
                <w:bCs w:val="0"/>
                <w:color w:val="auto"/>
                <w:sz w:val="21"/>
                <w:szCs w:val="21"/>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①所有派驻人员均持有合法有效的《保安员职业资格证》</w:t>
            </w:r>
            <w:r>
              <w:rPr>
                <w:rFonts w:hint="eastAsia" w:ascii="宋体" w:hAnsi="宋体" w:eastAsia="宋体" w:cs="宋体"/>
                <w:b/>
                <w:bCs w:val="0"/>
                <w:color w:val="auto"/>
                <w:sz w:val="21"/>
                <w:szCs w:val="21"/>
                <w:highlight w:val="none"/>
                <w:lang w:val="en-US" w:eastAsia="zh-CN"/>
              </w:rPr>
              <w:t>得4分</w:t>
            </w:r>
            <w:r>
              <w:rPr>
                <w:rFonts w:hint="eastAsia" w:ascii="宋体" w:hAnsi="宋体" w:eastAsia="宋体" w:cs="宋体"/>
                <w:bCs/>
                <w:color w:val="auto"/>
                <w:sz w:val="21"/>
                <w:szCs w:val="21"/>
                <w:highlight w:val="none"/>
                <w:lang w:val="en-US" w:eastAsia="zh-CN"/>
              </w:rPr>
              <w:t>，每有1人未持证扣1分，扣完本项分值为止。</w:t>
            </w:r>
          </w:p>
          <w:p>
            <w:pPr>
              <w:pStyle w:val="2"/>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②所有派驻消控室的人员均持有中级及以上消防设施操作员职业资格证书，且具备熟练操作相关消防设施设备的能力</w:t>
            </w:r>
            <w:r>
              <w:rPr>
                <w:rFonts w:hint="eastAsia" w:ascii="宋体" w:hAnsi="宋体" w:eastAsia="宋体" w:cs="宋体"/>
                <w:b/>
                <w:bCs w:val="0"/>
                <w:color w:val="auto"/>
                <w:sz w:val="21"/>
                <w:szCs w:val="21"/>
                <w:highlight w:val="none"/>
                <w:lang w:val="en-US" w:eastAsia="zh-CN"/>
              </w:rPr>
              <w:t>得4分</w:t>
            </w:r>
            <w:r>
              <w:rPr>
                <w:rFonts w:hint="eastAsia" w:ascii="宋体" w:hAnsi="宋体" w:eastAsia="宋体" w:cs="宋体"/>
                <w:bCs/>
                <w:color w:val="auto"/>
                <w:sz w:val="21"/>
                <w:szCs w:val="21"/>
                <w:highlight w:val="none"/>
                <w:lang w:val="en-US" w:eastAsia="zh-CN"/>
              </w:rPr>
              <w:t>；每有1人未持证扣1分，扣完本项分值为止；存在无证人员上岗情形的，本项不得分。</w:t>
            </w:r>
          </w:p>
          <w:p>
            <w:pPr>
              <w:pStyle w:val="2"/>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备</w:t>
            </w: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供应商须在响应文件中提供派驻人员《保安员职业资格证》《消防设施操作员职业资格证》等相关资质证明材料；相关证明材料提供不全的，对应评分项不予计分。</w:t>
            </w:r>
          </w:p>
          <w:p>
            <w:pPr>
              <w:keepNext w:val="0"/>
              <w:keepLines w:val="0"/>
              <w:pageBreakBefore w:val="0"/>
              <w:widowControl w:val="0"/>
              <w:numPr>
                <w:ilvl w:val="0"/>
                <w:numId w:val="6"/>
              </w:numPr>
              <w:kinsoku/>
              <w:wordWrap/>
              <w:overflowPunct/>
              <w:topLinePunct w:val="0"/>
              <w:autoSpaceDE/>
              <w:autoSpaceDN/>
              <w:bidi w:val="0"/>
              <w:adjustRightInd/>
              <w:snapToGrid/>
              <w:spacing w:line="312" w:lineRule="auto"/>
              <w:textAlignment w:val="auto"/>
              <w:rPr>
                <w:rFonts w:hint="default"/>
                <w:b/>
                <w:bCs w:val="0"/>
                <w:highlight w:val="none"/>
                <w:lang w:val="en-US" w:eastAsia="zh-CN"/>
              </w:rPr>
            </w:pPr>
            <w:r>
              <w:rPr>
                <w:rFonts w:hint="eastAsia" w:ascii="宋体" w:hAnsi="宋体" w:eastAsia="宋体" w:cs="宋体"/>
                <w:b/>
                <w:bCs w:val="0"/>
                <w:color w:val="auto"/>
                <w:sz w:val="21"/>
                <w:szCs w:val="21"/>
                <w:highlight w:val="none"/>
                <w:lang w:val="en-US" w:eastAsia="zh-CN"/>
              </w:rPr>
              <w:t>无犯罪违法记录（</w:t>
            </w:r>
            <w:r>
              <w:rPr>
                <w:rFonts w:hint="eastAsia" w:ascii="宋体" w:hAnsi="宋体" w:cs="宋体"/>
                <w:b/>
                <w:bCs w:val="0"/>
                <w:color w:val="auto"/>
                <w:sz w:val="21"/>
                <w:szCs w:val="21"/>
                <w:highlight w:val="none"/>
                <w:lang w:val="en-US" w:eastAsia="zh-CN"/>
              </w:rPr>
              <w:t>满分4</w:t>
            </w:r>
            <w:r>
              <w:rPr>
                <w:rFonts w:hint="eastAsia" w:ascii="宋体" w:hAnsi="宋体" w:eastAsia="宋体" w:cs="宋体"/>
                <w:b/>
                <w:bCs w:val="0"/>
                <w:color w:val="auto"/>
                <w:sz w:val="21"/>
                <w:szCs w:val="21"/>
                <w:highlight w:val="none"/>
                <w:lang w:val="en-US" w:eastAsia="zh-CN"/>
              </w:rPr>
              <w:t>分）</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所有派驻人员均无刑事犯罪、吸毒、斗殴、开除公职/军籍等违法违规及不良从业记录，全部符合要求</w:t>
            </w:r>
            <w:r>
              <w:rPr>
                <w:rFonts w:hint="eastAsia" w:ascii="宋体" w:hAnsi="宋体" w:eastAsia="宋体" w:cs="宋体"/>
                <w:b/>
                <w:bCs w:val="0"/>
                <w:color w:val="auto"/>
                <w:sz w:val="21"/>
                <w:szCs w:val="21"/>
                <w:highlight w:val="none"/>
                <w:lang w:val="en-US" w:eastAsia="zh-CN"/>
              </w:rPr>
              <w:t>得4分</w:t>
            </w:r>
            <w:r>
              <w:rPr>
                <w:rFonts w:hint="eastAsia" w:ascii="宋体" w:hAnsi="宋体" w:eastAsia="宋体" w:cs="宋体"/>
                <w:bCs/>
                <w:color w:val="auto"/>
                <w:sz w:val="21"/>
                <w:szCs w:val="21"/>
                <w:highlight w:val="none"/>
                <w:lang w:val="en-US" w:eastAsia="zh-CN"/>
              </w:rPr>
              <w:t>；每有1不符合要求的，本项不得分。</w:t>
            </w:r>
          </w:p>
          <w:p>
            <w:pPr>
              <w:keepNext w:val="0"/>
              <w:keepLines w:val="0"/>
              <w:pageBreakBefore w:val="0"/>
              <w:widowControl w:val="0"/>
              <w:kinsoku/>
              <w:wordWrap/>
              <w:overflowPunct/>
              <w:topLinePunct w:val="0"/>
              <w:autoSpaceDE/>
              <w:autoSpaceDN/>
              <w:bidi w:val="0"/>
              <w:adjustRightInd/>
              <w:snapToGrid/>
              <w:spacing w:line="312" w:lineRule="auto"/>
              <w:textAlignment w:val="auto"/>
              <w:rPr>
                <w:rStyle w:val="46"/>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备</w:t>
            </w: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供应商须在响应文件中提供公安部门出具的派驻人员无犯罪记录证明</w:t>
            </w:r>
            <w:r>
              <w:rPr>
                <w:rFonts w:hint="eastAsia" w:ascii="宋体" w:hAnsi="宋体" w:cs="宋体"/>
                <w:b/>
                <w:bCs/>
                <w:color w:val="auto"/>
                <w:sz w:val="21"/>
                <w:szCs w:val="21"/>
                <w:highlight w:val="none"/>
                <w:lang w:val="en-US" w:eastAsia="zh-CN"/>
              </w:rPr>
              <w:t>以及提供相关承诺</w:t>
            </w:r>
            <w:r>
              <w:rPr>
                <w:rFonts w:hint="eastAsia" w:ascii="宋体" w:hAnsi="宋体" w:eastAsia="宋体" w:cs="宋体"/>
                <w:b/>
                <w:bCs/>
                <w:color w:val="auto"/>
                <w:sz w:val="21"/>
                <w:szCs w:val="21"/>
                <w:highlight w:val="none"/>
                <w:lang w:val="en-US" w:eastAsia="zh-CN"/>
              </w:rPr>
              <w:t>；相关证明材料提供不全的，本项不予计分。</w:t>
            </w:r>
            <w:bookmarkEnd w:id="5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321" w:type="dxa"/>
            <w:vMerge w:val="continue"/>
            <w:vAlign w:val="center"/>
          </w:tcPr>
          <w:p>
            <w:pPr>
              <w:keepNext w:val="0"/>
              <w:keepLines w:val="0"/>
              <w:pageBreakBefore w:val="0"/>
              <w:kinsoku/>
              <w:wordWrap/>
              <w:overflowPunct/>
              <w:topLinePunct w:val="0"/>
              <w:autoSpaceDE/>
              <w:autoSpaceDN/>
              <w:bidi w:val="0"/>
              <w:snapToGrid/>
              <w:spacing w:line="312" w:lineRule="auto"/>
              <w:jc w:val="center"/>
              <w:rPr>
                <w:rStyle w:val="226"/>
                <w:rFonts w:hint="eastAsia" w:ascii="宋体" w:hAnsi="宋体" w:eastAsia="宋体" w:cs="宋体"/>
                <w:color w:val="auto"/>
                <w:sz w:val="21"/>
                <w:szCs w:val="21"/>
                <w:highlight w:val="none"/>
                <w:lang w:val="en-US" w:eastAsia="zh-CN"/>
              </w:rPr>
            </w:pPr>
          </w:p>
        </w:tc>
        <w:tc>
          <w:tcPr>
            <w:tcW w:w="1147" w:type="dxa"/>
            <w:vAlign w:val="center"/>
          </w:tcPr>
          <w:p>
            <w:pPr>
              <w:keepNext w:val="0"/>
              <w:keepLines w:val="0"/>
              <w:pageBreakBefore w:val="0"/>
              <w:kinsoku/>
              <w:wordWrap/>
              <w:overflowPunct/>
              <w:topLinePunct w:val="0"/>
              <w:autoSpaceDE/>
              <w:autoSpaceDN/>
              <w:bidi w:val="0"/>
              <w:snapToGrid/>
              <w:spacing w:line="312" w:lineRule="auto"/>
              <w:rPr>
                <w:rFonts w:hint="eastAsia" w:ascii="宋体" w:hAnsi="宋体" w:eastAsia="宋体" w:cs="宋体"/>
                <w:bCs/>
                <w:color w:val="auto"/>
                <w:sz w:val="21"/>
                <w:szCs w:val="21"/>
                <w:highlight w:val="none"/>
              </w:rPr>
            </w:pPr>
            <w:bookmarkStart w:id="54" w:name="OLE_LINK20"/>
            <w:r>
              <w:rPr>
                <w:rFonts w:hint="eastAsia" w:ascii="宋体" w:hAnsi="宋体" w:eastAsia="宋体" w:cs="宋体"/>
                <w:bCs/>
                <w:color w:val="auto"/>
                <w:sz w:val="21"/>
                <w:szCs w:val="21"/>
                <w:highlight w:val="none"/>
              </w:rPr>
              <w:t>应急方案</w:t>
            </w:r>
          </w:p>
          <w:p>
            <w:pPr>
              <w:keepNext w:val="0"/>
              <w:keepLines w:val="0"/>
              <w:pageBreakBefore w:val="0"/>
              <w:kinsoku/>
              <w:wordWrap/>
              <w:overflowPunct/>
              <w:topLinePunct w:val="0"/>
              <w:autoSpaceDE/>
              <w:autoSpaceDN/>
              <w:bidi w:val="0"/>
              <w:snapToGrid/>
              <w:spacing w:line="312" w:lineRule="auto"/>
              <w:rPr>
                <w:rStyle w:val="46"/>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Cs/>
                <w:color w:val="auto"/>
                <w:sz w:val="21"/>
                <w:szCs w:val="21"/>
                <w:highlight w:val="none"/>
              </w:rPr>
              <w:t>（满分</w:t>
            </w: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rPr>
              <w:t>分）</w:t>
            </w:r>
            <w:bookmarkEnd w:id="54"/>
          </w:p>
        </w:tc>
        <w:tc>
          <w:tcPr>
            <w:tcW w:w="7153" w:type="dxa"/>
            <w:vAlign w:val="center"/>
          </w:tcPr>
          <w:p>
            <w:pPr>
              <w:pStyle w:val="228"/>
              <w:keepNext w:val="0"/>
              <w:keepLines w:val="0"/>
              <w:pageBreakBefore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评委根据各</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提供的针对本项目的应急方案内容（</w:t>
            </w:r>
            <w:r>
              <w:rPr>
                <w:rFonts w:hint="eastAsia" w:ascii="宋体" w:hAnsi="宋体" w:eastAsia="宋体" w:cs="宋体"/>
                <w:b/>
                <w:bCs/>
                <w:color w:val="auto"/>
                <w:sz w:val="21"/>
                <w:szCs w:val="21"/>
                <w:highlight w:val="none"/>
              </w:rPr>
              <w:t>可以包括但不限于突发火灾及停电方面、公共安全方面等</w:t>
            </w:r>
            <w:r>
              <w:rPr>
                <w:rFonts w:hint="eastAsia" w:ascii="宋体" w:hAnsi="宋体" w:eastAsia="宋体" w:cs="宋体"/>
                <w:bCs/>
                <w:color w:val="auto"/>
                <w:sz w:val="21"/>
                <w:szCs w:val="21"/>
                <w:highlight w:val="none"/>
              </w:rPr>
              <w:t>）独立打分。</w:t>
            </w:r>
          </w:p>
          <w:p>
            <w:pPr>
              <w:keepNext w:val="0"/>
              <w:keepLines w:val="0"/>
              <w:pageBreakBefore w:val="0"/>
              <w:kinsoku/>
              <w:wordWrap/>
              <w:overflowPunct/>
              <w:topLinePunct w:val="0"/>
              <w:autoSpaceDE/>
              <w:autoSpaceDN/>
              <w:bidi w:val="0"/>
              <w:adjustRightInd/>
              <w:snapToGrid/>
              <w:spacing w:line="312" w:lineRule="auto"/>
              <w:ind w:firstLine="422"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一档（0</w:t>
            </w:r>
            <w:r>
              <w:rPr>
                <w:rFonts w:hint="eastAsia" w:ascii="宋体" w:hAnsi="宋体" w:cs="宋体"/>
                <w:b/>
                <w:bCs w:val="0"/>
                <w:color w:val="auto"/>
                <w:sz w:val="21"/>
                <w:szCs w:val="21"/>
                <w:highlight w:val="none"/>
                <w:lang w:val="en-US" w:eastAsia="zh-CN"/>
              </w:rPr>
              <w:t>.0</w:t>
            </w:r>
            <w:r>
              <w:rPr>
                <w:rFonts w:hint="eastAsia" w:ascii="宋体" w:hAnsi="宋体" w:eastAsia="宋体" w:cs="宋体"/>
                <w:b/>
                <w:bCs w:val="0"/>
                <w:color w:val="auto"/>
                <w:sz w:val="21"/>
                <w:szCs w:val="21"/>
                <w:highlight w:val="none"/>
              </w:rPr>
              <w:t>分）</w:t>
            </w:r>
            <w:r>
              <w:rPr>
                <w:rFonts w:hint="eastAsia" w:ascii="宋体" w:hAnsi="宋体" w:eastAsia="宋体" w:cs="宋体"/>
                <w:bCs/>
                <w:color w:val="auto"/>
                <w:sz w:val="21"/>
                <w:szCs w:val="21"/>
                <w:highlight w:val="none"/>
              </w:rPr>
              <w:t>：未提供方案或提供的内容与本项目无关。</w:t>
            </w:r>
          </w:p>
          <w:p>
            <w:pPr>
              <w:keepNext w:val="0"/>
              <w:keepLines w:val="0"/>
              <w:pageBreakBefore w:val="0"/>
              <w:widowControl/>
              <w:kinsoku/>
              <w:wordWrap/>
              <w:overflowPunct/>
              <w:topLinePunct w:val="0"/>
              <w:autoSpaceDE/>
              <w:autoSpaceDN/>
              <w:bidi w:val="0"/>
              <w:adjustRightInd/>
              <w:snapToGrid/>
              <w:spacing w:line="312" w:lineRule="auto"/>
              <w:ind w:firstLine="422"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二档（</w:t>
            </w:r>
            <w:r>
              <w:rPr>
                <w:rFonts w:hint="eastAsia" w:ascii="宋体" w:hAnsi="宋体" w:cs="宋体"/>
                <w:b/>
                <w:bCs w:val="0"/>
                <w:color w:val="auto"/>
                <w:sz w:val="21"/>
                <w:szCs w:val="21"/>
                <w:highlight w:val="none"/>
                <w:lang w:val="en-US" w:eastAsia="zh-CN"/>
              </w:rPr>
              <w:t>4.0</w:t>
            </w:r>
            <w:r>
              <w:rPr>
                <w:rFonts w:hint="eastAsia" w:ascii="宋体" w:hAnsi="宋体" w:eastAsia="宋体" w:cs="宋体"/>
                <w:b/>
                <w:bCs w:val="0"/>
                <w:color w:val="auto"/>
                <w:sz w:val="21"/>
                <w:szCs w:val="21"/>
                <w:highlight w:val="none"/>
              </w:rPr>
              <w:t>分）</w:t>
            </w:r>
            <w:r>
              <w:rPr>
                <w:rFonts w:hint="eastAsia" w:ascii="宋体" w:hAnsi="宋体" w:eastAsia="宋体" w:cs="宋体"/>
                <w:bCs/>
                <w:color w:val="auto"/>
                <w:sz w:val="21"/>
                <w:szCs w:val="21"/>
                <w:highlight w:val="none"/>
              </w:rPr>
              <w:t>：应急预案和配合方案科学性、可操作性一般。</w:t>
            </w:r>
          </w:p>
          <w:p>
            <w:pPr>
              <w:keepNext w:val="0"/>
              <w:keepLines w:val="0"/>
              <w:pageBreakBefore w:val="0"/>
              <w:widowControl/>
              <w:tabs>
                <w:tab w:val="left" w:pos="312"/>
              </w:tabs>
              <w:kinsoku/>
              <w:wordWrap/>
              <w:overflowPunct/>
              <w:topLinePunct w:val="0"/>
              <w:autoSpaceDE/>
              <w:autoSpaceDN/>
              <w:bidi w:val="0"/>
              <w:adjustRightInd/>
              <w:snapToGrid/>
              <w:spacing w:line="312" w:lineRule="auto"/>
              <w:ind w:firstLine="422"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三档（</w:t>
            </w:r>
            <w:r>
              <w:rPr>
                <w:rFonts w:hint="eastAsia" w:ascii="宋体" w:hAnsi="宋体" w:cs="宋体"/>
                <w:b/>
                <w:bCs w:val="0"/>
                <w:color w:val="auto"/>
                <w:sz w:val="21"/>
                <w:szCs w:val="21"/>
                <w:highlight w:val="none"/>
                <w:lang w:val="en-US" w:eastAsia="zh-CN"/>
              </w:rPr>
              <w:t>9.0</w:t>
            </w:r>
            <w:r>
              <w:rPr>
                <w:rFonts w:hint="eastAsia" w:ascii="宋体" w:hAnsi="宋体" w:eastAsia="宋体" w:cs="宋体"/>
                <w:b/>
                <w:bCs w:val="0"/>
                <w:color w:val="auto"/>
                <w:sz w:val="21"/>
                <w:szCs w:val="21"/>
                <w:highlight w:val="none"/>
              </w:rPr>
              <w:t>分）</w:t>
            </w:r>
            <w:r>
              <w:rPr>
                <w:rFonts w:hint="eastAsia" w:ascii="宋体" w:hAnsi="宋体" w:eastAsia="宋体" w:cs="宋体"/>
                <w:bCs/>
                <w:color w:val="auto"/>
                <w:sz w:val="21"/>
                <w:szCs w:val="21"/>
                <w:highlight w:val="none"/>
              </w:rPr>
              <w:t>：应急预案和配合方案具有一定的科学性、可操作性较强；具有应急装备，响应时间等方面能较好地应对；</w:t>
            </w:r>
          </w:p>
          <w:p>
            <w:pPr>
              <w:pStyle w:val="228"/>
              <w:keepNext w:val="0"/>
              <w:keepLines w:val="0"/>
              <w:pageBreakBefore w:val="0"/>
              <w:kinsoku/>
              <w:wordWrap/>
              <w:overflowPunct/>
              <w:topLinePunct w:val="0"/>
              <w:autoSpaceDE/>
              <w:autoSpaceDN/>
              <w:bidi w:val="0"/>
              <w:adjustRightInd/>
              <w:snapToGrid/>
              <w:spacing w:line="312" w:lineRule="auto"/>
              <w:ind w:firstLine="422" w:firstLineChars="200"/>
              <w:textAlignment w:val="auto"/>
              <w:rPr>
                <w:rStyle w:val="46"/>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bCs w:val="0"/>
                <w:color w:val="auto"/>
                <w:sz w:val="21"/>
                <w:szCs w:val="21"/>
                <w:highlight w:val="none"/>
              </w:rPr>
              <w:t>四档（</w:t>
            </w:r>
            <w:r>
              <w:rPr>
                <w:rFonts w:hint="eastAsia" w:hAnsi="宋体" w:cs="宋体"/>
                <w:b/>
                <w:bCs w:val="0"/>
                <w:color w:val="auto"/>
                <w:sz w:val="21"/>
                <w:szCs w:val="21"/>
                <w:highlight w:val="none"/>
                <w:lang w:val="en-US" w:eastAsia="zh-CN"/>
              </w:rPr>
              <w:t>14.0</w:t>
            </w:r>
            <w:r>
              <w:rPr>
                <w:rFonts w:hint="eastAsia" w:ascii="宋体" w:hAnsi="宋体" w:eastAsia="宋体" w:cs="宋体"/>
                <w:b/>
                <w:bCs w:val="0"/>
                <w:color w:val="auto"/>
                <w:sz w:val="21"/>
                <w:szCs w:val="21"/>
                <w:highlight w:val="none"/>
              </w:rPr>
              <w:t>分）</w:t>
            </w:r>
            <w:r>
              <w:rPr>
                <w:rFonts w:hint="eastAsia" w:ascii="宋体" w:hAnsi="宋体" w:eastAsia="宋体" w:cs="宋体"/>
                <w:bCs/>
                <w:color w:val="auto"/>
                <w:sz w:val="21"/>
                <w:szCs w:val="21"/>
                <w:highlight w:val="none"/>
              </w:rPr>
              <w:t>：方案在三档内容基础上，方案的报告程序，处理措施、注意事项及相关记录科学合理、可操作性强；其中突发火灾、公共安全方面能对人员疏散、人身安全、人员急救方面有详细的阐述，应对措施积极有效；人员安排、响应时间等方面能及时能高质高效应对突发事件，且各方案均优于三档并实际贴合项目、可操作性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321" w:type="dxa"/>
            <w:vMerge w:val="restart"/>
            <w:vAlign w:val="center"/>
          </w:tcPr>
          <w:p>
            <w:pPr>
              <w:keepNext w:val="0"/>
              <w:keepLines w:val="0"/>
              <w:pageBreakBefore w:val="0"/>
              <w:kinsoku/>
              <w:wordWrap/>
              <w:overflowPunct/>
              <w:topLinePunct w:val="0"/>
              <w:autoSpaceDE/>
              <w:autoSpaceDN/>
              <w:bidi w:val="0"/>
              <w:snapToGrid/>
              <w:spacing w:line="312" w:lineRule="auto"/>
              <w:jc w:val="center"/>
              <w:rPr>
                <w:rStyle w:val="226"/>
                <w:rFonts w:hint="eastAsia" w:ascii="宋体" w:hAnsi="宋体" w:eastAsia="宋体" w:cs="宋体"/>
                <w:color w:val="auto"/>
                <w:sz w:val="21"/>
                <w:szCs w:val="21"/>
                <w:highlight w:val="none"/>
                <w:lang w:val="en-US" w:eastAsia="zh-CN"/>
              </w:rPr>
            </w:pPr>
            <w:r>
              <w:rPr>
                <w:rStyle w:val="226"/>
                <w:rFonts w:hint="eastAsia" w:ascii="宋体" w:hAnsi="宋体" w:eastAsia="宋体" w:cs="宋体"/>
                <w:color w:val="auto"/>
                <w:sz w:val="21"/>
                <w:szCs w:val="21"/>
                <w:highlight w:val="none"/>
                <w:lang w:val="en-US" w:eastAsia="zh-CN"/>
              </w:rPr>
              <w:t>3.商务分</w:t>
            </w:r>
          </w:p>
          <w:p>
            <w:pPr>
              <w:keepNext w:val="0"/>
              <w:keepLines w:val="0"/>
              <w:pageBreakBefore w:val="0"/>
              <w:kinsoku/>
              <w:wordWrap/>
              <w:overflowPunct/>
              <w:topLinePunct w:val="0"/>
              <w:autoSpaceDE/>
              <w:autoSpaceDN/>
              <w:bidi w:val="0"/>
              <w:snapToGrid/>
              <w:spacing w:line="312" w:lineRule="auto"/>
              <w:jc w:val="center"/>
              <w:rPr>
                <w:rStyle w:val="226"/>
                <w:rFonts w:hint="eastAsia" w:ascii="宋体" w:hAnsi="宋体" w:eastAsia="宋体" w:cs="宋体"/>
                <w:color w:val="auto"/>
                <w:sz w:val="21"/>
                <w:szCs w:val="21"/>
                <w:highlight w:val="none"/>
                <w:lang w:val="en-US" w:eastAsia="zh-CN"/>
              </w:rPr>
            </w:pPr>
            <w:r>
              <w:rPr>
                <w:rStyle w:val="226"/>
                <w:rFonts w:hint="eastAsia" w:ascii="宋体" w:hAnsi="宋体" w:eastAsia="宋体" w:cs="宋体"/>
                <w:color w:val="auto"/>
                <w:sz w:val="21"/>
                <w:szCs w:val="21"/>
                <w:highlight w:val="none"/>
                <w:lang w:val="en-US" w:eastAsia="zh-CN"/>
              </w:rPr>
              <w:t>（满分</w:t>
            </w:r>
            <w:r>
              <w:rPr>
                <w:rStyle w:val="226"/>
                <w:rFonts w:hint="eastAsia" w:ascii="宋体" w:hAnsi="宋体" w:cs="宋体"/>
                <w:color w:val="auto"/>
                <w:sz w:val="21"/>
                <w:szCs w:val="21"/>
                <w:highlight w:val="none"/>
                <w:lang w:val="en-US" w:eastAsia="zh-CN"/>
              </w:rPr>
              <w:t>15</w:t>
            </w:r>
            <w:r>
              <w:rPr>
                <w:rStyle w:val="226"/>
                <w:rFonts w:hint="eastAsia" w:ascii="宋体" w:hAnsi="宋体" w:eastAsia="宋体" w:cs="宋体"/>
                <w:color w:val="auto"/>
                <w:sz w:val="21"/>
                <w:szCs w:val="21"/>
                <w:highlight w:val="none"/>
                <w:lang w:val="en-US" w:eastAsia="zh-CN"/>
              </w:rPr>
              <w:t>分）</w:t>
            </w:r>
          </w:p>
        </w:tc>
        <w:tc>
          <w:tcPr>
            <w:tcW w:w="1147" w:type="dxa"/>
            <w:vAlign w:val="center"/>
          </w:tcPr>
          <w:p>
            <w:pPr>
              <w:keepNext w:val="0"/>
              <w:keepLines w:val="0"/>
              <w:pageBreakBefore w:val="0"/>
              <w:kinsoku/>
              <w:wordWrap/>
              <w:overflowPunct/>
              <w:topLinePunct w:val="0"/>
              <w:autoSpaceDE/>
              <w:autoSpaceDN/>
              <w:bidi w:val="0"/>
              <w:snapToGrid/>
              <w:spacing w:line="312"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信誉分</w:t>
            </w:r>
          </w:p>
          <w:p>
            <w:pPr>
              <w:keepNext w:val="0"/>
              <w:keepLines w:val="0"/>
              <w:pageBreakBefore w:val="0"/>
              <w:kinsoku/>
              <w:wordWrap/>
              <w:overflowPunct/>
              <w:topLinePunct w:val="0"/>
              <w:autoSpaceDE/>
              <w:autoSpaceDN/>
              <w:bidi w:val="0"/>
              <w:snapToGrid/>
              <w:spacing w:line="312" w:lineRule="auto"/>
              <w:jc w:val="center"/>
              <w:rPr>
                <w:rStyle w:val="226"/>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满分</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tc>
        <w:tc>
          <w:tcPr>
            <w:tcW w:w="7153" w:type="dxa"/>
            <w:vAlign w:val="center"/>
          </w:tcPr>
          <w:p>
            <w:pPr>
              <w:keepNext w:val="0"/>
              <w:keepLines w:val="0"/>
              <w:pageBreakBefore w:val="0"/>
              <w:kinsoku/>
              <w:wordWrap/>
              <w:overflowPunct/>
              <w:topLinePunct w:val="0"/>
              <w:autoSpaceDE/>
              <w:autoSpaceDN/>
              <w:bidi w:val="0"/>
              <w:snapToGrid/>
              <w:spacing w:line="312" w:lineRule="auto"/>
              <w:ind w:firstLine="420" w:firstLineChars="200"/>
              <w:rPr>
                <w:rStyle w:val="226"/>
                <w:rFonts w:hint="eastAsia" w:ascii="宋体" w:hAnsi="宋体" w:eastAsia="宋体" w:cs="宋体"/>
                <w:color w:val="auto"/>
                <w:kern w:val="0"/>
                <w:sz w:val="21"/>
                <w:szCs w:val="21"/>
                <w:highlight w:val="none"/>
                <w:lang w:eastAsia="zh-CN"/>
              </w:rPr>
            </w:pPr>
            <w:bookmarkStart w:id="55" w:name="OLE_LINK22"/>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通过ISO9001质量管理体系认证、ISO14001环境管理体系认证、职业健康安全管理体系认证，每提供一项得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bookmarkEnd w:id="5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321" w:type="dxa"/>
            <w:vMerge w:val="continue"/>
            <w:vAlign w:val="center"/>
          </w:tcPr>
          <w:p>
            <w:pPr>
              <w:keepNext w:val="0"/>
              <w:keepLines w:val="0"/>
              <w:pageBreakBefore w:val="0"/>
              <w:kinsoku/>
              <w:wordWrap/>
              <w:overflowPunct/>
              <w:topLinePunct w:val="0"/>
              <w:autoSpaceDE/>
              <w:autoSpaceDN/>
              <w:bidi w:val="0"/>
              <w:snapToGrid/>
              <w:spacing w:line="312" w:lineRule="auto"/>
              <w:jc w:val="center"/>
              <w:rPr>
                <w:rStyle w:val="226"/>
                <w:rFonts w:hint="eastAsia" w:ascii="宋体" w:hAnsi="宋体" w:eastAsia="宋体" w:cs="宋体"/>
                <w:color w:val="auto"/>
                <w:sz w:val="21"/>
                <w:szCs w:val="21"/>
                <w:highlight w:val="none"/>
                <w:lang w:val="en-US" w:eastAsia="zh-CN"/>
              </w:rPr>
            </w:pPr>
          </w:p>
        </w:tc>
        <w:tc>
          <w:tcPr>
            <w:tcW w:w="1147" w:type="dxa"/>
            <w:vAlign w:val="center"/>
          </w:tcPr>
          <w:p>
            <w:pPr>
              <w:keepNext w:val="0"/>
              <w:keepLines w:val="0"/>
              <w:pageBreakBefore w:val="0"/>
              <w:kinsoku/>
              <w:wordWrap/>
              <w:overflowPunct/>
              <w:topLinePunct w:val="0"/>
              <w:autoSpaceDE/>
              <w:autoSpaceDN/>
              <w:bidi w:val="0"/>
              <w:adjustRightInd w:val="0"/>
              <w:snapToGrid/>
              <w:spacing w:line="312" w:lineRule="auto"/>
              <w:ind w:right="-105" w:rightChars="-50"/>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业绩分</w:t>
            </w:r>
          </w:p>
          <w:p>
            <w:pPr>
              <w:keepNext w:val="0"/>
              <w:keepLines w:val="0"/>
              <w:pageBreakBefore w:val="0"/>
              <w:kinsoku/>
              <w:wordWrap/>
              <w:overflowPunct/>
              <w:topLinePunct w:val="0"/>
              <w:autoSpaceDE/>
              <w:autoSpaceDN/>
              <w:bidi w:val="0"/>
              <w:adjustRightInd w:val="0"/>
              <w:snapToGrid/>
              <w:spacing w:line="312" w:lineRule="auto"/>
              <w:ind w:right="-105" w:rightChars="-50"/>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（满分</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w:t>
            </w:r>
          </w:p>
        </w:tc>
        <w:tc>
          <w:tcPr>
            <w:tcW w:w="7153" w:type="dxa"/>
            <w:vAlign w:val="center"/>
          </w:tcPr>
          <w:p>
            <w:pPr>
              <w:keepNext w:val="0"/>
              <w:keepLines w:val="0"/>
              <w:pageBreakBefore w:val="0"/>
              <w:kinsoku/>
              <w:wordWrap/>
              <w:overflowPunct/>
              <w:topLinePunct w:val="0"/>
              <w:autoSpaceDE/>
              <w:autoSpaceDN/>
              <w:bidi w:val="0"/>
              <w:snapToGrid/>
              <w:spacing w:line="312" w:lineRule="auto"/>
              <w:ind w:firstLine="420" w:firstLineChars="200"/>
              <w:rPr>
                <w:rFonts w:hint="eastAsia" w:ascii="宋体" w:hAnsi="宋体" w:eastAsia="宋体" w:cs="宋体"/>
                <w:color w:val="auto"/>
                <w:sz w:val="21"/>
                <w:szCs w:val="21"/>
                <w:highlight w:val="none"/>
              </w:rPr>
            </w:pPr>
            <w:bookmarkStart w:id="56" w:name="OLE_LINK23"/>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年1月1日以来完成或正在履行的保安服务项目或含安保服务的项目业绩，项目业绩（同一个编号的招标项目有2个及以上的分标中标的只算一次）以中标</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通知书或合同复印件并加盖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单位公章为准，每项2分，</w:t>
            </w: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autoSpaceDE/>
              <w:autoSpaceDN/>
              <w:bidi w:val="0"/>
              <w:snapToGrid/>
              <w:spacing w:line="312" w:lineRule="auto"/>
              <w:ind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时提供与第（1）点合同相对应的服务项目获得业主单位服务好评，分数在90分以上（100分制）或评价为优秀（非常满意），每提供一份得0.5分，</w:t>
            </w:r>
            <w:r>
              <w:rPr>
                <w:rFonts w:hint="eastAsia" w:ascii="宋体" w:hAnsi="宋体" w:eastAsia="宋体" w:cs="宋体"/>
                <w:b/>
                <w:bCs/>
                <w:color w:val="auto"/>
                <w:sz w:val="21"/>
                <w:szCs w:val="21"/>
                <w:highlight w:val="none"/>
              </w:rPr>
              <w:t>满分3分</w:t>
            </w:r>
          </w:p>
          <w:p>
            <w:pPr>
              <w:keepNext w:val="0"/>
              <w:keepLines w:val="0"/>
              <w:pageBreakBefore w:val="0"/>
              <w:kinsoku/>
              <w:wordWrap/>
              <w:overflowPunct/>
              <w:topLinePunct w:val="0"/>
              <w:autoSpaceDE/>
              <w:autoSpaceDN/>
              <w:bidi w:val="0"/>
              <w:snapToGrid/>
              <w:spacing w:line="312"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（提供盖有业主单位公章的服务好评证明材料复印件，否则不予计分）。</w:t>
            </w:r>
            <w:bookmarkEnd w:id="56"/>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1" w:type="dxa"/>
            <w:gridSpan w:val="3"/>
            <w:vAlign w:val="center"/>
          </w:tcPr>
          <w:p>
            <w:pPr>
              <w:widowControl/>
              <w:spacing w:line="360" w:lineRule="exact"/>
              <w:jc w:val="left"/>
              <w:textAlignment w:val="baseline"/>
              <w:rPr>
                <w:rStyle w:val="226"/>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总得分＝1＋2＋3</w:t>
            </w:r>
          </w:p>
        </w:tc>
      </w:tr>
    </w:tbl>
    <w:p>
      <w:pPr>
        <w:pStyle w:val="27"/>
        <w:spacing w:line="360" w:lineRule="exact"/>
        <w:ind w:firstLine="420"/>
        <w:rPr>
          <w:rFonts w:hint="eastAsia" w:hAnsi="宋体" w:cs="宋体"/>
          <w:b/>
          <w:bCs/>
          <w:color w:val="auto"/>
          <w:sz w:val="21"/>
          <w:highlight w:val="none"/>
        </w:rPr>
      </w:pPr>
    </w:p>
    <w:p>
      <w:pPr>
        <w:pStyle w:val="27"/>
        <w:spacing w:line="360" w:lineRule="exact"/>
        <w:ind w:firstLine="420"/>
        <w:rPr>
          <w:rFonts w:hAnsi="宋体" w:cs="宋体"/>
          <w:b/>
          <w:bCs/>
          <w:color w:val="auto"/>
          <w:sz w:val="21"/>
          <w:highlight w:val="none"/>
        </w:rPr>
      </w:pPr>
      <w:r>
        <w:rPr>
          <w:rFonts w:hint="eastAsia" w:hAnsi="宋体" w:cs="宋体"/>
          <w:b/>
          <w:bCs/>
          <w:color w:val="auto"/>
          <w:sz w:val="21"/>
          <w:highlight w:val="none"/>
        </w:rPr>
        <w:t>三、成交标准及成交候选人推荐原则</w:t>
      </w:r>
    </w:p>
    <w:p>
      <w:pPr>
        <w:spacing w:line="36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“磋商小组”将根据综合得分由高到低排列次序（得分相同时，以报价由低到高顺序排列；得分相同且报价相同的，按</w:t>
      </w:r>
      <w:r>
        <w:rPr>
          <w:rFonts w:hint="eastAsia" w:ascii="宋体" w:hAnsi="宋体" w:cs="宋体"/>
          <w:color w:val="auto"/>
          <w:szCs w:val="21"/>
          <w:highlight w:val="none"/>
          <w:lang w:val="en-US" w:eastAsia="zh-CN"/>
        </w:rPr>
        <w:t>实施</w:t>
      </w:r>
      <w:r>
        <w:rPr>
          <w:rFonts w:hint="eastAsia" w:ascii="宋体" w:hAnsi="宋体" w:eastAsia="宋体" w:cs="宋体"/>
          <w:color w:val="auto"/>
          <w:kern w:val="2"/>
          <w:sz w:val="21"/>
          <w:szCs w:val="21"/>
          <w:highlight w:val="none"/>
          <w:lang w:val="en-US" w:eastAsia="zh-CN" w:bidi="ar-SA"/>
        </w:rPr>
        <w:t>方案</w:t>
      </w:r>
      <w:r>
        <w:rPr>
          <w:rFonts w:hint="eastAsia" w:ascii="宋体" w:hAnsi="宋体" w:cs="宋体"/>
          <w:color w:val="auto"/>
          <w:szCs w:val="21"/>
          <w:highlight w:val="none"/>
        </w:rPr>
        <w:t>优劣顺序排列</w:t>
      </w:r>
      <w:r>
        <w:rPr>
          <w:rFonts w:hint="eastAsia" w:ascii="宋体" w:hAnsi="宋体" w:cs="宋体"/>
          <w:color w:val="auto"/>
          <w:szCs w:val="21"/>
          <w:highlight w:val="none"/>
          <w:lang w:eastAsia="zh-CN"/>
        </w:rPr>
        <w:t>，</w:t>
      </w:r>
      <w:r>
        <w:rPr>
          <w:rFonts w:hint="eastAsia" w:ascii="宋体" w:hAnsi="宋体" w:cs="宋体"/>
          <w:color w:val="auto"/>
          <w:szCs w:val="21"/>
          <w:highlight w:val="none"/>
        </w:rPr>
        <w:t>并推荐综合得分前三名为成交候选供应商。采购单位应当确定评审委员会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其余以此类推, 也可以重新开展采购活动。</w:t>
      </w:r>
    </w:p>
    <w:p>
      <w:pPr>
        <w:snapToGrid w:val="0"/>
        <w:spacing w:line="400" w:lineRule="exact"/>
        <w:rPr>
          <w:rFonts w:ascii="宋体" w:hAnsi="宋体" w:cs="宋体"/>
          <w:color w:val="auto"/>
          <w:highlight w:val="none"/>
        </w:rPr>
      </w:pPr>
    </w:p>
    <w:p>
      <w:pPr>
        <w:pStyle w:val="27"/>
        <w:keepNext w:val="0"/>
        <w:keepLines w:val="0"/>
        <w:pageBreakBefore w:val="0"/>
        <w:widowControl w:val="0"/>
        <w:kinsoku/>
        <w:wordWrap/>
        <w:overflowPunct/>
        <w:topLinePunct w:val="0"/>
        <w:autoSpaceDE/>
        <w:autoSpaceDN/>
        <w:bidi w:val="0"/>
        <w:adjustRightInd/>
        <w:spacing w:line="400" w:lineRule="exact"/>
        <w:ind w:firstLine="422"/>
        <w:textAlignment w:val="auto"/>
        <w:rPr>
          <w:rFonts w:hint="eastAsia" w:ascii="宋体" w:hAnsi="宋体" w:eastAsia="宋体" w:cs="宋体"/>
          <w:color w:val="auto"/>
          <w:highlight w:val="none"/>
        </w:rPr>
      </w:pPr>
    </w:p>
    <w:sectPr>
      <w:headerReference r:id="rId9" w:type="first"/>
      <w:footerReference r:id="rId12" w:type="first"/>
      <w:headerReference r:id="rId8" w:type="default"/>
      <w:footerReference r:id="rId10" w:type="default"/>
      <w:footerReference r:id="rId11" w:type="even"/>
      <w:pgSz w:w="11906" w:h="16838"/>
      <w:pgMar w:top="1134" w:right="1247" w:bottom="1134" w:left="1247" w:header="851" w:footer="68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ind w:firstLine="361"/>
      <w:rPr>
        <w:rStyle w:val="48"/>
      </w:rPr>
    </w:pPr>
    <w:r>
      <w:fldChar w:fldCharType="begin"/>
    </w:r>
    <w:r>
      <w:rPr>
        <w:rStyle w:val="48"/>
      </w:rPr>
      <w:instrText xml:space="preserve">PAGE  </w:instrText>
    </w:r>
    <w:r>
      <w:fldChar w:fldCharType="separate"/>
    </w:r>
    <w:r>
      <w:rPr>
        <w:rStyle w:val="48"/>
      </w:rPr>
      <w:t>2</w:t>
    </w:r>
    <w:r>
      <w:fldChar w:fldCharType="end"/>
    </w:r>
  </w:p>
  <w:p>
    <w:pPr>
      <w:pStyle w:val="2"/>
      <w:ind w:firstLine="361"/>
    </w:pPr>
  </w:p>
  <w:p/>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1"/>
      <w:jc w:val="center"/>
    </w:pPr>
    <w:r>
      <w:t>17</w:t>
    </w:r>
  </w:p>
  <w:p>
    <w:pPr>
      <w:pStyle w:val="2"/>
      <w:ind w:firstLine="36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1"/>
      </w:pBdr>
      <w:jc w:val="both"/>
      <w:rPr>
        <w:rFonts w:ascii="宋体" w:hAnsi="宋体" w:cs="宋体"/>
        <w:kern w:val="0"/>
        <w:szCs w:val="21"/>
      </w:rPr>
    </w:pPr>
    <w:r>
      <w:rPr>
        <w:rFonts w:hint="eastAsia"/>
        <w:b/>
        <w:bCs/>
      </w:rPr>
      <w:t xml:space="preserve">   </w:t>
    </w:r>
    <w:r>
      <w:rPr>
        <w:rFonts w:hint="eastAsia"/>
        <w:b/>
        <w:bCs/>
        <w:lang w:val="en-US" w:eastAsia="zh-CN"/>
      </w:rPr>
      <w:t xml:space="preserve">                                             </w:t>
    </w:r>
    <w:r>
      <w:rPr>
        <w:rFonts w:hint="eastAsia"/>
        <w:b/>
        <w:bCs/>
      </w:rPr>
      <w:t xml:space="preserve">                   </w:t>
    </w:r>
    <w:r>
      <w:rPr>
        <w:rFonts w:hint="eastAsia"/>
        <w:b/>
        <w:bCs/>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tabs>
        <w:tab w:val="center" w:pos="0"/>
        <w:tab w:val="left" w:pos="8306"/>
        <w:tab w:val="clear" w:pos="415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1"/>
      </w:pBdr>
      <w:ind w:firstLine="36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firstLine="36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FBF9EF"/>
    <w:multiLevelType w:val="singleLevel"/>
    <w:tmpl w:val="93FBF9EF"/>
    <w:lvl w:ilvl="0" w:tentative="0">
      <w:start w:val="8"/>
      <w:numFmt w:val="chineseCounting"/>
      <w:suff w:val="nothing"/>
      <w:lvlText w:val="%1、"/>
      <w:lvlJc w:val="left"/>
      <w:rPr>
        <w:rFonts w:hint="eastAsia"/>
      </w:rPr>
    </w:lvl>
  </w:abstractNum>
  <w:abstractNum w:abstractNumId="1">
    <w:nsid w:val="9446F33C"/>
    <w:multiLevelType w:val="singleLevel"/>
    <w:tmpl w:val="9446F33C"/>
    <w:lvl w:ilvl="0" w:tentative="0">
      <w:start w:val="3"/>
      <w:numFmt w:val="decimal"/>
      <w:suff w:val="nothing"/>
      <w:lvlText w:val="（%1）"/>
      <w:lvlJc w:val="left"/>
    </w:lvl>
  </w:abstractNum>
  <w:abstractNum w:abstractNumId="2">
    <w:nsid w:val="A92C58EB"/>
    <w:multiLevelType w:val="singleLevel"/>
    <w:tmpl w:val="A92C58EB"/>
    <w:lvl w:ilvl="0" w:tentative="0">
      <w:start w:val="5"/>
      <w:numFmt w:val="chineseCounting"/>
      <w:suff w:val="space"/>
      <w:lvlText w:val="第%1章"/>
      <w:lvlJc w:val="left"/>
      <w:rPr>
        <w:rFonts w:hint="eastAsia"/>
      </w:rPr>
    </w:lvl>
  </w:abstractNum>
  <w:abstractNum w:abstractNumId="3">
    <w:nsid w:val="CC68586E"/>
    <w:multiLevelType w:val="singleLevel"/>
    <w:tmpl w:val="CC68586E"/>
    <w:lvl w:ilvl="0" w:tentative="0">
      <w:start w:val="4"/>
      <w:numFmt w:val="decimal"/>
      <w:lvlText w:val="%1."/>
      <w:lvlJc w:val="left"/>
      <w:pPr>
        <w:tabs>
          <w:tab w:val="left" w:pos="312"/>
        </w:tabs>
      </w:pPr>
    </w:lvl>
  </w:abstractNum>
  <w:abstractNum w:abstractNumId="4">
    <w:nsid w:val="DA1E2C09"/>
    <w:multiLevelType w:val="singleLevel"/>
    <w:tmpl w:val="DA1E2C09"/>
    <w:lvl w:ilvl="0" w:tentative="0">
      <w:start w:val="1"/>
      <w:numFmt w:val="bullet"/>
      <w:pStyle w:val="26"/>
      <w:lvlText w:val=""/>
      <w:lvlJc w:val="left"/>
      <w:pPr>
        <w:tabs>
          <w:tab w:val="left" w:pos="780"/>
        </w:tabs>
        <w:ind w:left="780" w:hanging="360"/>
      </w:pPr>
      <w:rPr>
        <w:rFonts w:hint="default" w:ascii="Wingdings" w:hAnsi="Wingdings"/>
      </w:rPr>
    </w:lvl>
  </w:abstractNum>
  <w:abstractNum w:abstractNumId="5">
    <w:nsid w:val="08B76E24"/>
    <w:multiLevelType w:val="singleLevel"/>
    <w:tmpl w:val="08B76E24"/>
    <w:lvl w:ilvl="0" w:tentative="0">
      <w:start w:val="2"/>
      <w:numFmt w:val="chineseCounting"/>
      <w:suff w:val="nothing"/>
      <w:lvlText w:val="（%1）"/>
      <w:lvlJc w:val="left"/>
      <w:rPr>
        <w:rFonts w:hint="eastAsia"/>
      </w:r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Dg0NWJlYWU3YjBhYzQyZjUzY2YwMWU3MDE3NTYifQ=="/>
    <w:docVar w:name="KSO_WPS_MARK_KEY" w:val="bec4e247-d8b7-4698-a858-9cee51c72873"/>
  </w:docVars>
  <w:rsids>
    <w:rsidRoot w:val="00172A27"/>
    <w:rsid w:val="0000090E"/>
    <w:rsid w:val="000015DB"/>
    <w:rsid w:val="000067C1"/>
    <w:rsid w:val="0000695D"/>
    <w:rsid w:val="00013DC2"/>
    <w:rsid w:val="0001413E"/>
    <w:rsid w:val="0002592F"/>
    <w:rsid w:val="0002786B"/>
    <w:rsid w:val="00035557"/>
    <w:rsid w:val="0004133D"/>
    <w:rsid w:val="00041B3F"/>
    <w:rsid w:val="00043E0A"/>
    <w:rsid w:val="000514EF"/>
    <w:rsid w:val="000560B8"/>
    <w:rsid w:val="00065310"/>
    <w:rsid w:val="00077CC5"/>
    <w:rsid w:val="000815B2"/>
    <w:rsid w:val="00086172"/>
    <w:rsid w:val="00093515"/>
    <w:rsid w:val="000A7C55"/>
    <w:rsid w:val="000C2708"/>
    <w:rsid w:val="000D0985"/>
    <w:rsid w:val="000D2138"/>
    <w:rsid w:val="000D4081"/>
    <w:rsid w:val="000E3C92"/>
    <w:rsid w:val="000E56CB"/>
    <w:rsid w:val="000E78EB"/>
    <w:rsid w:val="000F0388"/>
    <w:rsid w:val="000F46D6"/>
    <w:rsid w:val="000F6D52"/>
    <w:rsid w:val="00102F6B"/>
    <w:rsid w:val="0010453E"/>
    <w:rsid w:val="0011098A"/>
    <w:rsid w:val="00111AF2"/>
    <w:rsid w:val="00114092"/>
    <w:rsid w:val="00115FEF"/>
    <w:rsid w:val="001318DA"/>
    <w:rsid w:val="001335D8"/>
    <w:rsid w:val="0014576F"/>
    <w:rsid w:val="00152934"/>
    <w:rsid w:val="00172A27"/>
    <w:rsid w:val="001771ED"/>
    <w:rsid w:val="00184CD3"/>
    <w:rsid w:val="00187384"/>
    <w:rsid w:val="00192CF5"/>
    <w:rsid w:val="001A22E8"/>
    <w:rsid w:val="001A25E3"/>
    <w:rsid w:val="001A681E"/>
    <w:rsid w:val="001B2B72"/>
    <w:rsid w:val="001B2F7C"/>
    <w:rsid w:val="001B7405"/>
    <w:rsid w:val="001C1F14"/>
    <w:rsid w:val="001C7C61"/>
    <w:rsid w:val="001D5246"/>
    <w:rsid w:val="001E73BE"/>
    <w:rsid w:val="00200139"/>
    <w:rsid w:val="002144F0"/>
    <w:rsid w:val="00217238"/>
    <w:rsid w:val="002278CD"/>
    <w:rsid w:val="0023030D"/>
    <w:rsid w:val="00236F5B"/>
    <w:rsid w:val="0024402E"/>
    <w:rsid w:val="00250C35"/>
    <w:rsid w:val="0025799C"/>
    <w:rsid w:val="00276FCF"/>
    <w:rsid w:val="002828EE"/>
    <w:rsid w:val="00282EE6"/>
    <w:rsid w:val="00284181"/>
    <w:rsid w:val="00286316"/>
    <w:rsid w:val="00290ABF"/>
    <w:rsid w:val="00291088"/>
    <w:rsid w:val="002B000B"/>
    <w:rsid w:val="002C1E03"/>
    <w:rsid w:val="002D4643"/>
    <w:rsid w:val="002F035C"/>
    <w:rsid w:val="002F1CE1"/>
    <w:rsid w:val="002F4EB4"/>
    <w:rsid w:val="002F524C"/>
    <w:rsid w:val="002F5959"/>
    <w:rsid w:val="002F5A2D"/>
    <w:rsid w:val="002F7395"/>
    <w:rsid w:val="0032415A"/>
    <w:rsid w:val="00330926"/>
    <w:rsid w:val="00330E48"/>
    <w:rsid w:val="0033133C"/>
    <w:rsid w:val="00331F78"/>
    <w:rsid w:val="00350B58"/>
    <w:rsid w:val="00354790"/>
    <w:rsid w:val="00363580"/>
    <w:rsid w:val="00374A13"/>
    <w:rsid w:val="003759F0"/>
    <w:rsid w:val="003927CF"/>
    <w:rsid w:val="00393BED"/>
    <w:rsid w:val="003A67E8"/>
    <w:rsid w:val="003A78D2"/>
    <w:rsid w:val="003B74DD"/>
    <w:rsid w:val="003B7FF9"/>
    <w:rsid w:val="003C7AD6"/>
    <w:rsid w:val="003D042A"/>
    <w:rsid w:val="003D69B4"/>
    <w:rsid w:val="003E2F67"/>
    <w:rsid w:val="003E346C"/>
    <w:rsid w:val="003F36B5"/>
    <w:rsid w:val="003F4BD2"/>
    <w:rsid w:val="003F6B4E"/>
    <w:rsid w:val="004048A3"/>
    <w:rsid w:val="004073EC"/>
    <w:rsid w:val="004138F0"/>
    <w:rsid w:val="00417A17"/>
    <w:rsid w:val="00421B89"/>
    <w:rsid w:val="00436F11"/>
    <w:rsid w:val="00442B23"/>
    <w:rsid w:val="004438BE"/>
    <w:rsid w:val="00444E68"/>
    <w:rsid w:val="0044516E"/>
    <w:rsid w:val="0044614E"/>
    <w:rsid w:val="00450AE8"/>
    <w:rsid w:val="00453CAA"/>
    <w:rsid w:val="00454723"/>
    <w:rsid w:val="00457799"/>
    <w:rsid w:val="0046526E"/>
    <w:rsid w:val="00473031"/>
    <w:rsid w:val="00474C4D"/>
    <w:rsid w:val="00484142"/>
    <w:rsid w:val="00485BEB"/>
    <w:rsid w:val="004A1D3E"/>
    <w:rsid w:val="004A2EE5"/>
    <w:rsid w:val="004B4985"/>
    <w:rsid w:val="004B551A"/>
    <w:rsid w:val="004C3110"/>
    <w:rsid w:val="004C5291"/>
    <w:rsid w:val="004D71CD"/>
    <w:rsid w:val="004E50FE"/>
    <w:rsid w:val="004F7773"/>
    <w:rsid w:val="00500D36"/>
    <w:rsid w:val="00505534"/>
    <w:rsid w:val="00507882"/>
    <w:rsid w:val="00523F15"/>
    <w:rsid w:val="0052488F"/>
    <w:rsid w:val="00525AA5"/>
    <w:rsid w:val="00527462"/>
    <w:rsid w:val="005275EC"/>
    <w:rsid w:val="00533464"/>
    <w:rsid w:val="0054045B"/>
    <w:rsid w:val="00551237"/>
    <w:rsid w:val="00556601"/>
    <w:rsid w:val="00557C30"/>
    <w:rsid w:val="00562ABC"/>
    <w:rsid w:val="00565011"/>
    <w:rsid w:val="005674DD"/>
    <w:rsid w:val="00572E67"/>
    <w:rsid w:val="005752A1"/>
    <w:rsid w:val="005808D1"/>
    <w:rsid w:val="00584495"/>
    <w:rsid w:val="005B36C7"/>
    <w:rsid w:val="005B3CA7"/>
    <w:rsid w:val="005D1E87"/>
    <w:rsid w:val="005D26AC"/>
    <w:rsid w:val="005E0AC0"/>
    <w:rsid w:val="005E4943"/>
    <w:rsid w:val="005E4FA7"/>
    <w:rsid w:val="005F0475"/>
    <w:rsid w:val="005F15A4"/>
    <w:rsid w:val="005F471E"/>
    <w:rsid w:val="0060128B"/>
    <w:rsid w:val="006064E1"/>
    <w:rsid w:val="00607698"/>
    <w:rsid w:val="006116A3"/>
    <w:rsid w:val="00613BEF"/>
    <w:rsid w:val="0061464B"/>
    <w:rsid w:val="00616EE6"/>
    <w:rsid w:val="00621BB0"/>
    <w:rsid w:val="00624849"/>
    <w:rsid w:val="00625B22"/>
    <w:rsid w:val="006304A8"/>
    <w:rsid w:val="0064252C"/>
    <w:rsid w:val="006446AB"/>
    <w:rsid w:val="0064641B"/>
    <w:rsid w:val="006468D9"/>
    <w:rsid w:val="0065527C"/>
    <w:rsid w:val="00661805"/>
    <w:rsid w:val="00667BAC"/>
    <w:rsid w:val="00671F7C"/>
    <w:rsid w:val="00676E82"/>
    <w:rsid w:val="00687FBE"/>
    <w:rsid w:val="00695BF2"/>
    <w:rsid w:val="006A33F2"/>
    <w:rsid w:val="006B6976"/>
    <w:rsid w:val="006B6D24"/>
    <w:rsid w:val="006C4F1C"/>
    <w:rsid w:val="006D004D"/>
    <w:rsid w:val="006D0BE3"/>
    <w:rsid w:val="006D2E71"/>
    <w:rsid w:val="006D586C"/>
    <w:rsid w:val="006E2180"/>
    <w:rsid w:val="006E4B63"/>
    <w:rsid w:val="006F70C4"/>
    <w:rsid w:val="0070488A"/>
    <w:rsid w:val="007118DB"/>
    <w:rsid w:val="00711C91"/>
    <w:rsid w:val="007131B1"/>
    <w:rsid w:val="00726B55"/>
    <w:rsid w:val="00730782"/>
    <w:rsid w:val="00737F70"/>
    <w:rsid w:val="007609A0"/>
    <w:rsid w:val="00762CD4"/>
    <w:rsid w:val="00775DA7"/>
    <w:rsid w:val="00787233"/>
    <w:rsid w:val="00793A6F"/>
    <w:rsid w:val="007951FD"/>
    <w:rsid w:val="007A61BC"/>
    <w:rsid w:val="007C5EC3"/>
    <w:rsid w:val="007D2FF9"/>
    <w:rsid w:val="007D5341"/>
    <w:rsid w:val="007E13F9"/>
    <w:rsid w:val="007E4478"/>
    <w:rsid w:val="007E5553"/>
    <w:rsid w:val="007F26D3"/>
    <w:rsid w:val="007F7145"/>
    <w:rsid w:val="00800876"/>
    <w:rsid w:val="0080268F"/>
    <w:rsid w:val="00803097"/>
    <w:rsid w:val="0081540E"/>
    <w:rsid w:val="008219B8"/>
    <w:rsid w:val="008277DD"/>
    <w:rsid w:val="00840C78"/>
    <w:rsid w:val="00854713"/>
    <w:rsid w:val="008552AA"/>
    <w:rsid w:val="008642A9"/>
    <w:rsid w:val="00875B64"/>
    <w:rsid w:val="00881E06"/>
    <w:rsid w:val="0088450B"/>
    <w:rsid w:val="00885A16"/>
    <w:rsid w:val="00897C42"/>
    <w:rsid w:val="008A28E9"/>
    <w:rsid w:val="008A4B60"/>
    <w:rsid w:val="008A4D79"/>
    <w:rsid w:val="008A5290"/>
    <w:rsid w:val="008A60A6"/>
    <w:rsid w:val="008A6376"/>
    <w:rsid w:val="008B4ED6"/>
    <w:rsid w:val="008C0AB7"/>
    <w:rsid w:val="008E316B"/>
    <w:rsid w:val="008F4B8C"/>
    <w:rsid w:val="009013C7"/>
    <w:rsid w:val="00901D92"/>
    <w:rsid w:val="00902842"/>
    <w:rsid w:val="00905441"/>
    <w:rsid w:val="00910264"/>
    <w:rsid w:val="00911E65"/>
    <w:rsid w:val="009135BA"/>
    <w:rsid w:val="00914911"/>
    <w:rsid w:val="009164ED"/>
    <w:rsid w:val="00916C6C"/>
    <w:rsid w:val="00920F19"/>
    <w:rsid w:val="00922567"/>
    <w:rsid w:val="00925759"/>
    <w:rsid w:val="00933875"/>
    <w:rsid w:val="00941666"/>
    <w:rsid w:val="009502DD"/>
    <w:rsid w:val="009504C8"/>
    <w:rsid w:val="0095325C"/>
    <w:rsid w:val="00971F78"/>
    <w:rsid w:val="0097344E"/>
    <w:rsid w:val="00975445"/>
    <w:rsid w:val="00986FE4"/>
    <w:rsid w:val="00994085"/>
    <w:rsid w:val="009B011B"/>
    <w:rsid w:val="009B6C14"/>
    <w:rsid w:val="009B7507"/>
    <w:rsid w:val="009C2B43"/>
    <w:rsid w:val="009C5193"/>
    <w:rsid w:val="009D21C1"/>
    <w:rsid w:val="009D59BC"/>
    <w:rsid w:val="009F0AE7"/>
    <w:rsid w:val="00A01634"/>
    <w:rsid w:val="00A04DA8"/>
    <w:rsid w:val="00A05578"/>
    <w:rsid w:val="00A115EA"/>
    <w:rsid w:val="00A152E9"/>
    <w:rsid w:val="00A42421"/>
    <w:rsid w:val="00A51634"/>
    <w:rsid w:val="00A60859"/>
    <w:rsid w:val="00A61CF5"/>
    <w:rsid w:val="00A623A9"/>
    <w:rsid w:val="00A722ED"/>
    <w:rsid w:val="00A85EA8"/>
    <w:rsid w:val="00AA16DB"/>
    <w:rsid w:val="00AB3DB4"/>
    <w:rsid w:val="00AB68A1"/>
    <w:rsid w:val="00AB71E4"/>
    <w:rsid w:val="00AC22EA"/>
    <w:rsid w:val="00AC29D5"/>
    <w:rsid w:val="00AC73B2"/>
    <w:rsid w:val="00AD2950"/>
    <w:rsid w:val="00AD511A"/>
    <w:rsid w:val="00AD63D3"/>
    <w:rsid w:val="00AE04FE"/>
    <w:rsid w:val="00AE3544"/>
    <w:rsid w:val="00AE7A13"/>
    <w:rsid w:val="00AF4EE7"/>
    <w:rsid w:val="00AF6A80"/>
    <w:rsid w:val="00B02BD7"/>
    <w:rsid w:val="00B05C39"/>
    <w:rsid w:val="00B21E79"/>
    <w:rsid w:val="00B3085B"/>
    <w:rsid w:val="00B32F6D"/>
    <w:rsid w:val="00B35A99"/>
    <w:rsid w:val="00B361A5"/>
    <w:rsid w:val="00B404D3"/>
    <w:rsid w:val="00B408AC"/>
    <w:rsid w:val="00B453F5"/>
    <w:rsid w:val="00B57027"/>
    <w:rsid w:val="00B6498C"/>
    <w:rsid w:val="00B64E1F"/>
    <w:rsid w:val="00B751B4"/>
    <w:rsid w:val="00B8384E"/>
    <w:rsid w:val="00B92702"/>
    <w:rsid w:val="00B93C7F"/>
    <w:rsid w:val="00BB6C2F"/>
    <w:rsid w:val="00BC2783"/>
    <w:rsid w:val="00BC380A"/>
    <w:rsid w:val="00BC3CB6"/>
    <w:rsid w:val="00BD1B07"/>
    <w:rsid w:val="00BD30B2"/>
    <w:rsid w:val="00BD554E"/>
    <w:rsid w:val="00BE056A"/>
    <w:rsid w:val="00BE2082"/>
    <w:rsid w:val="00BE20A1"/>
    <w:rsid w:val="00BE2888"/>
    <w:rsid w:val="00BE4F8C"/>
    <w:rsid w:val="00BF19B4"/>
    <w:rsid w:val="00BF70AB"/>
    <w:rsid w:val="00C054BC"/>
    <w:rsid w:val="00C12C5F"/>
    <w:rsid w:val="00C16A3F"/>
    <w:rsid w:val="00C31F94"/>
    <w:rsid w:val="00C4123B"/>
    <w:rsid w:val="00C450BD"/>
    <w:rsid w:val="00C51002"/>
    <w:rsid w:val="00C763AD"/>
    <w:rsid w:val="00C77867"/>
    <w:rsid w:val="00C87EED"/>
    <w:rsid w:val="00CB0360"/>
    <w:rsid w:val="00CB6C17"/>
    <w:rsid w:val="00CD380D"/>
    <w:rsid w:val="00CE0EAA"/>
    <w:rsid w:val="00CE23DC"/>
    <w:rsid w:val="00CF33E7"/>
    <w:rsid w:val="00D027AD"/>
    <w:rsid w:val="00D065A5"/>
    <w:rsid w:val="00D11433"/>
    <w:rsid w:val="00D159A1"/>
    <w:rsid w:val="00D21270"/>
    <w:rsid w:val="00D21D8D"/>
    <w:rsid w:val="00D27C5C"/>
    <w:rsid w:val="00D30121"/>
    <w:rsid w:val="00D3567D"/>
    <w:rsid w:val="00D44AA3"/>
    <w:rsid w:val="00D44FD1"/>
    <w:rsid w:val="00D56B12"/>
    <w:rsid w:val="00D6485C"/>
    <w:rsid w:val="00D67980"/>
    <w:rsid w:val="00D70B07"/>
    <w:rsid w:val="00D71C53"/>
    <w:rsid w:val="00D7692A"/>
    <w:rsid w:val="00D76D24"/>
    <w:rsid w:val="00D834FE"/>
    <w:rsid w:val="00D91F49"/>
    <w:rsid w:val="00DB3D35"/>
    <w:rsid w:val="00DB5446"/>
    <w:rsid w:val="00DB6EAC"/>
    <w:rsid w:val="00DC055C"/>
    <w:rsid w:val="00DD09D7"/>
    <w:rsid w:val="00DF0657"/>
    <w:rsid w:val="00DF36A0"/>
    <w:rsid w:val="00DF3C49"/>
    <w:rsid w:val="00E0017A"/>
    <w:rsid w:val="00E00871"/>
    <w:rsid w:val="00E00FCE"/>
    <w:rsid w:val="00E05C90"/>
    <w:rsid w:val="00E063CA"/>
    <w:rsid w:val="00E06EE6"/>
    <w:rsid w:val="00E238EE"/>
    <w:rsid w:val="00E34119"/>
    <w:rsid w:val="00E37FC3"/>
    <w:rsid w:val="00E41624"/>
    <w:rsid w:val="00E522FB"/>
    <w:rsid w:val="00E60EC9"/>
    <w:rsid w:val="00E63676"/>
    <w:rsid w:val="00E81204"/>
    <w:rsid w:val="00E9713C"/>
    <w:rsid w:val="00EA02C2"/>
    <w:rsid w:val="00EA5F28"/>
    <w:rsid w:val="00EB063D"/>
    <w:rsid w:val="00EB67CE"/>
    <w:rsid w:val="00EC6161"/>
    <w:rsid w:val="00ED0A74"/>
    <w:rsid w:val="00ED1677"/>
    <w:rsid w:val="00ED20C3"/>
    <w:rsid w:val="00ED4402"/>
    <w:rsid w:val="00EE1851"/>
    <w:rsid w:val="00EF01B2"/>
    <w:rsid w:val="00EF6786"/>
    <w:rsid w:val="00F021D7"/>
    <w:rsid w:val="00F03C8A"/>
    <w:rsid w:val="00F06689"/>
    <w:rsid w:val="00F10BA5"/>
    <w:rsid w:val="00F1201C"/>
    <w:rsid w:val="00F13D95"/>
    <w:rsid w:val="00F272D0"/>
    <w:rsid w:val="00F3159C"/>
    <w:rsid w:val="00F34B37"/>
    <w:rsid w:val="00F37635"/>
    <w:rsid w:val="00F463CE"/>
    <w:rsid w:val="00F47689"/>
    <w:rsid w:val="00F61E8C"/>
    <w:rsid w:val="00F65341"/>
    <w:rsid w:val="00F7046E"/>
    <w:rsid w:val="00F715B4"/>
    <w:rsid w:val="00F725BF"/>
    <w:rsid w:val="00F76070"/>
    <w:rsid w:val="00F860E2"/>
    <w:rsid w:val="00F86A97"/>
    <w:rsid w:val="00F91299"/>
    <w:rsid w:val="00FA1224"/>
    <w:rsid w:val="00FA159A"/>
    <w:rsid w:val="00FA364F"/>
    <w:rsid w:val="00FB4608"/>
    <w:rsid w:val="00FB70EF"/>
    <w:rsid w:val="00FC49FB"/>
    <w:rsid w:val="00FC5DB9"/>
    <w:rsid w:val="00FD1E58"/>
    <w:rsid w:val="00FD552A"/>
    <w:rsid w:val="00FD6C46"/>
    <w:rsid w:val="00FD6D32"/>
    <w:rsid w:val="00FE600C"/>
    <w:rsid w:val="00FF4075"/>
    <w:rsid w:val="00FF52C7"/>
    <w:rsid w:val="012227FD"/>
    <w:rsid w:val="01657CDA"/>
    <w:rsid w:val="0238001C"/>
    <w:rsid w:val="02CD1AC9"/>
    <w:rsid w:val="03675921"/>
    <w:rsid w:val="03F01F66"/>
    <w:rsid w:val="04046A52"/>
    <w:rsid w:val="04273647"/>
    <w:rsid w:val="046C6457"/>
    <w:rsid w:val="04EF48D1"/>
    <w:rsid w:val="07B5691A"/>
    <w:rsid w:val="08896F6A"/>
    <w:rsid w:val="091066B6"/>
    <w:rsid w:val="091B046F"/>
    <w:rsid w:val="09F83784"/>
    <w:rsid w:val="0A3353C6"/>
    <w:rsid w:val="0A4E0983"/>
    <w:rsid w:val="0ACE44C1"/>
    <w:rsid w:val="0E8A76E7"/>
    <w:rsid w:val="0E945727"/>
    <w:rsid w:val="10053558"/>
    <w:rsid w:val="10235625"/>
    <w:rsid w:val="1040267F"/>
    <w:rsid w:val="1090658F"/>
    <w:rsid w:val="10A02655"/>
    <w:rsid w:val="118D7878"/>
    <w:rsid w:val="12E45EAF"/>
    <w:rsid w:val="13502B6A"/>
    <w:rsid w:val="13995C79"/>
    <w:rsid w:val="161B19D4"/>
    <w:rsid w:val="167C4E20"/>
    <w:rsid w:val="171B1BF4"/>
    <w:rsid w:val="171F0DE0"/>
    <w:rsid w:val="17F83B61"/>
    <w:rsid w:val="19060388"/>
    <w:rsid w:val="19183BAB"/>
    <w:rsid w:val="195023FB"/>
    <w:rsid w:val="1B177D78"/>
    <w:rsid w:val="1B555021"/>
    <w:rsid w:val="1BB606F3"/>
    <w:rsid w:val="1BBF672F"/>
    <w:rsid w:val="1C454170"/>
    <w:rsid w:val="1D4F4F71"/>
    <w:rsid w:val="1E247E90"/>
    <w:rsid w:val="1E7A7EA4"/>
    <w:rsid w:val="1EB42E6E"/>
    <w:rsid w:val="1F27616A"/>
    <w:rsid w:val="20680927"/>
    <w:rsid w:val="20723534"/>
    <w:rsid w:val="20F24297"/>
    <w:rsid w:val="216239BD"/>
    <w:rsid w:val="21EF1549"/>
    <w:rsid w:val="222946EC"/>
    <w:rsid w:val="22BC61C2"/>
    <w:rsid w:val="255D3673"/>
    <w:rsid w:val="25BB22FE"/>
    <w:rsid w:val="260564EE"/>
    <w:rsid w:val="268E25D7"/>
    <w:rsid w:val="26AA5F44"/>
    <w:rsid w:val="27DA1E54"/>
    <w:rsid w:val="28062C17"/>
    <w:rsid w:val="28C0272C"/>
    <w:rsid w:val="28C610EB"/>
    <w:rsid w:val="298D537C"/>
    <w:rsid w:val="2B136F1C"/>
    <w:rsid w:val="2B843EF0"/>
    <w:rsid w:val="2C594B04"/>
    <w:rsid w:val="2C733688"/>
    <w:rsid w:val="2C8746DD"/>
    <w:rsid w:val="2C9906E7"/>
    <w:rsid w:val="2D6E3FFC"/>
    <w:rsid w:val="2E7330BF"/>
    <w:rsid w:val="2F1C5643"/>
    <w:rsid w:val="2FB1087F"/>
    <w:rsid w:val="2FB303B3"/>
    <w:rsid w:val="30B278D7"/>
    <w:rsid w:val="30F139DA"/>
    <w:rsid w:val="31AF116C"/>
    <w:rsid w:val="31FB3AF8"/>
    <w:rsid w:val="33813B89"/>
    <w:rsid w:val="341E6110"/>
    <w:rsid w:val="342D0929"/>
    <w:rsid w:val="3467234E"/>
    <w:rsid w:val="34722516"/>
    <w:rsid w:val="355B5C84"/>
    <w:rsid w:val="35CC4B52"/>
    <w:rsid w:val="36F540ED"/>
    <w:rsid w:val="370B0ADE"/>
    <w:rsid w:val="370E1A2D"/>
    <w:rsid w:val="371D7BA3"/>
    <w:rsid w:val="37A37993"/>
    <w:rsid w:val="3821256E"/>
    <w:rsid w:val="382736AC"/>
    <w:rsid w:val="3835707B"/>
    <w:rsid w:val="383A6F4F"/>
    <w:rsid w:val="38812E4F"/>
    <w:rsid w:val="38B51DD9"/>
    <w:rsid w:val="38C52157"/>
    <w:rsid w:val="390E55B7"/>
    <w:rsid w:val="3A2A22A4"/>
    <w:rsid w:val="3AA5187B"/>
    <w:rsid w:val="3BDA7A57"/>
    <w:rsid w:val="3C2E09CE"/>
    <w:rsid w:val="3C422E31"/>
    <w:rsid w:val="3D695F75"/>
    <w:rsid w:val="3F2104A1"/>
    <w:rsid w:val="3F8C1CD0"/>
    <w:rsid w:val="40A204FB"/>
    <w:rsid w:val="40E04B72"/>
    <w:rsid w:val="415B6A48"/>
    <w:rsid w:val="424A30E5"/>
    <w:rsid w:val="42A17DA3"/>
    <w:rsid w:val="42F62D86"/>
    <w:rsid w:val="42FB6DFD"/>
    <w:rsid w:val="454328E6"/>
    <w:rsid w:val="45791762"/>
    <w:rsid w:val="45AE174E"/>
    <w:rsid w:val="45D87F13"/>
    <w:rsid w:val="471B1256"/>
    <w:rsid w:val="477B4304"/>
    <w:rsid w:val="47803AFF"/>
    <w:rsid w:val="47967525"/>
    <w:rsid w:val="49AD6EB4"/>
    <w:rsid w:val="49F135D8"/>
    <w:rsid w:val="4A0A6A49"/>
    <w:rsid w:val="4A33545E"/>
    <w:rsid w:val="4A8A715E"/>
    <w:rsid w:val="4B483448"/>
    <w:rsid w:val="4B904E54"/>
    <w:rsid w:val="4C1B5BC3"/>
    <w:rsid w:val="4C573B33"/>
    <w:rsid w:val="4C75035F"/>
    <w:rsid w:val="4C831360"/>
    <w:rsid w:val="4C99645D"/>
    <w:rsid w:val="4CB26C55"/>
    <w:rsid w:val="4CE57D90"/>
    <w:rsid w:val="4D046F53"/>
    <w:rsid w:val="4D2137DA"/>
    <w:rsid w:val="4D641E40"/>
    <w:rsid w:val="4DD208BB"/>
    <w:rsid w:val="4F9F432E"/>
    <w:rsid w:val="517C5AD5"/>
    <w:rsid w:val="51C254C6"/>
    <w:rsid w:val="51E113E5"/>
    <w:rsid w:val="54391900"/>
    <w:rsid w:val="54B51E36"/>
    <w:rsid w:val="54BE6BAC"/>
    <w:rsid w:val="551B0C87"/>
    <w:rsid w:val="559D4C79"/>
    <w:rsid w:val="569E1CA8"/>
    <w:rsid w:val="56A825D4"/>
    <w:rsid w:val="56DF2C84"/>
    <w:rsid w:val="572118C9"/>
    <w:rsid w:val="5771412D"/>
    <w:rsid w:val="577601D2"/>
    <w:rsid w:val="57E96BCD"/>
    <w:rsid w:val="57F91B07"/>
    <w:rsid w:val="59550E2D"/>
    <w:rsid w:val="597B2CA5"/>
    <w:rsid w:val="5A8F379A"/>
    <w:rsid w:val="5B3524F6"/>
    <w:rsid w:val="5CC0575D"/>
    <w:rsid w:val="5D3D0DC0"/>
    <w:rsid w:val="5DDD3A56"/>
    <w:rsid w:val="5E0D6E04"/>
    <w:rsid w:val="5F0F7755"/>
    <w:rsid w:val="5F9C50E2"/>
    <w:rsid w:val="5FA0449B"/>
    <w:rsid w:val="5FB81486"/>
    <w:rsid w:val="60106D27"/>
    <w:rsid w:val="614626FE"/>
    <w:rsid w:val="61586E6A"/>
    <w:rsid w:val="615B12C7"/>
    <w:rsid w:val="616E2145"/>
    <w:rsid w:val="62147A61"/>
    <w:rsid w:val="639569BB"/>
    <w:rsid w:val="63BD1A5F"/>
    <w:rsid w:val="65063114"/>
    <w:rsid w:val="65433D82"/>
    <w:rsid w:val="66C352DD"/>
    <w:rsid w:val="677652C8"/>
    <w:rsid w:val="67880AE7"/>
    <w:rsid w:val="68267998"/>
    <w:rsid w:val="68534D38"/>
    <w:rsid w:val="68721D6A"/>
    <w:rsid w:val="68A634BD"/>
    <w:rsid w:val="69124CA8"/>
    <w:rsid w:val="69F223CE"/>
    <w:rsid w:val="6A12254A"/>
    <w:rsid w:val="6ABB78D6"/>
    <w:rsid w:val="6AD13231"/>
    <w:rsid w:val="6B48475E"/>
    <w:rsid w:val="6C49343E"/>
    <w:rsid w:val="6C9C54C7"/>
    <w:rsid w:val="6D344536"/>
    <w:rsid w:val="6D3451EC"/>
    <w:rsid w:val="6D953C2C"/>
    <w:rsid w:val="6E370B45"/>
    <w:rsid w:val="6E596B27"/>
    <w:rsid w:val="6E8466B7"/>
    <w:rsid w:val="6E947720"/>
    <w:rsid w:val="6EC802E2"/>
    <w:rsid w:val="6F9E34F4"/>
    <w:rsid w:val="6FCB5D72"/>
    <w:rsid w:val="6FE73C74"/>
    <w:rsid w:val="709F1517"/>
    <w:rsid w:val="710F4315"/>
    <w:rsid w:val="725325B9"/>
    <w:rsid w:val="727A51D6"/>
    <w:rsid w:val="730275C0"/>
    <w:rsid w:val="732C7E3F"/>
    <w:rsid w:val="735B575E"/>
    <w:rsid w:val="74920FD0"/>
    <w:rsid w:val="74CB0AAB"/>
    <w:rsid w:val="753F1936"/>
    <w:rsid w:val="75BC3839"/>
    <w:rsid w:val="75BD7438"/>
    <w:rsid w:val="767B2D5E"/>
    <w:rsid w:val="767D18CD"/>
    <w:rsid w:val="77BC04D6"/>
    <w:rsid w:val="789366E3"/>
    <w:rsid w:val="793926D0"/>
    <w:rsid w:val="79C761BA"/>
    <w:rsid w:val="7AB5094E"/>
    <w:rsid w:val="7BD173B3"/>
    <w:rsid w:val="7C117D8D"/>
    <w:rsid w:val="7CA11C55"/>
    <w:rsid w:val="7CEA106D"/>
    <w:rsid w:val="7D087536"/>
    <w:rsid w:val="7D1766E6"/>
    <w:rsid w:val="7D676668"/>
    <w:rsid w:val="7D7D2FB2"/>
    <w:rsid w:val="7DDF3B93"/>
    <w:rsid w:val="7DEC5178"/>
    <w:rsid w:val="7F1462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5"/>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129"/>
    <w:autoRedefine/>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62"/>
    <w:autoRedefine/>
    <w:qFormat/>
    <w:uiPriority w:val="0"/>
    <w:pPr>
      <w:keepNext/>
      <w:keepLines/>
      <w:spacing w:before="260" w:after="260" w:line="416" w:lineRule="auto"/>
      <w:outlineLvl w:val="2"/>
    </w:pPr>
    <w:rPr>
      <w:b/>
      <w:bCs/>
      <w:kern w:val="0"/>
      <w:sz w:val="32"/>
      <w:szCs w:val="32"/>
    </w:rPr>
  </w:style>
  <w:style w:type="paragraph" w:styleId="7">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12"/>
    <w:autoRedefine/>
    <w:qFormat/>
    <w:uiPriority w:val="0"/>
    <w:pPr>
      <w:keepNext/>
      <w:keepLines/>
      <w:spacing w:before="280" w:after="290" w:line="376" w:lineRule="auto"/>
      <w:outlineLvl w:val="4"/>
    </w:pPr>
    <w:rPr>
      <w:rFonts w:ascii="Calibri" w:hAnsi="Calibri"/>
      <w:b/>
      <w:bCs/>
      <w:sz w:val="28"/>
      <w:szCs w:val="28"/>
    </w:rPr>
  </w:style>
  <w:style w:type="paragraph" w:styleId="9">
    <w:name w:val="heading 6"/>
    <w:basedOn w:val="1"/>
    <w:next w:val="1"/>
    <w:link w:val="65"/>
    <w:autoRedefine/>
    <w:qFormat/>
    <w:uiPriority w:val="0"/>
    <w:pPr>
      <w:keepNext/>
      <w:keepLines/>
      <w:spacing w:before="240" w:after="64" w:line="320" w:lineRule="auto"/>
      <w:outlineLvl w:val="5"/>
    </w:pPr>
    <w:rPr>
      <w:rFonts w:ascii="Calibri Light" w:hAnsi="Calibri Light"/>
      <w:b/>
      <w:bCs/>
      <w:sz w:val="24"/>
    </w:rPr>
  </w:style>
  <w:style w:type="paragraph" w:styleId="10">
    <w:name w:val="heading 7"/>
    <w:basedOn w:val="1"/>
    <w:next w:val="11"/>
    <w:link w:val="55"/>
    <w:autoRedefine/>
    <w:qFormat/>
    <w:uiPriority w:val="0"/>
    <w:pPr>
      <w:keepNext/>
      <w:keepLines/>
      <w:spacing w:before="240" w:after="64" w:line="320" w:lineRule="auto"/>
      <w:outlineLvl w:val="6"/>
    </w:pPr>
    <w:rPr>
      <w:b/>
      <w:sz w:val="24"/>
    </w:rPr>
  </w:style>
  <w:style w:type="paragraph" w:styleId="12">
    <w:name w:val="heading 8"/>
    <w:basedOn w:val="1"/>
    <w:next w:val="11"/>
    <w:link w:val="141"/>
    <w:autoRedefine/>
    <w:qFormat/>
    <w:uiPriority w:val="0"/>
    <w:pPr>
      <w:keepNext/>
      <w:keepLines/>
      <w:spacing w:before="240" w:after="64" w:line="320" w:lineRule="auto"/>
      <w:outlineLvl w:val="7"/>
    </w:pPr>
    <w:rPr>
      <w:rFonts w:ascii="Arial" w:hAnsi="Arial" w:eastAsia="黑体"/>
      <w:sz w:val="24"/>
    </w:rPr>
  </w:style>
  <w:style w:type="paragraph" w:styleId="13">
    <w:name w:val="heading 9"/>
    <w:basedOn w:val="1"/>
    <w:next w:val="11"/>
    <w:link w:val="104"/>
    <w:autoRedefine/>
    <w:qFormat/>
    <w:uiPriority w:val="0"/>
    <w:pPr>
      <w:keepNext/>
      <w:keepLines/>
      <w:spacing w:before="240" w:after="64" w:line="320" w:lineRule="auto"/>
      <w:outlineLvl w:val="8"/>
    </w:pPr>
    <w:rPr>
      <w:rFonts w:ascii="Arial" w:hAnsi="Arial" w:eastAsia="黑体"/>
    </w:rPr>
  </w:style>
  <w:style w:type="character" w:default="1" w:styleId="46">
    <w:name w:val="Default Paragraph Font"/>
    <w:autoRedefine/>
    <w:unhideWhenUsed/>
    <w:qFormat/>
    <w:uiPriority w:val="1"/>
  </w:style>
  <w:style w:type="table" w:default="1" w:styleId="44">
    <w:name w:val="Normal Table"/>
    <w:autoRedefine/>
    <w:unhideWhenUsed/>
    <w:qFormat/>
    <w:uiPriority w:val="99"/>
    <w:tblPr>
      <w:tblCellMar>
        <w:top w:w="0" w:type="dxa"/>
        <w:left w:w="108" w:type="dxa"/>
        <w:bottom w:w="0" w:type="dxa"/>
        <w:right w:w="108" w:type="dxa"/>
      </w:tblCellMar>
    </w:tblPr>
  </w:style>
  <w:style w:type="paragraph" w:styleId="2">
    <w:name w:val="footer"/>
    <w:basedOn w:val="1"/>
    <w:link w:val="119"/>
    <w:autoRedefine/>
    <w:unhideWhenUsed/>
    <w:qFormat/>
    <w:uiPriority w:val="0"/>
    <w:pPr>
      <w:tabs>
        <w:tab w:val="center" w:pos="4153"/>
        <w:tab w:val="right" w:pos="8306"/>
      </w:tabs>
      <w:snapToGrid w:val="0"/>
      <w:jc w:val="left"/>
    </w:pPr>
    <w:rPr>
      <w:rFonts w:ascii="Calibri" w:hAnsi="Calibri"/>
      <w:kern w:val="0"/>
      <w:sz w:val="18"/>
      <w:szCs w:val="18"/>
    </w:rPr>
  </w:style>
  <w:style w:type="paragraph" w:styleId="3">
    <w:name w:val="macro"/>
    <w:link w:val="59"/>
    <w:autoRedefine/>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lang w:val="en-US" w:eastAsia="zh-CN" w:bidi="ar-SA"/>
    </w:rPr>
  </w:style>
  <w:style w:type="paragraph" w:styleId="11">
    <w:name w:val="Normal Indent"/>
    <w:basedOn w:val="1"/>
    <w:link w:val="106"/>
    <w:autoRedefine/>
    <w:qFormat/>
    <w:uiPriority w:val="0"/>
    <w:pPr>
      <w:ind w:firstLine="420"/>
    </w:pPr>
    <w:rPr>
      <w:szCs w:val="20"/>
    </w:rPr>
  </w:style>
  <w:style w:type="paragraph" w:styleId="14">
    <w:name w:val="index 8"/>
    <w:basedOn w:val="1"/>
    <w:next w:val="1"/>
    <w:autoRedefine/>
    <w:qFormat/>
    <w:uiPriority w:val="0"/>
    <w:pPr>
      <w:ind w:left="2940"/>
    </w:pPr>
  </w:style>
  <w:style w:type="paragraph" w:styleId="15">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autoRedefine/>
    <w:qFormat/>
    <w:uiPriority w:val="0"/>
    <w:pPr>
      <w:spacing w:before="152" w:after="160"/>
    </w:pPr>
    <w:rPr>
      <w:rFonts w:ascii="Arial" w:hAnsi="Arial" w:eastAsia="黑体" w:cs="Arial"/>
      <w:sz w:val="20"/>
      <w:szCs w:val="20"/>
    </w:rPr>
  </w:style>
  <w:style w:type="paragraph" w:styleId="17">
    <w:name w:val="Document Map"/>
    <w:basedOn w:val="1"/>
    <w:link w:val="134"/>
    <w:autoRedefine/>
    <w:semiHidden/>
    <w:qFormat/>
    <w:uiPriority w:val="0"/>
    <w:pPr>
      <w:shd w:val="clear" w:color="auto" w:fill="000080"/>
    </w:pPr>
  </w:style>
  <w:style w:type="paragraph" w:styleId="18">
    <w:name w:val="annotation text"/>
    <w:basedOn w:val="1"/>
    <w:link w:val="74"/>
    <w:autoRedefine/>
    <w:qFormat/>
    <w:uiPriority w:val="0"/>
    <w:pPr>
      <w:jc w:val="left"/>
    </w:pPr>
  </w:style>
  <w:style w:type="paragraph" w:styleId="19">
    <w:name w:val="Body Text 3"/>
    <w:basedOn w:val="1"/>
    <w:link w:val="136"/>
    <w:autoRedefine/>
    <w:qFormat/>
    <w:uiPriority w:val="0"/>
    <w:pPr>
      <w:spacing w:line="500" w:lineRule="exact"/>
    </w:pPr>
    <w:rPr>
      <w:b/>
      <w:bCs/>
      <w:kern w:val="0"/>
      <w:sz w:val="24"/>
    </w:rPr>
  </w:style>
  <w:style w:type="paragraph" w:styleId="20">
    <w:name w:val="Body Text"/>
    <w:basedOn w:val="1"/>
    <w:next w:val="1"/>
    <w:link w:val="86"/>
    <w:autoRedefine/>
    <w:unhideWhenUsed/>
    <w:qFormat/>
    <w:uiPriority w:val="99"/>
    <w:pPr>
      <w:spacing w:after="120"/>
    </w:pPr>
  </w:style>
  <w:style w:type="paragraph" w:styleId="21">
    <w:name w:val="Body Text Indent"/>
    <w:basedOn w:val="1"/>
    <w:next w:val="22"/>
    <w:link w:val="58"/>
    <w:autoRedefine/>
    <w:qFormat/>
    <w:uiPriority w:val="0"/>
    <w:pPr>
      <w:ind w:firstLine="830" w:firstLineChars="352"/>
    </w:pPr>
    <w:rPr>
      <w:rFonts w:ascii="仿宋_GB2312" w:eastAsia="仿宋_GB2312"/>
      <w:kern w:val="0"/>
      <w:sz w:val="32"/>
      <w:szCs w:val="20"/>
    </w:rPr>
  </w:style>
  <w:style w:type="paragraph" w:styleId="22">
    <w:name w:val="envelope return"/>
    <w:basedOn w:val="1"/>
    <w:autoRedefine/>
    <w:qFormat/>
    <w:uiPriority w:val="0"/>
    <w:pPr>
      <w:snapToGrid w:val="0"/>
    </w:pPr>
    <w:rPr>
      <w:rFonts w:ascii="Arial" w:hAnsi="Arial"/>
    </w:rPr>
  </w:style>
  <w:style w:type="paragraph" w:styleId="23">
    <w:name w:val="List Number 3"/>
    <w:basedOn w:val="1"/>
    <w:autoRedefine/>
    <w:qFormat/>
    <w:uiPriority w:val="0"/>
    <w:pPr>
      <w:tabs>
        <w:tab w:val="left" w:pos="900"/>
      </w:tabs>
      <w:ind w:left="900" w:hanging="420"/>
    </w:pPr>
  </w:style>
  <w:style w:type="paragraph" w:styleId="24">
    <w:name w:val="List 2"/>
    <w:basedOn w:val="1"/>
    <w:autoRedefine/>
    <w:qFormat/>
    <w:uiPriority w:val="0"/>
    <w:pPr>
      <w:ind w:left="100" w:leftChars="200" w:hanging="200" w:hangingChars="200"/>
    </w:pPr>
    <w:rPr>
      <w:sz w:val="28"/>
    </w:rPr>
  </w:style>
  <w:style w:type="paragraph" w:styleId="25">
    <w:name w:val="Block Text"/>
    <w:basedOn w:val="1"/>
    <w:autoRedefine/>
    <w:qFormat/>
    <w:uiPriority w:val="0"/>
    <w:pPr>
      <w:adjustRightInd w:val="0"/>
      <w:ind w:left="420" w:right="33"/>
      <w:jc w:val="left"/>
      <w:textAlignment w:val="baseline"/>
    </w:pPr>
    <w:rPr>
      <w:kern w:val="0"/>
      <w:sz w:val="24"/>
      <w:szCs w:val="20"/>
    </w:rPr>
  </w:style>
  <w:style w:type="paragraph" w:styleId="26">
    <w:name w:val="List Bullet 2"/>
    <w:basedOn w:val="1"/>
    <w:autoRedefine/>
    <w:semiHidden/>
    <w:unhideWhenUsed/>
    <w:qFormat/>
    <w:uiPriority w:val="99"/>
    <w:pPr>
      <w:numPr>
        <w:ilvl w:val="0"/>
        <w:numId w:val="1"/>
      </w:numPr>
    </w:pPr>
  </w:style>
  <w:style w:type="paragraph" w:styleId="27">
    <w:name w:val="Plain Text"/>
    <w:basedOn w:val="1"/>
    <w:next w:val="1"/>
    <w:link w:val="124"/>
    <w:autoRedefine/>
    <w:qFormat/>
    <w:uiPriority w:val="0"/>
    <w:pPr>
      <w:snapToGrid w:val="0"/>
      <w:spacing w:line="400" w:lineRule="exact"/>
    </w:pPr>
    <w:rPr>
      <w:rFonts w:ascii="宋体" w:hAnsi="宋体" w:cs="宋体"/>
      <w:color w:val="000000" w:themeColor="text1"/>
      <w:kern w:val="0"/>
      <w:szCs w:val="21"/>
      <w14:textFill>
        <w14:solidFill>
          <w14:schemeClr w14:val="tx1"/>
        </w14:solidFill>
      </w14:textFill>
    </w:rPr>
  </w:style>
  <w:style w:type="paragraph" w:styleId="28">
    <w:name w:val="Date"/>
    <w:basedOn w:val="1"/>
    <w:next w:val="1"/>
    <w:link w:val="53"/>
    <w:autoRedefine/>
    <w:qFormat/>
    <w:uiPriority w:val="0"/>
    <w:pPr>
      <w:ind w:left="100" w:leftChars="2500"/>
    </w:pPr>
  </w:style>
  <w:style w:type="paragraph" w:styleId="29">
    <w:name w:val="Body Text Indent 2"/>
    <w:basedOn w:val="1"/>
    <w:link w:val="78"/>
    <w:autoRedefine/>
    <w:unhideWhenUsed/>
    <w:qFormat/>
    <w:uiPriority w:val="0"/>
    <w:pPr>
      <w:spacing w:after="120" w:line="480" w:lineRule="auto"/>
      <w:ind w:left="420" w:leftChars="200"/>
    </w:pPr>
  </w:style>
  <w:style w:type="paragraph" w:styleId="30">
    <w:name w:val="Balloon Text"/>
    <w:basedOn w:val="1"/>
    <w:link w:val="116"/>
    <w:autoRedefine/>
    <w:semiHidden/>
    <w:qFormat/>
    <w:uiPriority w:val="0"/>
    <w:rPr>
      <w:sz w:val="18"/>
      <w:szCs w:val="18"/>
    </w:rPr>
  </w:style>
  <w:style w:type="paragraph" w:styleId="31">
    <w:name w:val="header"/>
    <w:basedOn w:val="1"/>
    <w:link w:val="110"/>
    <w:autoRedefine/>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32">
    <w:name w:val="toc 1"/>
    <w:basedOn w:val="1"/>
    <w:next w:val="1"/>
    <w:autoRedefine/>
    <w:qFormat/>
    <w:uiPriority w:val="39"/>
    <w:pPr>
      <w:tabs>
        <w:tab w:val="right" w:leader="dot" w:pos="9000"/>
      </w:tabs>
      <w:spacing w:before="120" w:after="120" w:line="480" w:lineRule="exact"/>
      <w:ind w:left="126" w:leftChars="60" w:firstLine="440" w:firstLineChars="137"/>
      <w:jc w:val="left"/>
    </w:pPr>
    <w:rPr>
      <w:rFonts w:ascii="宋体" w:hAnsi="宋体"/>
      <w:b/>
      <w:bCs/>
      <w:caps/>
      <w:sz w:val="24"/>
    </w:rPr>
  </w:style>
  <w:style w:type="paragraph" w:styleId="33">
    <w:name w:val="List"/>
    <w:basedOn w:val="1"/>
    <w:autoRedefine/>
    <w:qFormat/>
    <w:uiPriority w:val="0"/>
    <w:pPr>
      <w:ind w:left="200" w:hanging="200" w:hangingChars="200"/>
    </w:pPr>
    <w:rPr>
      <w:sz w:val="28"/>
    </w:rPr>
  </w:style>
  <w:style w:type="paragraph" w:styleId="34">
    <w:name w:val="Body Text Indent 3"/>
    <w:basedOn w:val="1"/>
    <w:link w:val="100"/>
    <w:autoRedefine/>
    <w:qFormat/>
    <w:uiPriority w:val="0"/>
    <w:pPr>
      <w:spacing w:after="120"/>
      <w:ind w:left="420" w:leftChars="200"/>
    </w:pPr>
    <w:rPr>
      <w:kern w:val="0"/>
      <w:sz w:val="16"/>
      <w:szCs w:val="16"/>
    </w:rPr>
  </w:style>
  <w:style w:type="paragraph" w:styleId="35">
    <w:name w:val="toc 9"/>
    <w:basedOn w:val="1"/>
    <w:next w:val="1"/>
    <w:autoRedefine/>
    <w:semiHidden/>
    <w:qFormat/>
    <w:uiPriority w:val="0"/>
    <w:pPr>
      <w:ind w:left="3360" w:leftChars="1600"/>
    </w:pPr>
    <w:rPr>
      <w:rFonts w:ascii="宋体" w:hAnsi="Courier New"/>
      <w:szCs w:val="20"/>
    </w:rPr>
  </w:style>
  <w:style w:type="paragraph" w:styleId="36">
    <w:name w:val="Body Text 2"/>
    <w:basedOn w:val="1"/>
    <w:link w:val="149"/>
    <w:autoRedefine/>
    <w:qFormat/>
    <w:uiPriority w:val="0"/>
    <w:pPr>
      <w:spacing w:after="120" w:line="480" w:lineRule="auto"/>
    </w:pPr>
    <w:rPr>
      <w:kern w:val="0"/>
      <w:sz w:val="20"/>
    </w:rPr>
  </w:style>
  <w:style w:type="paragraph" w:styleId="37">
    <w:name w:val="HTML Preformatted"/>
    <w:basedOn w:val="1"/>
    <w:link w:val="118"/>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8">
    <w:name w:val="Normal (Web)"/>
    <w:basedOn w:val="1"/>
    <w:autoRedefine/>
    <w:qFormat/>
    <w:uiPriority w:val="0"/>
    <w:pPr>
      <w:widowControl/>
      <w:spacing w:before="100" w:beforeAutospacing="1" w:after="100" w:afterAutospacing="1"/>
      <w:jc w:val="left"/>
    </w:pPr>
    <w:rPr>
      <w:rFonts w:ascii="宋体" w:hAnsi="宋体" w:cs="宋体"/>
      <w:color w:val="000000"/>
      <w:kern w:val="0"/>
      <w:sz w:val="24"/>
    </w:rPr>
  </w:style>
  <w:style w:type="paragraph" w:styleId="39">
    <w:name w:val="index 1"/>
    <w:basedOn w:val="1"/>
    <w:next w:val="1"/>
    <w:autoRedefine/>
    <w:semiHidden/>
    <w:qFormat/>
    <w:uiPriority w:val="0"/>
    <w:pPr>
      <w:spacing w:line="400" w:lineRule="exact"/>
      <w:ind w:firstLine="420" w:firstLineChars="200"/>
    </w:pPr>
    <w:rPr>
      <w:rFonts w:ascii="宋体" w:hAnsi="Courier New"/>
      <w:b/>
      <w:szCs w:val="20"/>
    </w:rPr>
  </w:style>
  <w:style w:type="paragraph" w:styleId="40">
    <w:name w:val="Title"/>
    <w:basedOn w:val="1"/>
    <w:next w:val="1"/>
    <w:autoRedefine/>
    <w:qFormat/>
    <w:uiPriority w:val="0"/>
    <w:pPr>
      <w:spacing w:before="240" w:after="60"/>
      <w:jc w:val="center"/>
      <w:outlineLvl w:val="0"/>
    </w:pPr>
    <w:rPr>
      <w:rFonts w:ascii="Calibri Light" w:hAnsi="Calibri Light" w:cs="黑体"/>
      <w:b/>
      <w:bCs/>
      <w:sz w:val="32"/>
      <w:szCs w:val="32"/>
    </w:rPr>
  </w:style>
  <w:style w:type="paragraph" w:styleId="41">
    <w:name w:val="annotation subject"/>
    <w:basedOn w:val="18"/>
    <w:next w:val="18"/>
    <w:link w:val="54"/>
    <w:autoRedefine/>
    <w:semiHidden/>
    <w:qFormat/>
    <w:uiPriority w:val="0"/>
    <w:rPr>
      <w:b/>
      <w:bCs/>
    </w:rPr>
  </w:style>
  <w:style w:type="paragraph" w:styleId="42">
    <w:name w:val="Body Text First Indent"/>
    <w:basedOn w:val="20"/>
    <w:autoRedefine/>
    <w:qFormat/>
    <w:uiPriority w:val="0"/>
    <w:pPr>
      <w:ind w:firstLine="420" w:firstLineChars="100"/>
    </w:pPr>
    <w:rPr>
      <w:rFonts w:ascii="Tahoma" w:hAnsi="Tahoma"/>
      <w:sz w:val="24"/>
    </w:rPr>
  </w:style>
  <w:style w:type="paragraph" w:styleId="43">
    <w:name w:val="Body Text First Indent 2"/>
    <w:basedOn w:val="21"/>
    <w:link w:val="213"/>
    <w:autoRedefine/>
    <w:qFormat/>
    <w:uiPriority w:val="0"/>
    <w:pPr>
      <w:spacing w:after="120"/>
      <w:ind w:left="420" w:leftChars="200" w:firstLine="420" w:firstLineChars="200"/>
    </w:pPr>
    <w:rPr>
      <w:rFonts w:ascii="Times New Roman" w:eastAsia="宋体"/>
      <w:kern w:val="2"/>
      <w:sz w:val="21"/>
      <w:szCs w:val="24"/>
    </w:rPr>
  </w:style>
  <w:style w:type="table" w:styleId="45">
    <w:name w:val="Table Grid"/>
    <w:basedOn w:val="44"/>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47">
    <w:name w:val="Strong"/>
    <w:autoRedefine/>
    <w:qFormat/>
    <w:uiPriority w:val="22"/>
    <w:rPr>
      <w:b/>
      <w:bCs/>
    </w:rPr>
  </w:style>
  <w:style w:type="character" w:styleId="48">
    <w:name w:val="page number"/>
    <w:basedOn w:val="46"/>
    <w:autoRedefine/>
    <w:qFormat/>
    <w:uiPriority w:val="0"/>
  </w:style>
  <w:style w:type="character" w:styleId="49">
    <w:name w:val="FollowedHyperlink"/>
    <w:autoRedefine/>
    <w:qFormat/>
    <w:uiPriority w:val="99"/>
    <w:rPr>
      <w:color w:val="800080"/>
      <w:u w:val="single"/>
    </w:rPr>
  </w:style>
  <w:style w:type="character" w:styleId="50">
    <w:name w:val="Emphasis"/>
    <w:autoRedefine/>
    <w:qFormat/>
    <w:uiPriority w:val="0"/>
    <w:rPr>
      <w:color w:val="CC0000"/>
    </w:rPr>
  </w:style>
  <w:style w:type="character" w:styleId="51">
    <w:name w:val="Hyperlink"/>
    <w:autoRedefine/>
    <w:qFormat/>
    <w:uiPriority w:val="99"/>
    <w:rPr>
      <w:color w:val="0000FF"/>
      <w:u w:val="single"/>
    </w:rPr>
  </w:style>
  <w:style w:type="character" w:styleId="52">
    <w:name w:val="annotation reference"/>
    <w:autoRedefine/>
    <w:qFormat/>
    <w:uiPriority w:val="0"/>
    <w:rPr>
      <w:sz w:val="21"/>
      <w:szCs w:val="21"/>
    </w:rPr>
  </w:style>
  <w:style w:type="character" w:customStyle="1" w:styleId="53">
    <w:name w:val="日期 字符"/>
    <w:link w:val="28"/>
    <w:autoRedefine/>
    <w:qFormat/>
    <w:uiPriority w:val="0"/>
    <w:rPr>
      <w:rFonts w:ascii="Times New Roman" w:hAnsi="Times New Roman"/>
      <w:kern w:val="2"/>
      <w:sz w:val="21"/>
      <w:szCs w:val="24"/>
    </w:rPr>
  </w:style>
  <w:style w:type="character" w:customStyle="1" w:styleId="54">
    <w:name w:val="批注主题 字符"/>
    <w:link w:val="41"/>
    <w:autoRedefine/>
    <w:semiHidden/>
    <w:qFormat/>
    <w:uiPriority w:val="0"/>
    <w:rPr>
      <w:rFonts w:ascii="Times New Roman" w:hAnsi="Times New Roman"/>
      <w:b/>
      <w:bCs/>
      <w:kern w:val="2"/>
      <w:sz w:val="21"/>
      <w:szCs w:val="24"/>
    </w:rPr>
  </w:style>
  <w:style w:type="character" w:customStyle="1" w:styleId="55">
    <w:name w:val="标题 7 字符"/>
    <w:link w:val="10"/>
    <w:autoRedefine/>
    <w:qFormat/>
    <w:uiPriority w:val="0"/>
    <w:rPr>
      <w:rFonts w:ascii="Times New Roman" w:hAnsi="Times New Roman"/>
      <w:b/>
      <w:kern w:val="2"/>
      <w:sz w:val="24"/>
      <w:szCs w:val="24"/>
    </w:rPr>
  </w:style>
  <w:style w:type="character" w:customStyle="1" w:styleId="56">
    <w:name w:val="apple-converted-space"/>
    <w:basedOn w:val="46"/>
    <w:autoRedefine/>
    <w:qFormat/>
    <w:uiPriority w:val="0"/>
  </w:style>
  <w:style w:type="character" w:customStyle="1" w:styleId="57">
    <w:name w:val="纯文本 Char1"/>
    <w:autoRedefine/>
    <w:qFormat/>
    <w:uiPriority w:val="0"/>
    <w:rPr>
      <w:rFonts w:ascii="宋体" w:hAnsi="Courier New" w:eastAsia="宋体" w:cs="Times New Roman"/>
      <w:szCs w:val="20"/>
    </w:rPr>
  </w:style>
  <w:style w:type="character" w:customStyle="1" w:styleId="58">
    <w:name w:val="正文文本缩进 字符"/>
    <w:link w:val="21"/>
    <w:autoRedefine/>
    <w:qFormat/>
    <w:uiPriority w:val="0"/>
    <w:rPr>
      <w:rFonts w:ascii="仿宋_GB2312" w:hAnsi="Times New Roman" w:eastAsia="仿宋_GB2312" w:cs="Times New Roman"/>
      <w:sz w:val="32"/>
      <w:szCs w:val="20"/>
    </w:rPr>
  </w:style>
  <w:style w:type="character" w:customStyle="1" w:styleId="59">
    <w:name w:val="宏文本 字符"/>
    <w:link w:val="3"/>
    <w:autoRedefine/>
    <w:semiHidden/>
    <w:qFormat/>
    <w:uiPriority w:val="0"/>
    <w:rPr>
      <w:rFonts w:ascii="Courier New" w:hAnsi="Courier New"/>
      <w:lang w:val="en-US" w:eastAsia="zh-CN" w:bidi="ar-SA"/>
    </w:rPr>
  </w:style>
  <w:style w:type="character" w:customStyle="1" w:styleId="60">
    <w:name w:val="Char Char15"/>
    <w:autoRedefine/>
    <w:qFormat/>
    <w:locked/>
    <w:uiPriority w:val="0"/>
    <w:rPr>
      <w:rFonts w:eastAsia="宋体"/>
      <w:b/>
      <w:kern w:val="2"/>
      <w:sz w:val="24"/>
      <w:szCs w:val="24"/>
      <w:lang w:bidi="ar-SA"/>
    </w:rPr>
  </w:style>
  <w:style w:type="character" w:customStyle="1" w:styleId="61">
    <w:name w:val="正文文本 2 Char1"/>
    <w:autoRedefine/>
    <w:semiHidden/>
    <w:qFormat/>
    <w:uiPriority w:val="99"/>
    <w:rPr>
      <w:rFonts w:ascii="Times New Roman" w:hAnsi="Times New Roman"/>
      <w:kern w:val="2"/>
      <w:sz w:val="21"/>
      <w:szCs w:val="24"/>
    </w:rPr>
  </w:style>
  <w:style w:type="character" w:customStyle="1" w:styleId="62">
    <w:name w:val="标题 3 字符"/>
    <w:link w:val="6"/>
    <w:autoRedefine/>
    <w:qFormat/>
    <w:uiPriority w:val="0"/>
    <w:rPr>
      <w:rFonts w:ascii="Times New Roman" w:hAnsi="Times New Roman"/>
      <w:b/>
      <w:bCs/>
      <w:sz w:val="32"/>
      <w:szCs w:val="32"/>
    </w:rPr>
  </w:style>
  <w:style w:type="character" w:customStyle="1" w:styleId="63">
    <w:name w:val="font41"/>
    <w:autoRedefine/>
    <w:qFormat/>
    <w:uiPriority w:val="0"/>
    <w:rPr>
      <w:rFonts w:hint="eastAsia" w:ascii="宋体" w:hAnsi="宋体" w:eastAsia="宋体" w:cs="宋体"/>
      <w:color w:val="000000"/>
      <w:sz w:val="22"/>
      <w:szCs w:val="22"/>
      <w:u w:val="none"/>
    </w:rPr>
  </w:style>
  <w:style w:type="character" w:customStyle="1" w:styleId="64">
    <w:name w:val="正文文本 3 Char2"/>
    <w:autoRedefine/>
    <w:semiHidden/>
    <w:qFormat/>
    <w:uiPriority w:val="99"/>
    <w:rPr>
      <w:rFonts w:ascii="Times New Roman" w:hAnsi="Times New Roman"/>
      <w:kern w:val="2"/>
      <w:sz w:val="16"/>
      <w:szCs w:val="16"/>
    </w:rPr>
  </w:style>
  <w:style w:type="character" w:customStyle="1" w:styleId="65">
    <w:name w:val="标题 6 字符"/>
    <w:link w:val="9"/>
    <w:autoRedefine/>
    <w:qFormat/>
    <w:uiPriority w:val="0"/>
    <w:rPr>
      <w:rFonts w:ascii="Calibri Light" w:hAnsi="Calibri Light" w:eastAsia="宋体" w:cs="Times New Roman"/>
      <w:b/>
      <w:bCs/>
      <w:kern w:val="2"/>
      <w:sz w:val="24"/>
      <w:szCs w:val="24"/>
    </w:rPr>
  </w:style>
  <w:style w:type="character" w:customStyle="1" w:styleId="66">
    <w:name w:val="正文文本 2 Char2"/>
    <w:autoRedefine/>
    <w:semiHidden/>
    <w:qFormat/>
    <w:uiPriority w:val="99"/>
    <w:rPr>
      <w:rFonts w:ascii="Times New Roman" w:hAnsi="Times New Roman"/>
      <w:kern w:val="2"/>
      <w:sz w:val="21"/>
      <w:szCs w:val="24"/>
    </w:rPr>
  </w:style>
  <w:style w:type="character" w:customStyle="1" w:styleId="67">
    <w:name w:val="Char Char"/>
    <w:autoRedefine/>
    <w:qFormat/>
    <w:locked/>
    <w:uiPriority w:val="0"/>
    <w:rPr>
      <w:rFonts w:ascii="宋体" w:hAnsi="宋体" w:eastAsia="宋体"/>
      <w:kern w:val="2"/>
      <w:sz w:val="21"/>
      <w:szCs w:val="24"/>
      <w:lang w:bidi="ar-SA"/>
    </w:rPr>
  </w:style>
  <w:style w:type="character" w:customStyle="1" w:styleId="68">
    <w:name w:val="Char Char1"/>
    <w:autoRedefine/>
    <w:qFormat/>
    <w:locked/>
    <w:uiPriority w:val="0"/>
    <w:rPr>
      <w:rFonts w:ascii="宋体" w:hAnsi="宋体" w:eastAsia="宋体"/>
      <w:szCs w:val="24"/>
      <w:lang w:bidi="ar-SA"/>
    </w:rPr>
  </w:style>
  <w:style w:type="character" w:customStyle="1" w:styleId="69">
    <w:name w:val="日期 Char2"/>
    <w:autoRedefine/>
    <w:semiHidden/>
    <w:qFormat/>
    <w:uiPriority w:val="99"/>
    <w:rPr>
      <w:rFonts w:ascii="Times New Roman" w:hAnsi="Times New Roman"/>
      <w:kern w:val="2"/>
      <w:sz w:val="21"/>
      <w:szCs w:val="24"/>
    </w:rPr>
  </w:style>
  <w:style w:type="character" w:customStyle="1" w:styleId="70">
    <w:name w:val="正文文本缩进 Char2"/>
    <w:autoRedefine/>
    <w:semiHidden/>
    <w:qFormat/>
    <w:uiPriority w:val="99"/>
    <w:rPr>
      <w:rFonts w:ascii="Times New Roman" w:hAnsi="Times New Roman"/>
      <w:kern w:val="2"/>
      <w:sz w:val="21"/>
      <w:szCs w:val="24"/>
    </w:rPr>
  </w:style>
  <w:style w:type="character" w:customStyle="1" w:styleId="71">
    <w:name w:val="页眉 Char2"/>
    <w:autoRedefine/>
    <w:semiHidden/>
    <w:qFormat/>
    <w:uiPriority w:val="99"/>
    <w:rPr>
      <w:rFonts w:ascii="Times New Roman" w:hAnsi="Times New Roman"/>
      <w:kern w:val="2"/>
      <w:sz w:val="18"/>
      <w:szCs w:val="18"/>
    </w:rPr>
  </w:style>
  <w:style w:type="character" w:customStyle="1" w:styleId="72">
    <w:name w:val="Char Char18"/>
    <w:autoRedefine/>
    <w:qFormat/>
    <w:locked/>
    <w:uiPriority w:val="0"/>
    <w:rPr>
      <w:rFonts w:eastAsia="宋体"/>
      <w:b/>
      <w:bCs/>
      <w:sz w:val="32"/>
      <w:szCs w:val="32"/>
      <w:lang w:bidi="ar-SA"/>
    </w:rPr>
  </w:style>
  <w:style w:type="character" w:customStyle="1" w:styleId="73">
    <w:name w:val="Char Char9"/>
    <w:autoRedefine/>
    <w:qFormat/>
    <w:locked/>
    <w:uiPriority w:val="0"/>
    <w:rPr>
      <w:rFonts w:ascii="宋体" w:hAnsi="宋体" w:eastAsia="宋体"/>
      <w:sz w:val="32"/>
      <w:lang w:bidi="ar-SA"/>
    </w:rPr>
  </w:style>
  <w:style w:type="character" w:customStyle="1" w:styleId="74">
    <w:name w:val="批注文字 字符"/>
    <w:link w:val="18"/>
    <w:autoRedefine/>
    <w:qFormat/>
    <w:uiPriority w:val="0"/>
    <w:rPr>
      <w:rFonts w:ascii="Times New Roman" w:hAnsi="Times New Roman"/>
      <w:kern w:val="2"/>
      <w:sz w:val="21"/>
      <w:szCs w:val="24"/>
    </w:rPr>
  </w:style>
  <w:style w:type="character" w:customStyle="1" w:styleId="75">
    <w:name w:val="宏文本 Char2"/>
    <w:autoRedefine/>
    <w:semiHidden/>
    <w:qFormat/>
    <w:uiPriority w:val="99"/>
    <w:rPr>
      <w:rFonts w:ascii="Courier New" w:hAnsi="Courier New" w:cs="Courier New"/>
      <w:kern w:val="2"/>
      <w:sz w:val="24"/>
      <w:szCs w:val="24"/>
    </w:rPr>
  </w:style>
  <w:style w:type="character" w:customStyle="1" w:styleId="76">
    <w:name w:val="Char Char10"/>
    <w:autoRedefine/>
    <w:qFormat/>
    <w:locked/>
    <w:uiPriority w:val="0"/>
    <w:rPr>
      <w:rFonts w:ascii="宋体" w:hAnsi="宋体" w:eastAsia="宋体"/>
      <w:b/>
      <w:bCs/>
      <w:sz w:val="24"/>
      <w:szCs w:val="24"/>
      <w:lang w:bidi="ar-SA"/>
    </w:rPr>
  </w:style>
  <w:style w:type="character" w:customStyle="1" w:styleId="77">
    <w:name w:val="font51"/>
    <w:autoRedefine/>
    <w:qFormat/>
    <w:uiPriority w:val="0"/>
    <w:rPr>
      <w:rFonts w:hint="eastAsia" w:ascii="宋体" w:hAnsi="宋体" w:eastAsia="宋体" w:cs="宋体"/>
      <w:color w:val="000000"/>
      <w:sz w:val="20"/>
      <w:szCs w:val="20"/>
      <w:u w:val="none"/>
    </w:rPr>
  </w:style>
  <w:style w:type="character" w:customStyle="1" w:styleId="78">
    <w:name w:val="正文文本缩进 2 字符"/>
    <w:link w:val="29"/>
    <w:autoRedefine/>
    <w:qFormat/>
    <w:uiPriority w:val="0"/>
    <w:rPr>
      <w:rFonts w:ascii="Times New Roman" w:hAnsi="Times New Roman"/>
      <w:kern w:val="2"/>
      <w:sz w:val="21"/>
      <w:szCs w:val="24"/>
    </w:rPr>
  </w:style>
  <w:style w:type="character" w:customStyle="1" w:styleId="79">
    <w:name w:val="mark"/>
    <w:basedOn w:val="46"/>
    <w:autoRedefine/>
    <w:qFormat/>
    <w:uiPriority w:val="0"/>
  </w:style>
  <w:style w:type="character" w:customStyle="1" w:styleId="80">
    <w:name w:val="正文文本 Char2"/>
    <w:autoRedefine/>
    <w:semiHidden/>
    <w:qFormat/>
    <w:uiPriority w:val="99"/>
    <w:rPr>
      <w:rFonts w:ascii="Times New Roman" w:hAnsi="Times New Roman"/>
      <w:kern w:val="2"/>
      <w:sz w:val="21"/>
      <w:szCs w:val="24"/>
    </w:rPr>
  </w:style>
  <w:style w:type="character" w:customStyle="1" w:styleId="81">
    <w:name w:val="Char Char17"/>
    <w:autoRedefine/>
    <w:qFormat/>
    <w:locked/>
    <w:uiPriority w:val="0"/>
    <w:rPr>
      <w:rFonts w:eastAsia="宋体"/>
      <w:b/>
      <w:kern w:val="2"/>
      <w:sz w:val="28"/>
      <w:szCs w:val="24"/>
      <w:lang w:bidi="ar-SA"/>
    </w:rPr>
  </w:style>
  <w:style w:type="character" w:customStyle="1" w:styleId="82">
    <w:name w:val="列表段落 字符"/>
    <w:link w:val="83"/>
    <w:autoRedefine/>
    <w:qFormat/>
    <w:locked/>
    <w:uiPriority w:val="0"/>
    <w:rPr>
      <w:kern w:val="2"/>
      <w:sz w:val="21"/>
      <w:szCs w:val="22"/>
    </w:rPr>
  </w:style>
  <w:style w:type="paragraph" w:customStyle="1" w:styleId="83">
    <w:name w:val="List Paragraph"/>
    <w:basedOn w:val="1"/>
    <w:link w:val="82"/>
    <w:autoRedefine/>
    <w:qFormat/>
    <w:uiPriority w:val="0"/>
    <w:pPr>
      <w:ind w:firstLine="420" w:firstLineChars="200"/>
    </w:pPr>
    <w:rPr>
      <w:rFonts w:ascii="Calibri" w:hAnsi="Calibri"/>
      <w:szCs w:val="22"/>
    </w:rPr>
  </w:style>
  <w:style w:type="character" w:customStyle="1" w:styleId="84">
    <w:name w:val="正文文本缩进 2 Char1"/>
    <w:autoRedefine/>
    <w:semiHidden/>
    <w:qFormat/>
    <w:locked/>
    <w:uiPriority w:val="99"/>
    <w:rPr>
      <w:rFonts w:ascii="Times New Roman" w:hAnsi="Times New Roman"/>
      <w:sz w:val="32"/>
    </w:rPr>
  </w:style>
  <w:style w:type="character" w:customStyle="1" w:styleId="85">
    <w:name w:val="Char Char19"/>
    <w:autoRedefine/>
    <w:qFormat/>
    <w:locked/>
    <w:uiPriority w:val="0"/>
    <w:rPr>
      <w:rFonts w:ascii="Arial" w:hAnsi="Arial" w:eastAsia="黑体"/>
      <w:b/>
      <w:bCs/>
      <w:sz w:val="32"/>
      <w:szCs w:val="32"/>
      <w:lang w:bidi="ar-SA"/>
    </w:rPr>
  </w:style>
  <w:style w:type="character" w:customStyle="1" w:styleId="86">
    <w:name w:val="正文文本 字符"/>
    <w:link w:val="20"/>
    <w:autoRedefine/>
    <w:qFormat/>
    <w:uiPriority w:val="0"/>
    <w:rPr>
      <w:rFonts w:ascii="Times New Roman" w:hAnsi="Times New Roman"/>
      <w:kern w:val="2"/>
      <w:sz w:val="21"/>
      <w:szCs w:val="24"/>
    </w:rPr>
  </w:style>
  <w:style w:type="character" w:customStyle="1" w:styleId="87">
    <w:name w:val="ca-41"/>
    <w:autoRedefine/>
    <w:qFormat/>
    <w:uiPriority w:val="0"/>
    <w:rPr>
      <w:rFonts w:hint="eastAsia" w:ascii="宋体" w:hAnsi="宋体" w:eastAsia="宋体"/>
      <w:color w:val="FF0000"/>
      <w:sz w:val="21"/>
      <w:szCs w:val="21"/>
    </w:rPr>
  </w:style>
  <w:style w:type="character" w:customStyle="1" w:styleId="88">
    <w:name w:val="Char Char4"/>
    <w:autoRedefine/>
    <w:qFormat/>
    <w:locked/>
    <w:uiPriority w:val="0"/>
    <w:rPr>
      <w:rFonts w:ascii="宋体" w:hAnsi="Courier New" w:eastAsia="宋体"/>
      <w:szCs w:val="21"/>
      <w:lang w:bidi="ar-SA"/>
    </w:rPr>
  </w:style>
  <w:style w:type="character" w:customStyle="1" w:styleId="89">
    <w:name w:val="Char Char14"/>
    <w:autoRedefine/>
    <w:qFormat/>
    <w:locked/>
    <w:uiPriority w:val="0"/>
    <w:rPr>
      <w:rFonts w:ascii="Arial" w:hAnsi="Arial" w:eastAsia="黑体"/>
      <w:kern w:val="2"/>
      <w:sz w:val="24"/>
      <w:szCs w:val="24"/>
      <w:lang w:bidi="ar-SA"/>
    </w:rPr>
  </w:style>
  <w:style w:type="character" w:customStyle="1" w:styleId="90">
    <w:name w:val="日期 Char1"/>
    <w:autoRedefine/>
    <w:semiHidden/>
    <w:qFormat/>
    <w:uiPriority w:val="99"/>
    <w:rPr>
      <w:rFonts w:ascii="Times New Roman" w:hAnsi="Times New Roman" w:eastAsia="宋体" w:cs="Times New Roman"/>
      <w:szCs w:val="24"/>
    </w:rPr>
  </w:style>
  <w:style w:type="character" w:customStyle="1" w:styleId="91">
    <w:name w:val="case31"/>
    <w:autoRedefine/>
    <w:qFormat/>
    <w:uiPriority w:val="0"/>
    <w:rPr>
      <w:rFonts w:hint="default"/>
      <w:sz w:val="21"/>
      <w:szCs w:val="21"/>
    </w:rPr>
  </w:style>
  <w:style w:type="character" w:customStyle="1" w:styleId="92">
    <w:name w:val="Heading 1 Char"/>
    <w:autoRedefine/>
    <w:qFormat/>
    <w:locked/>
    <w:uiPriority w:val="0"/>
    <w:rPr>
      <w:rFonts w:ascii="Calibri" w:hAnsi="Calibri" w:eastAsia="宋体"/>
      <w:b/>
      <w:kern w:val="44"/>
      <w:sz w:val="44"/>
      <w:lang w:val="en-US" w:eastAsia="zh-CN" w:bidi="ar-SA"/>
    </w:rPr>
  </w:style>
  <w:style w:type="character" w:customStyle="1" w:styleId="93">
    <w:name w:val="Char Char20"/>
    <w:autoRedefine/>
    <w:qFormat/>
    <w:locked/>
    <w:uiPriority w:val="0"/>
    <w:rPr>
      <w:rFonts w:eastAsia="宋体"/>
      <w:b/>
      <w:bCs/>
      <w:kern w:val="44"/>
      <w:sz w:val="44"/>
      <w:szCs w:val="44"/>
      <w:lang w:bidi="ar-SA"/>
    </w:rPr>
  </w:style>
  <w:style w:type="character" w:customStyle="1" w:styleId="94">
    <w:name w:val="Char Char11"/>
    <w:autoRedefine/>
    <w:qFormat/>
    <w:locked/>
    <w:uiPriority w:val="0"/>
    <w:rPr>
      <w:rFonts w:ascii="仿宋_GB2312" w:eastAsia="仿宋_GB2312"/>
      <w:sz w:val="32"/>
      <w:lang w:bidi="ar-SA"/>
    </w:rPr>
  </w:style>
  <w:style w:type="character" w:customStyle="1" w:styleId="95">
    <w:name w:val="标题 1 字符"/>
    <w:link w:val="4"/>
    <w:autoRedefine/>
    <w:qFormat/>
    <w:uiPriority w:val="0"/>
    <w:rPr>
      <w:rFonts w:ascii="Times New Roman" w:hAnsi="Times New Roman"/>
      <w:b/>
      <w:bCs/>
      <w:kern w:val="44"/>
      <w:sz w:val="44"/>
      <w:szCs w:val="44"/>
    </w:rPr>
  </w:style>
  <w:style w:type="character" w:customStyle="1" w:styleId="96">
    <w:name w:val="Char Char6"/>
    <w:autoRedefine/>
    <w:qFormat/>
    <w:locked/>
    <w:uiPriority w:val="0"/>
    <w:rPr>
      <w:rFonts w:ascii="宋体" w:hAnsi="宋体" w:eastAsia="宋体"/>
      <w:sz w:val="16"/>
      <w:szCs w:val="16"/>
      <w:lang w:bidi="ar-SA"/>
    </w:rPr>
  </w:style>
  <w:style w:type="character" w:customStyle="1" w:styleId="97">
    <w:name w:val="Char Char5"/>
    <w:autoRedefine/>
    <w:qFormat/>
    <w:locked/>
    <w:uiPriority w:val="0"/>
    <w:rPr>
      <w:sz w:val="18"/>
      <w:szCs w:val="18"/>
      <w:lang w:bidi="ar-SA"/>
    </w:rPr>
  </w:style>
  <w:style w:type="character" w:customStyle="1" w:styleId="98">
    <w:name w:val="批注框文本 Char2"/>
    <w:autoRedefine/>
    <w:semiHidden/>
    <w:qFormat/>
    <w:uiPriority w:val="99"/>
    <w:rPr>
      <w:rFonts w:ascii="Times New Roman" w:hAnsi="Times New Roman"/>
      <w:kern w:val="2"/>
      <w:sz w:val="18"/>
      <w:szCs w:val="18"/>
    </w:rPr>
  </w:style>
  <w:style w:type="character" w:customStyle="1" w:styleId="99">
    <w:name w:val="Char Char8"/>
    <w:autoRedefine/>
    <w:qFormat/>
    <w:locked/>
    <w:uiPriority w:val="0"/>
    <w:rPr>
      <w:sz w:val="18"/>
      <w:szCs w:val="18"/>
      <w:lang w:bidi="ar-SA"/>
    </w:rPr>
  </w:style>
  <w:style w:type="character" w:customStyle="1" w:styleId="100">
    <w:name w:val="正文文本缩进 3 字符"/>
    <w:link w:val="34"/>
    <w:autoRedefine/>
    <w:qFormat/>
    <w:uiPriority w:val="0"/>
    <w:rPr>
      <w:rFonts w:ascii="Times New Roman" w:hAnsi="Times New Roman"/>
      <w:sz w:val="16"/>
      <w:szCs w:val="16"/>
    </w:rPr>
  </w:style>
  <w:style w:type="character" w:customStyle="1" w:styleId="101">
    <w:name w:val="正文文本缩进 Char1"/>
    <w:autoRedefine/>
    <w:semiHidden/>
    <w:qFormat/>
    <w:uiPriority w:val="99"/>
    <w:rPr>
      <w:rFonts w:ascii="Times New Roman" w:hAnsi="Times New Roman" w:eastAsia="宋体" w:cs="Times New Roman"/>
      <w:szCs w:val="24"/>
    </w:rPr>
  </w:style>
  <w:style w:type="character" w:customStyle="1" w:styleId="102">
    <w:name w:val="批注框文本 Char1"/>
    <w:autoRedefine/>
    <w:semiHidden/>
    <w:qFormat/>
    <w:uiPriority w:val="99"/>
    <w:rPr>
      <w:rFonts w:ascii="Times New Roman" w:hAnsi="Times New Roman" w:eastAsia="宋体" w:cs="Times New Roman"/>
      <w:sz w:val="18"/>
      <w:szCs w:val="18"/>
    </w:rPr>
  </w:style>
  <w:style w:type="character" w:customStyle="1" w:styleId="103">
    <w:name w:val="文档结构图 Char1"/>
    <w:autoRedefine/>
    <w:semiHidden/>
    <w:qFormat/>
    <w:uiPriority w:val="99"/>
    <w:rPr>
      <w:rFonts w:ascii="宋体" w:hAnsi="Times New Roman"/>
      <w:kern w:val="2"/>
      <w:sz w:val="18"/>
      <w:szCs w:val="18"/>
    </w:rPr>
  </w:style>
  <w:style w:type="character" w:customStyle="1" w:styleId="104">
    <w:name w:val="标题 9 字符"/>
    <w:link w:val="13"/>
    <w:autoRedefine/>
    <w:qFormat/>
    <w:uiPriority w:val="0"/>
    <w:rPr>
      <w:rFonts w:ascii="Arial" w:hAnsi="Arial" w:eastAsia="黑体"/>
      <w:kern w:val="2"/>
      <w:sz w:val="21"/>
      <w:szCs w:val="24"/>
    </w:rPr>
  </w:style>
  <w:style w:type="character" w:customStyle="1" w:styleId="105">
    <w:name w:val="页脚 Char2"/>
    <w:autoRedefine/>
    <w:semiHidden/>
    <w:qFormat/>
    <w:uiPriority w:val="99"/>
    <w:rPr>
      <w:rFonts w:ascii="Times New Roman" w:hAnsi="Times New Roman"/>
      <w:kern w:val="2"/>
      <w:sz w:val="18"/>
      <w:szCs w:val="18"/>
    </w:rPr>
  </w:style>
  <w:style w:type="character" w:customStyle="1" w:styleId="106">
    <w:name w:val="正文缩进 字符"/>
    <w:link w:val="11"/>
    <w:autoRedefine/>
    <w:qFormat/>
    <w:uiPriority w:val="0"/>
    <w:rPr>
      <w:rFonts w:ascii="Times New Roman" w:hAnsi="Times New Roman"/>
      <w:kern w:val="2"/>
      <w:sz w:val="21"/>
    </w:rPr>
  </w:style>
  <w:style w:type="character" w:customStyle="1" w:styleId="107">
    <w:name w:val="HTML 预设格式 Char2"/>
    <w:autoRedefine/>
    <w:semiHidden/>
    <w:qFormat/>
    <w:uiPriority w:val="99"/>
    <w:rPr>
      <w:rFonts w:ascii="Courier New" w:hAnsi="Courier New" w:cs="Courier New"/>
      <w:kern w:val="2"/>
    </w:rPr>
  </w:style>
  <w:style w:type="character" w:customStyle="1" w:styleId="108">
    <w:name w:val="纯文本 Char2"/>
    <w:autoRedefine/>
    <w:semiHidden/>
    <w:qFormat/>
    <w:uiPriority w:val="99"/>
    <w:rPr>
      <w:rFonts w:ascii="宋体" w:hAnsi="Courier New" w:cs="Courier New"/>
      <w:kern w:val="2"/>
      <w:sz w:val="21"/>
      <w:szCs w:val="21"/>
    </w:rPr>
  </w:style>
  <w:style w:type="character" w:customStyle="1" w:styleId="109">
    <w:name w:val="正文文本 3 Char1"/>
    <w:autoRedefine/>
    <w:semiHidden/>
    <w:qFormat/>
    <w:uiPriority w:val="99"/>
    <w:rPr>
      <w:rFonts w:ascii="Times New Roman" w:hAnsi="Times New Roman"/>
      <w:kern w:val="2"/>
      <w:sz w:val="16"/>
      <w:szCs w:val="16"/>
    </w:rPr>
  </w:style>
  <w:style w:type="character" w:customStyle="1" w:styleId="110">
    <w:name w:val="页眉 字符"/>
    <w:link w:val="31"/>
    <w:autoRedefine/>
    <w:qFormat/>
    <w:uiPriority w:val="0"/>
    <w:rPr>
      <w:sz w:val="18"/>
      <w:szCs w:val="18"/>
    </w:rPr>
  </w:style>
  <w:style w:type="character" w:customStyle="1" w:styleId="111">
    <w:name w:val="批注文字 Char1"/>
    <w:autoRedefine/>
    <w:semiHidden/>
    <w:qFormat/>
    <w:uiPriority w:val="99"/>
    <w:rPr>
      <w:rFonts w:ascii="Times New Roman" w:hAnsi="Times New Roman"/>
      <w:kern w:val="2"/>
      <w:sz w:val="21"/>
      <w:szCs w:val="24"/>
    </w:rPr>
  </w:style>
  <w:style w:type="character" w:customStyle="1" w:styleId="112">
    <w:name w:val="标题 5 字符"/>
    <w:link w:val="8"/>
    <w:autoRedefine/>
    <w:qFormat/>
    <w:uiPriority w:val="0"/>
    <w:rPr>
      <w:rFonts w:eastAsia="宋体"/>
      <w:b/>
      <w:bCs/>
      <w:kern w:val="2"/>
      <w:sz w:val="28"/>
      <w:szCs w:val="28"/>
      <w:lang w:val="en-US" w:eastAsia="zh-CN" w:bidi="ar-SA"/>
    </w:rPr>
  </w:style>
  <w:style w:type="character" w:customStyle="1" w:styleId="113">
    <w:name w:val="表格标题2 Char"/>
    <w:link w:val="114"/>
    <w:autoRedefine/>
    <w:qFormat/>
    <w:uiPriority w:val="0"/>
    <w:rPr>
      <w:rFonts w:ascii="Arial" w:hAnsi="Arial" w:eastAsia="微软雅黑"/>
      <w:b/>
      <w:bCs/>
      <w:kern w:val="2"/>
      <w:sz w:val="21"/>
      <w:szCs w:val="24"/>
    </w:rPr>
  </w:style>
  <w:style w:type="paragraph" w:customStyle="1" w:styleId="114">
    <w:name w:val="表格标题2"/>
    <w:basedOn w:val="9"/>
    <w:link w:val="113"/>
    <w:autoRedefine/>
    <w:qFormat/>
    <w:uiPriority w:val="0"/>
    <w:pPr>
      <w:spacing w:before="0" w:after="0" w:line="240" w:lineRule="auto"/>
      <w:jc w:val="center"/>
    </w:pPr>
    <w:rPr>
      <w:rFonts w:ascii="Arial" w:hAnsi="Arial" w:eastAsia="微软雅黑"/>
      <w:sz w:val="21"/>
    </w:rPr>
  </w:style>
  <w:style w:type="character" w:customStyle="1" w:styleId="115">
    <w:name w:val="普通文字 Char Char2"/>
    <w:autoRedefine/>
    <w:qFormat/>
    <w:uiPriority w:val="0"/>
    <w:rPr>
      <w:rFonts w:ascii="宋体" w:hAnsi="Courier New" w:eastAsia="宋体"/>
      <w:szCs w:val="21"/>
      <w:lang w:bidi="ar-SA"/>
    </w:rPr>
  </w:style>
  <w:style w:type="character" w:customStyle="1" w:styleId="116">
    <w:name w:val="批注框文本 字符"/>
    <w:link w:val="30"/>
    <w:autoRedefine/>
    <w:semiHidden/>
    <w:qFormat/>
    <w:uiPriority w:val="0"/>
    <w:rPr>
      <w:rFonts w:ascii="Times New Roman" w:hAnsi="Times New Roman"/>
      <w:kern w:val="2"/>
      <w:sz w:val="18"/>
      <w:szCs w:val="18"/>
    </w:rPr>
  </w:style>
  <w:style w:type="character" w:customStyle="1" w:styleId="117">
    <w:name w:val="font21"/>
    <w:autoRedefine/>
    <w:qFormat/>
    <w:uiPriority w:val="0"/>
    <w:rPr>
      <w:rFonts w:hint="eastAsia" w:ascii="宋体" w:hAnsi="宋体" w:eastAsia="宋体" w:cs="宋体"/>
      <w:color w:val="000000"/>
      <w:sz w:val="24"/>
      <w:szCs w:val="24"/>
      <w:u w:val="none"/>
    </w:rPr>
  </w:style>
  <w:style w:type="character" w:customStyle="1" w:styleId="118">
    <w:name w:val="HTML 预设格式 字符"/>
    <w:link w:val="37"/>
    <w:autoRedefine/>
    <w:qFormat/>
    <w:uiPriority w:val="99"/>
    <w:rPr>
      <w:rFonts w:ascii="宋体" w:hAnsi="宋体" w:cs="宋体"/>
      <w:sz w:val="24"/>
      <w:szCs w:val="24"/>
    </w:rPr>
  </w:style>
  <w:style w:type="character" w:customStyle="1" w:styleId="119">
    <w:name w:val="页脚 字符"/>
    <w:link w:val="2"/>
    <w:autoRedefine/>
    <w:qFormat/>
    <w:uiPriority w:val="0"/>
    <w:rPr>
      <w:sz w:val="18"/>
      <w:szCs w:val="18"/>
    </w:rPr>
  </w:style>
  <w:style w:type="character" w:customStyle="1" w:styleId="120">
    <w:name w:val="明显引用 Char"/>
    <w:link w:val="121"/>
    <w:autoRedefine/>
    <w:qFormat/>
    <w:uiPriority w:val="0"/>
    <w:rPr>
      <w:rFonts w:ascii="宋体" w:hAnsi="华文细黑"/>
      <w:bCs/>
      <w:iCs/>
      <w:color w:val="000000"/>
      <w:kern w:val="2"/>
      <w:sz w:val="21"/>
    </w:rPr>
  </w:style>
  <w:style w:type="paragraph" w:customStyle="1" w:styleId="121">
    <w:name w:val="明显引用1"/>
    <w:basedOn w:val="1"/>
    <w:next w:val="1"/>
    <w:link w:val="120"/>
    <w:autoRedefine/>
    <w:qFormat/>
    <w:uiPriority w:val="0"/>
    <w:pPr>
      <w:spacing w:line="360" w:lineRule="auto"/>
      <w:jc w:val="center"/>
    </w:pPr>
    <w:rPr>
      <w:rFonts w:ascii="宋体" w:hAnsi="华文细黑"/>
      <w:bCs/>
      <w:iCs/>
      <w:color w:val="000000"/>
      <w:szCs w:val="20"/>
    </w:rPr>
  </w:style>
  <w:style w:type="character" w:customStyle="1" w:styleId="122">
    <w:name w:val="apple-style-span"/>
    <w:basedOn w:val="46"/>
    <w:autoRedefine/>
    <w:qFormat/>
    <w:uiPriority w:val="0"/>
  </w:style>
  <w:style w:type="character" w:customStyle="1" w:styleId="123">
    <w:name w:val="Char Char2"/>
    <w:autoRedefine/>
    <w:qFormat/>
    <w:locked/>
    <w:uiPriority w:val="0"/>
    <w:rPr>
      <w:rFonts w:ascii="宋体" w:hAnsi="宋体" w:eastAsia="宋体"/>
      <w:sz w:val="24"/>
      <w:szCs w:val="24"/>
      <w:lang w:bidi="ar-SA"/>
    </w:rPr>
  </w:style>
  <w:style w:type="character" w:customStyle="1" w:styleId="124">
    <w:name w:val="纯文本 字符"/>
    <w:link w:val="27"/>
    <w:autoRedefine/>
    <w:qFormat/>
    <w:uiPriority w:val="0"/>
    <w:rPr>
      <w:rFonts w:ascii="宋体" w:hAnsi="宋体" w:cs="宋体"/>
      <w:color w:val="000000" w:themeColor="text1"/>
      <w:sz w:val="21"/>
      <w:szCs w:val="21"/>
      <w14:textFill>
        <w14:solidFill>
          <w14:schemeClr w14:val="tx1"/>
        </w14:solidFill>
      </w14:textFill>
    </w:rPr>
  </w:style>
  <w:style w:type="character" w:customStyle="1" w:styleId="125">
    <w:name w:val="font91"/>
    <w:autoRedefine/>
    <w:qFormat/>
    <w:uiPriority w:val="0"/>
    <w:rPr>
      <w:rFonts w:hint="default" w:ascii="Times New Roman" w:hAnsi="Times New Roman" w:cs="Times New Roman"/>
      <w:color w:val="000000"/>
      <w:sz w:val="20"/>
      <w:szCs w:val="20"/>
      <w:u w:val="none"/>
    </w:rPr>
  </w:style>
  <w:style w:type="character" w:customStyle="1" w:styleId="126">
    <w:name w:val="Char Char16"/>
    <w:autoRedefine/>
    <w:qFormat/>
    <w:locked/>
    <w:uiPriority w:val="0"/>
    <w:rPr>
      <w:rFonts w:ascii="Arial" w:hAnsi="Arial" w:eastAsia="黑体"/>
      <w:b/>
      <w:kern w:val="2"/>
      <w:sz w:val="24"/>
      <w:szCs w:val="24"/>
      <w:lang w:bidi="ar-SA"/>
    </w:rPr>
  </w:style>
  <w:style w:type="character" w:customStyle="1" w:styleId="127">
    <w:name w:val="正文文本缩进 2 Char2"/>
    <w:autoRedefine/>
    <w:semiHidden/>
    <w:qFormat/>
    <w:uiPriority w:val="99"/>
    <w:rPr>
      <w:rFonts w:ascii="Times New Roman" w:hAnsi="Times New Roman"/>
      <w:kern w:val="2"/>
      <w:sz w:val="21"/>
      <w:szCs w:val="24"/>
    </w:rPr>
  </w:style>
  <w:style w:type="character" w:customStyle="1" w:styleId="128">
    <w:name w:val="A4"/>
    <w:autoRedefine/>
    <w:qFormat/>
    <w:uiPriority w:val="0"/>
    <w:rPr>
      <w:rFonts w:ascii="新宋体" w:eastAsia="新宋体" w:cs="新宋体"/>
      <w:color w:val="000000"/>
      <w:lang w:bidi="ar-SA"/>
    </w:rPr>
  </w:style>
  <w:style w:type="character" w:customStyle="1" w:styleId="129">
    <w:name w:val="标题 2 字符"/>
    <w:link w:val="5"/>
    <w:autoRedefine/>
    <w:qFormat/>
    <w:uiPriority w:val="0"/>
    <w:rPr>
      <w:rFonts w:ascii="Arial" w:hAnsi="Arial" w:eastAsia="黑体"/>
      <w:b/>
      <w:bCs/>
      <w:kern w:val="2"/>
      <w:sz w:val="32"/>
      <w:szCs w:val="32"/>
      <w:lang w:val="en-US" w:eastAsia="zh-CN" w:bidi="ar-SA"/>
    </w:rPr>
  </w:style>
  <w:style w:type="character" w:customStyle="1" w:styleId="130">
    <w:name w:val="正文文本 Char1"/>
    <w:autoRedefine/>
    <w:semiHidden/>
    <w:qFormat/>
    <w:uiPriority w:val="99"/>
    <w:rPr>
      <w:rFonts w:ascii="Times New Roman" w:hAnsi="Times New Roman" w:eastAsia="宋体" w:cs="Times New Roman"/>
      <w:szCs w:val="24"/>
    </w:rPr>
  </w:style>
  <w:style w:type="character" w:customStyle="1" w:styleId="131">
    <w:name w:val="页脚 Char1"/>
    <w:autoRedefine/>
    <w:semiHidden/>
    <w:qFormat/>
    <w:uiPriority w:val="99"/>
    <w:rPr>
      <w:rFonts w:ascii="Times New Roman" w:hAnsi="Times New Roman" w:eastAsia="宋体" w:cs="Times New Roman"/>
      <w:sz w:val="18"/>
      <w:szCs w:val="18"/>
    </w:rPr>
  </w:style>
  <w:style w:type="character" w:customStyle="1" w:styleId="132">
    <w:name w:val="正文文本 (2)_"/>
    <w:link w:val="133"/>
    <w:autoRedefine/>
    <w:qFormat/>
    <w:uiPriority w:val="0"/>
    <w:rPr>
      <w:rFonts w:eastAsia="Times New Roman"/>
      <w:kern w:val="0"/>
      <w:sz w:val="20"/>
      <w:szCs w:val="20"/>
    </w:rPr>
  </w:style>
  <w:style w:type="paragraph" w:customStyle="1" w:styleId="133">
    <w:name w:val="正文文本 (2)"/>
    <w:basedOn w:val="1"/>
    <w:link w:val="132"/>
    <w:autoRedefine/>
    <w:qFormat/>
    <w:uiPriority w:val="0"/>
    <w:pPr>
      <w:shd w:val="clear" w:color="auto" w:fill="FFFFFF"/>
      <w:spacing w:before="600" w:line="379" w:lineRule="exact"/>
      <w:jc w:val="distribute"/>
    </w:pPr>
    <w:rPr>
      <w:rFonts w:ascii="Calibri" w:hAnsi="Calibri" w:eastAsia="Times New Roman"/>
      <w:kern w:val="0"/>
      <w:sz w:val="20"/>
      <w:szCs w:val="20"/>
    </w:rPr>
  </w:style>
  <w:style w:type="character" w:customStyle="1" w:styleId="134">
    <w:name w:val="文档结构图 字符"/>
    <w:link w:val="17"/>
    <w:autoRedefine/>
    <w:semiHidden/>
    <w:qFormat/>
    <w:uiPriority w:val="0"/>
    <w:rPr>
      <w:rFonts w:ascii="Times New Roman" w:hAnsi="Times New Roman"/>
      <w:kern w:val="2"/>
      <w:sz w:val="21"/>
      <w:szCs w:val="24"/>
      <w:shd w:val="clear" w:color="auto" w:fill="000080"/>
    </w:rPr>
  </w:style>
  <w:style w:type="character" w:customStyle="1" w:styleId="135">
    <w:name w:val="正文文本缩进 3 Char1"/>
    <w:autoRedefine/>
    <w:semiHidden/>
    <w:qFormat/>
    <w:uiPriority w:val="99"/>
    <w:rPr>
      <w:rFonts w:ascii="Times New Roman" w:hAnsi="Times New Roman"/>
      <w:kern w:val="2"/>
      <w:sz w:val="16"/>
      <w:szCs w:val="16"/>
    </w:rPr>
  </w:style>
  <w:style w:type="character" w:customStyle="1" w:styleId="136">
    <w:name w:val="正文文本 3 字符"/>
    <w:link w:val="19"/>
    <w:autoRedefine/>
    <w:qFormat/>
    <w:uiPriority w:val="0"/>
    <w:rPr>
      <w:rFonts w:ascii="Times New Roman" w:hAnsi="Times New Roman"/>
      <w:b/>
      <w:bCs/>
      <w:sz w:val="24"/>
      <w:szCs w:val="24"/>
    </w:rPr>
  </w:style>
  <w:style w:type="character" w:customStyle="1" w:styleId="137">
    <w:name w:val="批注主题 Char1"/>
    <w:autoRedefine/>
    <w:semiHidden/>
    <w:qFormat/>
    <w:uiPriority w:val="99"/>
    <w:rPr>
      <w:rFonts w:ascii="Times New Roman" w:hAnsi="Times New Roman"/>
      <w:b/>
      <w:bCs/>
      <w:kern w:val="2"/>
      <w:sz w:val="21"/>
      <w:szCs w:val="24"/>
    </w:rPr>
  </w:style>
  <w:style w:type="character" w:customStyle="1" w:styleId="138">
    <w:name w:val="页眉 Char1"/>
    <w:autoRedefine/>
    <w:semiHidden/>
    <w:qFormat/>
    <w:uiPriority w:val="99"/>
    <w:rPr>
      <w:rFonts w:ascii="Times New Roman" w:hAnsi="Times New Roman" w:eastAsia="宋体" w:cs="Times New Roman"/>
      <w:sz w:val="18"/>
      <w:szCs w:val="18"/>
    </w:rPr>
  </w:style>
  <w:style w:type="character" w:customStyle="1" w:styleId="139">
    <w:name w:val="font11"/>
    <w:autoRedefine/>
    <w:qFormat/>
    <w:uiPriority w:val="0"/>
    <w:rPr>
      <w:rFonts w:hint="default" w:ascii="Times New Roman" w:hAnsi="Times New Roman" w:cs="Times New Roman"/>
      <w:color w:val="000000"/>
      <w:sz w:val="24"/>
      <w:szCs w:val="24"/>
      <w:u w:val="none"/>
    </w:rPr>
  </w:style>
  <w:style w:type="character" w:customStyle="1" w:styleId="140">
    <w:name w:val="Char Char3"/>
    <w:autoRedefine/>
    <w:qFormat/>
    <w:locked/>
    <w:uiPriority w:val="0"/>
    <w:rPr>
      <w:rFonts w:ascii="宋体" w:hAnsi="宋体" w:eastAsia="宋体"/>
      <w:sz w:val="24"/>
      <w:szCs w:val="24"/>
      <w:lang w:bidi="ar-SA"/>
    </w:rPr>
  </w:style>
  <w:style w:type="character" w:customStyle="1" w:styleId="141">
    <w:name w:val="标题 8 字符"/>
    <w:link w:val="12"/>
    <w:autoRedefine/>
    <w:qFormat/>
    <w:uiPriority w:val="0"/>
    <w:rPr>
      <w:rFonts w:ascii="Arial" w:hAnsi="Arial" w:eastAsia="黑体"/>
      <w:kern w:val="2"/>
      <w:sz w:val="24"/>
      <w:szCs w:val="24"/>
    </w:rPr>
  </w:style>
  <w:style w:type="character" w:customStyle="1" w:styleId="142">
    <w:name w:val="font31"/>
    <w:autoRedefine/>
    <w:qFormat/>
    <w:uiPriority w:val="0"/>
    <w:rPr>
      <w:rFonts w:hint="default" w:ascii="Times New Roman" w:hAnsi="Times New Roman" w:cs="Times New Roman"/>
      <w:color w:val="000000"/>
      <w:sz w:val="24"/>
      <w:szCs w:val="24"/>
      <w:u w:val="none"/>
    </w:rPr>
  </w:style>
  <w:style w:type="character" w:customStyle="1" w:styleId="143">
    <w:name w:val="宏文本 Char1"/>
    <w:autoRedefine/>
    <w:semiHidden/>
    <w:qFormat/>
    <w:uiPriority w:val="99"/>
    <w:rPr>
      <w:rFonts w:ascii="Courier New" w:hAnsi="Courier New" w:cs="Courier New"/>
      <w:kern w:val="2"/>
      <w:sz w:val="24"/>
      <w:szCs w:val="24"/>
    </w:rPr>
  </w:style>
  <w:style w:type="character" w:customStyle="1" w:styleId="144">
    <w:name w:val="普通文字 Char Char3"/>
    <w:autoRedefine/>
    <w:qFormat/>
    <w:uiPriority w:val="0"/>
    <w:rPr>
      <w:rFonts w:ascii="宋体" w:hAnsi="Courier New" w:eastAsia="宋体" w:cs="Courier New"/>
      <w:szCs w:val="21"/>
    </w:rPr>
  </w:style>
  <w:style w:type="character" w:customStyle="1" w:styleId="145">
    <w:name w:val="Char Char13"/>
    <w:autoRedefine/>
    <w:qFormat/>
    <w:locked/>
    <w:uiPriority w:val="0"/>
    <w:rPr>
      <w:rFonts w:ascii="Arial" w:hAnsi="Arial" w:eastAsia="黑体"/>
      <w:kern w:val="2"/>
      <w:sz w:val="21"/>
      <w:szCs w:val="24"/>
      <w:lang w:bidi="ar-SA"/>
    </w:rPr>
  </w:style>
  <w:style w:type="character" w:customStyle="1" w:styleId="146">
    <w:name w:val="font01"/>
    <w:autoRedefine/>
    <w:qFormat/>
    <w:uiPriority w:val="0"/>
    <w:rPr>
      <w:rFonts w:hint="eastAsia" w:ascii="宋体" w:hAnsi="宋体" w:eastAsia="宋体" w:cs="宋体"/>
      <w:color w:val="000000"/>
      <w:sz w:val="24"/>
      <w:szCs w:val="24"/>
      <w:u w:val="none"/>
    </w:rPr>
  </w:style>
  <w:style w:type="character" w:customStyle="1" w:styleId="147">
    <w:name w:val="正文文本缩进 3 Char2"/>
    <w:autoRedefine/>
    <w:semiHidden/>
    <w:qFormat/>
    <w:uiPriority w:val="99"/>
    <w:rPr>
      <w:rFonts w:ascii="Times New Roman" w:hAnsi="Times New Roman"/>
      <w:kern w:val="2"/>
      <w:sz w:val="16"/>
      <w:szCs w:val="16"/>
    </w:rPr>
  </w:style>
  <w:style w:type="character" w:customStyle="1" w:styleId="148">
    <w:name w:val="HTML 预设格式 Char1"/>
    <w:autoRedefine/>
    <w:semiHidden/>
    <w:qFormat/>
    <w:uiPriority w:val="99"/>
    <w:rPr>
      <w:rFonts w:ascii="Courier New" w:hAnsi="Courier New" w:cs="Courier New"/>
      <w:kern w:val="2"/>
    </w:rPr>
  </w:style>
  <w:style w:type="character" w:customStyle="1" w:styleId="149">
    <w:name w:val="正文文本 2 字符"/>
    <w:link w:val="36"/>
    <w:autoRedefine/>
    <w:qFormat/>
    <w:uiPriority w:val="0"/>
    <w:rPr>
      <w:rFonts w:ascii="Times New Roman" w:hAnsi="Times New Roman"/>
      <w:szCs w:val="24"/>
    </w:rPr>
  </w:style>
  <w:style w:type="paragraph" w:customStyle="1" w:styleId="150">
    <w:name w:val="List Paragraph1"/>
    <w:basedOn w:val="1"/>
    <w:autoRedefine/>
    <w:qFormat/>
    <w:uiPriority w:val="0"/>
    <w:pPr>
      <w:ind w:firstLine="420" w:firstLineChars="200"/>
    </w:pPr>
  </w:style>
  <w:style w:type="paragraph" w:customStyle="1" w:styleId="151">
    <w:name w:val="Char"/>
    <w:basedOn w:val="1"/>
    <w:autoRedefine/>
    <w:qFormat/>
    <w:uiPriority w:val="0"/>
  </w:style>
  <w:style w:type="paragraph" w:customStyle="1" w:styleId="152">
    <w:name w:val="xl65"/>
    <w:basedOn w:val="1"/>
    <w:autoRedefine/>
    <w:qFormat/>
    <w:uiPriority w:val="0"/>
    <w:pPr>
      <w:widowControl/>
      <w:spacing w:before="100" w:beforeAutospacing="1" w:after="100" w:afterAutospacing="1"/>
      <w:jc w:val="center"/>
    </w:pPr>
    <w:rPr>
      <w:rFonts w:ascii="宋体" w:hAnsi="宋体" w:cs="宋体"/>
      <w:kern w:val="0"/>
      <w:sz w:val="18"/>
      <w:szCs w:val="18"/>
    </w:rPr>
  </w:style>
  <w:style w:type="paragraph" w:customStyle="1" w:styleId="153">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4">
    <w:name w:val="xl24"/>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55">
    <w:name w:val="Char1"/>
    <w:basedOn w:val="1"/>
    <w:autoRedefine/>
    <w:qFormat/>
    <w:uiPriority w:val="0"/>
    <w:rPr>
      <w:szCs w:val="21"/>
    </w:rPr>
  </w:style>
  <w:style w:type="paragraph" w:customStyle="1" w:styleId="156">
    <w:name w:val="列出段落1"/>
    <w:basedOn w:val="1"/>
    <w:autoRedefine/>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57">
    <w:name w:val="列出段落11"/>
    <w:basedOn w:val="1"/>
    <w:autoRedefine/>
    <w:qFormat/>
    <w:uiPriority w:val="0"/>
    <w:pPr>
      <w:ind w:firstLine="420" w:firstLineChars="200"/>
    </w:pPr>
  </w:style>
  <w:style w:type="paragraph" w:customStyle="1" w:styleId="158">
    <w:name w:val="Char Char Char Char"/>
    <w:basedOn w:val="1"/>
    <w:autoRedefine/>
    <w:qFormat/>
    <w:uiPriority w:val="0"/>
  </w:style>
  <w:style w:type="paragraph" w:customStyle="1" w:styleId="159">
    <w:name w:val="三级条标题"/>
    <w:basedOn w:val="160"/>
    <w:next w:val="161"/>
    <w:autoRedefine/>
    <w:qFormat/>
    <w:uiPriority w:val="0"/>
    <w:pPr>
      <w:outlineLvl w:val="4"/>
    </w:pPr>
  </w:style>
  <w:style w:type="paragraph" w:customStyle="1" w:styleId="160">
    <w:name w:val="二级条标题"/>
    <w:basedOn w:val="1"/>
    <w:next w:val="1"/>
    <w:autoRedefine/>
    <w:qFormat/>
    <w:uiPriority w:val="0"/>
    <w:pPr>
      <w:widowControl/>
      <w:jc w:val="left"/>
      <w:outlineLvl w:val="3"/>
    </w:pPr>
    <w:rPr>
      <w:rFonts w:ascii="宋体" w:hAnsi="宋体"/>
      <w:color w:val="000000"/>
      <w:kern w:val="0"/>
      <w:szCs w:val="20"/>
    </w:rPr>
  </w:style>
  <w:style w:type="paragraph" w:customStyle="1" w:styleId="161">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2">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3">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164">
    <w:name w:val="Char Char Char"/>
    <w:basedOn w:val="1"/>
    <w:autoRedefine/>
    <w:qFormat/>
    <w:uiPriority w:val="0"/>
    <w:rPr>
      <w:rFonts w:ascii="Tahoma" w:hAnsi="Tahoma"/>
      <w:sz w:val="24"/>
      <w:szCs w:val="20"/>
    </w:rPr>
  </w:style>
  <w:style w:type="paragraph" w:customStyle="1" w:styleId="165">
    <w:name w:val="表格"/>
    <w:basedOn w:val="1"/>
    <w:autoRedefine/>
    <w:qFormat/>
    <w:uiPriority w:val="0"/>
    <w:pPr>
      <w:spacing w:line="400" w:lineRule="exact"/>
    </w:pPr>
    <w:rPr>
      <w:sz w:val="24"/>
    </w:rPr>
  </w:style>
  <w:style w:type="paragraph" w:customStyle="1" w:styleId="166">
    <w:name w:val="纯文本1"/>
    <w:basedOn w:val="1"/>
    <w:autoRedefine/>
    <w:qFormat/>
    <w:uiPriority w:val="0"/>
    <w:rPr>
      <w:rFonts w:ascii="宋体" w:hAnsi="Courier New" w:cs="Courier New"/>
      <w:kern w:val="0"/>
      <w:sz w:val="20"/>
      <w:szCs w:val="21"/>
    </w:rPr>
  </w:style>
  <w:style w:type="paragraph" w:customStyle="1" w:styleId="167">
    <w:name w:val="五级条标题"/>
    <w:basedOn w:val="168"/>
    <w:next w:val="161"/>
    <w:autoRedefine/>
    <w:qFormat/>
    <w:uiPriority w:val="0"/>
    <w:pPr>
      <w:outlineLvl w:val="6"/>
    </w:pPr>
  </w:style>
  <w:style w:type="paragraph" w:customStyle="1" w:styleId="168">
    <w:name w:val="四级条标题"/>
    <w:basedOn w:val="159"/>
    <w:next w:val="161"/>
    <w:autoRedefine/>
    <w:qFormat/>
    <w:uiPriority w:val="0"/>
    <w:pPr>
      <w:outlineLvl w:val="5"/>
    </w:pPr>
  </w:style>
  <w:style w:type="paragraph" w:customStyle="1" w:styleId="169">
    <w:name w:val="Char11"/>
    <w:basedOn w:val="1"/>
    <w:autoRedefine/>
    <w:qFormat/>
    <w:uiPriority w:val="0"/>
    <w:rPr>
      <w:szCs w:val="21"/>
    </w:rPr>
  </w:style>
  <w:style w:type="paragraph" w:customStyle="1" w:styleId="170">
    <w:name w:val="默认段落字体 Para Char Char Char Char Char Char Char Char Char1 Char Char Char Char"/>
    <w:basedOn w:val="1"/>
    <w:autoRedefine/>
    <w:qFormat/>
    <w:uiPriority w:val="0"/>
    <w:rPr>
      <w:rFonts w:ascii="Tahoma" w:hAnsi="Tahoma"/>
      <w:sz w:val="24"/>
      <w:szCs w:val="20"/>
    </w:rPr>
  </w:style>
  <w:style w:type="paragraph" w:customStyle="1" w:styleId="171">
    <w:name w:val="列出段落2"/>
    <w:basedOn w:val="1"/>
    <w:autoRedefine/>
    <w:qFormat/>
    <w:uiPriority w:val="0"/>
    <w:pPr>
      <w:ind w:firstLine="420" w:firstLineChars="200"/>
    </w:pPr>
    <w:rPr>
      <w:rFonts w:ascii="Calibri" w:hAnsi="Calibri"/>
      <w:szCs w:val="22"/>
    </w:rPr>
  </w:style>
  <w:style w:type="paragraph" w:customStyle="1" w:styleId="172">
    <w:name w:val="样式 首行缩进:  2 字符"/>
    <w:basedOn w:val="1"/>
    <w:autoRedefine/>
    <w:qFormat/>
    <w:uiPriority w:val="0"/>
    <w:pPr>
      <w:spacing w:line="400" w:lineRule="exact"/>
      <w:ind w:firstLine="200" w:firstLineChars="200"/>
    </w:pPr>
    <w:rPr>
      <w:rFonts w:cs="宋体"/>
      <w:sz w:val="24"/>
    </w:rPr>
  </w:style>
  <w:style w:type="paragraph" w:customStyle="1" w:styleId="173">
    <w:name w:val="1"/>
    <w:basedOn w:val="1"/>
    <w:next w:val="27"/>
    <w:autoRedefine/>
    <w:qFormat/>
    <w:uiPriority w:val="0"/>
    <w:rPr>
      <w:rFonts w:ascii="宋体" w:hAnsi="Courier New"/>
      <w:szCs w:val="20"/>
    </w:rPr>
  </w:style>
  <w:style w:type="paragraph" w:customStyle="1" w:styleId="174">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75">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76">
    <w:name w:val="样式 标题 2 + Times New Roman 四号 非加粗 段前: 5 磅 段后: 0 磅 行距: 固定值 20..."/>
    <w:basedOn w:val="5"/>
    <w:autoRedefine/>
    <w:qFormat/>
    <w:uiPriority w:val="0"/>
    <w:pPr>
      <w:spacing w:before="100" w:after="0" w:line="400" w:lineRule="exact"/>
    </w:pPr>
    <w:rPr>
      <w:rFonts w:ascii="Times New Roman" w:hAnsi="Times New Roman" w:cs="宋体"/>
      <w:b w:val="0"/>
      <w:bCs w:val="0"/>
      <w:kern w:val="0"/>
      <w:sz w:val="28"/>
      <w:szCs w:val="20"/>
    </w:rPr>
  </w:style>
  <w:style w:type="paragraph" w:customStyle="1" w:styleId="177">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8">
    <w:name w:val="列出段落21"/>
    <w:basedOn w:val="1"/>
    <w:autoRedefine/>
    <w:qFormat/>
    <w:uiPriority w:val="0"/>
    <w:pPr>
      <w:ind w:firstLine="420" w:firstLineChars="200"/>
    </w:pPr>
    <w:rPr>
      <w:rFonts w:ascii="Calibri" w:hAnsi="Calibri"/>
      <w:szCs w:val="22"/>
    </w:rPr>
  </w:style>
  <w:style w:type="paragraph" w:customStyle="1" w:styleId="179">
    <w:name w:val="_Style 62"/>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前言、引言标题"/>
    <w:next w:val="1"/>
    <w:autoRedefine/>
    <w:qFormat/>
    <w:uiPriority w:val="0"/>
    <w:pPr>
      <w:shd w:val="clear" w:color="FFFFFF" w:fill="FFFFFF"/>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8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82">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3">
    <w:name w:val="Char2"/>
    <w:basedOn w:val="1"/>
    <w:autoRedefine/>
    <w:qFormat/>
    <w:uiPriority w:val="0"/>
  </w:style>
  <w:style w:type="paragraph" w:customStyle="1" w:styleId="184">
    <w:name w:val="Char12"/>
    <w:basedOn w:val="17"/>
    <w:autoRedefine/>
    <w:qFormat/>
    <w:uiPriority w:val="0"/>
    <w:pPr>
      <w:widowControl/>
      <w:ind w:firstLine="454"/>
      <w:jc w:val="left"/>
    </w:pPr>
    <w:rPr>
      <w:rFonts w:ascii="Tahoma" w:hAnsi="Tahoma" w:cs="宋体"/>
      <w:kern w:val="0"/>
      <w:sz w:val="24"/>
      <w:szCs w:val="20"/>
    </w:rPr>
  </w:style>
  <w:style w:type="paragraph" w:customStyle="1" w:styleId="185">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6">
    <w:name w:val="Char3"/>
    <w:basedOn w:val="1"/>
    <w:autoRedefine/>
    <w:qFormat/>
    <w:uiPriority w:val="0"/>
  </w:style>
  <w:style w:type="paragraph" w:customStyle="1" w:styleId="187">
    <w:name w:val="No Spacing"/>
    <w:autoRedefine/>
    <w:qFormat/>
    <w:uiPriority w:val="1"/>
    <w:pPr>
      <w:widowControl w:val="0"/>
      <w:jc w:val="both"/>
    </w:pPr>
    <w:rPr>
      <w:rFonts w:ascii="Calibri" w:hAnsi="Calibri" w:eastAsia="宋体" w:cs="Times New Roman"/>
      <w:kern w:val="2"/>
      <w:sz w:val="21"/>
      <w:szCs w:val="24"/>
      <w:lang w:val="en-US" w:eastAsia="zh-CN" w:bidi="ar-SA"/>
    </w:rPr>
  </w:style>
  <w:style w:type="paragraph" w:customStyle="1" w:styleId="188">
    <w:name w:val="样式 标题 3 + (中文) 黑体 小四 非加粗 段前: 7.8 磅 段后: 0 磅 行距: 固定值 20 磅"/>
    <w:basedOn w:val="6"/>
    <w:autoRedefine/>
    <w:qFormat/>
    <w:uiPriority w:val="0"/>
    <w:pPr>
      <w:spacing w:before="0" w:after="0" w:line="400" w:lineRule="exact"/>
    </w:pPr>
    <w:rPr>
      <w:rFonts w:eastAsia="黑体" w:cs="宋体"/>
      <w:b w:val="0"/>
      <w:bCs w:val="0"/>
      <w:sz w:val="24"/>
      <w:szCs w:val="20"/>
    </w:rPr>
  </w:style>
  <w:style w:type="paragraph" w:customStyle="1" w:styleId="189">
    <w:name w:val="Default"/>
    <w:autoRedefine/>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90">
    <w:name w:val="p0"/>
    <w:basedOn w:val="1"/>
    <w:autoRedefine/>
    <w:qFormat/>
    <w:uiPriority w:val="0"/>
    <w:pPr>
      <w:widowControl/>
    </w:pPr>
    <w:rPr>
      <w:kern w:val="0"/>
      <w:szCs w:val="21"/>
    </w:rPr>
  </w:style>
  <w:style w:type="paragraph" w:customStyle="1" w:styleId="191">
    <w:name w:val="正文段"/>
    <w:basedOn w:val="1"/>
    <w:autoRedefine/>
    <w:qFormat/>
    <w:uiPriority w:val="0"/>
    <w:pPr>
      <w:widowControl/>
      <w:snapToGrid w:val="0"/>
      <w:spacing w:afterLines="50"/>
      <w:ind w:firstLine="200" w:firstLineChars="200"/>
    </w:pPr>
    <w:rPr>
      <w:kern w:val="0"/>
      <w:sz w:val="24"/>
      <w:szCs w:val="20"/>
    </w:rPr>
  </w:style>
  <w:style w:type="paragraph" w:customStyle="1" w:styleId="192">
    <w:name w:val="xl7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3">
    <w:name w:val="xl75"/>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4">
    <w:name w:val="xl7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5">
    <w:name w:val="xl66"/>
    <w:basedOn w:val="1"/>
    <w:autoRedefine/>
    <w:qFormat/>
    <w:uiPriority w:val="0"/>
    <w:pPr>
      <w:widowControl/>
      <w:spacing w:before="100" w:beforeAutospacing="1" w:after="100" w:afterAutospacing="1"/>
      <w:jc w:val="center"/>
    </w:pPr>
    <w:rPr>
      <w:rFonts w:ascii="宋体" w:hAnsi="宋体" w:cs="宋体"/>
      <w:kern w:val="0"/>
      <w:sz w:val="18"/>
      <w:szCs w:val="18"/>
    </w:rPr>
  </w:style>
  <w:style w:type="paragraph" w:customStyle="1" w:styleId="196">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97">
    <w:name w:val="Char Char Char Char Char Char Char"/>
    <w:basedOn w:val="1"/>
    <w:autoRedefine/>
    <w:qFormat/>
    <w:uiPriority w:val="0"/>
    <w:pPr>
      <w:tabs>
        <w:tab w:val="left" w:pos="432"/>
      </w:tabs>
      <w:ind w:left="432" w:hanging="432"/>
    </w:pPr>
    <w:rPr>
      <w:rFonts w:ascii="Tahoma" w:hAnsi="Tahoma"/>
      <w:sz w:val="24"/>
      <w:szCs w:val="20"/>
    </w:rPr>
  </w:style>
  <w:style w:type="paragraph" w:customStyle="1" w:styleId="198">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9">
    <w:name w:val="一级条标题"/>
    <w:next w:val="161"/>
    <w:autoRedefine/>
    <w:qFormat/>
    <w:uiPriority w:val="0"/>
    <w:pPr>
      <w:ind w:left="284"/>
      <w:outlineLvl w:val="2"/>
    </w:pPr>
    <w:rPr>
      <w:rFonts w:ascii="Times New Roman" w:hAnsi="Times New Roman" w:eastAsia="黑体" w:cs="Times New Roman"/>
      <w:sz w:val="21"/>
      <w:lang w:val="en-US" w:eastAsia="zh-CN" w:bidi="ar-SA"/>
    </w:rPr>
  </w:style>
  <w:style w:type="paragraph" w:customStyle="1" w:styleId="200">
    <w:name w:val="xl67"/>
    <w:basedOn w:val="1"/>
    <w:autoRedefine/>
    <w:qFormat/>
    <w:uiPriority w:val="0"/>
    <w:pPr>
      <w:widowControl/>
      <w:spacing w:before="100" w:beforeAutospacing="1" w:after="100" w:afterAutospacing="1"/>
      <w:jc w:val="center"/>
    </w:pPr>
    <w:rPr>
      <w:rFonts w:ascii="宋体" w:hAnsi="宋体" w:cs="宋体"/>
      <w:kern w:val="0"/>
      <w:sz w:val="18"/>
      <w:szCs w:val="18"/>
    </w:rPr>
  </w:style>
  <w:style w:type="paragraph" w:customStyle="1" w:styleId="201">
    <w:name w:val="Char Char Char Char2"/>
    <w:basedOn w:val="1"/>
    <w:autoRedefine/>
    <w:qFormat/>
    <w:uiPriority w:val="0"/>
  </w:style>
  <w:style w:type="paragraph" w:customStyle="1" w:styleId="202">
    <w:name w:val="正文首行缩进两字符"/>
    <w:basedOn w:val="1"/>
    <w:autoRedefine/>
    <w:qFormat/>
    <w:uiPriority w:val="0"/>
    <w:pPr>
      <w:spacing w:line="360" w:lineRule="auto"/>
      <w:ind w:firstLine="200" w:firstLineChars="200"/>
    </w:pPr>
  </w:style>
  <w:style w:type="paragraph" w:customStyle="1" w:styleId="203">
    <w:name w:val="无间隔1"/>
    <w:autoRedefine/>
    <w:qFormat/>
    <w:uiPriority w:val="1"/>
    <w:pPr>
      <w:widowControl w:val="0"/>
      <w:jc w:val="both"/>
    </w:pPr>
    <w:rPr>
      <w:rFonts w:ascii="Calibri" w:hAnsi="Calibri" w:eastAsia="宋体" w:cs="Times New Roman"/>
      <w:kern w:val="2"/>
      <w:sz w:val="21"/>
      <w:szCs w:val="24"/>
      <w:lang w:val="en-US" w:eastAsia="zh-CN" w:bidi="ar-SA"/>
    </w:rPr>
  </w:style>
  <w:style w:type="paragraph" w:customStyle="1" w:styleId="204">
    <w:name w:val="Char Char Char Char Char Char Char1"/>
    <w:basedOn w:val="1"/>
    <w:autoRedefine/>
    <w:qFormat/>
    <w:uiPriority w:val="0"/>
  </w:style>
  <w:style w:type="paragraph" w:customStyle="1" w:styleId="205">
    <w:name w:val="Char Char Char Char1"/>
    <w:basedOn w:val="1"/>
    <w:autoRedefine/>
    <w:qFormat/>
    <w:uiPriority w:val="0"/>
  </w:style>
  <w:style w:type="paragraph" w:customStyle="1" w:styleId="206">
    <w:name w:val="xl115"/>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w:hAnsi="Times"/>
      <w:kern w:val="0"/>
      <w:sz w:val="20"/>
      <w:szCs w:val="20"/>
    </w:rPr>
  </w:style>
  <w:style w:type="paragraph" w:customStyle="1" w:styleId="207">
    <w:name w:val="Char Char Char1"/>
    <w:basedOn w:val="1"/>
    <w:autoRedefine/>
    <w:qFormat/>
    <w:uiPriority w:val="0"/>
    <w:rPr>
      <w:rFonts w:ascii="Tahoma" w:hAnsi="Tahoma"/>
      <w:sz w:val="24"/>
      <w:szCs w:val="20"/>
    </w:rPr>
  </w:style>
  <w:style w:type="paragraph" w:customStyle="1" w:styleId="208">
    <w:name w:val="列项——"/>
    <w:autoRedefine/>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09">
    <w:name w:val="样式3"/>
    <w:basedOn w:val="83"/>
    <w:autoRedefine/>
    <w:qFormat/>
    <w:uiPriority w:val="0"/>
    <w:pPr>
      <w:spacing w:line="360" w:lineRule="auto"/>
      <w:ind w:left="900" w:firstLine="0" w:firstLineChars="0"/>
      <w:jc w:val="center"/>
    </w:pPr>
    <w:rPr>
      <w:rFonts w:ascii="宋体" w:hAnsi="宋体"/>
      <w:sz w:val="24"/>
      <w:szCs w:val="28"/>
      <w:lang w:val="zh-CN"/>
    </w:rPr>
  </w:style>
  <w:style w:type="paragraph" w:customStyle="1" w:styleId="210">
    <w:name w:val="Table Paragraph"/>
    <w:basedOn w:val="1"/>
    <w:autoRedefine/>
    <w:qFormat/>
    <w:uiPriority w:val="1"/>
    <w:pPr>
      <w:ind w:left="100" w:right="-10"/>
      <w:jc w:val="left"/>
    </w:pPr>
    <w:rPr>
      <w:rFonts w:ascii="宋体" w:hAnsi="宋体" w:cs="宋体"/>
      <w:kern w:val="0"/>
      <w:sz w:val="22"/>
      <w:szCs w:val="22"/>
      <w:lang w:eastAsia="en-US"/>
    </w:rPr>
  </w:style>
  <w:style w:type="paragraph" w:customStyle="1" w:styleId="211">
    <w:name w:val="正文1"/>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character" w:customStyle="1" w:styleId="213">
    <w:name w:val="正文文本首行缩进 2 字符"/>
    <w:basedOn w:val="58"/>
    <w:link w:val="43"/>
    <w:autoRedefine/>
    <w:qFormat/>
    <w:uiPriority w:val="0"/>
    <w:rPr>
      <w:rFonts w:ascii="Times New Roman" w:hAnsi="Times New Roman" w:eastAsia="仿宋_GB2312" w:cs="Times New Roman"/>
      <w:kern w:val="2"/>
      <w:sz w:val="21"/>
      <w:szCs w:val="24"/>
    </w:rPr>
  </w:style>
  <w:style w:type="paragraph" w:customStyle="1" w:styleId="214">
    <w:name w:val="模板普通正文"/>
    <w:basedOn w:val="21"/>
    <w:autoRedefine/>
    <w:qFormat/>
    <w:uiPriority w:val="0"/>
    <w:pPr>
      <w:spacing w:beforeLines="50" w:after="10"/>
      <w:ind w:firstLine="490" w:firstLineChars="175"/>
      <w:jc w:val="left"/>
    </w:pPr>
  </w:style>
  <w:style w:type="paragraph" w:customStyle="1" w:styleId="215">
    <w:name w:val="Table Text"/>
    <w:basedOn w:val="1"/>
    <w:autoRedefine/>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 w:val="20"/>
      <w:szCs w:val="20"/>
    </w:rPr>
  </w:style>
  <w:style w:type="table" w:customStyle="1" w:styleId="216">
    <w:name w:val="Table Normal"/>
    <w:autoRedefine/>
    <w:unhideWhenUsed/>
    <w:qFormat/>
    <w:uiPriority w:val="0"/>
    <w:tblPr>
      <w:tblCellMar>
        <w:top w:w="0" w:type="dxa"/>
        <w:left w:w="0" w:type="dxa"/>
        <w:bottom w:w="0" w:type="dxa"/>
        <w:right w:w="0" w:type="dxa"/>
      </w:tblCellMar>
    </w:tblPr>
  </w:style>
  <w:style w:type="paragraph" w:customStyle="1" w:styleId="217">
    <w:name w:val="首行缩进"/>
    <w:basedOn w:val="1"/>
    <w:autoRedefine/>
    <w:qFormat/>
    <w:uiPriority w:val="0"/>
    <w:pPr>
      <w:ind w:firstLine="480" w:firstLineChars="200"/>
    </w:pPr>
    <w:rPr>
      <w:rFonts w:ascii="宋体" w:hAnsi="宋体"/>
    </w:rPr>
  </w:style>
  <w:style w:type="character" w:customStyle="1" w:styleId="218">
    <w:name w:val="font112"/>
    <w:basedOn w:val="46"/>
    <w:autoRedefine/>
    <w:qFormat/>
    <w:uiPriority w:val="0"/>
    <w:rPr>
      <w:rFonts w:hint="eastAsia" w:ascii="宋体" w:hAnsi="宋体" w:eastAsia="宋体" w:cs="宋体"/>
      <w:b/>
      <w:bCs/>
      <w:color w:val="000000"/>
      <w:sz w:val="20"/>
      <w:szCs w:val="20"/>
      <w:u w:val="none"/>
    </w:rPr>
  </w:style>
  <w:style w:type="character" w:customStyle="1" w:styleId="219">
    <w:name w:val="font131"/>
    <w:basedOn w:val="46"/>
    <w:autoRedefine/>
    <w:qFormat/>
    <w:uiPriority w:val="0"/>
    <w:rPr>
      <w:rFonts w:hint="eastAsia" w:ascii="宋体" w:hAnsi="宋体" w:eastAsia="宋体" w:cs="宋体"/>
      <w:b/>
      <w:bCs/>
      <w:color w:val="000000"/>
      <w:sz w:val="21"/>
      <w:szCs w:val="21"/>
      <w:u w:val="none"/>
    </w:rPr>
  </w:style>
  <w:style w:type="character" w:customStyle="1" w:styleId="220">
    <w:name w:val="font121"/>
    <w:basedOn w:val="46"/>
    <w:autoRedefine/>
    <w:qFormat/>
    <w:uiPriority w:val="0"/>
    <w:rPr>
      <w:rFonts w:hint="eastAsia" w:ascii="宋体" w:hAnsi="宋体" w:eastAsia="宋体" w:cs="宋体"/>
      <w:color w:val="000000"/>
      <w:sz w:val="21"/>
      <w:szCs w:val="21"/>
      <w:u w:val="none"/>
    </w:rPr>
  </w:style>
  <w:style w:type="paragraph" w:customStyle="1" w:styleId="221">
    <w:name w:val="_Style 2"/>
    <w:basedOn w:val="1"/>
    <w:next w:val="1"/>
    <w:autoRedefine/>
    <w:qFormat/>
    <w:uiPriority w:val="0"/>
    <w:pPr>
      <w:ind w:firstLine="420" w:firstLineChars="200"/>
    </w:pPr>
    <w:rPr>
      <w:rFonts w:ascii="Calibri" w:hAnsi="Calibri"/>
      <w:szCs w:val="22"/>
    </w:rPr>
  </w:style>
  <w:style w:type="paragraph" w:customStyle="1" w:styleId="222">
    <w:name w:val="正文_2"/>
    <w:next w:val="22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3">
    <w:name w:val="样式 正文缩进正文（首行缩进两字）首行缩进两字 + 首行缩进:  2 字符1"/>
    <w:basedOn w:val="224"/>
    <w:autoRedefine/>
    <w:qFormat/>
    <w:uiPriority w:val="0"/>
    <w:pPr>
      <w:spacing w:before="156" w:beforeLines="50" w:after="156" w:afterLines="50" w:line="500" w:lineRule="exact"/>
      <w:ind w:firstLine="200"/>
    </w:pPr>
    <w:rPr>
      <w:color w:val="000000"/>
      <w:sz w:val="28"/>
    </w:rPr>
  </w:style>
  <w:style w:type="paragraph" w:customStyle="1" w:styleId="224">
    <w:name w:val="正文缩进_0"/>
    <w:basedOn w:val="222"/>
    <w:autoRedefine/>
    <w:qFormat/>
    <w:uiPriority w:val="0"/>
    <w:pPr>
      <w:ind w:firstLine="420"/>
    </w:pPr>
    <w:rPr>
      <w:rFonts w:ascii="Times New Roman" w:hAnsi="Times New Roman"/>
      <w:szCs w:val="20"/>
    </w:rPr>
  </w:style>
  <w:style w:type="paragraph" w:customStyle="1" w:styleId="225">
    <w:name w:val="正文正"/>
    <w:basedOn w:val="1"/>
    <w:autoRedefine/>
    <w:qFormat/>
    <w:uiPriority w:val="0"/>
    <w:pPr>
      <w:spacing w:line="560" w:lineRule="exact"/>
      <w:ind w:firstLine="561"/>
    </w:pPr>
    <w:rPr>
      <w:rFonts w:ascii="Calibri" w:hAnsi="Calibri"/>
      <w:sz w:val="28"/>
      <w:szCs w:val="28"/>
    </w:rPr>
  </w:style>
  <w:style w:type="character" w:customStyle="1" w:styleId="226">
    <w:name w:val="NormalCharacter"/>
    <w:autoRedefine/>
    <w:qFormat/>
    <w:uiPriority w:val="0"/>
  </w:style>
  <w:style w:type="paragraph" w:customStyle="1" w:styleId="227">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228">
    <w:name w:val="Plain Text_file_213_file_111"/>
    <w:basedOn w:val="229"/>
    <w:autoRedefine/>
    <w:qFormat/>
    <w:uiPriority w:val="0"/>
    <w:rPr>
      <w:rFonts w:ascii="宋体" w:hAnsi="Courier New" w:cs="Courier New"/>
      <w:szCs w:val="21"/>
    </w:rPr>
  </w:style>
  <w:style w:type="paragraph" w:customStyle="1" w:styleId="229">
    <w:name w:val="Normal_file_213_file_111"/>
    <w:next w:val="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0">
    <w:name w:val="彩色列表 - 着色 11"/>
    <w:basedOn w:val="1"/>
    <w:autoRedefine/>
    <w:qFormat/>
    <w:uiPriority w:val="1"/>
    <w:pPr>
      <w:ind w:left="118" w:right="209" w:firstLine="420"/>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27132-A7E7-4C98-90B1-4362203CDD8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74</Pages>
  <Words>12810</Words>
  <Characters>13953</Characters>
  <Lines>399</Lines>
  <Paragraphs>112</Paragraphs>
  <TotalTime>0</TotalTime>
  <ScaleCrop>false</ScaleCrop>
  <LinksUpToDate>false</LinksUpToDate>
  <CharactersWithSpaces>14145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2024-05-10T03:25:00Z</dcterms:created>
  <dc:creator>广西智瀚</dc:creator>
  <cp:lastModifiedBy>YQ</cp:lastModifiedBy>
  <cp:lastPrinted>2025-11-26T02:15:00Z</cp:lastPrinted>
  <dcterms:modified xsi:type="dcterms:W3CDTF">2026-06-23T08:26:58Z</dcterms:modified>
  <dc:title>竞争性磋商文件规范</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52AE4AEBA41F40CA98139478303AD0E5_13</vt:lpwstr>
  </property>
  <property fmtid="{D5CDD505-2E9C-101B-9397-08002B2CF9AE}" pid="4" name="KSOTemplateDocerSaveRecord">
    <vt:lpwstr>eyJoZGlkIjoiMjQ1ZDM0YTIxZmE2NTAwMWE1YzcwN2RhZjg4ZGNhY2UiLCJ1c2VySWQiOiI0Mjk3OTExNDIifQ==</vt:lpwstr>
  </property>
</Properties>
</file>